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4.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5.xml" ContentType="application/vnd.openxmlformats-officedocument.drawingml.chartshap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6.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7.xml" ContentType="application/vnd.openxmlformats-officedocument.drawingml.chartshapes+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2C1" w:rsidRPr="00F162C5" w:rsidRDefault="00896E83" w:rsidP="00F162C5">
      <w:pPr>
        <w:pStyle w:val="Titre"/>
        <w:contextualSpacing w:val="0"/>
        <w:rPr>
          <w:rFonts w:ascii="Arial" w:hAnsi="Arial" w:cs="Arial"/>
          <w:lang w:val="en-CA"/>
        </w:rPr>
      </w:pPr>
      <w:r w:rsidRPr="00F162C5">
        <w:rPr>
          <w:lang w:val="en-CA"/>
        </w:rPr>
        <w:t>P</w:t>
      </w:r>
      <w:r w:rsidR="00BA5AF4">
        <w:rPr>
          <w:lang w:val="en-CA"/>
        </w:rPr>
        <w:t>resident meeting with</w:t>
      </w:r>
      <w:r w:rsidRPr="00F162C5">
        <w:rPr>
          <w:lang w:val="en-CA"/>
        </w:rPr>
        <w:t xml:space="preserve"> </w:t>
      </w:r>
      <w:r w:rsidRPr="00F162C5">
        <w:rPr>
          <w:lang w:val="en-CA"/>
        </w:rPr>
        <w:br/>
        <w:t>D</w:t>
      </w:r>
      <w:r w:rsidR="00BA5AF4">
        <w:rPr>
          <w:lang w:val="en-CA"/>
        </w:rPr>
        <w:t>avid McGovern</w:t>
      </w:r>
      <w:r w:rsidRPr="00F162C5">
        <w:rPr>
          <w:lang w:val="en-CA"/>
        </w:rPr>
        <w:t>, P</w:t>
      </w:r>
      <w:r w:rsidR="00BA5AF4">
        <w:rPr>
          <w:lang w:val="en-CA"/>
        </w:rPr>
        <w:t>resident</w:t>
      </w:r>
      <w:r w:rsidRPr="00F162C5">
        <w:rPr>
          <w:lang w:val="en-CA"/>
        </w:rPr>
        <w:t>, I</w:t>
      </w:r>
      <w:r w:rsidR="00BA5AF4">
        <w:rPr>
          <w:lang w:val="en-CA"/>
        </w:rPr>
        <w:t>mpact</w:t>
      </w:r>
      <w:r w:rsidRPr="00F162C5">
        <w:rPr>
          <w:lang w:val="en-CA"/>
        </w:rPr>
        <w:t xml:space="preserve"> A</w:t>
      </w:r>
      <w:r w:rsidR="00BA5AF4">
        <w:rPr>
          <w:lang w:val="en-CA"/>
        </w:rPr>
        <w:t>ssessment</w:t>
      </w:r>
      <w:r w:rsidRPr="00F162C5">
        <w:rPr>
          <w:lang w:val="en-CA"/>
        </w:rPr>
        <w:t xml:space="preserve"> A</w:t>
      </w:r>
      <w:r w:rsidR="00BA5AF4">
        <w:rPr>
          <w:lang w:val="en-CA"/>
        </w:rPr>
        <w:t>gency</w:t>
      </w:r>
      <w:r w:rsidR="005A799A">
        <w:rPr>
          <w:lang w:val="en-CA"/>
        </w:rPr>
        <w:t xml:space="preserve"> o</w:t>
      </w:r>
      <w:r w:rsidR="00BA5AF4">
        <w:rPr>
          <w:lang w:val="en-CA"/>
        </w:rPr>
        <w:t>f</w:t>
      </w:r>
      <w:r w:rsidRPr="00F162C5">
        <w:rPr>
          <w:lang w:val="en-CA"/>
        </w:rPr>
        <w:t xml:space="preserve"> C</w:t>
      </w:r>
      <w:r w:rsidR="00BA5AF4">
        <w:rPr>
          <w:lang w:val="en-CA"/>
        </w:rPr>
        <w:t>anada</w:t>
      </w:r>
      <w:r w:rsidRPr="00F162C5">
        <w:rPr>
          <w:lang w:val="en-CA"/>
        </w:rPr>
        <w:br/>
        <w:t>N</w:t>
      </w:r>
      <w:r w:rsidR="00BA5AF4">
        <w:rPr>
          <w:lang w:val="en-CA"/>
        </w:rPr>
        <w:t>ovember</w:t>
      </w:r>
      <w:r w:rsidRPr="00F162C5">
        <w:rPr>
          <w:lang w:val="en-CA"/>
        </w:rPr>
        <w:t xml:space="preserve"> 28, 2019</w:t>
      </w:r>
    </w:p>
    <w:p w:rsidR="00DD72C1" w:rsidRPr="00F162C5" w:rsidRDefault="00896E83" w:rsidP="00F162C5">
      <w:pPr>
        <w:pStyle w:val="Titre1"/>
        <w:spacing w:after="240"/>
        <w:rPr>
          <w:lang w:val="en-CA"/>
        </w:rPr>
      </w:pPr>
      <w:r w:rsidRPr="00F162C5">
        <w:rPr>
          <w:lang w:val="en-CA"/>
        </w:rPr>
        <w:t>Introduction</w:t>
      </w:r>
    </w:p>
    <w:p w:rsidR="00DD72C1" w:rsidRPr="00F162C5" w:rsidRDefault="00DD72C1" w:rsidP="00F162C5">
      <w:pPr>
        <w:pStyle w:val="Titre2"/>
        <w:spacing w:after="120"/>
        <w:rPr>
          <w:lang w:val="en-CA"/>
        </w:rPr>
      </w:pPr>
      <w:r w:rsidRPr="00F162C5">
        <w:rPr>
          <w:lang w:val="en-CA"/>
        </w:rPr>
        <w:t>Deputy Head</w:t>
      </w:r>
    </w:p>
    <w:p w:rsidR="00DD72C1" w:rsidRPr="00F162C5" w:rsidRDefault="00DD72C1" w:rsidP="00F162C5">
      <w:pPr>
        <w:pStyle w:val="Sansinterligne"/>
        <w:spacing w:after="120"/>
        <w:rPr>
          <w:rFonts w:asciiTheme="minorHAnsi" w:hAnsiTheme="minorHAnsi" w:cstheme="minorHAnsi"/>
          <w:sz w:val="22"/>
          <w:szCs w:val="22"/>
          <w:lang w:val="en-CA" w:eastAsia="en-CA"/>
        </w:rPr>
      </w:pPr>
      <w:r w:rsidRPr="00F162C5">
        <w:rPr>
          <w:rFonts w:asciiTheme="minorHAnsi" w:hAnsiTheme="minorHAnsi" w:cstheme="minorHAnsi"/>
          <w:sz w:val="22"/>
          <w:szCs w:val="22"/>
          <w:lang w:val="en-CA" w:eastAsia="en-CA"/>
        </w:rPr>
        <w:t xml:space="preserve">Mr. David McGovern was appointed as the President, Impact Assessment Agency of Canada (IAAC) on August 28, 2019. </w:t>
      </w:r>
      <w:r w:rsidRPr="00F162C5">
        <w:rPr>
          <w:rFonts w:asciiTheme="minorHAnsi" w:hAnsiTheme="minorHAnsi" w:cstheme="minorHAnsi"/>
          <w:sz w:val="22"/>
          <w:szCs w:val="22"/>
          <w:lang w:val="en-CA"/>
        </w:rPr>
        <w:t>This organization was formerly named the Canadian Environmental Assessment Agency (CEAA).</w:t>
      </w:r>
    </w:p>
    <w:p w:rsidR="00DD72C1" w:rsidRPr="00F162C5" w:rsidRDefault="00845262" w:rsidP="00845262">
      <w:pPr>
        <w:pStyle w:val="Sansinterligne"/>
        <w:spacing w:after="120"/>
        <w:rPr>
          <w:rFonts w:asciiTheme="minorHAnsi" w:hAnsiTheme="minorHAnsi" w:cstheme="minorHAnsi"/>
          <w:sz w:val="22"/>
          <w:szCs w:val="22"/>
          <w:lang w:val="en-CA"/>
        </w:rPr>
      </w:pPr>
      <w:r w:rsidRPr="00845262">
        <w:rPr>
          <w:rFonts w:asciiTheme="minorHAnsi" w:hAnsiTheme="minorHAnsi" w:cstheme="minorHAnsi"/>
          <w:sz w:val="22"/>
          <w:szCs w:val="22"/>
          <w:lang w:val="en-CA" w:eastAsia="en-CA"/>
        </w:rPr>
        <w:t xml:space="preserve">Mr. McGovern </w:t>
      </w:r>
      <w:r w:rsidRPr="00845262">
        <w:rPr>
          <w:rFonts w:asciiTheme="minorHAnsi" w:hAnsiTheme="minorHAnsi" w:cstheme="minorHAnsi"/>
          <w:sz w:val="22"/>
          <w:szCs w:val="22"/>
          <w:lang w:val="en-CA"/>
        </w:rPr>
        <w:t>is exercising the Public Service Commission’s (PSC) authority for the first time as DH. A</w:t>
      </w:r>
      <w:r w:rsidRPr="0076163B">
        <w:rPr>
          <w:rFonts w:asciiTheme="minorHAnsi" w:hAnsiTheme="minorHAnsi" w:cstheme="minorHAnsi"/>
          <w:sz w:val="22"/>
          <w:szCs w:val="22"/>
          <w:lang w:val="en-CA"/>
        </w:rPr>
        <w:t xml:space="preserve"> copy of </w:t>
      </w:r>
      <w:r>
        <w:rPr>
          <w:rFonts w:asciiTheme="minorHAnsi" w:hAnsiTheme="minorHAnsi" w:cstheme="minorHAnsi"/>
          <w:sz w:val="22"/>
          <w:szCs w:val="22"/>
          <w:lang w:val="en-CA"/>
        </w:rPr>
        <w:t xml:space="preserve">the </w:t>
      </w:r>
      <w:r w:rsidRPr="0076163B">
        <w:rPr>
          <w:rFonts w:asciiTheme="minorHAnsi" w:hAnsiTheme="minorHAnsi" w:cstheme="minorHAnsi"/>
          <w:sz w:val="22"/>
          <w:szCs w:val="22"/>
          <w:lang w:val="en-CA"/>
        </w:rPr>
        <w:t xml:space="preserve">New Direction in Staffing (NDS) highlights for DHs </w:t>
      </w:r>
      <w:r>
        <w:rPr>
          <w:rFonts w:asciiTheme="minorHAnsi" w:hAnsiTheme="minorHAnsi" w:cstheme="minorHAnsi"/>
          <w:sz w:val="22"/>
          <w:szCs w:val="22"/>
          <w:lang w:val="en-CA"/>
        </w:rPr>
        <w:t xml:space="preserve">is attached as </w:t>
      </w:r>
      <w:hyperlink w:anchor="AnnexA" w:history="1">
        <w:r w:rsidRPr="00A21EAE">
          <w:rPr>
            <w:rStyle w:val="Lienhypertexte"/>
            <w:rFonts w:asciiTheme="minorHAnsi" w:hAnsiTheme="minorHAnsi" w:cstheme="minorHAnsi"/>
            <w:sz w:val="22"/>
            <w:szCs w:val="22"/>
            <w:lang w:val="en-CA"/>
          </w:rPr>
          <w:t>Annex A</w:t>
        </w:r>
      </w:hyperlink>
      <w:r w:rsidRPr="0076163B">
        <w:rPr>
          <w:rFonts w:asciiTheme="minorHAnsi" w:hAnsiTheme="minorHAnsi" w:cstheme="minorHAnsi"/>
          <w:sz w:val="22"/>
          <w:szCs w:val="22"/>
          <w:lang w:val="en-CA"/>
        </w:rPr>
        <w:t>.</w:t>
      </w:r>
    </w:p>
    <w:p w:rsidR="00DD72C1" w:rsidRPr="00F162C5" w:rsidRDefault="00D91C17" w:rsidP="00F162C5">
      <w:pPr>
        <w:pStyle w:val="Titre1"/>
        <w:spacing w:after="240"/>
        <w:rPr>
          <w:lang w:val="en-CA"/>
        </w:rPr>
      </w:pPr>
      <w:r w:rsidRPr="00F162C5">
        <w:rPr>
          <w:lang w:val="en-CA"/>
        </w:rPr>
        <w:t>Organizational C</w:t>
      </w:r>
      <w:r w:rsidR="00DD72C1" w:rsidRPr="00F162C5">
        <w:rPr>
          <w:lang w:val="en-CA"/>
        </w:rPr>
        <w:t>ontext</w:t>
      </w:r>
    </w:p>
    <w:p w:rsidR="00DD72C1" w:rsidRPr="00F162C5" w:rsidRDefault="00DD72C1" w:rsidP="00F162C5">
      <w:pPr>
        <w:pStyle w:val="Titre2"/>
        <w:spacing w:after="120"/>
        <w:rPr>
          <w:u w:val="single"/>
          <w:lang w:val="en-CA"/>
        </w:rPr>
      </w:pPr>
      <w:r w:rsidRPr="00F162C5">
        <w:rPr>
          <w:lang w:val="en-CA"/>
        </w:rPr>
        <w:t>Mandate</w:t>
      </w:r>
    </w:p>
    <w:p w:rsidR="00DD72C1" w:rsidRPr="00F162C5" w:rsidRDefault="00DD72C1" w:rsidP="00F162C5">
      <w:pPr>
        <w:spacing w:after="120"/>
        <w:rPr>
          <w:rFonts w:asciiTheme="minorHAnsi" w:hAnsiTheme="minorHAnsi" w:cstheme="minorHAnsi"/>
          <w:i/>
          <w:iCs/>
          <w:sz w:val="22"/>
          <w:szCs w:val="22"/>
          <w:lang w:val="en-CA"/>
        </w:rPr>
      </w:pPr>
      <w:r w:rsidRPr="00F162C5">
        <w:rPr>
          <w:rFonts w:asciiTheme="minorHAnsi" w:hAnsiTheme="minorHAnsi" w:cstheme="minorHAnsi"/>
          <w:sz w:val="22"/>
          <w:szCs w:val="22"/>
          <w:lang w:val="en-CA"/>
        </w:rPr>
        <w:t xml:space="preserve">On August 28, 2019, the </w:t>
      </w:r>
      <w:r w:rsidRPr="00F162C5">
        <w:rPr>
          <w:rStyle w:val="Accentuation"/>
          <w:lang w:val="en-CA"/>
        </w:rPr>
        <w:t>Impact Assessment Act</w:t>
      </w:r>
      <w:r w:rsidRPr="00F162C5">
        <w:rPr>
          <w:rFonts w:asciiTheme="minorHAnsi" w:hAnsiTheme="minorHAnsi" w:cstheme="minorHAnsi"/>
          <w:sz w:val="22"/>
          <w:szCs w:val="22"/>
          <w:lang w:val="en-CA"/>
        </w:rPr>
        <w:t xml:space="preserve">, the </w:t>
      </w:r>
      <w:r w:rsidRPr="00F162C5">
        <w:rPr>
          <w:rStyle w:val="Accentuation"/>
          <w:lang w:val="en-CA"/>
        </w:rPr>
        <w:t>Canadian Energy Regulator Act</w:t>
      </w:r>
      <w:r w:rsidRPr="00F162C5">
        <w:rPr>
          <w:rFonts w:asciiTheme="minorHAnsi" w:hAnsiTheme="minorHAnsi" w:cstheme="minorHAnsi"/>
          <w:sz w:val="22"/>
          <w:szCs w:val="22"/>
          <w:lang w:val="en-CA"/>
        </w:rPr>
        <w:t xml:space="preserve">, and the </w:t>
      </w:r>
      <w:r w:rsidRPr="00F162C5">
        <w:rPr>
          <w:rStyle w:val="Accentuation"/>
          <w:lang w:val="en-CA"/>
        </w:rPr>
        <w:t>Canadian Navigable Waters Act</w:t>
      </w:r>
      <w:r w:rsidRPr="00F162C5">
        <w:rPr>
          <w:rFonts w:asciiTheme="minorHAnsi" w:hAnsiTheme="minorHAnsi" w:cstheme="minorHAnsi"/>
          <w:sz w:val="22"/>
          <w:szCs w:val="22"/>
          <w:lang w:val="en-CA"/>
        </w:rPr>
        <w:t xml:space="preserve"> came into force. The </w:t>
      </w:r>
      <w:r w:rsidRPr="00F162C5">
        <w:rPr>
          <w:rStyle w:val="Accentuation"/>
          <w:lang w:val="en-CA"/>
        </w:rPr>
        <w:t>Impact Assessment Act</w:t>
      </w:r>
      <w:r w:rsidRPr="00F162C5">
        <w:rPr>
          <w:rFonts w:asciiTheme="minorHAnsi" w:hAnsiTheme="minorHAnsi" w:cstheme="minorHAnsi"/>
          <w:sz w:val="22"/>
          <w:szCs w:val="22"/>
          <w:lang w:val="en-CA"/>
        </w:rPr>
        <w:t xml:space="preserve"> created the new IAAC (formerly known as the CEAA). This change repeals the </w:t>
      </w:r>
      <w:r w:rsidRPr="00F162C5">
        <w:rPr>
          <w:rStyle w:val="Accentuation"/>
          <w:lang w:val="en-CA"/>
        </w:rPr>
        <w:t>Canadian Environmental Assessment Act</w:t>
      </w:r>
      <w:r w:rsidRPr="00F162C5">
        <w:rPr>
          <w:rFonts w:asciiTheme="minorHAnsi" w:hAnsiTheme="minorHAnsi" w:cstheme="minorHAnsi"/>
          <w:i/>
          <w:iCs/>
          <w:sz w:val="22"/>
          <w:szCs w:val="22"/>
          <w:lang w:val="en-CA"/>
        </w:rPr>
        <w:t xml:space="preserve">, </w:t>
      </w:r>
      <w:r w:rsidRPr="00F162C5">
        <w:rPr>
          <w:rFonts w:asciiTheme="minorHAnsi" w:hAnsiTheme="minorHAnsi" w:cstheme="minorHAnsi"/>
          <w:iCs/>
          <w:sz w:val="22"/>
          <w:szCs w:val="22"/>
          <w:lang w:val="en-CA"/>
        </w:rPr>
        <w:t>created in 2012.</w:t>
      </w:r>
    </w:p>
    <w:p w:rsidR="00DD72C1" w:rsidRPr="00F162C5" w:rsidRDefault="00DD72C1" w:rsidP="00F162C5">
      <w:pPr>
        <w:spacing w:after="120"/>
        <w:rPr>
          <w:rFonts w:asciiTheme="minorHAnsi" w:hAnsiTheme="minorHAnsi" w:cstheme="minorHAnsi"/>
          <w:sz w:val="22"/>
          <w:szCs w:val="22"/>
          <w:lang w:val="en-CA"/>
        </w:rPr>
      </w:pPr>
      <w:r w:rsidRPr="00F162C5">
        <w:rPr>
          <w:rFonts w:asciiTheme="minorHAnsi" w:hAnsiTheme="minorHAnsi" w:cstheme="minorHAnsi"/>
          <w:sz w:val="22"/>
          <w:szCs w:val="22"/>
          <w:lang w:val="en-CA"/>
        </w:rPr>
        <w:t>The IAAC is a federal body accountable to the Minister of Environment and Climate Change.</w:t>
      </w:r>
    </w:p>
    <w:p w:rsidR="00DD72C1" w:rsidRPr="00F162C5" w:rsidRDefault="00DD72C1" w:rsidP="00F162C5">
      <w:pPr>
        <w:spacing w:after="120"/>
        <w:rPr>
          <w:rFonts w:asciiTheme="minorHAnsi" w:hAnsiTheme="minorHAnsi" w:cstheme="minorHAnsi"/>
          <w:sz w:val="22"/>
          <w:szCs w:val="22"/>
          <w:lang w:val="en-CA"/>
        </w:rPr>
      </w:pPr>
      <w:r w:rsidRPr="00F162C5">
        <w:rPr>
          <w:rFonts w:asciiTheme="minorHAnsi" w:hAnsiTheme="minorHAnsi" w:cstheme="minorHAnsi"/>
          <w:sz w:val="22"/>
          <w:szCs w:val="22"/>
          <w:lang w:val="en-CA"/>
        </w:rPr>
        <w:t xml:space="preserve">The IAAC delivers high-quality impact assessments that contribute to informed decision-making on major environmental projects, in support of sustainable development. Through its delivery of impact assessments, the IAAC serves Canadians by looking at both positive and negative environmental, economic, social and health impacts of potential projects of federal interest. </w:t>
      </w:r>
    </w:p>
    <w:p w:rsidR="00DD72C1" w:rsidRPr="00F162C5" w:rsidRDefault="00DD72C1" w:rsidP="00F162C5">
      <w:pPr>
        <w:spacing w:after="120"/>
        <w:rPr>
          <w:rFonts w:asciiTheme="minorHAnsi" w:hAnsiTheme="minorHAnsi" w:cstheme="minorHAnsi"/>
          <w:sz w:val="22"/>
          <w:szCs w:val="22"/>
          <w:lang w:val="en-CA"/>
        </w:rPr>
      </w:pPr>
      <w:r w:rsidRPr="00F162C5">
        <w:rPr>
          <w:rFonts w:asciiTheme="minorHAnsi" w:hAnsiTheme="minorHAnsi" w:cstheme="minorHAnsi"/>
          <w:sz w:val="22"/>
          <w:szCs w:val="22"/>
          <w:lang w:val="en-CA"/>
        </w:rPr>
        <w:t>More specifically, the IAAC:</w:t>
      </w:r>
    </w:p>
    <w:p w:rsidR="00DD72C1" w:rsidRPr="00F162C5" w:rsidRDefault="00DD72C1" w:rsidP="00F162C5">
      <w:pPr>
        <w:numPr>
          <w:ilvl w:val="0"/>
          <w:numId w:val="7"/>
        </w:numPr>
        <w:rPr>
          <w:rFonts w:asciiTheme="minorHAnsi" w:hAnsiTheme="minorHAnsi" w:cstheme="minorHAnsi"/>
          <w:sz w:val="22"/>
          <w:szCs w:val="22"/>
          <w:lang w:val="en-CA"/>
        </w:rPr>
      </w:pPr>
      <w:r w:rsidRPr="00F162C5">
        <w:rPr>
          <w:rFonts w:asciiTheme="minorHAnsi" w:hAnsiTheme="minorHAnsi" w:cstheme="minorHAnsi"/>
          <w:sz w:val="22"/>
          <w:szCs w:val="22"/>
          <w:lang w:val="en-CA"/>
        </w:rPr>
        <w:t>Leads and manages the impact assessment process for all federally designated major projects;</w:t>
      </w:r>
    </w:p>
    <w:p w:rsidR="00DD72C1" w:rsidRPr="00F162C5" w:rsidRDefault="00DD72C1" w:rsidP="00F162C5">
      <w:pPr>
        <w:numPr>
          <w:ilvl w:val="0"/>
          <w:numId w:val="7"/>
        </w:numPr>
        <w:rPr>
          <w:rFonts w:asciiTheme="minorHAnsi" w:hAnsiTheme="minorHAnsi" w:cstheme="minorHAnsi"/>
          <w:sz w:val="22"/>
          <w:szCs w:val="22"/>
          <w:lang w:val="en-CA"/>
        </w:rPr>
      </w:pPr>
      <w:r w:rsidRPr="00F162C5">
        <w:rPr>
          <w:rFonts w:asciiTheme="minorHAnsi" w:hAnsiTheme="minorHAnsi" w:cstheme="minorHAnsi"/>
          <w:sz w:val="22"/>
          <w:szCs w:val="22"/>
          <w:lang w:val="en-CA"/>
        </w:rPr>
        <w:t>Leads Crown engagement and serves as the single point of contact for consultation and engagement with Indigenous peoples during impact assessments for designated projects;</w:t>
      </w:r>
    </w:p>
    <w:p w:rsidR="00DD72C1" w:rsidRPr="00F162C5" w:rsidRDefault="00DD72C1" w:rsidP="00F162C5">
      <w:pPr>
        <w:numPr>
          <w:ilvl w:val="0"/>
          <w:numId w:val="7"/>
        </w:numPr>
        <w:rPr>
          <w:rFonts w:asciiTheme="minorHAnsi" w:hAnsiTheme="minorHAnsi" w:cstheme="minorHAnsi"/>
          <w:sz w:val="22"/>
          <w:szCs w:val="22"/>
          <w:lang w:val="en-CA"/>
        </w:rPr>
      </w:pPr>
      <w:r w:rsidRPr="00F162C5">
        <w:rPr>
          <w:rFonts w:asciiTheme="minorHAnsi" w:hAnsiTheme="minorHAnsi" w:cstheme="minorHAnsi"/>
          <w:sz w:val="22"/>
          <w:szCs w:val="22"/>
          <w:lang w:val="en-CA"/>
        </w:rPr>
        <w:t>Provides opportunities and funding to support public participation in impact assessments;</w:t>
      </w:r>
    </w:p>
    <w:p w:rsidR="00DD72C1" w:rsidRPr="00F162C5" w:rsidRDefault="00DD72C1" w:rsidP="00F162C5">
      <w:pPr>
        <w:numPr>
          <w:ilvl w:val="0"/>
          <w:numId w:val="7"/>
        </w:numPr>
        <w:rPr>
          <w:rFonts w:asciiTheme="minorHAnsi" w:hAnsiTheme="minorHAnsi" w:cstheme="minorHAnsi"/>
          <w:sz w:val="22"/>
          <w:szCs w:val="22"/>
          <w:lang w:val="en-CA"/>
        </w:rPr>
      </w:pPr>
      <w:r w:rsidRPr="00F162C5">
        <w:rPr>
          <w:rFonts w:asciiTheme="minorHAnsi" w:hAnsiTheme="minorHAnsi" w:cstheme="minorHAnsi"/>
          <w:sz w:val="22"/>
          <w:szCs w:val="22"/>
          <w:lang w:val="en-CA"/>
        </w:rPr>
        <w:t>Works to ensure that mitigation measures are applied and are working as intended;</w:t>
      </w:r>
    </w:p>
    <w:p w:rsidR="00DD72C1" w:rsidRPr="00F162C5" w:rsidRDefault="00DD72C1" w:rsidP="00F162C5">
      <w:pPr>
        <w:numPr>
          <w:ilvl w:val="0"/>
          <w:numId w:val="7"/>
        </w:numPr>
        <w:rPr>
          <w:rFonts w:asciiTheme="minorHAnsi" w:hAnsiTheme="minorHAnsi" w:cstheme="minorHAnsi"/>
          <w:sz w:val="22"/>
          <w:szCs w:val="22"/>
          <w:lang w:val="en-CA"/>
        </w:rPr>
      </w:pPr>
      <w:r w:rsidRPr="00F162C5">
        <w:rPr>
          <w:rFonts w:asciiTheme="minorHAnsi" w:hAnsiTheme="minorHAnsi" w:cstheme="minorHAnsi"/>
          <w:sz w:val="22"/>
          <w:szCs w:val="22"/>
          <w:lang w:val="en-CA"/>
        </w:rPr>
        <w:t>Promotes uniformity and coordination of impact assessment practices across Canada through research, guidance and ongoing discussion with stakeholders and partners; and</w:t>
      </w:r>
    </w:p>
    <w:p w:rsidR="00DD72C1" w:rsidRPr="00F162C5" w:rsidRDefault="00DD72C1" w:rsidP="00F162C5">
      <w:pPr>
        <w:numPr>
          <w:ilvl w:val="0"/>
          <w:numId w:val="7"/>
        </w:numPr>
        <w:spacing w:after="120"/>
        <w:rPr>
          <w:rFonts w:asciiTheme="minorHAnsi" w:hAnsiTheme="minorHAnsi" w:cstheme="minorHAnsi"/>
          <w:sz w:val="22"/>
          <w:szCs w:val="22"/>
          <w:lang w:val="en-CA"/>
        </w:rPr>
      </w:pPr>
      <w:r w:rsidRPr="00F162C5">
        <w:rPr>
          <w:rFonts w:asciiTheme="minorHAnsi" w:hAnsiTheme="minorHAnsi" w:cstheme="minorHAnsi"/>
          <w:sz w:val="22"/>
          <w:szCs w:val="22"/>
          <w:lang w:val="en-CA"/>
        </w:rPr>
        <w:t>Works with a range of international jurisdictions and organizations to exchange best practices in terms of impact assessment.</w:t>
      </w:r>
    </w:p>
    <w:p w:rsidR="00DD72C1" w:rsidRPr="00F162C5" w:rsidRDefault="00DD72C1" w:rsidP="00F162C5">
      <w:pPr>
        <w:spacing w:after="120"/>
        <w:rPr>
          <w:rFonts w:asciiTheme="minorHAnsi" w:hAnsiTheme="minorHAnsi" w:cstheme="minorHAnsi"/>
          <w:sz w:val="22"/>
          <w:szCs w:val="22"/>
          <w:lang w:val="en-CA"/>
        </w:rPr>
      </w:pPr>
      <w:r w:rsidRPr="00F162C5">
        <w:rPr>
          <w:rFonts w:asciiTheme="minorHAnsi" w:hAnsiTheme="minorHAnsi" w:cstheme="minorHAnsi"/>
          <w:sz w:val="22"/>
          <w:szCs w:val="22"/>
          <w:lang w:val="en-CA"/>
        </w:rPr>
        <w:lastRenderedPageBreak/>
        <w:t>The IAAC works with other bodies like the Canadian Energy Regulator (formerly the National Energy Board), the Canadian Nuclear Safety Commission, Offshore Boards and other federal departments and agencies. The IAAC also works in cooperation with provinces and territories, Indigenous jurisdictions, environmental organizations and industry.</w:t>
      </w:r>
    </w:p>
    <w:p w:rsidR="00DD72C1" w:rsidRPr="00F162C5" w:rsidRDefault="00DD72C1" w:rsidP="00F162C5">
      <w:pPr>
        <w:pStyle w:val="Titre2"/>
        <w:spacing w:after="120"/>
        <w:rPr>
          <w:u w:val="single"/>
          <w:lang w:val="en-CA"/>
        </w:rPr>
      </w:pPr>
      <w:r w:rsidRPr="00F162C5">
        <w:rPr>
          <w:lang w:val="en-CA"/>
        </w:rPr>
        <w:t>Challenges</w:t>
      </w:r>
    </w:p>
    <w:p w:rsidR="00DD72C1" w:rsidRPr="00F162C5" w:rsidRDefault="00DD72C1" w:rsidP="00F162C5">
      <w:pPr>
        <w:spacing w:after="120"/>
        <w:rPr>
          <w:rFonts w:asciiTheme="minorHAnsi" w:hAnsiTheme="minorHAnsi" w:cstheme="minorHAnsi"/>
          <w:color w:val="000000"/>
          <w:sz w:val="22"/>
          <w:szCs w:val="22"/>
          <w:lang w:val="en-CA"/>
        </w:rPr>
      </w:pPr>
      <w:r w:rsidRPr="00F162C5">
        <w:rPr>
          <w:rFonts w:asciiTheme="minorHAnsi" w:hAnsiTheme="minorHAnsi" w:cstheme="minorHAnsi"/>
          <w:color w:val="000000"/>
          <w:sz w:val="22"/>
          <w:szCs w:val="22"/>
          <w:lang w:val="en-CA"/>
        </w:rPr>
        <w:t>Ensuring steady growth of the organization as a result of legislative changes in support of new impact assessment and regulatory processes will be a challenge due to the current scarcity of competent labor market talent and resources in the area of impact assessment on climate change.</w:t>
      </w:r>
    </w:p>
    <w:p w:rsidR="00DD72C1" w:rsidRPr="00F162C5" w:rsidRDefault="00DD72C1" w:rsidP="00F162C5">
      <w:pPr>
        <w:spacing w:after="120"/>
        <w:rPr>
          <w:rFonts w:asciiTheme="minorHAnsi" w:hAnsiTheme="minorHAnsi" w:cstheme="minorHAnsi"/>
          <w:color w:val="000000"/>
          <w:sz w:val="22"/>
          <w:szCs w:val="22"/>
          <w:lang w:val="en-CA"/>
        </w:rPr>
      </w:pPr>
      <w:r w:rsidRPr="00F162C5">
        <w:rPr>
          <w:rFonts w:asciiTheme="minorHAnsi" w:hAnsiTheme="minorHAnsi" w:cstheme="minorHAnsi"/>
          <w:color w:val="000000"/>
          <w:sz w:val="22"/>
          <w:szCs w:val="22"/>
          <w:lang w:val="en-CA"/>
        </w:rPr>
        <w:t>For 2019-2020, the IAAC plans to have 446 FTEs, an increase of 117 employees from March 31, 2019.</w:t>
      </w:r>
    </w:p>
    <w:p w:rsidR="00DD72C1" w:rsidRPr="00F162C5" w:rsidRDefault="00DD72C1" w:rsidP="00F162C5">
      <w:pPr>
        <w:pStyle w:val="Titre2"/>
        <w:spacing w:after="120"/>
        <w:rPr>
          <w:u w:val="single"/>
          <w:lang w:val="en-CA"/>
        </w:rPr>
      </w:pPr>
      <w:r w:rsidRPr="00F162C5">
        <w:rPr>
          <w:lang w:val="en-CA"/>
        </w:rPr>
        <w:t>Experimentation</w:t>
      </w:r>
    </w:p>
    <w:p w:rsidR="00DD72C1" w:rsidRPr="00F162C5" w:rsidRDefault="00DD72C1" w:rsidP="00F162C5">
      <w:pPr>
        <w:pStyle w:val="Sansinterligne"/>
        <w:rPr>
          <w:rFonts w:asciiTheme="minorHAnsi" w:hAnsiTheme="minorHAnsi" w:cstheme="minorHAnsi"/>
          <w:i/>
          <w:sz w:val="22"/>
          <w:szCs w:val="22"/>
          <w:lang w:val="en-CA"/>
        </w:rPr>
      </w:pPr>
      <w:r w:rsidRPr="00F162C5">
        <w:rPr>
          <w:rFonts w:asciiTheme="minorHAnsi" w:hAnsiTheme="minorHAnsi" w:cstheme="minorHAnsi"/>
          <w:sz w:val="22"/>
          <w:szCs w:val="22"/>
          <w:lang w:val="en-CA"/>
        </w:rPr>
        <w:t>In support of the organization’s need to increase flexibilities on matters of staffing, a presentation regarding the use of performance assessments in the context of staffing was conducted by the Staffing Support Advisor (SSA) in February 2019.  As such, the previous CEAA and the new IAAC is continuing to plan to apply performance appraisals as a common assessment method (for competencies assessment and validation) for all u</w:t>
      </w:r>
      <w:r w:rsidR="00896E83" w:rsidRPr="00F162C5">
        <w:rPr>
          <w:rFonts w:asciiTheme="minorHAnsi" w:hAnsiTheme="minorHAnsi" w:cstheme="minorHAnsi"/>
          <w:sz w:val="22"/>
          <w:szCs w:val="22"/>
          <w:lang w:val="en-CA"/>
        </w:rPr>
        <w:t>pcoming appointment processes.</w:t>
      </w:r>
    </w:p>
    <w:p w:rsidR="00DD72C1" w:rsidRPr="00F162C5" w:rsidRDefault="00D91C17" w:rsidP="00F162C5">
      <w:pPr>
        <w:pStyle w:val="Titre1"/>
        <w:spacing w:after="240"/>
        <w:rPr>
          <w:lang w:val="en-CA"/>
        </w:rPr>
      </w:pPr>
      <w:r w:rsidRPr="00F162C5">
        <w:rPr>
          <w:lang w:val="en-CA"/>
        </w:rPr>
        <w:t>Population and Staffing A</w:t>
      </w:r>
      <w:r w:rsidR="00DD72C1" w:rsidRPr="00F162C5">
        <w:rPr>
          <w:lang w:val="en-CA"/>
        </w:rPr>
        <w:t>ctivities</w:t>
      </w:r>
    </w:p>
    <w:p w:rsidR="00DD72C1" w:rsidRPr="00F162C5" w:rsidRDefault="00DD72C1" w:rsidP="00F162C5">
      <w:pPr>
        <w:pStyle w:val="Titre2"/>
        <w:spacing w:after="120"/>
        <w:rPr>
          <w:u w:val="single"/>
          <w:lang w:val="en-CA"/>
        </w:rPr>
      </w:pPr>
      <w:r w:rsidRPr="00F162C5">
        <w:rPr>
          <w:lang w:val="en-CA"/>
        </w:rPr>
        <w:t>Population</w:t>
      </w:r>
    </w:p>
    <w:p w:rsidR="00DD72C1" w:rsidRPr="00F162C5" w:rsidRDefault="00DD72C1" w:rsidP="00F162C5">
      <w:pPr>
        <w:pStyle w:val="Sansinterligne"/>
        <w:spacing w:after="120"/>
        <w:rPr>
          <w:rFonts w:asciiTheme="minorHAnsi" w:hAnsiTheme="minorHAnsi" w:cstheme="minorHAnsi"/>
          <w:color w:val="000000"/>
          <w:sz w:val="22"/>
          <w:szCs w:val="22"/>
          <w:lang w:val="en-CA"/>
        </w:rPr>
      </w:pPr>
      <w:r w:rsidRPr="00F162C5">
        <w:rPr>
          <w:rFonts w:asciiTheme="minorHAnsi" w:hAnsiTheme="minorHAnsi" w:cstheme="minorHAnsi"/>
          <w:color w:val="000000"/>
          <w:sz w:val="22"/>
          <w:szCs w:val="22"/>
          <w:lang w:val="en-CA"/>
        </w:rPr>
        <w:t>The IAAC (</w:t>
      </w:r>
      <w:r w:rsidRPr="00F162C5">
        <w:rPr>
          <w:rStyle w:val="Accentuation"/>
          <w:lang w:val="en-CA"/>
        </w:rPr>
        <w:t>formerly the CEAA-will be referenced herein for the purposes of data sourcing in support of this briefing</w:t>
      </w:r>
      <w:r w:rsidRPr="00F162C5">
        <w:rPr>
          <w:rFonts w:asciiTheme="minorHAnsi" w:hAnsiTheme="minorHAnsi" w:cstheme="minorHAnsi"/>
          <w:color w:val="000000"/>
          <w:sz w:val="22"/>
          <w:szCs w:val="22"/>
          <w:lang w:val="en-CA"/>
        </w:rPr>
        <w:t xml:space="preserve">) is a small organization that has a population of 329 </w:t>
      </w:r>
      <w:r w:rsidR="002D074C" w:rsidRPr="00F162C5">
        <w:rPr>
          <w:rFonts w:asciiTheme="minorHAnsi" w:hAnsiTheme="minorHAnsi" w:cstheme="minorHAnsi"/>
          <w:color w:val="000000"/>
          <w:sz w:val="22"/>
          <w:szCs w:val="22"/>
          <w:lang w:val="en-CA"/>
        </w:rPr>
        <w:t>employees as of March 31, 2019.</w:t>
      </w:r>
    </w:p>
    <w:p w:rsidR="00DD72C1" w:rsidRPr="00F162C5" w:rsidRDefault="00DD72C1" w:rsidP="00F162C5">
      <w:pPr>
        <w:pStyle w:val="Titre2"/>
        <w:spacing w:after="120"/>
        <w:rPr>
          <w:u w:val="single"/>
          <w:lang w:val="en-CA"/>
        </w:rPr>
      </w:pPr>
      <w:r w:rsidRPr="00F162C5">
        <w:rPr>
          <w:lang w:val="en-CA"/>
        </w:rPr>
        <w:t>Staffing Activities</w:t>
      </w:r>
    </w:p>
    <w:p w:rsidR="00DD72C1" w:rsidRPr="00F162C5" w:rsidRDefault="00DD72C1" w:rsidP="00F162C5">
      <w:pPr>
        <w:rPr>
          <w:rFonts w:asciiTheme="minorHAnsi" w:hAnsiTheme="minorHAnsi" w:cstheme="minorHAnsi"/>
          <w:color w:val="000000"/>
          <w:sz w:val="22"/>
          <w:szCs w:val="22"/>
          <w:lang w:val="en-CA"/>
        </w:rPr>
      </w:pPr>
      <w:r w:rsidRPr="00F162C5">
        <w:rPr>
          <w:rFonts w:asciiTheme="minorHAnsi" w:hAnsiTheme="minorHAnsi" w:cstheme="minorHAnsi"/>
          <w:color w:val="000000"/>
          <w:sz w:val="22"/>
          <w:szCs w:val="22"/>
          <w:lang w:val="en-CA"/>
        </w:rPr>
        <w:t>In 2018-2019, the CEAA processed a total of 284 staffing actions composed of the following:</w:t>
      </w:r>
    </w:p>
    <w:p w:rsidR="00DD72C1" w:rsidRPr="00F162C5" w:rsidRDefault="00DD72C1" w:rsidP="00F162C5">
      <w:pPr>
        <w:numPr>
          <w:ilvl w:val="0"/>
          <w:numId w:val="6"/>
        </w:numPr>
        <w:rPr>
          <w:rFonts w:asciiTheme="minorHAnsi" w:hAnsiTheme="minorHAnsi" w:cstheme="minorHAnsi"/>
          <w:color w:val="000000"/>
          <w:sz w:val="22"/>
          <w:szCs w:val="22"/>
          <w:lang w:val="en-CA"/>
        </w:rPr>
      </w:pPr>
      <w:r w:rsidRPr="00F162C5">
        <w:rPr>
          <w:rFonts w:asciiTheme="minorHAnsi" w:hAnsiTheme="minorHAnsi" w:cstheme="minorHAnsi"/>
          <w:color w:val="000000"/>
          <w:sz w:val="22"/>
          <w:szCs w:val="22"/>
          <w:lang w:val="en-CA"/>
        </w:rPr>
        <w:t xml:space="preserve">136 appointments to the public service (includes casual and students); </w:t>
      </w:r>
    </w:p>
    <w:p w:rsidR="00DD72C1" w:rsidRPr="00F162C5" w:rsidRDefault="00DD72C1" w:rsidP="00F162C5">
      <w:pPr>
        <w:numPr>
          <w:ilvl w:val="0"/>
          <w:numId w:val="6"/>
        </w:numPr>
        <w:rPr>
          <w:rFonts w:asciiTheme="minorHAnsi" w:hAnsiTheme="minorHAnsi" w:cstheme="minorHAnsi"/>
          <w:color w:val="000000"/>
          <w:sz w:val="22"/>
          <w:szCs w:val="22"/>
          <w:lang w:val="en-CA"/>
        </w:rPr>
      </w:pPr>
      <w:r w:rsidRPr="00F162C5">
        <w:rPr>
          <w:rFonts w:asciiTheme="minorHAnsi" w:hAnsiTheme="minorHAnsi" w:cstheme="minorHAnsi"/>
          <w:color w:val="000000"/>
          <w:sz w:val="22"/>
          <w:szCs w:val="22"/>
          <w:lang w:val="en-CA"/>
        </w:rPr>
        <w:t>64 promotions;</w:t>
      </w:r>
    </w:p>
    <w:p w:rsidR="00DD72C1" w:rsidRPr="00F162C5" w:rsidRDefault="00DD72C1" w:rsidP="00F162C5">
      <w:pPr>
        <w:numPr>
          <w:ilvl w:val="0"/>
          <w:numId w:val="6"/>
        </w:numPr>
        <w:rPr>
          <w:rFonts w:asciiTheme="minorHAnsi" w:hAnsiTheme="minorHAnsi" w:cstheme="minorHAnsi"/>
          <w:color w:val="000000"/>
          <w:sz w:val="22"/>
          <w:szCs w:val="22"/>
          <w:lang w:val="en-CA"/>
        </w:rPr>
      </w:pPr>
      <w:r w:rsidRPr="00F162C5">
        <w:rPr>
          <w:rFonts w:asciiTheme="minorHAnsi" w:hAnsiTheme="minorHAnsi" w:cstheme="minorHAnsi"/>
          <w:color w:val="000000"/>
          <w:sz w:val="22"/>
          <w:szCs w:val="22"/>
          <w:lang w:val="en-CA"/>
        </w:rPr>
        <w:t xml:space="preserve">32 acting appointments (excluding appointments less than 4 months); and </w:t>
      </w:r>
    </w:p>
    <w:p w:rsidR="00DD72C1" w:rsidRPr="00F162C5" w:rsidRDefault="00DD72C1" w:rsidP="00F162C5">
      <w:pPr>
        <w:numPr>
          <w:ilvl w:val="0"/>
          <w:numId w:val="6"/>
        </w:numPr>
        <w:spacing w:after="120"/>
        <w:rPr>
          <w:rFonts w:asciiTheme="minorHAnsi" w:hAnsiTheme="minorHAnsi" w:cstheme="minorHAnsi"/>
          <w:color w:val="000000"/>
          <w:sz w:val="22"/>
          <w:szCs w:val="22"/>
          <w:lang w:val="en-CA"/>
        </w:rPr>
      </w:pPr>
      <w:r w:rsidRPr="00F162C5">
        <w:rPr>
          <w:rFonts w:asciiTheme="minorHAnsi" w:hAnsiTheme="minorHAnsi" w:cstheme="minorHAnsi"/>
          <w:color w:val="000000"/>
          <w:sz w:val="22"/>
          <w:szCs w:val="22"/>
          <w:lang w:val="en-CA"/>
        </w:rPr>
        <w:t xml:space="preserve">52 lateral and downward movements. </w:t>
      </w:r>
    </w:p>
    <w:p w:rsidR="00DD72C1" w:rsidRPr="00F162C5" w:rsidRDefault="00DD72C1" w:rsidP="00F162C5">
      <w:pPr>
        <w:pStyle w:val="Sansinterligne"/>
        <w:spacing w:after="120"/>
        <w:rPr>
          <w:rFonts w:asciiTheme="minorHAnsi" w:hAnsiTheme="minorHAnsi" w:cstheme="minorHAnsi"/>
          <w:sz w:val="22"/>
          <w:szCs w:val="22"/>
          <w:lang w:val="en-CA" w:eastAsia="en-CA"/>
        </w:rPr>
      </w:pPr>
      <w:r w:rsidRPr="00F162C5">
        <w:rPr>
          <w:rFonts w:asciiTheme="minorHAnsi" w:hAnsiTheme="minorHAnsi" w:cstheme="minorHAnsi"/>
          <w:sz w:val="22"/>
          <w:szCs w:val="22"/>
          <w:lang w:val="en-CA" w:eastAsia="en-CA"/>
        </w:rPr>
        <w:t xml:space="preserve">Please refer to </w:t>
      </w:r>
      <w:hyperlink w:anchor="AnnexB" w:history="1">
        <w:r w:rsidR="00744827" w:rsidRPr="00744827">
          <w:rPr>
            <w:rStyle w:val="Lienhypertexte"/>
            <w:rFonts w:asciiTheme="minorHAnsi" w:hAnsiTheme="minorHAnsi" w:cstheme="minorHAnsi"/>
            <w:sz w:val="22"/>
            <w:szCs w:val="22"/>
            <w:lang w:val="en-CA" w:eastAsia="en-CA"/>
          </w:rPr>
          <w:t>Annex B</w:t>
        </w:r>
      </w:hyperlink>
      <w:r w:rsidRPr="00F162C5">
        <w:rPr>
          <w:rFonts w:asciiTheme="minorHAnsi" w:hAnsiTheme="minorHAnsi" w:cstheme="minorHAnsi"/>
          <w:sz w:val="22"/>
          <w:szCs w:val="22"/>
          <w:lang w:val="en-CA" w:eastAsia="en-CA"/>
        </w:rPr>
        <w:t xml:space="preserve"> for additional details</w:t>
      </w:r>
      <w:r w:rsidR="00845262">
        <w:rPr>
          <w:rFonts w:asciiTheme="minorHAnsi" w:hAnsiTheme="minorHAnsi" w:cstheme="minorHAnsi"/>
          <w:sz w:val="22"/>
          <w:szCs w:val="22"/>
          <w:lang w:val="en-CA" w:eastAsia="en-CA"/>
        </w:rPr>
        <w:t xml:space="preserve"> on staffing activities</w:t>
      </w:r>
      <w:r w:rsidRPr="00F162C5">
        <w:rPr>
          <w:rFonts w:asciiTheme="minorHAnsi" w:hAnsiTheme="minorHAnsi" w:cstheme="minorHAnsi"/>
          <w:sz w:val="22"/>
          <w:szCs w:val="22"/>
          <w:lang w:val="en-CA" w:eastAsia="en-CA"/>
        </w:rPr>
        <w:t>.</w:t>
      </w:r>
    </w:p>
    <w:p w:rsidR="00DD72C1" w:rsidRPr="00F162C5" w:rsidRDefault="00D91C17" w:rsidP="00F162C5">
      <w:pPr>
        <w:pStyle w:val="Titre1"/>
        <w:spacing w:after="240"/>
        <w:rPr>
          <w:lang w:val="en-CA"/>
        </w:rPr>
      </w:pPr>
      <w:r w:rsidRPr="00F162C5">
        <w:rPr>
          <w:lang w:val="en-CA"/>
        </w:rPr>
        <w:t>Time to S</w:t>
      </w:r>
      <w:r w:rsidR="00DD72C1" w:rsidRPr="00F162C5">
        <w:rPr>
          <w:lang w:val="en-CA"/>
        </w:rPr>
        <w:t>taff</w:t>
      </w:r>
    </w:p>
    <w:p w:rsidR="00DD72C1" w:rsidRPr="00F162C5" w:rsidRDefault="00DD72C1" w:rsidP="00F162C5">
      <w:pPr>
        <w:pStyle w:val="Sansinterligne"/>
        <w:spacing w:after="120"/>
        <w:rPr>
          <w:rFonts w:asciiTheme="minorHAnsi" w:hAnsiTheme="minorHAnsi" w:cstheme="minorHAnsi"/>
          <w:color w:val="222222"/>
          <w:sz w:val="22"/>
          <w:szCs w:val="22"/>
          <w:lang w:val="en-CA"/>
        </w:rPr>
      </w:pPr>
      <w:r w:rsidRPr="00F162C5">
        <w:rPr>
          <w:rFonts w:asciiTheme="minorHAnsi" w:hAnsiTheme="minorHAnsi" w:cstheme="minorHAnsi"/>
          <w:color w:val="000000"/>
          <w:sz w:val="22"/>
          <w:szCs w:val="22"/>
          <w:lang w:val="en-CA"/>
        </w:rPr>
        <w:t xml:space="preserve">The </w:t>
      </w:r>
      <w:r w:rsidRPr="00F162C5">
        <w:rPr>
          <w:rFonts w:asciiTheme="minorHAnsi" w:hAnsiTheme="minorHAnsi" w:cstheme="minorHAnsi"/>
          <w:color w:val="222222"/>
          <w:sz w:val="22"/>
          <w:szCs w:val="22"/>
          <w:lang w:val="en-CA"/>
        </w:rPr>
        <w:t>median time of the public service for internal appointment processes is 176 days and for external appointments processes, it is 186 days.</w:t>
      </w:r>
    </w:p>
    <w:p w:rsidR="00DD72C1" w:rsidRPr="00F162C5" w:rsidRDefault="00DD72C1" w:rsidP="00F162C5">
      <w:pPr>
        <w:spacing w:after="120"/>
        <w:rPr>
          <w:rFonts w:asciiTheme="minorHAnsi" w:hAnsiTheme="minorHAnsi" w:cstheme="minorHAnsi"/>
          <w:sz w:val="22"/>
          <w:szCs w:val="22"/>
          <w:lang w:val="en-CA"/>
        </w:rPr>
      </w:pPr>
      <w:r w:rsidRPr="00F162C5">
        <w:rPr>
          <w:rFonts w:asciiTheme="minorHAnsi" w:hAnsiTheme="minorHAnsi" w:cstheme="minorHAnsi"/>
          <w:sz w:val="22"/>
          <w:szCs w:val="22"/>
          <w:lang w:val="en-CA"/>
        </w:rPr>
        <w:t>The data is insufficient for providing results on internal and external processes times for the Impact Assessment Agency of Canada.</w:t>
      </w:r>
    </w:p>
    <w:p w:rsidR="00DD72C1" w:rsidRPr="00F162C5" w:rsidRDefault="00D91C17" w:rsidP="00F162C5">
      <w:pPr>
        <w:pStyle w:val="Titre1"/>
        <w:spacing w:after="240"/>
        <w:rPr>
          <w:lang w:val="en-CA"/>
        </w:rPr>
      </w:pPr>
      <w:r w:rsidRPr="00F162C5">
        <w:rPr>
          <w:lang w:val="en-CA"/>
        </w:rPr>
        <w:lastRenderedPageBreak/>
        <w:t>Staffing F</w:t>
      </w:r>
      <w:r w:rsidR="00DD72C1" w:rsidRPr="00F162C5">
        <w:rPr>
          <w:lang w:val="en-CA"/>
        </w:rPr>
        <w:t>ramework</w:t>
      </w:r>
    </w:p>
    <w:p w:rsidR="00DD72C1" w:rsidRPr="00F162C5" w:rsidRDefault="00DD72C1" w:rsidP="00F162C5">
      <w:pPr>
        <w:pStyle w:val="Titre2"/>
        <w:spacing w:after="120"/>
        <w:rPr>
          <w:lang w:val="en-CA"/>
        </w:rPr>
      </w:pPr>
      <w:r w:rsidRPr="00F162C5">
        <w:rPr>
          <w:lang w:val="en-CA"/>
        </w:rPr>
        <w:t>New Direction in Staffing Implementation</w:t>
      </w:r>
    </w:p>
    <w:p w:rsidR="00F162C5" w:rsidRDefault="007B44CF" w:rsidP="00F162C5">
      <w:pPr>
        <w:spacing w:before="120" w:after="120"/>
        <w:rPr>
          <w:rFonts w:asciiTheme="minorHAnsi" w:hAnsiTheme="minorHAnsi" w:cstheme="minorHAnsi"/>
          <w:sz w:val="22"/>
          <w:szCs w:val="22"/>
          <w:lang w:val="en-CA"/>
        </w:rPr>
      </w:pPr>
      <w:sdt>
        <w:sdtPr>
          <w:rPr>
            <w:rFonts w:asciiTheme="minorHAnsi" w:eastAsia="Calibri" w:hAnsiTheme="minorHAnsi" w:cstheme="minorHAnsi"/>
            <w:sz w:val="22"/>
            <w:szCs w:val="22"/>
            <w:lang w:val="en-CA"/>
          </w:rPr>
          <w:id w:val="1695810522"/>
          <w:placeholder>
            <w:docPart w:val="5791415F76714C56899A8B2B595DF133"/>
          </w:placeholder>
          <w15:appearance w15:val="hidden"/>
          <w:text w:multiLine="1"/>
        </w:sdtPr>
        <w:sdtEndPr/>
        <w:sdtContent>
          <w:r w:rsidR="00DD72C1" w:rsidRPr="00F162C5">
            <w:rPr>
              <w:rFonts w:asciiTheme="minorHAnsi" w:eastAsia="Calibri" w:hAnsiTheme="minorHAnsi" w:cstheme="minorHAnsi"/>
              <w:sz w:val="22"/>
              <w:szCs w:val="22"/>
              <w:lang w:val="en-CA"/>
            </w:rPr>
            <w:t xml:space="preserve">The CEAA has had a Policy on the Appointment Process which includes the use of advertised and non-advertised processes, the articulation of selection decision and a section on the area of selection. This policy came into effect on April 13, 2016. </w:t>
          </w:r>
        </w:sdtContent>
      </w:sdt>
      <w:r w:rsidR="00DD72C1" w:rsidRPr="00F162C5">
        <w:rPr>
          <w:rFonts w:asciiTheme="minorHAnsi" w:hAnsiTheme="minorHAnsi" w:cstheme="minorHAnsi"/>
          <w:sz w:val="22"/>
          <w:szCs w:val="22"/>
          <w:lang w:val="en-CA"/>
        </w:rPr>
        <w:t xml:space="preserve"> The </w:t>
      </w:r>
      <w:r w:rsidR="00526087" w:rsidRPr="00F162C5">
        <w:rPr>
          <w:rFonts w:asciiTheme="minorHAnsi" w:hAnsiTheme="minorHAnsi" w:cstheme="minorHAnsi"/>
          <w:sz w:val="22"/>
          <w:szCs w:val="22"/>
          <w:lang w:val="en-CA"/>
        </w:rPr>
        <w:t>SSA</w:t>
      </w:r>
      <w:r w:rsidR="00DD72C1" w:rsidRPr="00F162C5">
        <w:rPr>
          <w:rFonts w:asciiTheme="minorHAnsi" w:hAnsiTheme="minorHAnsi" w:cstheme="minorHAnsi"/>
          <w:sz w:val="22"/>
          <w:szCs w:val="22"/>
          <w:lang w:val="en-CA"/>
        </w:rPr>
        <w:t xml:space="preserve"> has been informed that the former CEAA staffing policies will be adapted to reflect the new name and scope of mandate of the new IAAC.</w:t>
      </w:r>
    </w:p>
    <w:p w:rsidR="00F162C5" w:rsidRDefault="007B44CF" w:rsidP="00F162C5">
      <w:pPr>
        <w:spacing w:before="120" w:after="120"/>
        <w:rPr>
          <w:rFonts w:asciiTheme="minorHAnsi" w:hAnsiTheme="minorHAnsi" w:cstheme="minorHAnsi"/>
          <w:sz w:val="22"/>
          <w:szCs w:val="22"/>
          <w:lang w:val="en-CA"/>
        </w:rPr>
      </w:pPr>
      <w:sdt>
        <w:sdtPr>
          <w:rPr>
            <w:rFonts w:asciiTheme="minorHAnsi" w:hAnsiTheme="minorHAnsi" w:cstheme="minorHAnsi"/>
            <w:sz w:val="22"/>
            <w:szCs w:val="22"/>
            <w:lang w:val="en-CA"/>
          </w:rPr>
          <w:id w:val="-409083508"/>
          <w:placeholder>
            <w:docPart w:val="60E612E717474F15B478C76B0CB9FA78"/>
          </w:placeholder>
          <w15:appearance w15:val="hidden"/>
          <w:text w:multiLine="1"/>
        </w:sdtPr>
        <w:sdtEndPr/>
        <w:sdtContent>
          <w:r w:rsidR="00DD72C1" w:rsidRPr="00F162C5">
            <w:rPr>
              <w:rFonts w:asciiTheme="minorHAnsi" w:hAnsiTheme="minorHAnsi" w:cstheme="minorHAnsi"/>
              <w:sz w:val="22"/>
              <w:szCs w:val="22"/>
              <w:lang w:val="en-CA"/>
            </w:rPr>
            <w:t>The CEAA had their sub-delegation instrument revised by PSC representatives and the latest version of this instrument was approved in May 2016.</w:t>
          </w:r>
        </w:sdtContent>
      </w:sdt>
    </w:p>
    <w:p w:rsidR="00DD72C1" w:rsidRPr="00F162C5" w:rsidRDefault="007B44CF" w:rsidP="00F162C5">
      <w:pPr>
        <w:spacing w:before="120" w:after="120"/>
        <w:rPr>
          <w:rFonts w:asciiTheme="minorHAnsi" w:hAnsiTheme="minorHAnsi" w:cstheme="minorHAnsi"/>
          <w:sz w:val="22"/>
          <w:szCs w:val="22"/>
          <w:lang w:val="en-CA"/>
        </w:rPr>
      </w:pPr>
      <w:sdt>
        <w:sdtPr>
          <w:rPr>
            <w:rFonts w:asciiTheme="minorHAnsi" w:hAnsiTheme="minorHAnsi" w:cstheme="minorHAnsi"/>
            <w:sz w:val="22"/>
            <w:szCs w:val="22"/>
            <w:lang w:val="en-CA"/>
          </w:rPr>
          <w:id w:val="842210341"/>
          <w:placeholder>
            <w:docPart w:val="07AEF2D84F80453892C26A5C239900CD"/>
          </w:placeholder>
          <w15:appearance w15:val="hidden"/>
          <w:text w:multiLine="1"/>
        </w:sdtPr>
        <w:sdtEndPr/>
        <w:sdtContent>
          <w:r w:rsidR="00DD72C1" w:rsidRPr="00F162C5">
            <w:rPr>
              <w:rFonts w:asciiTheme="minorHAnsi" w:hAnsiTheme="minorHAnsi" w:cstheme="minorHAnsi"/>
              <w:sz w:val="22"/>
              <w:szCs w:val="22"/>
              <w:lang w:val="en-CA"/>
            </w:rPr>
            <w:t>In terms of monitoring, the PSC met with the CEAA on November 10, 2018, to discuss monitoring for staffing. The SSA shared some information with regards to ongoing monitoring and cyclical assessment reporting in April 2019.</w:t>
          </w:r>
        </w:sdtContent>
      </w:sdt>
      <w:r w:rsidR="00DD72C1" w:rsidRPr="00F162C5">
        <w:rPr>
          <w:rFonts w:asciiTheme="minorHAnsi" w:hAnsiTheme="minorHAnsi" w:cstheme="minorHAnsi"/>
          <w:sz w:val="22"/>
          <w:szCs w:val="22"/>
          <w:lang w:val="en-CA"/>
        </w:rPr>
        <w:t xml:space="preserve"> The CEAA indicated at that time that they planned on reviewing their monitoring framework for staffin</w:t>
      </w:r>
      <w:r w:rsidR="00F162C5">
        <w:rPr>
          <w:rFonts w:asciiTheme="minorHAnsi" w:hAnsiTheme="minorHAnsi" w:cstheme="minorHAnsi"/>
          <w:sz w:val="22"/>
          <w:szCs w:val="22"/>
          <w:lang w:val="en-CA"/>
        </w:rPr>
        <w:t>g activities in the near future.</w:t>
      </w:r>
    </w:p>
    <w:p w:rsidR="00DD72C1" w:rsidRPr="00F162C5" w:rsidRDefault="00DD72C1" w:rsidP="00F162C5">
      <w:pPr>
        <w:spacing w:after="120"/>
        <w:rPr>
          <w:rFonts w:asciiTheme="minorHAnsi" w:hAnsiTheme="minorHAnsi" w:cstheme="minorHAnsi"/>
          <w:i/>
          <w:color w:val="000000"/>
          <w:sz w:val="22"/>
          <w:szCs w:val="22"/>
          <w:lang w:val="en-CA"/>
        </w:rPr>
      </w:pPr>
      <w:r w:rsidRPr="00F162C5">
        <w:rPr>
          <w:rFonts w:asciiTheme="minorHAnsi" w:hAnsiTheme="minorHAnsi" w:cstheme="minorHAnsi"/>
          <w:sz w:val="22"/>
          <w:szCs w:val="22"/>
          <w:lang w:val="en-CA"/>
        </w:rPr>
        <w:t>As it is for all new Deputy Heads, the new IAAC President has full discretion to review and update these staffing instruments to reflect current and emerg</w:t>
      </w:r>
      <w:r w:rsidR="00896E83" w:rsidRPr="00F162C5">
        <w:rPr>
          <w:rFonts w:asciiTheme="minorHAnsi" w:hAnsiTheme="minorHAnsi" w:cstheme="minorHAnsi"/>
          <w:sz w:val="22"/>
          <w:szCs w:val="22"/>
          <w:lang w:val="en-CA"/>
        </w:rPr>
        <w:t>ing needs of the organization.</w:t>
      </w:r>
    </w:p>
    <w:p w:rsidR="00DD72C1" w:rsidRPr="00F162C5" w:rsidRDefault="00DD72C1" w:rsidP="00F162C5">
      <w:pPr>
        <w:pStyle w:val="Titre1"/>
        <w:spacing w:after="240"/>
        <w:rPr>
          <w:lang w:val="en-CA"/>
        </w:rPr>
      </w:pPr>
      <w:r w:rsidRPr="00F162C5">
        <w:rPr>
          <w:lang w:val="en-CA"/>
        </w:rPr>
        <w:t xml:space="preserve">Appointment Delegation and Accountability Instrument </w:t>
      </w:r>
      <w:r w:rsidR="00D91C17" w:rsidRPr="00F162C5">
        <w:rPr>
          <w:lang w:val="en-CA"/>
        </w:rPr>
        <w:t>Annex D</w:t>
      </w:r>
      <w:r w:rsidRPr="00F162C5">
        <w:rPr>
          <w:lang w:val="en-CA"/>
        </w:rPr>
        <w:t xml:space="preserve"> </w:t>
      </w:r>
      <w:r w:rsidR="00D91C17" w:rsidRPr="00F162C5">
        <w:rPr>
          <w:lang w:val="en-CA"/>
        </w:rPr>
        <w:t>R</w:t>
      </w:r>
      <w:r w:rsidRPr="00F162C5">
        <w:rPr>
          <w:lang w:val="en-CA"/>
        </w:rPr>
        <w:t>eporting</w:t>
      </w:r>
    </w:p>
    <w:p w:rsidR="00DD72C1" w:rsidRPr="00F162C5" w:rsidRDefault="00DD72C1" w:rsidP="00F162C5">
      <w:pPr>
        <w:pStyle w:val="Titre2"/>
        <w:spacing w:after="120"/>
        <w:rPr>
          <w:lang w:val="en-CA"/>
        </w:rPr>
      </w:pPr>
      <w:r w:rsidRPr="00F162C5">
        <w:rPr>
          <w:lang w:val="en-CA"/>
        </w:rPr>
        <w:t>Use of the Public Service Official Languages Exclusion Approval Order and the Public Service Official Languages Appointment Regulations</w:t>
      </w:r>
    </w:p>
    <w:p w:rsidR="00DD72C1" w:rsidRPr="00F162C5" w:rsidRDefault="00DD72C1" w:rsidP="006B1E67">
      <w:pPr>
        <w:pStyle w:val="Sansinterligne"/>
        <w:spacing w:after="120"/>
        <w:rPr>
          <w:rFonts w:asciiTheme="minorHAnsi" w:hAnsiTheme="minorHAnsi" w:cstheme="minorHAnsi"/>
          <w:color w:val="222222"/>
          <w:sz w:val="22"/>
          <w:szCs w:val="22"/>
          <w:lang w:val="en-CA"/>
        </w:rPr>
      </w:pPr>
      <w:r w:rsidRPr="00F162C5">
        <w:rPr>
          <w:rFonts w:asciiTheme="minorHAnsi" w:hAnsiTheme="minorHAnsi" w:cstheme="minorHAnsi"/>
          <w:color w:val="000000"/>
          <w:sz w:val="22"/>
          <w:szCs w:val="22"/>
          <w:lang w:val="en-CA"/>
        </w:rPr>
        <w:t xml:space="preserve">The </w:t>
      </w:r>
      <w:r w:rsidRPr="00F162C5">
        <w:rPr>
          <w:rFonts w:asciiTheme="minorHAnsi" w:hAnsiTheme="minorHAnsi" w:cstheme="minorHAnsi"/>
          <w:color w:val="222222"/>
          <w:sz w:val="22"/>
          <w:szCs w:val="22"/>
          <w:lang w:val="en-CA"/>
        </w:rPr>
        <w:t xml:space="preserve">CEAA reported that the organization made no use of the </w:t>
      </w:r>
      <w:r w:rsidRPr="006B1E67">
        <w:rPr>
          <w:rStyle w:val="Accentuation"/>
          <w:lang w:val="en-CA"/>
        </w:rPr>
        <w:t>Public Service Official Languages Exclusion Approval Order</w:t>
      </w:r>
      <w:r w:rsidRPr="00F162C5">
        <w:rPr>
          <w:rFonts w:asciiTheme="minorHAnsi" w:hAnsiTheme="minorHAnsi" w:cstheme="minorHAnsi"/>
          <w:i/>
          <w:color w:val="222222"/>
          <w:sz w:val="22"/>
          <w:szCs w:val="22"/>
          <w:lang w:val="en-CA"/>
        </w:rPr>
        <w:t xml:space="preserve"> </w:t>
      </w:r>
      <w:r w:rsidRPr="00F162C5">
        <w:rPr>
          <w:rFonts w:asciiTheme="minorHAnsi" w:hAnsiTheme="minorHAnsi" w:cstheme="minorHAnsi"/>
          <w:color w:val="222222"/>
          <w:sz w:val="22"/>
          <w:szCs w:val="22"/>
          <w:lang w:val="en-CA"/>
        </w:rPr>
        <w:t xml:space="preserve">and </w:t>
      </w:r>
      <w:r w:rsidRPr="00F162C5">
        <w:rPr>
          <w:rFonts w:asciiTheme="minorHAnsi" w:hAnsiTheme="minorHAnsi" w:cstheme="minorHAnsi"/>
          <w:color w:val="222222"/>
          <w:sz w:val="22"/>
          <w:szCs w:val="22"/>
          <w:u w:val="single"/>
          <w:lang w:val="en-CA"/>
        </w:rPr>
        <w:t>one</w:t>
      </w:r>
      <w:r w:rsidRPr="00F162C5">
        <w:rPr>
          <w:rFonts w:asciiTheme="minorHAnsi" w:hAnsiTheme="minorHAnsi" w:cstheme="minorHAnsi"/>
          <w:color w:val="222222"/>
          <w:sz w:val="22"/>
          <w:szCs w:val="22"/>
          <w:lang w:val="en-CA"/>
        </w:rPr>
        <w:t xml:space="preserve"> use of the </w:t>
      </w:r>
      <w:r w:rsidRPr="006B1E67">
        <w:rPr>
          <w:rStyle w:val="Accentuation"/>
          <w:lang w:val="en-CA"/>
        </w:rPr>
        <w:t>Public Service Official Languages Appointment Regulations</w:t>
      </w:r>
      <w:r w:rsidRPr="00F162C5">
        <w:rPr>
          <w:rFonts w:asciiTheme="minorHAnsi" w:hAnsiTheme="minorHAnsi" w:cstheme="minorHAnsi"/>
          <w:i/>
          <w:color w:val="222222"/>
          <w:sz w:val="22"/>
          <w:szCs w:val="22"/>
          <w:lang w:val="en-CA"/>
        </w:rPr>
        <w:t xml:space="preserve"> </w:t>
      </w:r>
      <w:r w:rsidRPr="00F162C5">
        <w:rPr>
          <w:rFonts w:asciiTheme="minorHAnsi" w:hAnsiTheme="minorHAnsi" w:cstheme="minorHAnsi"/>
          <w:color w:val="222222"/>
          <w:sz w:val="22"/>
          <w:szCs w:val="22"/>
          <w:lang w:val="en-CA"/>
        </w:rPr>
        <w:t xml:space="preserve">for the period of April 1, 2018, and March 31, 2019. The PSC is supporting the organization on the management of the outstanding case. </w:t>
      </w:r>
    </w:p>
    <w:p w:rsidR="00DD72C1" w:rsidRPr="00F162C5" w:rsidRDefault="00DD72C1" w:rsidP="00F162C5">
      <w:pPr>
        <w:pStyle w:val="Titre2"/>
        <w:spacing w:after="120"/>
        <w:rPr>
          <w:lang w:val="en-CA"/>
        </w:rPr>
      </w:pPr>
      <w:r w:rsidRPr="00F162C5">
        <w:rPr>
          <w:lang w:val="en-CA"/>
        </w:rPr>
        <w:t>Approved Deputy Head Exceptions to the National Area of Selection Requirements for External Advertised Appointment Process</w:t>
      </w:r>
    </w:p>
    <w:p w:rsidR="00DD72C1" w:rsidRPr="00F162C5" w:rsidRDefault="00DD72C1" w:rsidP="00F162C5">
      <w:pPr>
        <w:pStyle w:val="Sansinterligne"/>
        <w:rPr>
          <w:rFonts w:asciiTheme="minorHAnsi" w:hAnsiTheme="minorHAnsi" w:cstheme="minorHAnsi"/>
          <w:b/>
          <w:color w:val="222222"/>
          <w:sz w:val="22"/>
          <w:szCs w:val="22"/>
          <w:lang w:val="en-CA"/>
        </w:rPr>
      </w:pPr>
      <w:r w:rsidRPr="00F162C5">
        <w:rPr>
          <w:rFonts w:asciiTheme="minorHAnsi" w:hAnsiTheme="minorHAnsi" w:cstheme="minorHAnsi"/>
          <w:color w:val="000000"/>
          <w:sz w:val="22"/>
          <w:szCs w:val="22"/>
          <w:lang w:val="en-CA"/>
        </w:rPr>
        <w:t xml:space="preserve">The CEAA </w:t>
      </w:r>
      <w:r w:rsidRPr="00F162C5">
        <w:rPr>
          <w:rFonts w:asciiTheme="minorHAnsi" w:hAnsiTheme="minorHAnsi" w:cstheme="minorHAnsi"/>
          <w:color w:val="222222"/>
          <w:sz w:val="22"/>
          <w:szCs w:val="22"/>
          <w:lang w:val="en-CA"/>
        </w:rPr>
        <w:t>reported one exception</w:t>
      </w:r>
      <w:r w:rsidRPr="00F162C5">
        <w:rPr>
          <w:rFonts w:asciiTheme="minorHAnsi" w:hAnsiTheme="minorHAnsi" w:cstheme="minorHAnsi"/>
          <w:b/>
          <w:i/>
          <w:color w:val="000000"/>
          <w:sz w:val="22"/>
          <w:szCs w:val="22"/>
          <w:lang w:val="en-CA"/>
        </w:rPr>
        <w:t xml:space="preserve"> </w:t>
      </w:r>
      <w:r w:rsidRPr="00F162C5">
        <w:rPr>
          <w:rFonts w:asciiTheme="minorHAnsi" w:hAnsiTheme="minorHAnsi" w:cstheme="minorHAnsi"/>
          <w:color w:val="000000"/>
          <w:sz w:val="22"/>
          <w:szCs w:val="22"/>
          <w:lang w:val="en-CA"/>
        </w:rPr>
        <w:t>to the National Area of</w:t>
      </w:r>
      <w:r w:rsidR="006B1E67">
        <w:rPr>
          <w:rFonts w:asciiTheme="minorHAnsi" w:hAnsiTheme="minorHAnsi" w:cstheme="minorHAnsi"/>
          <w:color w:val="000000"/>
          <w:sz w:val="22"/>
          <w:szCs w:val="22"/>
          <w:lang w:val="en-CA"/>
        </w:rPr>
        <w:t xml:space="preserve"> Selection approved by the DH. </w:t>
      </w:r>
      <w:r w:rsidRPr="00F162C5">
        <w:rPr>
          <w:rFonts w:asciiTheme="minorHAnsi" w:hAnsiTheme="minorHAnsi" w:cstheme="minorHAnsi"/>
          <w:color w:val="000000"/>
          <w:sz w:val="22"/>
          <w:szCs w:val="22"/>
          <w:lang w:val="en-CA"/>
        </w:rPr>
        <w:t xml:space="preserve">The exception was approved in support of an external advertised PC-03 process. </w:t>
      </w:r>
      <w:r w:rsidRPr="00F162C5">
        <w:rPr>
          <w:rFonts w:asciiTheme="minorHAnsi" w:hAnsiTheme="minorHAnsi" w:cstheme="minorHAnsi"/>
          <w:sz w:val="22"/>
          <w:szCs w:val="22"/>
          <w:lang w:val="en-CA"/>
        </w:rPr>
        <w:t>The organization anticipated sufficient candidates in the St. John’s area who would meet the education a</w:t>
      </w:r>
      <w:r w:rsidR="002D074C" w:rsidRPr="00F162C5">
        <w:rPr>
          <w:rFonts w:asciiTheme="minorHAnsi" w:hAnsiTheme="minorHAnsi" w:cstheme="minorHAnsi"/>
          <w:sz w:val="22"/>
          <w:szCs w:val="22"/>
          <w:lang w:val="en-CA"/>
        </w:rPr>
        <w:t>nd the experience requirements.</w:t>
      </w:r>
    </w:p>
    <w:p w:rsidR="00DD72C1" w:rsidRPr="00F162C5" w:rsidRDefault="00DD72C1" w:rsidP="00F162C5">
      <w:pPr>
        <w:pStyle w:val="Titre2"/>
        <w:spacing w:after="120"/>
        <w:rPr>
          <w:lang w:val="en-CA"/>
        </w:rPr>
      </w:pPr>
      <w:r w:rsidRPr="00F162C5">
        <w:rPr>
          <w:lang w:val="en-CA"/>
        </w:rPr>
        <w:t>Inquiries and Trends</w:t>
      </w:r>
    </w:p>
    <w:p w:rsidR="00DD72C1" w:rsidRPr="00F162C5" w:rsidRDefault="00DD72C1" w:rsidP="00F162C5">
      <w:pPr>
        <w:spacing w:after="160"/>
        <w:rPr>
          <w:rFonts w:asciiTheme="minorHAnsi" w:eastAsiaTheme="minorHAnsi" w:hAnsiTheme="minorHAnsi" w:cstheme="minorHAnsi"/>
          <w:sz w:val="22"/>
          <w:szCs w:val="22"/>
          <w:lang w:val="en-CA"/>
        </w:rPr>
      </w:pPr>
      <w:r w:rsidRPr="00F162C5">
        <w:rPr>
          <w:rFonts w:asciiTheme="minorHAnsi" w:eastAsiaTheme="minorHAnsi" w:hAnsiTheme="minorHAnsi" w:cstheme="minorHAnsi"/>
          <w:sz w:val="22"/>
          <w:szCs w:val="22"/>
          <w:lang w:val="en-CA"/>
        </w:rPr>
        <w:t xml:space="preserve">Since the implementation of the NDS, the CEAA’s human resources advisors have consulted the PSC on a variety of topics, mostly regarding assessment, the Appointment Delegation and Accountability </w:t>
      </w:r>
      <w:r w:rsidRPr="00F162C5">
        <w:rPr>
          <w:rFonts w:asciiTheme="minorHAnsi" w:eastAsiaTheme="minorHAnsi" w:hAnsiTheme="minorHAnsi" w:cstheme="minorHAnsi"/>
          <w:sz w:val="22"/>
          <w:szCs w:val="22"/>
          <w:lang w:val="en-CA"/>
        </w:rPr>
        <w:lastRenderedPageBreak/>
        <w:t>Instrument (ADAI) and the Appointment Policy. The CEAA has demonstrated openness and willingness to share their tools with other organizations. Other topics of discussion between the CEAA and the SSA involved the articulation of the selection decision, the hiring of former students, reassessing official languages within the same appointment process and questions surrounding sub-delegated authorities and its conditions.</w:t>
      </w:r>
    </w:p>
    <w:p w:rsidR="00DD72C1" w:rsidRPr="00F162C5" w:rsidRDefault="00D91C17" w:rsidP="00F162C5">
      <w:pPr>
        <w:pStyle w:val="Titre1"/>
        <w:spacing w:after="240"/>
        <w:rPr>
          <w:lang w:val="en-CA"/>
        </w:rPr>
      </w:pPr>
      <w:r w:rsidRPr="00F162C5">
        <w:rPr>
          <w:lang w:val="en-CA"/>
        </w:rPr>
        <w:t>O</w:t>
      </w:r>
      <w:r w:rsidR="006B1E67">
        <w:rPr>
          <w:lang w:val="en-CA"/>
        </w:rPr>
        <w:t>versight</w:t>
      </w:r>
    </w:p>
    <w:p w:rsidR="00DD72C1" w:rsidRPr="00F162C5" w:rsidRDefault="006B1E67" w:rsidP="00F162C5">
      <w:pPr>
        <w:pStyle w:val="Titre2"/>
        <w:spacing w:after="120"/>
        <w:rPr>
          <w:u w:val="single"/>
          <w:lang w:val="en-CA"/>
        </w:rPr>
      </w:pPr>
      <w:r>
        <w:rPr>
          <w:lang w:val="en-CA"/>
        </w:rPr>
        <w:t>Audits</w:t>
      </w:r>
    </w:p>
    <w:p w:rsidR="00DD72C1" w:rsidRPr="00F162C5" w:rsidRDefault="00DD72C1" w:rsidP="006B1E67">
      <w:pPr>
        <w:pStyle w:val="Sansinterligne"/>
        <w:spacing w:after="120"/>
        <w:rPr>
          <w:rFonts w:asciiTheme="minorHAnsi" w:hAnsiTheme="minorHAnsi" w:cstheme="minorHAnsi"/>
          <w:color w:val="000000"/>
          <w:sz w:val="22"/>
          <w:szCs w:val="22"/>
          <w:lang w:val="en-CA"/>
        </w:rPr>
      </w:pPr>
      <w:r w:rsidRPr="00F162C5">
        <w:rPr>
          <w:rFonts w:asciiTheme="minorHAnsi" w:hAnsiTheme="minorHAnsi" w:cstheme="minorHAnsi"/>
          <w:color w:val="000000"/>
          <w:sz w:val="22"/>
          <w:szCs w:val="22"/>
          <w:lang w:val="en-CA"/>
        </w:rPr>
        <w:t>No audits have occurred for both the IAAC and the CEAA since NDS. However, the PSC did conduct an audit of the CEAA in 2013 (pre-NDS). In November 2016, the PSC determined that it was satisfied with the CEAA’s progress in implementing the audit recommendations.</w:t>
      </w:r>
    </w:p>
    <w:p w:rsidR="00DD72C1" w:rsidRPr="00F162C5" w:rsidRDefault="00DD72C1" w:rsidP="006B1E67">
      <w:pPr>
        <w:pStyle w:val="Sansinterligne"/>
        <w:spacing w:after="120"/>
        <w:rPr>
          <w:rFonts w:asciiTheme="minorHAnsi" w:hAnsiTheme="minorHAnsi" w:cstheme="minorHAnsi"/>
          <w:color w:val="000000"/>
          <w:sz w:val="22"/>
          <w:szCs w:val="22"/>
          <w:lang w:val="en-CA"/>
        </w:rPr>
      </w:pPr>
      <w:r w:rsidRPr="00F162C5">
        <w:rPr>
          <w:rFonts w:asciiTheme="minorHAnsi" w:hAnsiTheme="minorHAnsi" w:cstheme="minorHAnsi"/>
          <w:color w:val="000000"/>
          <w:sz w:val="22"/>
          <w:szCs w:val="22"/>
          <w:lang w:val="en-CA"/>
        </w:rPr>
        <w:t>As a smaller organization, the IAAC may consult the PSC on the possibility of establishing an arrangement to generate a cyclical assessment report on its behalf, as per section 3 of the ADAI. It is our understanding, however, that the organization plans to conduct and submit their cyclical assessment report by May 1, 2021.</w:t>
      </w:r>
    </w:p>
    <w:p w:rsidR="001F306B" w:rsidRDefault="001F306B" w:rsidP="00F162C5">
      <w:pPr>
        <w:pStyle w:val="Titre2"/>
        <w:spacing w:after="120"/>
        <w:rPr>
          <w:lang w:val="en-CA"/>
        </w:rPr>
        <w:sectPr w:rsidR="001F306B" w:rsidSect="00FC190A">
          <w:footerReference w:type="default" r:id="rId8"/>
          <w:footnotePr>
            <w:numFmt w:val="lowerLetter"/>
          </w:footnotePr>
          <w:endnotePr>
            <w:numFmt w:val="lowerLetter"/>
          </w:endnotePr>
          <w:pgSz w:w="12240" w:h="15840" w:code="1"/>
          <w:pgMar w:top="709" w:right="1304" w:bottom="1361" w:left="1304" w:header="284" w:footer="284" w:gutter="0"/>
          <w:pgNumType w:start="1"/>
          <w:cols w:space="720"/>
          <w:docGrid w:linePitch="326"/>
        </w:sectPr>
      </w:pPr>
    </w:p>
    <w:p w:rsidR="00DD72C1" w:rsidRPr="00F162C5" w:rsidRDefault="00DD72C1" w:rsidP="00F162C5">
      <w:pPr>
        <w:pStyle w:val="Titre2"/>
        <w:spacing w:after="120"/>
        <w:rPr>
          <w:u w:val="single"/>
          <w:lang w:val="en-CA"/>
        </w:rPr>
      </w:pPr>
      <w:r w:rsidRPr="00F162C5">
        <w:rPr>
          <w:lang w:val="en-CA"/>
        </w:rPr>
        <w:lastRenderedPageBreak/>
        <w:t>Investigations</w:t>
      </w:r>
    </w:p>
    <w:p w:rsidR="00DD72C1" w:rsidRPr="00F162C5" w:rsidRDefault="00DD72C1" w:rsidP="006B1E67">
      <w:pPr>
        <w:pStyle w:val="Sansinterligne"/>
        <w:spacing w:after="120"/>
        <w:rPr>
          <w:rFonts w:asciiTheme="minorHAnsi" w:hAnsiTheme="minorHAnsi" w:cstheme="minorHAnsi"/>
          <w:color w:val="000000"/>
          <w:sz w:val="22"/>
          <w:szCs w:val="22"/>
          <w:lang w:val="en-CA"/>
        </w:rPr>
      </w:pPr>
      <w:r w:rsidRPr="00F162C5">
        <w:rPr>
          <w:rFonts w:asciiTheme="minorHAnsi" w:hAnsiTheme="minorHAnsi" w:cstheme="minorHAnsi"/>
          <w:color w:val="000000"/>
          <w:sz w:val="22"/>
          <w:szCs w:val="22"/>
          <w:lang w:val="en-CA"/>
        </w:rPr>
        <w:t>Between September 2016 and September 2019, one case of fraud has been referred to the PSC, from the CEAA. This case was unfounded and the file closed.</w:t>
      </w:r>
    </w:p>
    <w:p w:rsidR="00444927" w:rsidRDefault="00444927" w:rsidP="00444927">
      <w:pPr>
        <w:pStyle w:val="Lgende"/>
        <w:keepNext/>
      </w:pPr>
      <w:r>
        <w:t xml:space="preserve">Table </w:t>
      </w:r>
      <w:r>
        <w:fldChar w:fldCharType="begin"/>
      </w:r>
      <w:r>
        <w:instrText xml:space="preserve"> SEQ Table \* ARABIC </w:instrText>
      </w:r>
      <w:r>
        <w:fldChar w:fldCharType="separate"/>
      </w:r>
      <w:r w:rsidR="00AD62FD">
        <w:rPr>
          <w:noProof/>
        </w:rPr>
        <w:t>1</w:t>
      </w:r>
      <w:r>
        <w:fldChar w:fldCharType="end"/>
      </w:r>
      <w:r>
        <w:t xml:space="preserve"> - Investigations</w:t>
      </w:r>
    </w:p>
    <w:tbl>
      <w:tblPr>
        <w:tblStyle w:val="TableGrid1"/>
        <w:tblW w:w="0" w:type="auto"/>
        <w:tblLook w:val="04A0" w:firstRow="1" w:lastRow="0" w:firstColumn="1" w:lastColumn="0" w:noHBand="0" w:noVBand="1"/>
        <w:tblDescription w:val="Investigations"/>
      </w:tblPr>
      <w:tblGrid>
        <w:gridCol w:w="4832"/>
        <w:gridCol w:w="1109"/>
        <w:gridCol w:w="2645"/>
        <w:gridCol w:w="1420"/>
        <w:gridCol w:w="1346"/>
        <w:gridCol w:w="1315"/>
        <w:gridCol w:w="1093"/>
      </w:tblGrid>
      <w:tr w:rsidR="001F306B" w:rsidRPr="00933CD5" w:rsidTr="00444927">
        <w:trPr>
          <w:cantSplit/>
          <w:trHeight w:val="1200"/>
          <w:tblHeader/>
        </w:trPr>
        <w:tc>
          <w:tcPr>
            <w:tcW w:w="0" w:type="auto"/>
            <w:shd w:val="clear" w:color="auto" w:fill="54575A" w:themeFill="text1"/>
            <w:hideMark/>
          </w:tcPr>
          <w:p w:rsidR="001F306B" w:rsidRPr="00933CD5" w:rsidRDefault="001F306B" w:rsidP="001F306B">
            <w:pPr>
              <w:pStyle w:val="TableTitle"/>
              <w:rPr>
                <w:color w:val="FFFFFF" w:themeColor="background1"/>
                <w:lang w:val="en-CA" w:eastAsia="en-CA"/>
              </w:rPr>
            </w:pPr>
            <w:r w:rsidRPr="00933CD5">
              <w:rPr>
                <w:color w:val="FFFFFF" w:themeColor="background1"/>
                <w:lang w:val="en-CA" w:eastAsia="en-CA"/>
              </w:rPr>
              <w:t>Nature of Issue</w:t>
            </w:r>
          </w:p>
        </w:tc>
        <w:tc>
          <w:tcPr>
            <w:tcW w:w="0" w:type="auto"/>
            <w:shd w:val="clear" w:color="auto" w:fill="54575A" w:themeFill="text1"/>
            <w:hideMark/>
          </w:tcPr>
          <w:p w:rsidR="001F306B" w:rsidRPr="00933CD5" w:rsidRDefault="001F306B" w:rsidP="001F306B">
            <w:pPr>
              <w:pStyle w:val="TableTitle"/>
              <w:rPr>
                <w:color w:val="FFFFFF" w:themeColor="background1"/>
                <w:lang w:val="en-CA" w:eastAsia="en-CA"/>
              </w:rPr>
            </w:pPr>
            <w:r w:rsidRPr="00933CD5">
              <w:rPr>
                <w:color w:val="FFFFFF" w:themeColor="background1"/>
                <w:lang w:val="en-CA" w:eastAsia="en-CA"/>
              </w:rPr>
              <w:t xml:space="preserve">Cases </w:t>
            </w:r>
          </w:p>
          <w:p w:rsidR="001F306B" w:rsidRPr="00933CD5" w:rsidRDefault="001F306B" w:rsidP="001F306B">
            <w:pPr>
              <w:pStyle w:val="TableTitle"/>
              <w:rPr>
                <w:color w:val="FFFFFF" w:themeColor="background1"/>
                <w:lang w:val="en-CA" w:eastAsia="en-CA"/>
              </w:rPr>
            </w:pPr>
            <w:r w:rsidRPr="00933CD5">
              <w:rPr>
                <w:color w:val="FFFFFF" w:themeColor="background1"/>
                <w:lang w:val="en-CA" w:eastAsia="en-CA"/>
              </w:rPr>
              <w:t>Received</w:t>
            </w:r>
          </w:p>
        </w:tc>
        <w:tc>
          <w:tcPr>
            <w:tcW w:w="0" w:type="auto"/>
            <w:shd w:val="clear" w:color="auto" w:fill="54575A" w:themeFill="text1"/>
            <w:hideMark/>
          </w:tcPr>
          <w:p w:rsidR="001F306B" w:rsidRPr="00933CD5" w:rsidRDefault="001F306B" w:rsidP="001F306B">
            <w:pPr>
              <w:pStyle w:val="TableTitle"/>
              <w:rPr>
                <w:color w:val="FFFFFF" w:themeColor="background1"/>
                <w:lang w:val="en-CA" w:eastAsia="en-CA"/>
              </w:rPr>
            </w:pPr>
            <w:r w:rsidRPr="00933CD5">
              <w:rPr>
                <w:color w:val="FFFFFF" w:themeColor="background1"/>
                <w:lang w:val="en-CA" w:eastAsia="en-CA"/>
              </w:rPr>
              <w:t>Cases Referred by Organization</w:t>
            </w:r>
          </w:p>
        </w:tc>
        <w:tc>
          <w:tcPr>
            <w:tcW w:w="0" w:type="auto"/>
            <w:shd w:val="clear" w:color="auto" w:fill="54575A" w:themeFill="text1"/>
            <w:hideMark/>
          </w:tcPr>
          <w:p w:rsidR="001F306B" w:rsidRPr="00933CD5" w:rsidRDefault="001F306B" w:rsidP="001F306B">
            <w:pPr>
              <w:pStyle w:val="TableTitle"/>
              <w:rPr>
                <w:color w:val="FFFFFF" w:themeColor="background1"/>
                <w:lang w:val="en-CA" w:eastAsia="en-CA"/>
              </w:rPr>
            </w:pPr>
            <w:r w:rsidRPr="00933CD5">
              <w:rPr>
                <w:color w:val="FFFFFF" w:themeColor="background1"/>
                <w:lang w:val="en-CA" w:eastAsia="en-CA"/>
              </w:rPr>
              <w:t xml:space="preserve">Closed – </w:t>
            </w:r>
          </w:p>
          <w:p w:rsidR="001F306B" w:rsidRPr="00933CD5" w:rsidRDefault="001F306B" w:rsidP="001F306B">
            <w:pPr>
              <w:pStyle w:val="TableTitle"/>
              <w:rPr>
                <w:color w:val="FFFFFF" w:themeColor="background1"/>
                <w:lang w:val="en-CA" w:eastAsia="en-CA"/>
              </w:rPr>
            </w:pPr>
            <w:r w:rsidRPr="00933CD5">
              <w:rPr>
                <w:color w:val="FFFFFF" w:themeColor="background1"/>
                <w:lang w:val="en-CA" w:eastAsia="en-CA"/>
              </w:rPr>
              <w:t>Not Accepted</w:t>
            </w:r>
          </w:p>
        </w:tc>
        <w:tc>
          <w:tcPr>
            <w:tcW w:w="0" w:type="auto"/>
            <w:shd w:val="clear" w:color="auto" w:fill="54575A" w:themeFill="text1"/>
            <w:hideMark/>
          </w:tcPr>
          <w:p w:rsidR="001F306B" w:rsidRPr="00933CD5" w:rsidRDefault="001F306B" w:rsidP="001F306B">
            <w:pPr>
              <w:pStyle w:val="TableTitle"/>
              <w:rPr>
                <w:color w:val="FFFFFF" w:themeColor="background1"/>
                <w:lang w:val="en-CA" w:eastAsia="en-CA"/>
              </w:rPr>
            </w:pPr>
            <w:r w:rsidRPr="00933CD5">
              <w:rPr>
                <w:color w:val="FFFFFF" w:themeColor="background1"/>
                <w:lang w:val="en-CA" w:eastAsia="en-CA"/>
              </w:rPr>
              <w:t xml:space="preserve">Completed </w:t>
            </w:r>
          </w:p>
          <w:p w:rsidR="001F306B" w:rsidRPr="00933CD5" w:rsidRDefault="001F306B" w:rsidP="001F306B">
            <w:pPr>
              <w:pStyle w:val="TableTitle"/>
              <w:rPr>
                <w:color w:val="FFFFFF" w:themeColor="background1"/>
                <w:lang w:val="en-CA" w:eastAsia="en-CA"/>
              </w:rPr>
            </w:pPr>
            <w:r w:rsidRPr="00933CD5">
              <w:rPr>
                <w:color w:val="FFFFFF" w:themeColor="background1"/>
                <w:lang w:val="en-CA" w:eastAsia="en-CA"/>
              </w:rPr>
              <w:t>Unfounded</w:t>
            </w:r>
          </w:p>
        </w:tc>
        <w:tc>
          <w:tcPr>
            <w:tcW w:w="0" w:type="auto"/>
            <w:shd w:val="clear" w:color="auto" w:fill="54575A" w:themeFill="text1"/>
            <w:hideMark/>
          </w:tcPr>
          <w:p w:rsidR="001F306B" w:rsidRPr="00933CD5" w:rsidRDefault="001F306B" w:rsidP="001F306B">
            <w:pPr>
              <w:pStyle w:val="TableTitle"/>
              <w:rPr>
                <w:color w:val="FFFFFF" w:themeColor="background1"/>
                <w:lang w:val="en-CA" w:eastAsia="en-CA"/>
              </w:rPr>
            </w:pPr>
            <w:r w:rsidRPr="00933CD5">
              <w:rPr>
                <w:color w:val="FFFFFF" w:themeColor="background1"/>
                <w:lang w:val="en-CA" w:eastAsia="en-CA"/>
              </w:rPr>
              <w:t xml:space="preserve">Completed </w:t>
            </w:r>
          </w:p>
          <w:p w:rsidR="001F306B" w:rsidRPr="00933CD5" w:rsidRDefault="001F306B" w:rsidP="001F306B">
            <w:pPr>
              <w:pStyle w:val="TableTitle"/>
              <w:rPr>
                <w:color w:val="FFFFFF" w:themeColor="background1"/>
                <w:lang w:val="en-CA" w:eastAsia="en-CA"/>
              </w:rPr>
            </w:pPr>
            <w:r w:rsidRPr="00933CD5">
              <w:rPr>
                <w:color w:val="FFFFFF" w:themeColor="background1"/>
                <w:lang w:val="en-CA" w:eastAsia="en-CA"/>
              </w:rPr>
              <w:t>Founded</w:t>
            </w:r>
          </w:p>
        </w:tc>
        <w:tc>
          <w:tcPr>
            <w:tcW w:w="0" w:type="auto"/>
            <w:shd w:val="clear" w:color="auto" w:fill="54575A" w:themeFill="text1"/>
            <w:hideMark/>
          </w:tcPr>
          <w:p w:rsidR="001F306B" w:rsidRPr="00933CD5" w:rsidRDefault="001F306B" w:rsidP="001F306B">
            <w:pPr>
              <w:pStyle w:val="TableTitle"/>
              <w:rPr>
                <w:color w:val="FFFFFF" w:themeColor="background1"/>
                <w:lang w:val="en-CA" w:eastAsia="en-CA"/>
              </w:rPr>
            </w:pPr>
            <w:r w:rsidRPr="00933CD5">
              <w:rPr>
                <w:color w:val="FFFFFF" w:themeColor="background1"/>
                <w:lang w:val="en-CA" w:eastAsia="en-CA"/>
              </w:rPr>
              <w:t>Ongoing</w:t>
            </w:r>
          </w:p>
        </w:tc>
      </w:tr>
      <w:tr w:rsidR="001F306B" w:rsidRPr="001F306B" w:rsidTr="00444927">
        <w:trPr>
          <w:cantSplit/>
          <w:trHeight w:val="600"/>
          <w:tblHeader/>
        </w:trPr>
        <w:tc>
          <w:tcPr>
            <w:tcW w:w="0" w:type="auto"/>
            <w:shd w:val="clear" w:color="auto" w:fill="54575A" w:themeFill="text1"/>
            <w:hideMark/>
          </w:tcPr>
          <w:p w:rsidR="001F306B" w:rsidRPr="001F306B" w:rsidRDefault="001F306B" w:rsidP="00D823DC">
            <w:pPr>
              <w:rPr>
                <w:rFonts w:asciiTheme="minorHAnsi" w:hAnsiTheme="minorHAnsi" w:cstheme="minorHAnsi"/>
                <w:color w:val="FFFFFF" w:themeColor="background1"/>
                <w:sz w:val="22"/>
                <w:szCs w:val="22"/>
                <w:lang w:val="en-CA" w:eastAsia="en-CA"/>
              </w:rPr>
            </w:pPr>
            <w:r w:rsidRPr="001F306B">
              <w:rPr>
                <w:rFonts w:asciiTheme="minorHAnsi" w:hAnsiTheme="minorHAnsi" w:cstheme="minorHAnsi"/>
                <w:color w:val="FFFFFF" w:themeColor="background1"/>
                <w:sz w:val="22"/>
                <w:szCs w:val="22"/>
                <w:lang w:val="en-CA" w:eastAsia="en-CA"/>
              </w:rPr>
              <w:t>s.66 External Appointments (Merit, Error, Omission, Improper Conduct)</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r>
      <w:tr w:rsidR="001F306B" w:rsidRPr="001F306B" w:rsidTr="00444927">
        <w:trPr>
          <w:cantSplit/>
          <w:trHeight w:val="600"/>
          <w:tblHeader/>
        </w:trPr>
        <w:tc>
          <w:tcPr>
            <w:tcW w:w="0" w:type="auto"/>
            <w:shd w:val="clear" w:color="auto" w:fill="54575A" w:themeFill="text1"/>
            <w:hideMark/>
          </w:tcPr>
          <w:p w:rsidR="001F306B" w:rsidRPr="001F306B" w:rsidRDefault="001F306B" w:rsidP="00D823DC">
            <w:pPr>
              <w:rPr>
                <w:rFonts w:asciiTheme="minorHAnsi" w:hAnsiTheme="minorHAnsi" w:cstheme="minorHAnsi"/>
                <w:color w:val="FFFFFF" w:themeColor="background1"/>
                <w:sz w:val="22"/>
                <w:szCs w:val="22"/>
                <w:lang w:val="en-CA" w:eastAsia="en-CA"/>
              </w:rPr>
            </w:pPr>
            <w:r w:rsidRPr="001F306B">
              <w:rPr>
                <w:rFonts w:asciiTheme="minorHAnsi" w:hAnsiTheme="minorHAnsi" w:cstheme="minorHAnsi"/>
                <w:color w:val="FFFFFF" w:themeColor="background1"/>
                <w:sz w:val="22"/>
                <w:szCs w:val="22"/>
                <w:lang w:val="en-CA" w:eastAsia="en-CA"/>
              </w:rPr>
              <w:t>s.67.2 Internal Appointment - Deputy Head Request</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r>
      <w:tr w:rsidR="001F306B" w:rsidRPr="001F306B" w:rsidTr="00444927">
        <w:trPr>
          <w:cantSplit/>
          <w:trHeight w:val="300"/>
          <w:tblHeader/>
        </w:trPr>
        <w:tc>
          <w:tcPr>
            <w:tcW w:w="0" w:type="auto"/>
            <w:shd w:val="clear" w:color="auto" w:fill="54575A" w:themeFill="text1"/>
            <w:hideMark/>
          </w:tcPr>
          <w:p w:rsidR="001F306B" w:rsidRPr="001F306B" w:rsidRDefault="001F306B" w:rsidP="00D823DC">
            <w:pPr>
              <w:rPr>
                <w:rFonts w:asciiTheme="minorHAnsi" w:hAnsiTheme="minorHAnsi" w:cstheme="minorHAnsi"/>
                <w:color w:val="FFFFFF" w:themeColor="background1"/>
                <w:sz w:val="22"/>
                <w:szCs w:val="22"/>
                <w:lang w:val="en-CA" w:eastAsia="en-CA"/>
              </w:rPr>
            </w:pPr>
            <w:r w:rsidRPr="001F306B">
              <w:rPr>
                <w:rFonts w:asciiTheme="minorHAnsi" w:hAnsiTheme="minorHAnsi" w:cstheme="minorHAnsi"/>
                <w:color w:val="FFFFFF" w:themeColor="background1"/>
                <w:sz w:val="22"/>
                <w:szCs w:val="22"/>
                <w:lang w:val="en-CA" w:eastAsia="en-CA"/>
              </w:rPr>
              <w:t>s.68 Political Influence</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r>
      <w:tr w:rsidR="001F306B" w:rsidRPr="001F306B" w:rsidTr="00444927">
        <w:trPr>
          <w:cantSplit/>
          <w:trHeight w:val="300"/>
          <w:tblHeader/>
        </w:trPr>
        <w:tc>
          <w:tcPr>
            <w:tcW w:w="0" w:type="auto"/>
            <w:shd w:val="clear" w:color="auto" w:fill="54575A" w:themeFill="text1"/>
            <w:hideMark/>
          </w:tcPr>
          <w:p w:rsidR="001F306B" w:rsidRPr="001F306B" w:rsidRDefault="001F306B" w:rsidP="00D823DC">
            <w:pPr>
              <w:rPr>
                <w:rFonts w:asciiTheme="minorHAnsi" w:hAnsiTheme="minorHAnsi" w:cstheme="minorHAnsi"/>
                <w:color w:val="FFFFFF" w:themeColor="background1"/>
                <w:sz w:val="22"/>
                <w:szCs w:val="22"/>
                <w:lang w:val="en-CA" w:eastAsia="en-CA"/>
              </w:rPr>
            </w:pPr>
            <w:r w:rsidRPr="001F306B">
              <w:rPr>
                <w:rFonts w:asciiTheme="minorHAnsi" w:hAnsiTheme="minorHAnsi" w:cstheme="minorHAnsi"/>
                <w:color w:val="FFFFFF" w:themeColor="background1"/>
                <w:sz w:val="22"/>
                <w:szCs w:val="22"/>
                <w:lang w:val="en-CA" w:eastAsia="en-CA"/>
              </w:rPr>
              <w:t>s.69 Fraud</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1</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1</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1</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r>
      <w:tr w:rsidR="001F306B" w:rsidRPr="001F306B" w:rsidTr="00444927">
        <w:trPr>
          <w:cantSplit/>
          <w:trHeight w:val="600"/>
          <w:tblHeader/>
        </w:trPr>
        <w:tc>
          <w:tcPr>
            <w:tcW w:w="0" w:type="auto"/>
            <w:shd w:val="clear" w:color="auto" w:fill="54575A" w:themeFill="text1"/>
            <w:hideMark/>
          </w:tcPr>
          <w:p w:rsidR="001F306B" w:rsidRPr="001F306B" w:rsidRDefault="001F306B" w:rsidP="00D823DC">
            <w:pPr>
              <w:rPr>
                <w:rFonts w:asciiTheme="minorHAnsi" w:hAnsiTheme="minorHAnsi" w:cstheme="minorHAnsi"/>
                <w:color w:val="FFFFFF" w:themeColor="background1"/>
                <w:sz w:val="22"/>
                <w:szCs w:val="22"/>
                <w:lang w:val="en-CA" w:eastAsia="en-CA"/>
              </w:rPr>
            </w:pPr>
            <w:r w:rsidRPr="001F306B">
              <w:rPr>
                <w:rFonts w:asciiTheme="minorHAnsi" w:hAnsiTheme="minorHAnsi" w:cstheme="minorHAnsi"/>
                <w:color w:val="FFFFFF" w:themeColor="background1"/>
                <w:sz w:val="22"/>
                <w:szCs w:val="22"/>
                <w:lang w:val="en-CA" w:eastAsia="en-CA"/>
              </w:rPr>
              <w:t>s.118 Improper Political Activities - Employees</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c>
          <w:tcPr>
            <w:tcW w:w="0" w:type="auto"/>
            <w:noWrap/>
            <w:hideMark/>
          </w:tcPr>
          <w:p w:rsidR="001F306B" w:rsidRPr="001F306B" w:rsidRDefault="001F306B" w:rsidP="00D823DC">
            <w:pPr>
              <w:jc w:val="center"/>
              <w:rPr>
                <w:rFonts w:asciiTheme="minorHAnsi" w:hAnsiTheme="minorHAnsi" w:cstheme="minorHAnsi"/>
                <w:sz w:val="22"/>
                <w:szCs w:val="22"/>
                <w:lang w:val="en-CA" w:eastAsia="en-CA"/>
              </w:rPr>
            </w:pPr>
            <w:r w:rsidRPr="001F306B">
              <w:rPr>
                <w:rFonts w:asciiTheme="minorHAnsi" w:hAnsiTheme="minorHAnsi" w:cstheme="minorHAnsi"/>
                <w:sz w:val="22"/>
                <w:szCs w:val="22"/>
                <w:lang w:val="en-CA" w:eastAsia="en-CA"/>
              </w:rPr>
              <w:t>0</w:t>
            </w:r>
          </w:p>
        </w:tc>
      </w:tr>
      <w:tr w:rsidR="001F306B" w:rsidRPr="001F306B" w:rsidTr="00444927">
        <w:trPr>
          <w:cantSplit/>
          <w:trHeight w:val="300"/>
          <w:tblHeader/>
        </w:trPr>
        <w:tc>
          <w:tcPr>
            <w:tcW w:w="0" w:type="auto"/>
            <w:shd w:val="clear" w:color="auto" w:fill="54575A" w:themeFill="text1"/>
            <w:hideMark/>
          </w:tcPr>
          <w:p w:rsidR="001F306B" w:rsidRPr="001F306B" w:rsidRDefault="001F306B" w:rsidP="00D823DC">
            <w:pPr>
              <w:rPr>
                <w:rFonts w:asciiTheme="minorHAnsi" w:hAnsiTheme="minorHAnsi" w:cstheme="minorHAnsi"/>
                <w:bCs/>
                <w:color w:val="FFFFFF" w:themeColor="background1"/>
                <w:sz w:val="22"/>
                <w:szCs w:val="22"/>
                <w:lang w:val="en-CA" w:eastAsia="en-CA"/>
              </w:rPr>
            </w:pPr>
            <w:r w:rsidRPr="001F306B">
              <w:rPr>
                <w:rFonts w:asciiTheme="minorHAnsi" w:hAnsiTheme="minorHAnsi" w:cstheme="minorHAnsi"/>
                <w:bCs/>
                <w:color w:val="FFFFFF" w:themeColor="background1"/>
                <w:sz w:val="22"/>
                <w:szCs w:val="22"/>
                <w:lang w:val="en-CA" w:eastAsia="en-CA"/>
              </w:rPr>
              <w:t>Total</w:t>
            </w:r>
          </w:p>
        </w:tc>
        <w:tc>
          <w:tcPr>
            <w:tcW w:w="0" w:type="auto"/>
            <w:noWrap/>
            <w:hideMark/>
          </w:tcPr>
          <w:p w:rsidR="001F306B" w:rsidRPr="001F306B" w:rsidRDefault="001F306B" w:rsidP="00D823DC">
            <w:pPr>
              <w:jc w:val="center"/>
              <w:rPr>
                <w:rFonts w:asciiTheme="minorHAnsi" w:hAnsiTheme="minorHAnsi" w:cstheme="minorHAnsi"/>
                <w:bCs/>
                <w:sz w:val="22"/>
                <w:szCs w:val="22"/>
                <w:lang w:val="en-CA" w:eastAsia="en-CA"/>
              </w:rPr>
            </w:pPr>
            <w:r w:rsidRPr="001F306B">
              <w:rPr>
                <w:rFonts w:asciiTheme="minorHAnsi" w:hAnsiTheme="minorHAnsi" w:cstheme="minorHAnsi"/>
                <w:bCs/>
                <w:sz w:val="22"/>
                <w:szCs w:val="22"/>
                <w:lang w:val="en-CA" w:eastAsia="en-CA"/>
              </w:rPr>
              <w:t>1</w:t>
            </w:r>
          </w:p>
        </w:tc>
        <w:tc>
          <w:tcPr>
            <w:tcW w:w="0" w:type="auto"/>
            <w:noWrap/>
            <w:hideMark/>
          </w:tcPr>
          <w:p w:rsidR="001F306B" w:rsidRPr="001F306B" w:rsidRDefault="001F306B" w:rsidP="00D823DC">
            <w:pPr>
              <w:jc w:val="center"/>
              <w:rPr>
                <w:rFonts w:asciiTheme="minorHAnsi" w:hAnsiTheme="minorHAnsi" w:cstheme="minorHAnsi"/>
                <w:bCs/>
                <w:sz w:val="22"/>
                <w:szCs w:val="22"/>
                <w:lang w:val="en-CA" w:eastAsia="en-CA"/>
              </w:rPr>
            </w:pPr>
            <w:r w:rsidRPr="001F306B">
              <w:rPr>
                <w:rFonts w:asciiTheme="minorHAnsi" w:hAnsiTheme="minorHAnsi" w:cstheme="minorHAnsi"/>
                <w:bCs/>
                <w:sz w:val="22"/>
                <w:szCs w:val="22"/>
                <w:lang w:val="en-CA" w:eastAsia="en-CA"/>
              </w:rPr>
              <w:t>1</w:t>
            </w:r>
          </w:p>
        </w:tc>
        <w:tc>
          <w:tcPr>
            <w:tcW w:w="0" w:type="auto"/>
            <w:noWrap/>
            <w:hideMark/>
          </w:tcPr>
          <w:p w:rsidR="001F306B" w:rsidRPr="001F306B" w:rsidRDefault="001F306B" w:rsidP="00D823DC">
            <w:pPr>
              <w:jc w:val="center"/>
              <w:rPr>
                <w:rFonts w:asciiTheme="minorHAnsi" w:hAnsiTheme="minorHAnsi" w:cstheme="minorHAnsi"/>
                <w:bCs/>
                <w:sz w:val="22"/>
                <w:szCs w:val="22"/>
                <w:lang w:val="en-CA" w:eastAsia="en-CA"/>
              </w:rPr>
            </w:pPr>
            <w:r w:rsidRPr="001F306B">
              <w:rPr>
                <w:rFonts w:asciiTheme="minorHAnsi" w:hAnsiTheme="minorHAnsi" w:cstheme="minorHAnsi"/>
                <w:bCs/>
                <w:sz w:val="22"/>
                <w:szCs w:val="22"/>
                <w:lang w:val="en-CA" w:eastAsia="en-CA"/>
              </w:rPr>
              <w:t>0</w:t>
            </w:r>
          </w:p>
        </w:tc>
        <w:tc>
          <w:tcPr>
            <w:tcW w:w="0" w:type="auto"/>
            <w:noWrap/>
            <w:hideMark/>
          </w:tcPr>
          <w:p w:rsidR="001F306B" w:rsidRPr="001F306B" w:rsidRDefault="001F306B" w:rsidP="00D823DC">
            <w:pPr>
              <w:jc w:val="center"/>
              <w:rPr>
                <w:rFonts w:asciiTheme="minorHAnsi" w:hAnsiTheme="minorHAnsi" w:cstheme="minorHAnsi"/>
                <w:bCs/>
                <w:sz w:val="22"/>
                <w:szCs w:val="22"/>
                <w:lang w:val="en-CA" w:eastAsia="en-CA"/>
              </w:rPr>
            </w:pPr>
            <w:r w:rsidRPr="001F306B">
              <w:rPr>
                <w:rFonts w:asciiTheme="minorHAnsi" w:hAnsiTheme="minorHAnsi" w:cstheme="minorHAnsi"/>
                <w:bCs/>
                <w:sz w:val="22"/>
                <w:szCs w:val="22"/>
                <w:lang w:val="en-CA" w:eastAsia="en-CA"/>
              </w:rPr>
              <w:t>1</w:t>
            </w:r>
          </w:p>
        </w:tc>
        <w:tc>
          <w:tcPr>
            <w:tcW w:w="0" w:type="auto"/>
            <w:noWrap/>
            <w:hideMark/>
          </w:tcPr>
          <w:p w:rsidR="001F306B" w:rsidRPr="001F306B" w:rsidRDefault="001F306B" w:rsidP="00D823DC">
            <w:pPr>
              <w:jc w:val="center"/>
              <w:rPr>
                <w:rFonts w:asciiTheme="minorHAnsi" w:hAnsiTheme="minorHAnsi" w:cstheme="minorHAnsi"/>
                <w:bCs/>
                <w:sz w:val="22"/>
                <w:szCs w:val="22"/>
                <w:lang w:val="en-CA" w:eastAsia="en-CA"/>
              </w:rPr>
            </w:pPr>
            <w:r w:rsidRPr="001F306B">
              <w:rPr>
                <w:rFonts w:asciiTheme="minorHAnsi" w:hAnsiTheme="minorHAnsi" w:cstheme="minorHAnsi"/>
                <w:bCs/>
                <w:sz w:val="22"/>
                <w:szCs w:val="22"/>
                <w:lang w:val="en-CA" w:eastAsia="en-CA"/>
              </w:rPr>
              <w:t>0</w:t>
            </w:r>
          </w:p>
        </w:tc>
        <w:tc>
          <w:tcPr>
            <w:tcW w:w="0" w:type="auto"/>
            <w:noWrap/>
            <w:hideMark/>
          </w:tcPr>
          <w:p w:rsidR="001F306B" w:rsidRPr="001F306B" w:rsidRDefault="001F306B" w:rsidP="00D823DC">
            <w:pPr>
              <w:jc w:val="center"/>
              <w:rPr>
                <w:rFonts w:asciiTheme="minorHAnsi" w:hAnsiTheme="minorHAnsi" w:cstheme="minorHAnsi"/>
                <w:bCs/>
                <w:sz w:val="22"/>
                <w:szCs w:val="22"/>
                <w:lang w:val="en-CA" w:eastAsia="en-CA"/>
              </w:rPr>
            </w:pPr>
            <w:r w:rsidRPr="001F306B">
              <w:rPr>
                <w:rFonts w:asciiTheme="minorHAnsi" w:hAnsiTheme="minorHAnsi" w:cstheme="minorHAnsi"/>
                <w:bCs/>
                <w:sz w:val="22"/>
                <w:szCs w:val="22"/>
                <w:lang w:val="en-CA" w:eastAsia="en-CA"/>
              </w:rPr>
              <w:t>0</w:t>
            </w:r>
          </w:p>
        </w:tc>
      </w:tr>
    </w:tbl>
    <w:p w:rsidR="001F306B" w:rsidRPr="001F306B" w:rsidRDefault="001F306B" w:rsidP="001F306B">
      <w:pPr>
        <w:pStyle w:val="Level1"/>
        <w:tabs>
          <w:tab w:val="left" w:pos="-1440"/>
        </w:tabs>
        <w:autoSpaceDE w:val="0"/>
        <w:autoSpaceDN w:val="0"/>
        <w:adjustRightInd w:val="0"/>
        <w:spacing w:after="120" w:line="20" w:lineRule="atLeast"/>
        <w:rPr>
          <w:rFonts w:asciiTheme="minorHAnsi" w:hAnsiTheme="minorHAnsi" w:cstheme="minorHAnsi"/>
          <w:color w:val="000000"/>
          <w:sz w:val="22"/>
          <w:szCs w:val="22"/>
          <w:lang w:val="en-CA" w:eastAsia="en-CA"/>
        </w:rPr>
      </w:pPr>
      <w:r w:rsidRPr="001F306B">
        <w:rPr>
          <w:rFonts w:asciiTheme="minorHAnsi" w:hAnsiTheme="minorHAnsi" w:cstheme="minorHAnsi"/>
          <w:color w:val="000000"/>
          <w:sz w:val="22"/>
          <w:szCs w:val="22"/>
          <w:lang w:val="en-CA" w:eastAsia="en-CA"/>
        </w:rPr>
        <w:t>Note: The numbers may not add up as discontinued cases, cases resolved via early intervention and rare cases (s.119, s.67.1) are not included in this table.</w:t>
      </w:r>
    </w:p>
    <w:p w:rsidR="00DD72C1" w:rsidRPr="001F306B" w:rsidRDefault="001F306B" w:rsidP="001F306B">
      <w:pPr>
        <w:pStyle w:val="Sansinterligne"/>
        <w:spacing w:after="120"/>
        <w:rPr>
          <w:rFonts w:asciiTheme="minorHAnsi" w:hAnsiTheme="minorHAnsi" w:cstheme="minorHAnsi"/>
          <w:szCs w:val="22"/>
          <w:lang w:val="en-CA" w:eastAsia="en-CA"/>
        </w:rPr>
      </w:pPr>
      <w:r w:rsidRPr="001F306B">
        <w:rPr>
          <w:rFonts w:asciiTheme="minorHAnsi" w:hAnsiTheme="minorHAnsi" w:cstheme="minorHAnsi"/>
          <w:color w:val="000000"/>
          <w:sz w:val="22"/>
          <w:szCs w:val="22"/>
          <w:lang w:val="en-CA" w:eastAsia="en-CA"/>
        </w:rPr>
        <w:t>Note: Each column is an independent calculation of the others. Cases received are cases received in the time period, cases completed are those completed in the period, not necessarily cases completed out of those received.</w:t>
      </w:r>
    </w:p>
    <w:p w:rsidR="001F306B" w:rsidRPr="001F306B" w:rsidRDefault="001F306B" w:rsidP="00F162C5">
      <w:pPr>
        <w:pStyle w:val="Titre2"/>
        <w:spacing w:after="120"/>
        <w:rPr>
          <w:rFonts w:asciiTheme="minorHAnsi" w:hAnsiTheme="minorHAnsi" w:cstheme="minorHAnsi"/>
          <w:sz w:val="36"/>
          <w:lang w:val="en-CA"/>
        </w:rPr>
        <w:sectPr w:rsidR="001F306B" w:rsidRPr="001F306B" w:rsidSect="00006B02">
          <w:footnotePr>
            <w:numFmt w:val="lowerLetter"/>
          </w:footnotePr>
          <w:endnotePr>
            <w:numFmt w:val="lowerLetter"/>
          </w:endnotePr>
          <w:pgSz w:w="15840" w:h="12240" w:orient="landscape" w:code="1"/>
          <w:pgMar w:top="1304" w:right="709" w:bottom="1304" w:left="1361" w:header="284" w:footer="284" w:gutter="0"/>
          <w:cols w:space="720"/>
          <w:docGrid w:linePitch="326"/>
        </w:sectPr>
      </w:pPr>
    </w:p>
    <w:p w:rsidR="00DD72C1" w:rsidRPr="00F162C5" w:rsidRDefault="00DD72C1" w:rsidP="00F162C5">
      <w:pPr>
        <w:pStyle w:val="Titre2"/>
        <w:spacing w:after="120"/>
        <w:rPr>
          <w:u w:val="single"/>
          <w:lang w:val="en-CA"/>
        </w:rPr>
      </w:pPr>
      <w:r w:rsidRPr="00F162C5">
        <w:rPr>
          <w:lang w:val="en-CA"/>
        </w:rPr>
        <w:lastRenderedPageBreak/>
        <w:t>Staffing and Non-Partisanship Survey Results</w:t>
      </w:r>
    </w:p>
    <w:p w:rsidR="00DD72C1" w:rsidRPr="00F162C5" w:rsidRDefault="00DD72C1" w:rsidP="006B1E67">
      <w:pPr>
        <w:pStyle w:val="Paragraphedeliste"/>
        <w:spacing w:after="120"/>
        <w:contextualSpacing w:val="0"/>
        <w:rPr>
          <w:rFonts w:asciiTheme="minorHAnsi" w:hAnsiTheme="minorHAnsi" w:cstheme="minorHAnsi"/>
          <w:sz w:val="22"/>
          <w:szCs w:val="22"/>
          <w:lang w:val="en-CA" w:eastAsia="en-CA"/>
        </w:rPr>
      </w:pPr>
      <w:r w:rsidRPr="00F162C5">
        <w:rPr>
          <w:rFonts w:asciiTheme="minorHAnsi" w:hAnsiTheme="minorHAnsi" w:cstheme="minorHAnsi"/>
          <w:sz w:val="22"/>
          <w:szCs w:val="22"/>
          <w:lang w:val="en-CA" w:eastAsia="en-CA"/>
        </w:rPr>
        <w:t>Overall, the CEAA</w:t>
      </w:r>
      <w:r w:rsidRPr="00F162C5">
        <w:rPr>
          <w:rFonts w:asciiTheme="minorHAnsi" w:hAnsiTheme="minorHAnsi" w:cstheme="minorHAnsi"/>
          <w:i/>
          <w:sz w:val="22"/>
          <w:szCs w:val="22"/>
          <w:lang w:val="en-CA" w:eastAsia="en-CA"/>
        </w:rPr>
        <w:t xml:space="preserve">’s </w:t>
      </w:r>
      <w:r w:rsidRPr="00F162C5">
        <w:rPr>
          <w:rFonts w:asciiTheme="minorHAnsi" w:hAnsiTheme="minorHAnsi" w:cstheme="minorHAnsi"/>
          <w:sz w:val="22"/>
          <w:szCs w:val="22"/>
          <w:lang w:val="en-CA" w:eastAsia="en-CA"/>
        </w:rPr>
        <w:t xml:space="preserve">Staffing and Non-Partisanship Survey (SNPS) results are generally more favourable in comparison to other small organizations and the public service overall. </w:t>
      </w:r>
    </w:p>
    <w:p w:rsidR="00DD72C1" w:rsidRPr="00F162C5" w:rsidRDefault="00DD72C1" w:rsidP="006B1E67">
      <w:pPr>
        <w:spacing w:after="120"/>
        <w:rPr>
          <w:rFonts w:asciiTheme="minorHAnsi" w:eastAsiaTheme="minorHAnsi" w:hAnsiTheme="minorHAnsi" w:cstheme="minorHAnsi"/>
          <w:sz w:val="22"/>
          <w:szCs w:val="22"/>
          <w:lang w:val="en-CA"/>
        </w:rPr>
      </w:pPr>
      <w:r w:rsidRPr="00F162C5">
        <w:rPr>
          <w:rFonts w:asciiTheme="minorHAnsi" w:eastAsiaTheme="minorHAnsi" w:hAnsiTheme="minorHAnsi" w:cstheme="minorHAnsi"/>
          <w:sz w:val="22"/>
          <w:szCs w:val="22"/>
          <w:lang w:val="en-CA"/>
        </w:rPr>
        <w:t xml:space="preserve">Below are some of the key findings of the CEAA SNPS results: </w:t>
      </w:r>
    </w:p>
    <w:p w:rsidR="00DD72C1" w:rsidRPr="00F162C5" w:rsidRDefault="00DD72C1" w:rsidP="00F162C5">
      <w:pPr>
        <w:numPr>
          <w:ilvl w:val="0"/>
          <w:numId w:val="12"/>
        </w:numPr>
        <w:spacing w:line="259" w:lineRule="auto"/>
        <w:rPr>
          <w:rFonts w:asciiTheme="minorHAnsi" w:eastAsiaTheme="minorHAnsi" w:hAnsiTheme="minorHAnsi" w:cstheme="minorHAnsi"/>
          <w:sz w:val="22"/>
          <w:szCs w:val="22"/>
          <w:lang w:val="en-CA" w:eastAsia="en-CA"/>
        </w:rPr>
      </w:pPr>
      <w:r w:rsidRPr="00F162C5">
        <w:rPr>
          <w:rFonts w:asciiTheme="minorHAnsi" w:eastAsiaTheme="minorHAnsi" w:hAnsiTheme="minorHAnsi" w:cstheme="minorHAnsi"/>
          <w:sz w:val="22"/>
          <w:szCs w:val="22"/>
          <w:lang w:val="en-CA" w:eastAsia="en-CA"/>
        </w:rPr>
        <w:t xml:space="preserve">84% of </w:t>
      </w:r>
      <w:r w:rsidRPr="00F162C5">
        <w:rPr>
          <w:rFonts w:asciiTheme="minorHAnsi" w:eastAsiaTheme="minorHAnsi" w:hAnsiTheme="minorHAnsi" w:cstheme="minorHAnsi"/>
          <w:bCs/>
          <w:sz w:val="22"/>
          <w:szCs w:val="22"/>
          <w:lang w:val="en-CA" w:eastAsia="en-CA"/>
        </w:rPr>
        <w:t>employees</w:t>
      </w:r>
      <w:r w:rsidRPr="00F162C5">
        <w:rPr>
          <w:rFonts w:asciiTheme="minorHAnsi" w:eastAsiaTheme="minorHAnsi" w:hAnsiTheme="minorHAnsi" w:cstheme="minorHAnsi"/>
          <w:sz w:val="22"/>
          <w:szCs w:val="22"/>
          <w:lang w:val="en-CA" w:eastAsia="en-CA"/>
        </w:rPr>
        <w:t xml:space="preserve"> indicated that people hired in their work unit can do the job, as compared to 67.1% in similar size organizations and 53.8% across all organizations in the federal public service;</w:t>
      </w:r>
    </w:p>
    <w:p w:rsidR="00DD72C1" w:rsidRPr="00F162C5" w:rsidRDefault="00DD72C1" w:rsidP="00F162C5">
      <w:pPr>
        <w:numPr>
          <w:ilvl w:val="0"/>
          <w:numId w:val="12"/>
        </w:numPr>
        <w:spacing w:line="259" w:lineRule="auto"/>
        <w:rPr>
          <w:rFonts w:asciiTheme="minorHAnsi" w:eastAsiaTheme="minorHAnsi" w:hAnsiTheme="minorHAnsi" w:cstheme="minorHAnsi"/>
          <w:sz w:val="22"/>
          <w:szCs w:val="22"/>
          <w:lang w:val="en-CA" w:eastAsia="en-CA"/>
        </w:rPr>
      </w:pPr>
      <w:r w:rsidRPr="00F162C5">
        <w:rPr>
          <w:rFonts w:asciiTheme="minorHAnsi" w:eastAsiaTheme="minorHAnsi" w:hAnsiTheme="minorHAnsi" w:cstheme="minorHAnsi"/>
          <w:sz w:val="22"/>
          <w:szCs w:val="22"/>
          <w:lang w:val="en-CA" w:eastAsia="en-CA"/>
        </w:rPr>
        <w:t xml:space="preserve">81.7% of </w:t>
      </w:r>
      <w:r w:rsidRPr="00F162C5">
        <w:rPr>
          <w:rFonts w:asciiTheme="minorHAnsi" w:eastAsiaTheme="minorHAnsi" w:hAnsiTheme="minorHAnsi" w:cstheme="minorHAnsi"/>
          <w:bCs/>
          <w:sz w:val="22"/>
          <w:szCs w:val="22"/>
          <w:lang w:val="en-CA" w:eastAsia="en-CA"/>
        </w:rPr>
        <w:t>managers</w:t>
      </w:r>
      <w:r w:rsidRPr="00F162C5">
        <w:rPr>
          <w:rFonts w:asciiTheme="minorHAnsi" w:eastAsiaTheme="minorHAnsi" w:hAnsiTheme="minorHAnsi" w:cstheme="minorHAnsi"/>
          <w:sz w:val="22"/>
          <w:szCs w:val="22"/>
          <w:lang w:val="en-CA" w:eastAsia="en-CA"/>
        </w:rPr>
        <w:t xml:space="preserve"> agreed that the NDS has improved the way they hire and appoint persons to and within their organization as compared to 69.7% in similar size organizations and 56.1% across all organizations in the federal public service;</w:t>
      </w:r>
    </w:p>
    <w:p w:rsidR="00DD72C1" w:rsidRPr="00F162C5" w:rsidRDefault="00DD72C1" w:rsidP="00F162C5">
      <w:pPr>
        <w:numPr>
          <w:ilvl w:val="0"/>
          <w:numId w:val="12"/>
        </w:numPr>
        <w:rPr>
          <w:rFonts w:asciiTheme="minorHAnsi" w:eastAsiaTheme="minorHAnsi" w:hAnsiTheme="minorHAnsi" w:cstheme="minorHAnsi"/>
          <w:sz w:val="22"/>
          <w:szCs w:val="22"/>
          <w:lang w:val="en-CA" w:eastAsia="en-CA"/>
        </w:rPr>
      </w:pPr>
      <w:r w:rsidRPr="00F162C5">
        <w:rPr>
          <w:rFonts w:asciiTheme="minorHAnsi" w:hAnsiTheme="minorHAnsi" w:cstheme="minorHAnsi"/>
          <w:sz w:val="22"/>
          <w:szCs w:val="22"/>
          <w:lang w:val="en-CA" w:eastAsia="en-CA"/>
        </w:rPr>
        <w:t xml:space="preserve">79% of </w:t>
      </w:r>
      <w:r w:rsidRPr="00F162C5">
        <w:rPr>
          <w:rFonts w:asciiTheme="minorHAnsi" w:hAnsiTheme="minorHAnsi" w:cstheme="minorHAnsi"/>
          <w:bCs/>
          <w:sz w:val="22"/>
          <w:szCs w:val="22"/>
          <w:lang w:val="en-CA" w:eastAsia="en-CA"/>
        </w:rPr>
        <w:t>managers</w:t>
      </w:r>
      <w:r w:rsidRPr="00F162C5">
        <w:rPr>
          <w:rFonts w:asciiTheme="minorHAnsi" w:hAnsiTheme="minorHAnsi" w:cstheme="minorHAnsi"/>
          <w:sz w:val="22"/>
          <w:szCs w:val="22"/>
          <w:lang w:val="en-CA" w:eastAsia="en-CA"/>
        </w:rPr>
        <w:t xml:space="preserve"> feel staffing is burdensome, as compared to 79.3% in similar size organizations and 87.9% across all organizations in the federal public service; </w:t>
      </w:r>
    </w:p>
    <w:p w:rsidR="00DD72C1" w:rsidRPr="00F162C5" w:rsidRDefault="00DD72C1" w:rsidP="00F162C5">
      <w:pPr>
        <w:numPr>
          <w:ilvl w:val="0"/>
          <w:numId w:val="12"/>
        </w:numPr>
        <w:rPr>
          <w:rFonts w:asciiTheme="minorHAnsi" w:eastAsiaTheme="minorHAnsi" w:hAnsiTheme="minorHAnsi" w:cstheme="minorHAnsi"/>
          <w:sz w:val="22"/>
          <w:szCs w:val="22"/>
          <w:lang w:val="en-CA" w:eastAsia="en-CA"/>
        </w:rPr>
      </w:pPr>
      <w:r w:rsidRPr="00F162C5">
        <w:rPr>
          <w:rFonts w:asciiTheme="minorHAnsi" w:eastAsiaTheme="minorHAnsi" w:hAnsiTheme="minorHAnsi" w:cstheme="minorHAnsi"/>
          <w:sz w:val="22"/>
          <w:szCs w:val="22"/>
          <w:lang w:val="en-CA" w:eastAsia="en-CA"/>
        </w:rPr>
        <w:t>39% of managers agreed that</w:t>
      </w:r>
      <w:r w:rsidRPr="00F162C5">
        <w:rPr>
          <w:rFonts w:asciiTheme="minorHAnsi" w:eastAsiaTheme="minorHAnsi" w:hAnsiTheme="minorHAnsi" w:cstheme="minorHAnsi"/>
          <w:sz w:val="22"/>
          <w:szCs w:val="22"/>
          <w:lang w:val="en-CA"/>
        </w:rPr>
        <w:t xml:space="preserve"> they felt external pressure to select a particular employee, </w:t>
      </w:r>
      <w:r w:rsidRPr="00F162C5">
        <w:rPr>
          <w:rFonts w:asciiTheme="minorHAnsi" w:eastAsiaTheme="minorHAnsi" w:hAnsiTheme="minorHAnsi" w:cstheme="minorHAnsi"/>
          <w:sz w:val="22"/>
          <w:szCs w:val="22"/>
          <w:lang w:val="en-CA" w:eastAsia="en-CA"/>
        </w:rPr>
        <w:t>as compared to 9% in similar size organizations and 12.7% across all organizations in the federal public service;</w:t>
      </w:r>
    </w:p>
    <w:p w:rsidR="00DD72C1" w:rsidRPr="00F162C5" w:rsidRDefault="00DD72C1" w:rsidP="00F162C5">
      <w:pPr>
        <w:numPr>
          <w:ilvl w:val="0"/>
          <w:numId w:val="12"/>
        </w:numPr>
        <w:spacing w:line="259" w:lineRule="auto"/>
        <w:rPr>
          <w:rFonts w:asciiTheme="minorHAnsi" w:eastAsiaTheme="minorHAnsi" w:hAnsiTheme="minorHAnsi" w:cstheme="minorHAnsi"/>
          <w:sz w:val="22"/>
          <w:szCs w:val="22"/>
          <w:lang w:val="en-CA" w:eastAsia="en-CA"/>
        </w:rPr>
      </w:pPr>
      <w:r w:rsidRPr="00F162C5">
        <w:rPr>
          <w:rFonts w:asciiTheme="minorHAnsi" w:eastAsiaTheme="minorHAnsi" w:hAnsiTheme="minorHAnsi" w:cstheme="minorHAnsi"/>
          <w:sz w:val="22"/>
          <w:szCs w:val="22"/>
          <w:lang w:val="en-CA" w:eastAsia="en-CA"/>
        </w:rPr>
        <w:t xml:space="preserve">0% of managers </w:t>
      </w:r>
      <w:r w:rsidRPr="00F162C5">
        <w:rPr>
          <w:rFonts w:asciiTheme="minorHAnsi" w:eastAsiaTheme="minorHAnsi" w:hAnsiTheme="minorHAnsi" w:cstheme="minorHAnsi"/>
          <w:sz w:val="22"/>
          <w:szCs w:val="22"/>
          <w:lang w:val="en-CA"/>
        </w:rPr>
        <w:t>felt a sense of personal indebtedness to one or more</w:t>
      </w:r>
      <w:r w:rsidRPr="00F162C5">
        <w:rPr>
          <w:rFonts w:asciiTheme="minorHAnsi" w:eastAsiaTheme="minorHAnsi" w:hAnsiTheme="minorHAnsi" w:cstheme="minorHAnsi"/>
          <w:sz w:val="22"/>
          <w:szCs w:val="22"/>
          <w:lang w:val="en-CA" w:eastAsia="en-CA"/>
        </w:rPr>
        <w:t xml:space="preserve"> </w:t>
      </w:r>
      <w:r w:rsidRPr="00F162C5">
        <w:rPr>
          <w:rFonts w:asciiTheme="minorHAnsi" w:eastAsiaTheme="minorHAnsi" w:hAnsiTheme="minorHAnsi" w:cstheme="minorHAnsi"/>
          <w:sz w:val="22"/>
          <w:szCs w:val="22"/>
          <w:lang w:val="en-CA"/>
        </w:rPr>
        <w:t xml:space="preserve">employees, </w:t>
      </w:r>
      <w:r w:rsidRPr="00F162C5">
        <w:rPr>
          <w:rFonts w:asciiTheme="minorHAnsi" w:eastAsiaTheme="minorHAnsi" w:hAnsiTheme="minorHAnsi" w:cstheme="minorHAnsi"/>
          <w:sz w:val="22"/>
          <w:szCs w:val="22"/>
          <w:lang w:val="en-CA" w:eastAsia="en-CA"/>
        </w:rPr>
        <w:t>as compared to 5.5% in similar size organizations and 6.4% across all organizations in the federal public service; and</w:t>
      </w:r>
    </w:p>
    <w:p w:rsidR="00DD72C1" w:rsidRPr="00F162C5" w:rsidRDefault="00DD72C1" w:rsidP="006B1E67">
      <w:pPr>
        <w:numPr>
          <w:ilvl w:val="0"/>
          <w:numId w:val="12"/>
        </w:numPr>
        <w:spacing w:after="120" w:line="259" w:lineRule="auto"/>
        <w:rPr>
          <w:rFonts w:asciiTheme="minorHAnsi" w:eastAsiaTheme="minorHAnsi" w:hAnsiTheme="minorHAnsi" w:cstheme="minorHAnsi"/>
          <w:sz w:val="22"/>
          <w:szCs w:val="22"/>
          <w:lang w:val="en-CA" w:eastAsia="en-CA"/>
        </w:rPr>
      </w:pPr>
      <w:r w:rsidRPr="00F162C5">
        <w:rPr>
          <w:rFonts w:asciiTheme="minorHAnsi" w:eastAsiaTheme="minorHAnsi" w:hAnsiTheme="minorHAnsi" w:cstheme="minorHAnsi"/>
          <w:sz w:val="22"/>
          <w:szCs w:val="22"/>
          <w:lang w:val="en-CA" w:eastAsia="en-CA"/>
        </w:rPr>
        <w:t xml:space="preserve">27.2% of </w:t>
      </w:r>
      <w:r w:rsidRPr="00F162C5">
        <w:rPr>
          <w:rFonts w:asciiTheme="minorHAnsi" w:eastAsiaTheme="minorHAnsi" w:hAnsiTheme="minorHAnsi" w:cstheme="minorHAnsi"/>
          <w:bCs/>
          <w:sz w:val="22"/>
          <w:szCs w:val="22"/>
          <w:lang w:val="en-CA" w:eastAsia="en-CA"/>
        </w:rPr>
        <w:t>managers’</w:t>
      </w:r>
      <w:r w:rsidRPr="00F162C5">
        <w:rPr>
          <w:rFonts w:asciiTheme="minorHAnsi" w:eastAsiaTheme="minorHAnsi" w:hAnsiTheme="minorHAnsi" w:cstheme="minorHAnsi"/>
          <w:sz w:val="22"/>
          <w:szCs w:val="22"/>
          <w:lang w:val="en-CA" w:eastAsia="en-CA"/>
        </w:rPr>
        <w:t xml:space="preserve"> reported </w:t>
      </w:r>
      <w:r w:rsidRPr="00F162C5">
        <w:rPr>
          <w:rFonts w:asciiTheme="minorHAnsi" w:eastAsiaTheme="minorHAnsi" w:hAnsiTheme="minorHAnsi" w:cstheme="minorHAnsi"/>
          <w:sz w:val="22"/>
          <w:szCs w:val="22"/>
          <w:u w:val="single"/>
          <w:lang w:val="en-CA" w:eastAsia="en-CA"/>
        </w:rPr>
        <w:t>no</w:t>
      </w:r>
      <w:r w:rsidRPr="00F162C5">
        <w:rPr>
          <w:rFonts w:asciiTheme="minorHAnsi" w:eastAsiaTheme="minorHAnsi" w:hAnsiTheme="minorHAnsi" w:cstheme="minorHAnsi"/>
          <w:sz w:val="22"/>
          <w:szCs w:val="22"/>
          <w:lang w:val="en-CA" w:eastAsia="en-CA"/>
        </w:rPr>
        <w:t xml:space="preserve"> or </w:t>
      </w:r>
      <w:r w:rsidRPr="00F162C5">
        <w:rPr>
          <w:rFonts w:asciiTheme="minorHAnsi" w:eastAsiaTheme="minorHAnsi" w:hAnsiTheme="minorHAnsi" w:cstheme="minorHAnsi"/>
          <w:sz w:val="22"/>
          <w:szCs w:val="22"/>
          <w:u w:val="single"/>
          <w:lang w:val="en-CA" w:eastAsia="en-CA"/>
        </w:rPr>
        <w:t>minimal</w:t>
      </w:r>
      <w:r w:rsidRPr="00F162C5">
        <w:rPr>
          <w:rFonts w:asciiTheme="minorHAnsi" w:eastAsiaTheme="minorHAnsi" w:hAnsiTheme="minorHAnsi" w:cstheme="minorHAnsi"/>
          <w:sz w:val="22"/>
          <w:szCs w:val="22"/>
          <w:lang w:val="en-CA" w:eastAsia="en-CA"/>
        </w:rPr>
        <w:t xml:space="preserve"> understanding of the provisions that help veterans gain employment in the federal public service, as compared to 30.4% in similar size organizations and 34.2% across all organizations in the federal public service.</w:t>
      </w:r>
    </w:p>
    <w:p w:rsidR="00444927" w:rsidRDefault="00444927" w:rsidP="00F162C5">
      <w:pPr>
        <w:pStyle w:val="Titre1"/>
        <w:spacing w:after="240"/>
        <w:rPr>
          <w:lang w:val="en-CA"/>
        </w:rPr>
        <w:sectPr w:rsidR="00444927" w:rsidSect="00006B02">
          <w:footnotePr>
            <w:numFmt w:val="lowerLetter"/>
          </w:footnotePr>
          <w:endnotePr>
            <w:numFmt w:val="lowerLetter"/>
          </w:endnotePr>
          <w:pgSz w:w="12240" w:h="15840" w:code="1"/>
          <w:pgMar w:top="709" w:right="1304" w:bottom="1361" w:left="1304" w:header="284" w:footer="284" w:gutter="0"/>
          <w:cols w:space="720"/>
          <w:docGrid w:linePitch="326"/>
        </w:sectPr>
      </w:pPr>
    </w:p>
    <w:p w:rsidR="00DD72C1" w:rsidRPr="00F162C5" w:rsidRDefault="00D91C17" w:rsidP="00F162C5">
      <w:pPr>
        <w:pStyle w:val="Titre1"/>
        <w:spacing w:after="240"/>
        <w:rPr>
          <w:lang w:val="en-CA"/>
        </w:rPr>
      </w:pPr>
      <w:r w:rsidRPr="00F162C5">
        <w:rPr>
          <w:lang w:val="en-CA"/>
        </w:rPr>
        <w:lastRenderedPageBreak/>
        <w:t>Diversity P</w:t>
      </w:r>
      <w:r w:rsidR="00DD72C1" w:rsidRPr="00F162C5">
        <w:rPr>
          <w:lang w:val="en-CA"/>
        </w:rPr>
        <w:t>rofile</w:t>
      </w:r>
    </w:p>
    <w:p w:rsidR="00DD72C1" w:rsidRPr="00F162C5" w:rsidRDefault="00DD72C1" w:rsidP="00F162C5">
      <w:pPr>
        <w:pStyle w:val="Titre2"/>
        <w:spacing w:after="120"/>
        <w:rPr>
          <w:lang w:val="en-CA"/>
        </w:rPr>
      </w:pPr>
      <w:r w:rsidRPr="00F162C5">
        <w:rPr>
          <w:lang w:val="en-CA"/>
        </w:rPr>
        <w:t>Employment Equity</w:t>
      </w:r>
    </w:p>
    <w:p w:rsidR="00DD72C1" w:rsidRPr="00F162C5" w:rsidRDefault="00DD72C1" w:rsidP="009B034C">
      <w:pPr>
        <w:pStyle w:val="Sansinterligne"/>
        <w:spacing w:after="120"/>
        <w:rPr>
          <w:rFonts w:asciiTheme="minorHAnsi" w:hAnsiTheme="minorHAnsi" w:cstheme="minorHAnsi"/>
          <w:sz w:val="22"/>
          <w:szCs w:val="22"/>
          <w:lang w:val="en-CA"/>
        </w:rPr>
      </w:pPr>
      <w:r w:rsidRPr="00F162C5">
        <w:rPr>
          <w:rFonts w:asciiTheme="minorHAnsi" w:hAnsiTheme="minorHAnsi" w:cstheme="minorHAnsi"/>
          <w:sz w:val="22"/>
          <w:szCs w:val="22"/>
          <w:lang w:val="en-CA" w:eastAsia="en-CA"/>
        </w:rPr>
        <w:t xml:space="preserve">Using data from 2017-2018, the statistics reveal that the CEAA was above public service workforce availability for women and Aboriginals. However, gaps were observed for persons with disabilities and visible minorities. </w:t>
      </w:r>
      <w:r w:rsidRPr="00F162C5">
        <w:rPr>
          <w:rFonts w:asciiTheme="minorHAnsi" w:hAnsiTheme="minorHAnsi" w:cstheme="minorHAnsi"/>
          <w:sz w:val="22"/>
          <w:szCs w:val="22"/>
          <w:lang w:val="en-CA"/>
        </w:rPr>
        <w:t>The representativeness of the four designated groups will have to be reviewed once the new data on the Public Service Work Force Avai</w:t>
      </w:r>
      <w:r w:rsidR="00444927">
        <w:rPr>
          <w:rFonts w:asciiTheme="minorHAnsi" w:hAnsiTheme="minorHAnsi" w:cstheme="minorHAnsi"/>
          <w:sz w:val="22"/>
          <w:szCs w:val="22"/>
          <w:lang w:val="en-CA"/>
        </w:rPr>
        <w:t>lability are released in 2019.</w:t>
      </w:r>
    </w:p>
    <w:p w:rsidR="00444927" w:rsidRDefault="00444927" w:rsidP="00444927">
      <w:pPr>
        <w:pStyle w:val="Lgende"/>
        <w:keepNext/>
      </w:pPr>
      <w:r>
        <w:t xml:space="preserve">Table </w:t>
      </w:r>
      <w:r>
        <w:fldChar w:fldCharType="begin"/>
      </w:r>
      <w:r>
        <w:instrText xml:space="preserve"> SEQ Table \* ARABIC </w:instrText>
      </w:r>
      <w:r>
        <w:fldChar w:fldCharType="separate"/>
      </w:r>
      <w:r w:rsidR="00AD62FD">
        <w:rPr>
          <w:noProof/>
        </w:rPr>
        <w:t>2</w:t>
      </w:r>
      <w:r>
        <w:fldChar w:fldCharType="end"/>
      </w:r>
      <w:r>
        <w:t xml:space="preserve"> - Employment Equity</w:t>
      </w:r>
    </w:p>
    <w:tbl>
      <w:tblPr>
        <w:tblStyle w:val="TableGrid1"/>
        <w:tblW w:w="0" w:type="auto"/>
        <w:tblLook w:val="04A0" w:firstRow="1" w:lastRow="0" w:firstColumn="1" w:lastColumn="0" w:noHBand="0" w:noVBand="1"/>
        <w:tblDescription w:val="Employment Equity"/>
      </w:tblPr>
      <w:tblGrid>
        <w:gridCol w:w="2893"/>
        <w:gridCol w:w="5324"/>
        <w:gridCol w:w="6173"/>
      </w:tblGrid>
      <w:tr w:rsidR="00444927" w:rsidRPr="00933CD5" w:rsidTr="001053BD">
        <w:trPr>
          <w:cantSplit/>
          <w:trHeight w:val="759"/>
          <w:tblHeader/>
        </w:trPr>
        <w:tc>
          <w:tcPr>
            <w:tcW w:w="0" w:type="auto"/>
            <w:shd w:val="clear" w:color="auto" w:fill="54575A" w:themeFill="text1"/>
            <w:hideMark/>
          </w:tcPr>
          <w:p w:rsidR="00444927" w:rsidRPr="00933CD5" w:rsidRDefault="00444927" w:rsidP="00444927">
            <w:pPr>
              <w:pStyle w:val="TableTitle"/>
              <w:rPr>
                <w:color w:val="FFFFFF" w:themeColor="background1"/>
                <w:lang w:val="en-CA"/>
              </w:rPr>
            </w:pPr>
            <w:r w:rsidRPr="00933CD5">
              <w:rPr>
                <w:color w:val="FFFFFF" w:themeColor="background1"/>
                <w:lang w:val="en-CA"/>
              </w:rPr>
              <w:t>Designated Group</w:t>
            </w:r>
          </w:p>
        </w:tc>
        <w:tc>
          <w:tcPr>
            <w:tcW w:w="5324" w:type="dxa"/>
            <w:shd w:val="clear" w:color="auto" w:fill="BF3C00"/>
            <w:hideMark/>
          </w:tcPr>
          <w:p w:rsidR="00444927" w:rsidRPr="00933CD5" w:rsidRDefault="00444927" w:rsidP="00444927">
            <w:pPr>
              <w:pStyle w:val="TableTitle"/>
              <w:shd w:val="clear" w:color="auto" w:fill="BF3C00"/>
              <w:rPr>
                <w:color w:val="FFFFFF" w:themeColor="background1"/>
                <w:lang w:val="en-CA"/>
              </w:rPr>
            </w:pPr>
            <w:r w:rsidRPr="00933CD5">
              <w:rPr>
                <w:color w:val="FFFFFF" w:themeColor="background1"/>
                <w:lang w:val="en-CA"/>
              </w:rPr>
              <w:t>Impact Assessment Agency of Canada (IAAC)*</w:t>
            </w:r>
          </w:p>
          <w:p w:rsidR="00444927" w:rsidRPr="00933CD5" w:rsidRDefault="00444927" w:rsidP="00444927">
            <w:pPr>
              <w:pStyle w:val="TableTitle"/>
              <w:shd w:val="clear" w:color="auto" w:fill="BF3C00"/>
              <w:rPr>
                <w:color w:val="FFFFFF" w:themeColor="background1"/>
                <w:lang w:val="en-CA"/>
              </w:rPr>
            </w:pPr>
            <w:r w:rsidRPr="00933CD5">
              <w:rPr>
                <w:color w:val="FFFFFF" w:themeColor="background1"/>
                <w:lang w:val="en-CA"/>
              </w:rPr>
              <w:t xml:space="preserve">2017-2018 </w:t>
            </w:r>
          </w:p>
          <w:p w:rsidR="00444927" w:rsidRPr="00933CD5" w:rsidRDefault="00444927" w:rsidP="00444927">
            <w:pPr>
              <w:pStyle w:val="TableTitle"/>
              <w:shd w:val="clear" w:color="auto" w:fill="BF3C00"/>
              <w:rPr>
                <w:color w:val="FFFFFF" w:themeColor="background1"/>
                <w:lang w:val="en-CA"/>
              </w:rPr>
            </w:pPr>
            <w:r w:rsidRPr="00933CD5">
              <w:rPr>
                <w:color w:val="FFFFFF" w:themeColor="background1"/>
                <w:lang w:val="en-CA"/>
              </w:rPr>
              <w:t>Note: Data on Work Force Availability for organizations are not available for 2019</w:t>
            </w:r>
          </w:p>
        </w:tc>
        <w:tc>
          <w:tcPr>
            <w:tcW w:w="6173" w:type="dxa"/>
            <w:shd w:val="clear" w:color="auto" w:fill="54575A" w:themeFill="text1"/>
            <w:hideMark/>
          </w:tcPr>
          <w:p w:rsidR="00444927" w:rsidRPr="00933CD5" w:rsidRDefault="00444927" w:rsidP="00444927">
            <w:pPr>
              <w:pStyle w:val="TableTitle"/>
              <w:rPr>
                <w:color w:val="FFFFFF" w:themeColor="background1"/>
                <w:lang w:val="en-CA"/>
              </w:rPr>
            </w:pPr>
            <w:r w:rsidRPr="00933CD5">
              <w:rPr>
                <w:color w:val="FFFFFF" w:themeColor="background1"/>
                <w:lang w:val="en-CA"/>
              </w:rPr>
              <w:t>Representation across the</w:t>
            </w:r>
          </w:p>
          <w:p w:rsidR="00444927" w:rsidRPr="00933CD5" w:rsidRDefault="00444927" w:rsidP="00444927">
            <w:pPr>
              <w:pStyle w:val="TableTitle"/>
              <w:rPr>
                <w:color w:val="FFFFFF" w:themeColor="background1"/>
                <w:lang w:val="en-CA"/>
              </w:rPr>
            </w:pPr>
            <w:r w:rsidRPr="00933CD5">
              <w:rPr>
                <w:color w:val="FFFFFF" w:themeColor="background1"/>
                <w:lang w:val="en-CA"/>
              </w:rPr>
              <w:t>Public Service of Canada</w:t>
            </w:r>
          </w:p>
          <w:p w:rsidR="00444927" w:rsidRPr="00933CD5" w:rsidRDefault="00444927" w:rsidP="00444927">
            <w:pPr>
              <w:pStyle w:val="TableTitle"/>
              <w:rPr>
                <w:color w:val="FFFFFF" w:themeColor="background1"/>
                <w:lang w:val="en-CA"/>
              </w:rPr>
            </w:pPr>
            <w:r w:rsidRPr="00933CD5">
              <w:rPr>
                <w:color w:val="FFFFFF" w:themeColor="background1"/>
                <w:lang w:val="en-CA"/>
              </w:rPr>
              <w:t>2017-2018</w:t>
            </w:r>
          </w:p>
          <w:p w:rsidR="00444927" w:rsidRPr="00933CD5" w:rsidRDefault="00444927" w:rsidP="00444927">
            <w:pPr>
              <w:pStyle w:val="TableTitle"/>
              <w:rPr>
                <w:color w:val="FFFFFF" w:themeColor="background1"/>
                <w:lang w:val="en-CA"/>
              </w:rPr>
            </w:pPr>
            <w:r w:rsidRPr="00933CD5">
              <w:rPr>
                <w:color w:val="FFFFFF" w:themeColor="background1"/>
                <w:lang w:val="en-CA"/>
              </w:rPr>
              <w:t xml:space="preserve">Note: Data for 2019 are not available  </w:t>
            </w:r>
          </w:p>
        </w:tc>
      </w:tr>
      <w:tr w:rsidR="00444927" w:rsidRPr="00444927" w:rsidTr="001053BD">
        <w:trPr>
          <w:cantSplit/>
          <w:tblHeader/>
        </w:trPr>
        <w:tc>
          <w:tcPr>
            <w:tcW w:w="0" w:type="auto"/>
            <w:hideMark/>
          </w:tcPr>
          <w:p w:rsidR="00444927" w:rsidRPr="00444927" w:rsidRDefault="00444927" w:rsidP="00D823DC">
            <w:pPr>
              <w:pStyle w:val="Level1"/>
              <w:tabs>
                <w:tab w:val="left" w:pos="-1440"/>
              </w:tabs>
              <w:autoSpaceDE w:val="0"/>
              <w:autoSpaceDN w:val="0"/>
              <w:adjustRightInd w:val="0"/>
              <w:spacing w:after="120" w:line="20" w:lineRule="atLeast"/>
              <w:rPr>
                <w:rFonts w:asciiTheme="minorHAnsi" w:hAnsiTheme="minorHAnsi" w:cstheme="minorHAnsi"/>
                <w:sz w:val="22"/>
                <w:lang w:val="en-CA"/>
              </w:rPr>
            </w:pPr>
            <w:r w:rsidRPr="00444927">
              <w:rPr>
                <w:rFonts w:asciiTheme="minorHAnsi" w:hAnsiTheme="minorHAnsi" w:cstheme="minorHAnsi"/>
                <w:sz w:val="22"/>
                <w:lang w:val="en-CA"/>
              </w:rPr>
              <w:t>Women</w:t>
            </w:r>
          </w:p>
        </w:tc>
        <w:tc>
          <w:tcPr>
            <w:tcW w:w="5324" w:type="dxa"/>
          </w:tcPr>
          <w:p w:rsidR="00444927" w:rsidRPr="00444927" w:rsidRDefault="00444927" w:rsidP="00D823DC">
            <w:pPr>
              <w:pStyle w:val="Level1"/>
              <w:tabs>
                <w:tab w:val="left" w:pos="-1440"/>
              </w:tabs>
              <w:spacing w:after="120" w:line="20" w:lineRule="atLeast"/>
              <w:jc w:val="center"/>
              <w:rPr>
                <w:rFonts w:asciiTheme="minorHAnsi" w:hAnsiTheme="minorHAnsi" w:cstheme="minorHAnsi"/>
                <w:sz w:val="22"/>
                <w:lang w:val="en-CA"/>
              </w:rPr>
            </w:pPr>
            <w:r w:rsidRPr="00444927">
              <w:rPr>
                <w:rFonts w:asciiTheme="minorHAnsi" w:hAnsiTheme="minorHAnsi" w:cstheme="minorHAnsi"/>
                <w:sz w:val="22"/>
                <w:lang w:val="en-CA"/>
              </w:rPr>
              <w:t>65.1%</w:t>
            </w:r>
          </w:p>
        </w:tc>
        <w:tc>
          <w:tcPr>
            <w:tcW w:w="6173" w:type="dxa"/>
            <w:hideMark/>
          </w:tcPr>
          <w:p w:rsidR="00444927" w:rsidRPr="00444927" w:rsidRDefault="00444927" w:rsidP="00D823DC">
            <w:pPr>
              <w:pStyle w:val="Level1"/>
              <w:tabs>
                <w:tab w:val="left" w:pos="-1440"/>
              </w:tabs>
              <w:spacing w:after="120" w:line="20" w:lineRule="atLeast"/>
              <w:jc w:val="center"/>
              <w:rPr>
                <w:rFonts w:asciiTheme="minorHAnsi" w:hAnsiTheme="minorHAnsi" w:cstheme="minorHAnsi"/>
                <w:sz w:val="22"/>
                <w:lang w:val="en-CA"/>
              </w:rPr>
            </w:pPr>
            <w:r w:rsidRPr="00444927">
              <w:rPr>
                <w:rFonts w:asciiTheme="minorHAnsi" w:hAnsiTheme="minorHAnsi" w:cstheme="minorHAnsi"/>
                <w:sz w:val="22"/>
                <w:lang w:val="en-CA"/>
              </w:rPr>
              <w:t>54.8%</w:t>
            </w:r>
          </w:p>
        </w:tc>
      </w:tr>
      <w:tr w:rsidR="00444927" w:rsidRPr="00444927" w:rsidTr="001053BD">
        <w:trPr>
          <w:cantSplit/>
          <w:tblHeader/>
        </w:trPr>
        <w:tc>
          <w:tcPr>
            <w:tcW w:w="0" w:type="auto"/>
            <w:hideMark/>
          </w:tcPr>
          <w:p w:rsidR="00444927" w:rsidRPr="00444927" w:rsidRDefault="00444927" w:rsidP="00D823DC">
            <w:pPr>
              <w:pStyle w:val="Level1"/>
              <w:tabs>
                <w:tab w:val="left" w:pos="-1440"/>
              </w:tabs>
              <w:autoSpaceDE w:val="0"/>
              <w:autoSpaceDN w:val="0"/>
              <w:adjustRightInd w:val="0"/>
              <w:spacing w:after="120" w:line="20" w:lineRule="atLeast"/>
              <w:rPr>
                <w:rFonts w:asciiTheme="minorHAnsi" w:hAnsiTheme="minorHAnsi" w:cstheme="minorHAnsi"/>
                <w:sz w:val="22"/>
                <w:lang w:val="en-CA"/>
              </w:rPr>
            </w:pPr>
            <w:r w:rsidRPr="00444927">
              <w:rPr>
                <w:rFonts w:asciiTheme="minorHAnsi" w:hAnsiTheme="minorHAnsi" w:cstheme="minorHAnsi"/>
                <w:sz w:val="22"/>
                <w:lang w:val="en-CA"/>
              </w:rPr>
              <w:t>Aboriginal Peoples</w:t>
            </w:r>
          </w:p>
        </w:tc>
        <w:tc>
          <w:tcPr>
            <w:tcW w:w="5324" w:type="dxa"/>
          </w:tcPr>
          <w:p w:rsidR="00444927" w:rsidRPr="00444927" w:rsidRDefault="00444927" w:rsidP="00D823DC">
            <w:pPr>
              <w:pStyle w:val="Level1"/>
              <w:tabs>
                <w:tab w:val="left" w:pos="-1440"/>
              </w:tabs>
              <w:spacing w:after="120" w:line="20" w:lineRule="atLeast"/>
              <w:jc w:val="center"/>
              <w:rPr>
                <w:rFonts w:asciiTheme="minorHAnsi" w:hAnsiTheme="minorHAnsi" w:cstheme="minorHAnsi"/>
                <w:sz w:val="22"/>
                <w:lang w:val="en-CA"/>
              </w:rPr>
            </w:pPr>
            <w:r w:rsidRPr="00444927">
              <w:rPr>
                <w:rFonts w:asciiTheme="minorHAnsi" w:hAnsiTheme="minorHAnsi" w:cstheme="minorHAnsi"/>
                <w:sz w:val="22"/>
                <w:lang w:val="en-CA"/>
              </w:rPr>
              <w:t>6.2%</w:t>
            </w:r>
          </w:p>
        </w:tc>
        <w:tc>
          <w:tcPr>
            <w:tcW w:w="6173" w:type="dxa"/>
            <w:hideMark/>
          </w:tcPr>
          <w:p w:rsidR="00444927" w:rsidRPr="00444927" w:rsidRDefault="00444927" w:rsidP="00D823DC">
            <w:pPr>
              <w:pStyle w:val="Level1"/>
              <w:tabs>
                <w:tab w:val="left" w:pos="-1440"/>
              </w:tabs>
              <w:spacing w:after="120" w:line="20" w:lineRule="atLeast"/>
              <w:jc w:val="center"/>
              <w:rPr>
                <w:rFonts w:asciiTheme="minorHAnsi" w:hAnsiTheme="minorHAnsi" w:cstheme="minorHAnsi"/>
                <w:sz w:val="22"/>
                <w:lang w:val="en-CA"/>
              </w:rPr>
            </w:pPr>
            <w:r w:rsidRPr="00444927">
              <w:rPr>
                <w:rFonts w:asciiTheme="minorHAnsi" w:hAnsiTheme="minorHAnsi" w:cstheme="minorHAnsi"/>
                <w:sz w:val="22"/>
                <w:lang w:val="en-CA"/>
              </w:rPr>
              <w:t>5.1%</w:t>
            </w:r>
          </w:p>
        </w:tc>
      </w:tr>
      <w:tr w:rsidR="00444927" w:rsidRPr="00444927" w:rsidTr="001053BD">
        <w:trPr>
          <w:cantSplit/>
          <w:trHeight w:val="598"/>
          <w:tblHeader/>
        </w:trPr>
        <w:tc>
          <w:tcPr>
            <w:tcW w:w="0" w:type="auto"/>
            <w:hideMark/>
          </w:tcPr>
          <w:p w:rsidR="00444927" w:rsidRPr="00444927" w:rsidRDefault="00444927" w:rsidP="00D823DC">
            <w:pPr>
              <w:pStyle w:val="Level1"/>
              <w:tabs>
                <w:tab w:val="left" w:pos="-1440"/>
              </w:tabs>
              <w:autoSpaceDE w:val="0"/>
              <w:autoSpaceDN w:val="0"/>
              <w:adjustRightInd w:val="0"/>
              <w:spacing w:after="120" w:line="20" w:lineRule="atLeast"/>
              <w:rPr>
                <w:rFonts w:asciiTheme="minorHAnsi" w:hAnsiTheme="minorHAnsi" w:cstheme="minorHAnsi"/>
                <w:sz w:val="22"/>
                <w:lang w:val="en-CA"/>
              </w:rPr>
            </w:pPr>
            <w:r w:rsidRPr="00444927">
              <w:rPr>
                <w:rFonts w:asciiTheme="minorHAnsi" w:hAnsiTheme="minorHAnsi" w:cstheme="minorHAnsi"/>
                <w:sz w:val="22"/>
                <w:lang w:val="en-CA"/>
              </w:rPr>
              <w:t>Persons with Disabilities</w:t>
            </w:r>
          </w:p>
        </w:tc>
        <w:tc>
          <w:tcPr>
            <w:tcW w:w="5324" w:type="dxa"/>
            <w:shd w:val="clear" w:color="auto" w:fill="FFB999" w:themeFill="accent4" w:themeFillTint="66"/>
          </w:tcPr>
          <w:p w:rsidR="00444927" w:rsidRPr="00444927" w:rsidRDefault="00444927" w:rsidP="00D823DC">
            <w:pPr>
              <w:pStyle w:val="Level1"/>
              <w:tabs>
                <w:tab w:val="left" w:pos="-1440"/>
              </w:tabs>
              <w:spacing w:after="120" w:line="20" w:lineRule="atLeast"/>
              <w:jc w:val="center"/>
              <w:rPr>
                <w:rFonts w:asciiTheme="minorHAnsi" w:hAnsiTheme="minorHAnsi" w:cstheme="minorHAnsi"/>
                <w:sz w:val="22"/>
                <w:lang w:val="en-CA"/>
              </w:rPr>
            </w:pPr>
            <w:r w:rsidRPr="00444927">
              <w:rPr>
                <w:rFonts w:asciiTheme="minorHAnsi" w:hAnsiTheme="minorHAnsi" w:cstheme="minorHAnsi"/>
                <w:sz w:val="22"/>
                <w:lang w:val="en-CA"/>
              </w:rPr>
              <w:t>3.5%</w:t>
            </w:r>
          </w:p>
        </w:tc>
        <w:tc>
          <w:tcPr>
            <w:tcW w:w="6173" w:type="dxa"/>
            <w:hideMark/>
          </w:tcPr>
          <w:p w:rsidR="00444927" w:rsidRPr="00444927" w:rsidRDefault="00444927" w:rsidP="00D823DC">
            <w:pPr>
              <w:pStyle w:val="Level1"/>
              <w:tabs>
                <w:tab w:val="left" w:pos="-1440"/>
              </w:tabs>
              <w:spacing w:after="120" w:line="20" w:lineRule="atLeast"/>
              <w:jc w:val="center"/>
              <w:rPr>
                <w:rFonts w:asciiTheme="minorHAnsi" w:hAnsiTheme="minorHAnsi" w:cstheme="minorHAnsi"/>
                <w:sz w:val="22"/>
                <w:lang w:val="en-CA"/>
              </w:rPr>
            </w:pPr>
            <w:r w:rsidRPr="00444927">
              <w:rPr>
                <w:rFonts w:asciiTheme="minorHAnsi" w:hAnsiTheme="minorHAnsi" w:cstheme="minorHAnsi"/>
                <w:sz w:val="22"/>
                <w:lang w:val="en-CA"/>
              </w:rPr>
              <w:t>5.3%</w:t>
            </w:r>
          </w:p>
        </w:tc>
      </w:tr>
      <w:tr w:rsidR="00444927" w:rsidRPr="00444927" w:rsidTr="001053BD">
        <w:trPr>
          <w:cantSplit/>
          <w:tblHeader/>
        </w:trPr>
        <w:tc>
          <w:tcPr>
            <w:tcW w:w="0" w:type="auto"/>
            <w:hideMark/>
          </w:tcPr>
          <w:p w:rsidR="00444927" w:rsidRPr="00444927" w:rsidRDefault="00444927" w:rsidP="00D823DC">
            <w:pPr>
              <w:pStyle w:val="Level1"/>
              <w:tabs>
                <w:tab w:val="left" w:pos="-1440"/>
              </w:tabs>
              <w:autoSpaceDE w:val="0"/>
              <w:autoSpaceDN w:val="0"/>
              <w:adjustRightInd w:val="0"/>
              <w:spacing w:after="120" w:line="20" w:lineRule="atLeast"/>
              <w:rPr>
                <w:rFonts w:asciiTheme="minorHAnsi" w:hAnsiTheme="minorHAnsi" w:cstheme="minorHAnsi"/>
                <w:sz w:val="22"/>
                <w:lang w:val="en-CA"/>
              </w:rPr>
            </w:pPr>
            <w:r w:rsidRPr="00444927">
              <w:rPr>
                <w:rFonts w:asciiTheme="minorHAnsi" w:hAnsiTheme="minorHAnsi" w:cstheme="minorHAnsi"/>
                <w:sz w:val="22"/>
                <w:lang w:val="en-CA"/>
              </w:rPr>
              <w:t>Members of Visible Minorities</w:t>
            </w:r>
          </w:p>
        </w:tc>
        <w:tc>
          <w:tcPr>
            <w:tcW w:w="5324" w:type="dxa"/>
            <w:shd w:val="clear" w:color="auto" w:fill="FFB999" w:themeFill="accent4" w:themeFillTint="66"/>
          </w:tcPr>
          <w:p w:rsidR="00444927" w:rsidRPr="00444927" w:rsidRDefault="00444927" w:rsidP="00D823DC">
            <w:pPr>
              <w:pStyle w:val="Level1"/>
              <w:tabs>
                <w:tab w:val="left" w:pos="-1440"/>
              </w:tabs>
              <w:spacing w:after="120" w:line="20" w:lineRule="atLeast"/>
              <w:jc w:val="center"/>
              <w:rPr>
                <w:rFonts w:asciiTheme="minorHAnsi" w:hAnsiTheme="minorHAnsi" w:cstheme="minorHAnsi"/>
                <w:sz w:val="22"/>
                <w:lang w:val="en-CA"/>
              </w:rPr>
            </w:pPr>
            <w:r w:rsidRPr="00444927">
              <w:rPr>
                <w:rFonts w:asciiTheme="minorHAnsi" w:hAnsiTheme="minorHAnsi" w:cstheme="minorHAnsi"/>
                <w:sz w:val="22"/>
                <w:lang w:val="en-CA"/>
              </w:rPr>
              <w:t>10.5%</w:t>
            </w:r>
          </w:p>
        </w:tc>
        <w:tc>
          <w:tcPr>
            <w:tcW w:w="6173" w:type="dxa"/>
            <w:hideMark/>
          </w:tcPr>
          <w:p w:rsidR="00444927" w:rsidRPr="00444927" w:rsidRDefault="00444927" w:rsidP="00D823DC">
            <w:pPr>
              <w:pStyle w:val="Level1"/>
              <w:tabs>
                <w:tab w:val="left" w:pos="-1440"/>
              </w:tabs>
              <w:spacing w:after="120" w:line="20" w:lineRule="atLeast"/>
              <w:jc w:val="center"/>
              <w:rPr>
                <w:rFonts w:asciiTheme="minorHAnsi" w:hAnsiTheme="minorHAnsi" w:cstheme="minorHAnsi"/>
                <w:sz w:val="22"/>
                <w:lang w:val="en-CA"/>
              </w:rPr>
            </w:pPr>
            <w:r w:rsidRPr="00444927">
              <w:rPr>
                <w:rFonts w:asciiTheme="minorHAnsi" w:hAnsiTheme="minorHAnsi" w:cstheme="minorHAnsi"/>
                <w:sz w:val="22"/>
                <w:lang w:val="en-CA"/>
              </w:rPr>
              <w:t>15.7%</w:t>
            </w:r>
          </w:p>
        </w:tc>
      </w:tr>
    </w:tbl>
    <w:p w:rsidR="00444927" w:rsidRPr="00444927" w:rsidRDefault="00444927" w:rsidP="00444927">
      <w:pPr>
        <w:pStyle w:val="Level1"/>
        <w:tabs>
          <w:tab w:val="left" w:pos="-1440"/>
        </w:tabs>
        <w:autoSpaceDE w:val="0"/>
        <w:autoSpaceDN w:val="0"/>
        <w:adjustRightInd w:val="0"/>
        <w:spacing w:after="120" w:line="20" w:lineRule="atLeast"/>
        <w:rPr>
          <w:rFonts w:asciiTheme="minorHAnsi" w:hAnsiTheme="minorHAnsi" w:cstheme="minorHAnsi"/>
          <w:sz w:val="22"/>
          <w:lang w:val="en-CA"/>
        </w:rPr>
      </w:pPr>
      <w:r w:rsidRPr="00444927">
        <w:rPr>
          <w:rFonts w:asciiTheme="minorHAnsi" w:hAnsiTheme="minorHAnsi" w:cstheme="minorHAnsi"/>
          <w:sz w:val="22"/>
          <w:lang w:val="en-CA"/>
        </w:rPr>
        <w:t xml:space="preserve">Source: </w:t>
      </w:r>
      <w:hyperlink r:id="rId9" w:history="1">
        <w:r w:rsidRPr="00444927">
          <w:rPr>
            <w:rStyle w:val="Lienhypertexte"/>
            <w:rFonts w:asciiTheme="minorHAnsi" w:hAnsiTheme="minorHAnsi" w:cstheme="minorHAnsi"/>
            <w:sz w:val="22"/>
            <w:lang w:val="en-CA"/>
          </w:rPr>
          <w:t>Employment Equity in the Public Service of Canada 2017- 2018</w:t>
        </w:r>
      </w:hyperlink>
      <w:r w:rsidRPr="00444927">
        <w:rPr>
          <w:rStyle w:val="Lienhypertexte"/>
          <w:rFonts w:asciiTheme="minorHAnsi" w:hAnsiTheme="minorHAnsi" w:cstheme="minorHAnsi"/>
          <w:sz w:val="22"/>
          <w:u w:val="none"/>
          <w:lang w:val="en-CA"/>
        </w:rPr>
        <w:t xml:space="preserve"> </w:t>
      </w:r>
      <w:r w:rsidRPr="00444927">
        <w:rPr>
          <w:rFonts w:asciiTheme="minorHAnsi" w:hAnsiTheme="minorHAnsi" w:cstheme="minorHAnsi"/>
          <w:sz w:val="22"/>
          <w:lang w:val="en-CA"/>
        </w:rPr>
        <w:t xml:space="preserve">Treasury Board of Canada Secretariat. </w:t>
      </w:r>
    </w:p>
    <w:p w:rsidR="00DD72C1" w:rsidRPr="00444927" w:rsidRDefault="00444927" w:rsidP="00444927">
      <w:pPr>
        <w:widowControl w:val="0"/>
        <w:autoSpaceDE w:val="0"/>
        <w:autoSpaceDN w:val="0"/>
        <w:adjustRightInd w:val="0"/>
        <w:spacing w:after="120"/>
        <w:rPr>
          <w:rStyle w:val="lev"/>
          <w:lang w:val="en-CA"/>
        </w:rPr>
      </w:pPr>
      <w:r w:rsidRPr="00444927">
        <w:rPr>
          <w:rStyle w:val="lev"/>
          <w:lang w:val="en-CA"/>
        </w:rPr>
        <w:t>*</w:t>
      </w:r>
      <w:r w:rsidRPr="001053BD">
        <w:rPr>
          <w:rStyle w:val="lev"/>
          <w:b w:val="0"/>
          <w:lang w:val="en-CA"/>
        </w:rPr>
        <w:t>IAAC replaced the Canadian Environmental Assessment Agency on August 28, 2019. Consequently, data provided is for the latter. The following analysis applies to IAAC.</w:t>
      </w:r>
    </w:p>
    <w:p w:rsidR="00DD72C1" w:rsidRPr="00F162C5" w:rsidRDefault="00DD72C1" w:rsidP="00444927">
      <w:pPr>
        <w:widowControl w:val="0"/>
        <w:autoSpaceDE w:val="0"/>
        <w:autoSpaceDN w:val="0"/>
        <w:adjustRightInd w:val="0"/>
        <w:rPr>
          <w:rFonts w:asciiTheme="minorHAnsi" w:hAnsiTheme="minorHAnsi" w:cstheme="minorHAnsi"/>
          <w:sz w:val="22"/>
          <w:szCs w:val="22"/>
          <w:lang w:val="en-CA" w:eastAsia="en-CA"/>
        </w:rPr>
      </w:pPr>
      <w:r w:rsidRPr="00F162C5">
        <w:rPr>
          <w:rFonts w:asciiTheme="minorHAnsi" w:hAnsiTheme="minorHAnsi" w:cstheme="minorHAnsi"/>
          <w:sz w:val="22"/>
          <w:szCs w:val="22"/>
          <w:lang w:val="en-CA" w:eastAsia="en-CA"/>
        </w:rPr>
        <w:t xml:space="preserve">The following array of solutions may be useful as the IAAC continues to build a representative and diverse workforce: </w:t>
      </w:r>
    </w:p>
    <w:p w:rsidR="00DD72C1" w:rsidRPr="00F162C5" w:rsidRDefault="00DD72C1" w:rsidP="00444927">
      <w:pPr>
        <w:widowControl w:val="0"/>
        <w:autoSpaceDE w:val="0"/>
        <w:autoSpaceDN w:val="0"/>
        <w:adjustRightInd w:val="0"/>
        <w:spacing w:before="120"/>
        <w:rPr>
          <w:rFonts w:asciiTheme="minorHAnsi" w:hAnsiTheme="minorHAnsi" w:cstheme="minorHAnsi"/>
          <w:sz w:val="22"/>
          <w:szCs w:val="22"/>
          <w:lang w:val="en-CA" w:eastAsia="en-CA"/>
        </w:rPr>
      </w:pPr>
      <w:r w:rsidRPr="00F162C5">
        <w:rPr>
          <w:rFonts w:asciiTheme="minorHAnsi" w:hAnsiTheme="minorHAnsi" w:cstheme="minorHAnsi"/>
          <w:sz w:val="22"/>
          <w:szCs w:val="22"/>
          <w:lang w:val="en-CA" w:eastAsia="en-CA"/>
        </w:rPr>
        <w:t xml:space="preserve">The </w:t>
      </w:r>
      <w:r w:rsidRPr="00444927">
        <w:rPr>
          <w:rStyle w:val="Accentuation"/>
          <w:lang w:val="en-CA"/>
        </w:rPr>
        <w:t xml:space="preserve">Public Service Employment Act </w:t>
      </w:r>
      <w:r w:rsidRPr="00F162C5">
        <w:rPr>
          <w:rFonts w:asciiTheme="minorHAnsi" w:hAnsiTheme="minorHAnsi" w:cstheme="minorHAnsi"/>
          <w:sz w:val="22"/>
          <w:szCs w:val="22"/>
          <w:lang w:val="en-CA" w:eastAsia="en-CA"/>
        </w:rPr>
        <w:t>includes provisions that enable managers to:</w:t>
      </w:r>
    </w:p>
    <w:p w:rsidR="00DD72C1" w:rsidRPr="00F162C5" w:rsidRDefault="00DD72C1" w:rsidP="00444927">
      <w:pPr>
        <w:widowControl w:val="0"/>
        <w:numPr>
          <w:ilvl w:val="1"/>
          <w:numId w:val="11"/>
        </w:numPr>
        <w:autoSpaceDE w:val="0"/>
        <w:autoSpaceDN w:val="0"/>
        <w:adjustRightInd w:val="0"/>
        <w:rPr>
          <w:rFonts w:asciiTheme="minorHAnsi" w:hAnsiTheme="minorHAnsi" w:cstheme="minorHAnsi"/>
          <w:sz w:val="22"/>
          <w:szCs w:val="22"/>
          <w:lang w:val="en-CA" w:eastAsia="en-CA"/>
        </w:rPr>
      </w:pPr>
      <w:r w:rsidRPr="00F162C5">
        <w:rPr>
          <w:rFonts w:asciiTheme="minorHAnsi" w:hAnsiTheme="minorHAnsi" w:cstheme="minorHAnsi"/>
          <w:sz w:val="22"/>
          <w:szCs w:val="22"/>
          <w:lang w:val="en-CA" w:eastAsia="en-CA"/>
        </w:rPr>
        <w:t>Target designated group members through the area of selection for advertised appointment processes;</w:t>
      </w:r>
    </w:p>
    <w:p w:rsidR="00DD72C1" w:rsidRPr="00F162C5" w:rsidRDefault="00DD72C1" w:rsidP="00444927">
      <w:pPr>
        <w:widowControl w:val="0"/>
        <w:numPr>
          <w:ilvl w:val="1"/>
          <w:numId w:val="11"/>
        </w:numPr>
        <w:autoSpaceDE w:val="0"/>
        <w:autoSpaceDN w:val="0"/>
        <w:adjustRightInd w:val="0"/>
        <w:rPr>
          <w:rFonts w:asciiTheme="minorHAnsi" w:hAnsiTheme="minorHAnsi" w:cstheme="minorHAnsi"/>
          <w:sz w:val="22"/>
          <w:szCs w:val="22"/>
          <w:lang w:val="en-CA" w:eastAsia="en-CA"/>
        </w:rPr>
      </w:pPr>
      <w:r w:rsidRPr="00F162C5">
        <w:rPr>
          <w:rFonts w:asciiTheme="minorHAnsi" w:hAnsiTheme="minorHAnsi" w:cstheme="minorHAnsi"/>
          <w:sz w:val="22"/>
          <w:szCs w:val="22"/>
          <w:lang w:val="en-CA" w:eastAsia="en-CA"/>
        </w:rPr>
        <w:t>Establish and apply an organizational need to appoint designated group members; and</w:t>
      </w:r>
    </w:p>
    <w:p w:rsidR="00DD72C1" w:rsidRPr="00F162C5" w:rsidRDefault="00DD72C1" w:rsidP="00444927">
      <w:pPr>
        <w:widowControl w:val="0"/>
        <w:numPr>
          <w:ilvl w:val="1"/>
          <w:numId w:val="11"/>
        </w:numPr>
        <w:autoSpaceDE w:val="0"/>
        <w:autoSpaceDN w:val="0"/>
        <w:adjustRightInd w:val="0"/>
        <w:rPr>
          <w:rFonts w:asciiTheme="minorHAnsi" w:hAnsiTheme="minorHAnsi" w:cstheme="minorHAnsi"/>
          <w:sz w:val="22"/>
          <w:szCs w:val="22"/>
          <w:lang w:val="en-CA" w:eastAsia="en-CA"/>
        </w:rPr>
      </w:pPr>
      <w:r w:rsidRPr="00F162C5">
        <w:rPr>
          <w:rFonts w:asciiTheme="minorHAnsi" w:hAnsiTheme="minorHAnsi" w:cstheme="minorHAnsi"/>
          <w:sz w:val="22"/>
          <w:szCs w:val="22"/>
          <w:lang w:val="en-CA" w:eastAsia="en-CA"/>
        </w:rPr>
        <w:t>Use external and internal non-advertised appointment to appoint designated group members.</w:t>
      </w:r>
    </w:p>
    <w:p w:rsidR="00DD72C1" w:rsidRPr="00F162C5" w:rsidRDefault="00DD72C1" w:rsidP="00444927">
      <w:pPr>
        <w:widowControl w:val="0"/>
        <w:autoSpaceDE w:val="0"/>
        <w:autoSpaceDN w:val="0"/>
        <w:adjustRightInd w:val="0"/>
        <w:spacing w:before="120"/>
        <w:rPr>
          <w:rFonts w:asciiTheme="minorHAnsi" w:hAnsiTheme="minorHAnsi" w:cstheme="minorHAnsi"/>
          <w:sz w:val="22"/>
          <w:szCs w:val="22"/>
          <w:lang w:val="en-CA" w:eastAsia="en-CA"/>
        </w:rPr>
      </w:pPr>
      <w:r w:rsidRPr="00F162C5">
        <w:rPr>
          <w:rFonts w:asciiTheme="minorHAnsi" w:hAnsiTheme="minorHAnsi" w:cstheme="minorHAnsi"/>
          <w:sz w:val="22"/>
          <w:szCs w:val="22"/>
          <w:lang w:val="en-CA" w:eastAsia="en-CA"/>
        </w:rPr>
        <w:t>The PSC offers recruitment solutions that target designated group members such as:</w:t>
      </w:r>
    </w:p>
    <w:p w:rsidR="00DD72C1" w:rsidRPr="00F162C5" w:rsidRDefault="00DD72C1" w:rsidP="00444927">
      <w:pPr>
        <w:widowControl w:val="0"/>
        <w:numPr>
          <w:ilvl w:val="1"/>
          <w:numId w:val="11"/>
        </w:numPr>
        <w:autoSpaceDE w:val="0"/>
        <w:autoSpaceDN w:val="0"/>
        <w:adjustRightInd w:val="0"/>
        <w:rPr>
          <w:rFonts w:asciiTheme="minorHAnsi" w:hAnsiTheme="minorHAnsi" w:cstheme="minorHAnsi"/>
          <w:sz w:val="22"/>
          <w:szCs w:val="22"/>
          <w:lang w:val="en-CA" w:eastAsia="en-CA"/>
        </w:rPr>
      </w:pPr>
      <w:r w:rsidRPr="00F162C5">
        <w:rPr>
          <w:rFonts w:asciiTheme="minorHAnsi" w:hAnsiTheme="minorHAnsi" w:cstheme="minorHAnsi"/>
          <w:sz w:val="22"/>
          <w:szCs w:val="22"/>
          <w:lang w:val="en-CA" w:eastAsia="en-CA"/>
        </w:rPr>
        <w:t>Request referrals of designated group members when using student programs such as the FSWEP and Post-Secondary Co-op and Internship Program, with a plan that could include eventually recruiting students into the public service;</w:t>
      </w:r>
    </w:p>
    <w:p w:rsidR="00DD72C1" w:rsidRPr="00F162C5" w:rsidRDefault="00DD72C1" w:rsidP="00444927">
      <w:pPr>
        <w:widowControl w:val="0"/>
        <w:numPr>
          <w:ilvl w:val="1"/>
          <w:numId w:val="11"/>
        </w:numPr>
        <w:autoSpaceDE w:val="0"/>
        <w:autoSpaceDN w:val="0"/>
        <w:adjustRightInd w:val="0"/>
        <w:rPr>
          <w:rFonts w:asciiTheme="minorHAnsi" w:hAnsiTheme="minorHAnsi" w:cstheme="minorHAnsi"/>
          <w:sz w:val="22"/>
          <w:szCs w:val="22"/>
          <w:u w:val="single"/>
          <w:lang w:val="en-CA" w:eastAsia="en-CA"/>
        </w:rPr>
      </w:pPr>
      <w:r w:rsidRPr="00F162C5">
        <w:rPr>
          <w:rFonts w:asciiTheme="minorHAnsi" w:hAnsiTheme="minorHAnsi" w:cstheme="minorHAnsi"/>
          <w:sz w:val="22"/>
          <w:szCs w:val="22"/>
          <w:lang w:val="en-CA" w:eastAsia="en-CA"/>
        </w:rPr>
        <w:t>Advertising through the student program Research Affiliate Program to recruit students of designated group members; and</w:t>
      </w:r>
    </w:p>
    <w:p w:rsidR="00DD72C1" w:rsidRPr="00F162C5" w:rsidRDefault="00DD72C1" w:rsidP="00444927">
      <w:pPr>
        <w:widowControl w:val="0"/>
        <w:numPr>
          <w:ilvl w:val="1"/>
          <w:numId w:val="11"/>
        </w:numPr>
        <w:autoSpaceDE w:val="0"/>
        <w:autoSpaceDN w:val="0"/>
        <w:adjustRightInd w:val="0"/>
        <w:rPr>
          <w:rFonts w:asciiTheme="minorHAnsi" w:hAnsiTheme="minorHAnsi" w:cstheme="minorHAnsi"/>
          <w:sz w:val="22"/>
          <w:szCs w:val="22"/>
          <w:lang w:val="en-CA"/>
        </w:rPr>
      </w:pPr>
      <w:r w:rsidRPr="00F162C5">
        <w:rPr>
          <w:rFonts w:asciiTheme="minorHAnsi" w:hAnsiTheme="minorHAnsi" w:cstheme="minorHAnsi"/>
          <w:sz w:val="22"/>
          <w:szCs w:val="22"/>
          <w:lang w:val="en-CA" w:eastAsia="en-CA"/>
        </w:rPr>
        <w:t xml:space="preserve">Request referrals of designated group members when using certain inventories, such as Post-Secondary Recruitment. </w:t>
      </w:r>
    </w:p>
    <w:p w:rsidR="00444927" w:rsidRDefault="00444927" w:rsidP="00F162C5">
      <w:pPr>
        <w:pStyle w:val="Titre1"/>
        <w:spacing w:after="240"/>
        <w:rPr>
          <w:lang w:val="en-CA"/>
        </w:rPr>
        <w:sectPr w:rsidR="00444927" w:rsidSect="00006B02">
          <w:footnotePr>
            <w:numFmt w:val="lowerLetter"/>
          </w:footnotePr>
          <w:endnotePr>
            <w:numFmt w:val="lowerLetter"/>
          </w:endnotePr>
          <w:pgSz w:w="15840" w:h="12240" w:orient="landscape" w:code="1"/>
          <w:pgMar w:top="720" w:right="720" w:bottom="720" w:left="720" w:header="284" w:footer="284" w:gutter="0"/>
          <w:cols w:space="720"/>
          <w:docGrid w:linePitch="326"/>
        </w:sectPr>
      </w:pPr>
    </w:p>
    <w:p w:rsidR="00DD72C1" w:rsidRPr="00F162C5" w:rsidRDefault="00D91C17" w:rsidP="00F162C5">
      <w:pPr>
        <w:pStyle w:val="Titre1"/>
        <w:spacing w:after="240"/>
        <w:rPr>
          <w:lang w:val="en-CA"/>
        </w:rPr>
      </w:pPr>
      <w:r w:rsidRPr="00F162C5">
        <w:rPr>
          <w:lang w:val="en-CA"/>
        </w:rPr>
        <w:lastRenderedPageBreak/>
        <w:t>Priority Entitlements and V</w:t>
      </w:r>
      <w:r w:rsidR="00DD72C1" w:rsidRPr="00F162C5">
        <w:rPr>
          <w:lang w:val="en-CA"/>
        </w:rPr>
        <w:t>eterans</w:t>
      </w:r>
    </w:p>
    <w:p w:rsidR="00DD72C1" w:rsidRPr="00F162C5" w:rsidRDefault="00DD72C1" w:rsidP="009B034C">
      <w:pPr>
        <w:spacing w:after="120"/>
        <w:rPr>
          <w:rFonts w:asciiTheme="minorHAnsi" w:eastAsiaTheme="minorHAnsi" w:hAnsiTheme="minorHAnsi" w:cstheme="minorHAnsi"/>
          <w:sz w:val="22"/>
          <w:szCs w:val="22"/>
          <w:lang w:val="en-CA"/>
        </w:rPr>
      </w:pPr>
      <w:r w:rsidRPr="00F162C5">
        <w:rPr>
          <w:rFonts w:asciiTheme="minorHAnsi" w:eastAsiaTheme="minorHAnsi" w:hAnsiTheme="minorHAnsi" w:cstheme="minorHAnsi"/>
          <w:sz w:val="22"/>
          <w:szCs w:val="22"/>
          <w:lang w:val="en-CA"/>
        </w:rPr>
        <w:t xml:space="preserve">The IAAC currently has two (2) persons with priority entitlement (PPE) identified in the Priority Information Management System. Both have been identified as Leave of Absence Returnee Priorities. Since April 1, 2018, the CEAA appointed one (1) PPE. This PPE was an employee of this organization </w:t>
      </w:r>
      <w:r w:rsidRPr="00F162C5">
        <w:rPr>
          <w:rFonts w:asciiTheme="minorHAnsi" w:hAnsiTheme="minorHAnsi" w:cstheme="minorHAnsi"/>
          <w:bCs/>
          <w:sz w:val="22"/>
          <w:szCs w:val="22"/>
          <w:lang w:val="en-CA"/>
        </w:rPr>
        <w:t>and as such, had </w:t>
      </w:r>
      <w:r w:rsidRPr="00F162C5">
        <w:rPr>
          <w:rFonts w:asciiTheme="minorHAnsi" w:hAnsiTheme="minorHAnsi" w:cstheme="minorHAnsi"/>
          <w:sz w:val="22"/>
          <w:szCs w:val="22"/>
          <w:lang w:val="en-CA"/>
        </w:rPr>
        <w:t>a statutory priority entitlement.</w:t>
      </w:r>
      <w:r w:rsidRPr="00F162C5">
        <w:rPr>
          <w:rFonts w:asciiTheme="minorHAnsi" w:eastAsiaTheme="minorHAnsi" w:hAnsiTheme="minorHAnsi" w:cstheme="minorHAnsi"/>
          <w:sz w:val="22"/>
          <w:szCs w:val="22"/>
          <w:lang w:val="en-CA"/>
        </w:rPr>
        <w:t xml:space="preserve"> </w:t>
      </w:r>
    </w:p>
    <w:p w:rsidR="00686E15" w:rsidRPr="00F162C5" w:rsidRDefault="00DD72C1" w:rsidP="009B034C">
      <w:pPr>
        <w:spacing w:after="120"/>
        <w:rPr>
          <w:rFonts w:asciiTheme="minorHAnsi" w:eastAsiaTheme="minorHAnsi" w:hAnsiTheme="minorHAnsi" w:cstheme="minorHAnsi"/>
          <w:sz w:val="22"/>
          <w:szCs w:val="22"/>
          <w:lang w:val="en-CA"/>
        </w:rPr>
      </w:pPr>
      <w:r w:rsidRPr="00F162C5">
        <w:rPr>
          <w:rFonts w:asciiTheme="minorHAnsi" w:eastAsiaTheme="minorHAnsi" w:hAnsiTheme="minorHAnsi" w:cstheme="minorHAnsi"/>
          <w:sz w:val="22"/>
          <w:szCs w:val="22"/>
          <w:lang w:val="en-CA"/>
        </w:rPr>
        <w:t xml:space="preserve">Since the coming into force of the </w:t>
      </w:r>
      <w:r w:rsidRPr="009B034C">
        <w:rPr>
          <w:rStyle w:val="Accentuation"/>
          <w:rFonts w:eastAsiaTheme="minorHAnsi"/>
          <w:lang w:val="en-CA"/>
        </w:rPr>
        <w:t xml:space="preserve">Veterans Hiring Act </w:t>
      </w:r>
      <w:r w:rsidRPr="00F162C5">
        <w:rPr>
          <w:rFonts w:asciiTheme="minorHAnsi" w:eastAsiaTheme="minorHAnsi" w:hAnsiTheme="minorHAnsi" w:cstheme="minorHAnsi"/>
          <w:sz w:val="22"/>
          <w:szCs w:val="22"/>
          <w:lang w:val="en-CA"/>
        </w:rPr>
        <w:t xml:space="preserve">on July 1, 2015, priority persons with a former Canadian Armed Forces member entitlement have yet to be appointed to a position within the organization. </w:t>
      </w:r>
    </w:p>
    <w:p w:rsidR="00DD72C1" w:rsidRPr="00F162C5" w:rsidRDefault="00DD72C1" w:rsidP="009B034C">
      <w:pPr>
        <w:spacing w:after="120"/>
        <w:rPr>
          <w:rFonts w:asciiTheme="minorHAnsi" w:eastAsiaTheme="minorHAnsi" w:hAnsiTheme="minorHAnsi" w:cstheme="minorHAnsi"/>
          <w:sz w:val="22"/>
          <w:szCs w:val="22"/>
          <w:lang w:val="en-CA"/>
        </w:rPr>
      </w:pPr>
      <w:r w:rsidRPr="00F162C5">
        <w:rPr>
          <w:rFonts w:asciiTheme="minorHAnsi" w:eastAsiaTheme="minorHAnsi" w:hAnsiTheme="minorHAnsi" w:cstheme="minorHAnsi"/>
          <w:sz w:val="22"/>
          <w:szCs w:val="22"/>
          <w:lang w:val="en-CA"/>
        </w:rPr>
        <w:t>From April 1, 2018 to September 5, 2019, the CEAA</w:t>
      </w:r>
      <w:r w:rsidRPr="00F162C5">
        <w:rPr>
          <w:rFonts w:asciiTheme="minorHAnsi" w:eastAsia="Calibri" w:hAnsiTheme="minorHAnsi" w:cstheme="minorHAnsi"/>
          <w:sz w:val="22"/>
          <w:szCs w:val="22"/>
          <w:lang w:val="en-CA" w:eastAsia="en-CA"/>
        </w:rPr>
        <w:t xml:space="preserve"> </w:t>
      </w:r>
      <w:r w:rsidRPr="00F162C5">
        <w:rPr>
          <w:rFonts w:asciiTheme="minorHAnsi" w:eastAsiaTheme="minorHAnsi" w:hAnsiTheme="minorHAnsi" w:cstheme="minorHAnsi"/>
          <w:sz w:val="22"/>
          <w:szCs w:val="22"/>
          <w:lang w:val="en-CA"/>
        </w:rPr>
        <w:t>submitted 309 requests for priority clearance.</w:t>
      </w:r>
    </w:p>
    <w:p w:rsidR="00DD72C1" w:rsidRPr="00F162C5" w:rsidRDefault="00D91C17" w:rsidP="00F162C5">
      <w:pPr>
        <w:pStyle w:val="Titre1"/>
        <w:spacing w:after="240"/>
        <w:rPr>
          <w:lang w:val="en-CA"/>
        </w:rPr>
      </w:pPr>
      <w:r w:rsidRPr="00F162C5">
        <w:rPr>
          <w:lang w:val="en-CA"/>
        </w:rPr>
        <w:t>Non-P</w:t>
      </w:r>
      <w:r w:rsidR="00DD72C1" w:rsidRPr="00F162C5">
        <w:rPr>
          <w:lang w:val="en-CA"/>
        </w:rPr>
        <w:t xml:space="preserve">artisanship in </w:t>
      </w:r>
      <w:r w:rsidRPr="00F162C5">
        <w:rPr>
          <w:lang w:val="en-CA"/>
        </w:rPr>
        <w:t>the Public S</w:t>
      </w:r>
      <w:r w:rsidR="00DD72C1" w:rsidRPr="00F162C5">
        <w:rPr>
          <w:lang w:val="en-CA"/>
        </w:rPr>
        <w:t xml:space="preserve">ervice </w:t>
      </w:r>
    </w:p>
    <w:p w:rsidR="00DD72C1" w:rsidRPr="00F162C5" w:rsidRDefault="00DD72C1" w:rsidP="009B034C">
      <w:pPr>
        <w:spacing w:after="15"/>
        <w:rPr>
          <w:rFonts w:asciiTheme="minorHAnsi" w:eastAsia="Calibri" w:hAnsiTheme="minorHAnsi" w:cstheme="minorHAnsi"/>
          <w:sz w:val="22"/>
          <w:szCs w:val="22"/>
          <w:lang w:val="en-CA" w:eastAsia="en-CA"/>
        </w:rPr>
      </w:pPr>
      <w:r w:rsidRPr="00F162C5">
        <w:rPr>
          <w:rFonts w:asciiTheme="minorHAnsi" w:eastAsia="Calibri" w:hAnsiTheme="minorHAnsi" w:cstheme="minorHAnsi"/>
          <w:sz w:val="22"/>
          <w:szCs w:val="22"/>
          <w:lang w:val="en-CA" w:eastAsia="en-CA"/>
        </w:rPr>
        <w:t xml:space="preserve">The IAAC’s Designated Political Activities Representative is Elaine </w:t>
      </w:r>
      <w:proofErr w:type="spellStart"/>
      <w:r w:rsidRPr="00F162C5">
        <w:rPr>
          <w:rFonts w:asciiTheme="minorHAnsi" w:eastAsia="Calibri" w:hAnsiTheme="minorHAnsi" w:cstheme="minorHAnsi"/>
          <w:sz w:val="22"/>
          <w:szCs w:val="22"/>
          <w:lang w:val="en-CA" w:eastAsia="en-CA"/>
        </w:rPr>
        <w:t>Mignault</w:t>
      </w:r>
      <w:proofErr w:type="spellEnd"/>
      <w:r w:rsidRPr="00F162C5">
        <w:rPr>
          <w:rFonts w:asciiTheme="minorHAnsi" w:eastAsia="Calibri" w:hAnsiTheme="minorHAnsi" w:cstheme="minorHAnsi"/>
          <w:sz w:val="22"/>
          <w:szCs w:val="22"/>
          <w:lang w:val="en-CA" w:eastAsia="en-CA"/>
        </w:rPr>
        <w:t>. Over the years, the PSC has not received many political candidacy requests from the CEAA employees. Since April 1, 2015, the PSC has not received nor processed any requests from the organization in this regard.</w:t>
      </w:r>
    </w:p>
    <w:p w:rsidR="00FC190A" w:rsidRPr="00F162C5" w:rsidRDefault="00DD72C1" w:rsidP="009B034C">
      <w:pPr>
        <w:spacing w:before="120" w:after="15"/>
        <w:rPr>
          <w:rFonts w:asciiTheme="minorHAnsi" w:eastAsia="Calibri" w:hAnsiTheme="minorHAnsi" w:cstheme="minorHAnsi"/>
          <w:sz w:val="22"/>
          <w:szCs w:val="22"/>
          <w:lang w:val="en-CA"/>
        </w:rPr>
      </w:pPr>
      <w:r w:rsidRPr="00F162C5">
        <w:rPr>
          <w:rFonts w:asciiTheme="minorHAnsi" w:eastAsia="Calibri" w:hAnsiTheme="minorHAnsi" w:cstheme="minorHAnsi"/>
          <w:sz w:val="22"/>
          <w:szCs w:val="22"/>
          <w:lang w:val="en-CA"/>
        </w:rPr>
        <w:t xml:space="preserve">The 2018 Staffing and Non-partisanship Survey results indicate that </w:t>
      </w:r>
      <w:r w:rsidRPr="00F162C5">
        <w:rPr>
          <w:rFonts w:asciiTheme="minorHAnsi" w:eastAsia="Calibri" w:hAnsiTheme="minorHAnsi" w:cstheme="minorHAnsi"/>
          <w:sz w:val="22"/>
          <w:szCs w:val="22"/>
          <w:lang w:val="en-CA" w:eastAsia="en-CA"/>
        </w:rPr>
        <w:t xml:space="preserve">the CEAA </w:t>
      </w:r>
      <w:r w:rsidRPr="00F162C5">
        <w:rPr>
          <w:rFonts w:asciiTheme="minorHAnsi" w:eastAsia="Calibri" w:hAnsiTheme="minorHAnsi" w:cstheme="minorHAnsi"/>
          <w:sz w:val="22"/>
          <w:szCs w:val="22"/>
          <w:lang w:val="en-CA"/>
        </w:rPr>
        <w:t xml:space="preserve">employees' level of awareness regarding their legal rights and responsibilities for engaging in political activities is </w:t>
      </w:r>
      <w:r w:rsidRPr="00F162C5">
        <w:rPr>
          <w:rFonts w:asciiTheme="minorHAnsi" w:eastAsia="Calibri" w:hAnsiTheme="minorHAnsi" w:cstheme="minorHAnsi"/>
          <w:bCs/>
          <w:sz w:val="22"/>
          <w:szCs w:val="22"/>
          <w:lang w:val="en-CA"/>
        </w:rPr>
        <w:t>84.1%</w:t>
      </w:r>
      <w:r w:rsidRPr="00F162C5">
        <w:rPr>
          <w:rFonts w:asciiTheme="minorHAnsi" w:eastAsia="Calibri" w:hAnsiTheme="minorHAnsi" w:cstheme="minorHAnsi"/>
          <w:sz w:val="22"/>
          <w:szCs w:val="22"/>
          <w:lang w:val="en-CA"/>
        </w:rPr>
        <w:t xml:space="preserve">, compared to </w:t>
      </w:r>
      <w:r w:rsidRPr="00F162C5">
        <w:rPr>
          <w:rFonts w:asciiTheme="minorHAnsi" w:eastAsia="Calibri" w:hAnsiTheme="minorHAnsi" w:cstheme="minorHAnsi"/>
          <w:bCs/>
          <w:sz w:val="22"/>
          <w:szCs w:val="22"/>
          <w:lang w:val="en-CA"/>
        </w:rPr>
        <w:t>80.1%</w:t>
      </w:r>
      <w:r w:rsidRPr="00F162C5">
        <w:rPr>
          <w:rFonts w:asciiTheme="minorHAnsi" w:eastAsia="Calibri" w:hAnsiTheme="minorHAnsi" w:cstheme="minorHAnsi"/>
          <w:sz w:val="22"/>
          <w:szCs w:val="22"/>
          <w:lang w:val="en-CA"/>
        </w:rPr>
        <w:t xml:space="preserve"> for the public service as a whole</w:t>
      </w:r>
    </w:p>
    <w:p w:rsidR="00DD72C1" w:rsidRPr="00F162C5" w:rsidRDefault="00D91C17" w:rsidP="00F162C5">
      <w:pPr>
        <w:pStyle w:val="Titre1"/>
        <w:spacing w:after="240"/>
        <w:rPr>
          <w:lang w:val="en-CA"/>
        </w:rPr>
      </w:pPr>
      <w:r w:rsidRPr="00F162C5">
        <w:rPr>
          <w:lang w:val="en-CA"/>
        </w:rPr>
        <w:t>PSC</w:t>
      </w:r>
      <w:r w:rsidR="00DD72C1" w:rsidRPr="00F162C5">
        <w:rPr>
          <w:lang w:val="en-CA"/>
        </w:rPr>
        <w:t xml:space="preserve"> </w:t>
      </w:r>
      <w:r w:rsidRPr="00F162C5">
        <w:rPr>
          <w:lang w:val="en-CA"/>
        </w:rPr>
        <w:t>I</w:t>
      </w:r>
      <w:r w:rsidR="00DD72C1" w:rsidRPr="00F162C5">
        <w:rPr>
          <w:lang w:val="en-CA"/>
        </w:rPr>
        <w:t>nitiatives</w:t>
      </w:r>
    </w:p>
    <w:p w:rsidR="00DD72C1" w:rsidRPr="00F162C5" w:rsidRDefault="00DD72C1" w:rsidP="009B034C">
      <w:pPr>
        <w:rPr>
          <w:rFonts w:asciiTheme="minorHAnsi" w:hAnsiTheme="minorHAnsi" w:cstheme="minorHAnsi"/>
          <w:sz w:val="22"/>
          <w:szCs w:val="22"/>
          <w:lang w:val="en-CA"/>
        </w:rPr>
      </w:pPr>
      <w:r w:rsidRPr="00F162C5">
        <w:rPr>
          <w:rFonts w:asciiTheme="minorHAnsi" w:hAnsiTheme="minorHAnsi" w:cstheme="minorHAnsi"/>
          <w:sz w:val="22"/>
          <w:szCs w:val="22"/>
          <w:lang w:val="en-CA"/>
        </w:rPr>
        <w:t>The IAAC has participated and submitted requests for the employment opportunity for Aboriginal students and employment opportunity for students with disabilities. In summary, the organization hired:</w:t>
      </w:r>
    </w:p>
    <w:p w:rsidR="00DD72C1" w:rsidRPr="00F162C5" w:rsidRDefault="00DD72C1" w:rsidP="00F162C5">
      <w:pPr>
        <w:numPr>
          <w:ilvl w:val="1"/>
          <w:numId w:val="5"/>
        </w:numPr>
        <w:rPr>
          <w:rFonts w:asciiTheme="minorHAnsi" w:hAnsiTheme="minorHAnsi" w:cstheme="minorHAnsi"/>
          <w:sz w:val="22"/>
          <w:szCs w:val="22"/>
          <w:lang w:val="en-CA"/>
        </w:rPr>
      </w:pPr>
      <w:r w:rsidRPr="00F162C5">
        <w:rPr>
          <w:rFonts w:asciiTheme="minorHAnsi" w:hAnsiTheme="minorHAnsi" w:cstheme="minorHAnsi"/>
          <w:sz w:val="22"/>
          <w:szCs w:val="22"/>
          <w:lang w:val="en-CA"/>
        </w:rPr>
        <w:t>In 2016-2017, 2 Aboriginal students;</w:t>
      </w:r>
    </w:p>
    <w:p w:rsidR="00DD72C1" w:rsidRPr="00F162C5" w:rsidRDefault="00DD72C1" w:rsidP="00F162C5">
      <w:pPr>
        <w:numPr>
          <w:ilvl w:val="1"/>
          <w:numId w:val="5"/>
        </w:numPr>
        <w:rPr>
          <w:rFonts w:asciiTheme="minorHAnsi" w:hAnsiTheme="minorHAnsi" w:cstheme="minorHAnsi"/>
          <w:sz w:val="22"/>
          <w:szCs w:val="22"/>
          <w:lang w:val="en-CA"/>
        </w:rPr>
      </w:pPr>
      <w:r w:rsidRPr="00F162C5">
        <w:rPr>
          <w:rFonts w:asciiTheme="minorHAnsi" w:hAnsiTheme="minorHAnsi" w:cstheme="minorHAnsi"/>
          <w:sz w:val="22"/>
          <w:szCs w:val="22"/>
          <w:lang w:val="en-CA"/>
        </w:rPr>
        <w:t>In 2019-2020, 1 Aboriginal student an</w:t>
      </w:r>
      <w:r w:rsidR="009B034C">
        <w:rPr>
          <w:rFonts w:asciiTheme="minorHAnsi" w:hAnsiTheme="minorHAnsi" w:cstheme="minorHAnsi"/>
          <w:sz w:val="22"/>
          <w:szCs w:val="22"/>
          <w:lang w:val="en-CA"/>
        </w:rPr>
        <w:t>d 1 student with disabilities.</w:t>
      </w:r>
    </w:p>
    <w:p w:rsidR="00DD72C1" w:rsidRPr="00F162C5" w:rsidRDefault="00DD72C1" w:rsidP="009B034C">
      <w:pPr>
        <w:spacing w:before="120"/>
        <w:rPr>
          <w:rFonts w:asciiTheme="minorHAnsi" w:hAnsiTheme="minorHAnsi" w:cstheme="minorHAnsi"/>
          <w:sz w:val="22"/>
          <w:szCs w:val="22"/>
          <w:lang w:val="en-CA"/>
        </w:rPr>
      </w:pPr>
      <w:r w:rsidRPr="00F162C5">
        <w:rPr>
          <w:rFonts w:asciiTheme="minorHAnsi" w:hAnsiTheme="minorHAnsi" w:cstheme="minorHAnsi"/>
          <w:sz w:val="22"/>
          <w:szCs w:val="22"/>
          <w:lang w:val="en-CA"/>
        </w:rPr>
        <w:t>The IAAC has not participated in the Federal internship program for Canadians with disabilities (FIPCD). Although the FIPCD is at-capacity at this time, there will be opportunities for new clients/organizations to participate in cohorts planned for 2020/21.</w:t>
      </w:r>
    </w:p>
    <w:p w:rsidR="00DD72C1" w:rsidRPr="00F162C5" w:rsidRDefault="00D91C17" w:rsidP="00F162C5">
      <w:pPr>
        <w:pStyle w:val="Titre1"/>
        <w:spacing w:after="240"/>
        <w:rPr>
          <w:lang w:val="en-CA"/>
        </w:rPr>
      </w:pPr>
      <w:r w:rsidRPr="00F162C5">
        <w:rPr>
          <w:lang w:val="en-CA"/>
        </w:rPr>
        <w:lastRenderedPageBreak/>
        <w:t>S</w:t>
      </w:r>
      <w:r w:rsidR="00DD72C1" w:rsidRPr="00F162C5">
        <w:rPr>
          <w:lang w:val="en-CA"/>
        </w:rPr>
        <w:t>taff</w:t>
      </w:r>
      <w:r w:rsidRPr="00F162C5">
        <w:rPr>
          <w:lang w:val="en-CA"/>
        </w:rPr>
        <w:t>ing S</w:t>
      </w:r>
      <w:r w:rsidR="00DD72C1" w:rsidRPr="00F162C5">
        <w:rPr>
          <w:lang w:val="en-CA"/>
        </w:rPr>
        <w:t>upport</w:t>
      </w:r>
    </w:p>
    <w:p w:rsidR="00DD72C1" w:rsidRPr="00F162C5" w:rsidRDefault="007B44CF" w:rsidP="00F162C5">
      <w:pPr>
        <w:pStyle w:val="Titre2"/>
        <w:spacing w:after="120"/>
        <w:rPr>
          <w:u w:val="single"/>
          <w:lang w:val="en-CA"/>
        </w:rPr>
      </w:pPr>
      <w:r>
        <w:rPr>
          <w:lang w:val="en-CA"/>
        </w:rPr>
        <w:t>Public Service</w:t>
      </w:r>
      <w:r w:rsidR="00DD72C1" w:rsidRPr="00F162C5">
        <w:rPr>
          <w:lang w:val="en-CA"/>
        </w:rPr>
        <w:t xml:space="preserve"> Commission Representatives and Organizational Contacts </w:t>
      </w:r>
      <w:bookmarkStart w:id="0" w:name="_GoBack"/>
      <w:bookmarkEnd w:id="0"/>
    </w:p>
    <w:p w:rsidR="00DD72C1" w:rsidRPr="00F162C5" w:rsidRDefault="00DD72C1" w:rsidP="00F162C5">
      <w:pPr>
        <w:rPr>
          <w:rFonts w:asciiTheme="minorHAnsi" w:hAnsiTheme="minorHAnsi" w:cstheme="minorHAnsi"/>
          <w:b/>
          <w:sz w:val="22"/>
          <w:szCs w:val="22"/>
          <w:lang w:val="en-CA"/>
        </w:rPr>
      </w:pPr>
      <w:r w:rsidRPr="00F162C5">
        <w:rPr>
          <w:rFonts w:asciiTheme="minorHAnsi" w:hAnsiTheme="minorHAnsi" w:cstheme="minorHAnsi"/>
          <w:sz w:val="22"/>
          <w:szCs w:val="22"/>
          <w:lang w:val="en-CA" w:eastAsia="en-CA"/>
        </w:rPr>
        <w:t xml:space="preserve">The SSA assigned to this organization is Caroline Fortin-Beaudry. The Head of Human Resources is </w:t>
      </w:r>
      <w:r w:rsidRPr="00F162C5">
        <w:rPr>
          <w:rFonts w:asciiTheme="minorHAnsi" w:eastAsia="Calibri" w:hAnsiTheme="minorHAnsi" w:cstheme="minorHAnsi"/>
          <w:sz w:val="22"/>
          <w:szCs w:val="22"/>
          <w:lang w:val="en-CA"/>
        </w:rPr>
        <w:t>Sylvain Campeau, Director, Human Resources</w:t>
      </w:r>
      <w:r w:rsidRPr="00F162C5">
        <w:rPr>
          <w:rFonts w:asciiTheme="minorHAnsi" w:hAnsiTheme="minorHAnsi" w:cstheme="minorHAnsi"/>
          <w:sz w:val="22"/>
          <w:szCs w:val="22"/>
          <w:lang w:val="en-CA" w:eastAsia="en-CA"/>
        </w:rPr>
        <w:t xml:space="preserve"> and the main organizational contact is Marie-Claude Lemieux, Manager, Human Resources.</w:t>
      </w:r>
    </w:p>
    <w:p w:rsidR="00D91C17" w:rsidRPr="00F162C5" w:rsidRDefault="00D91C17" w:rsidP="00F162C5">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lang w:val="en-CA"/>
        </w:rPr>
      </w:pPr>
      <w:r w:rsidRPr="00F162C5">
        <w:rPr>
          <w:rFonts w:ascii="Arial" w:hAnsi="Arial" w:cs="Arial"/>
          <w:b/>
          <w:bCs/>
          <w:sz w:val="22"/>
          <w:szCs w:val="22"/>
          <w:lang w:val="en-CA"/>
        </w:rPr>
        <w:br w:type="page"/>
      </w:r>
    </w:p>
    <w:p w:rsidR="00C07F6F" w:rsidRPr="00F162C5" w:rsidRDefault="00C07F6F" w:rsidP="00F162C5">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59" w:lineRule="auto"/>
        <w:rPr>
          <w:rFonts w:asciiTheme="minorHAnsi" w:eastAsiaTheme="minorHAnsi" w:hAnsiTheme="minorHAnsi" w:cstheme="minorHAnsi"/>
          <w:sz w:val="22"/>
          <w:szCs w:val="22"/>
          <w:lang w:val="en-CA"/>
        </w:rPr>
      </w:pPr>
      <w:r w:rsidRPr="00F47CE8">
        <w:rPr>
          <w:rStyle w:val="lev"/>
          <w:rFonts w:eastAsiaTheme="minorHAnsi"/>
          <w:lang w:val="en-CA"/>
        </w:rPr>
        <w:lastRenderedPageBreak/>
        <w:t>PREPARED BY</w:t>
      </w:r>
      <w:r w:rsidRPr="00F162C5">
        <w:rPr>
          <w:rFonts w:asciiTheme="minorHAnsi" w:eastAsiaTheme="minorHAnsi" w:hAnsiTheme="minorHAnsi" w:cstheme="minorHAnsi"/>
          <w:b/>
          <w:bCs/>
          <w:sz w:val="22"/>
          <w:szCs w:val="22"/>
          <w:lang w:val="en-CA"/>
        </w:rPr>
        <w:t>:</w:t>
      </w:r>
    </w:p>
    <w:p w:rsidR="00C07F6F" w:rsidRPr="00F162C5" w:rsidRDefault="00C07F6F" w:rsidP="00F47CE8">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rPr>
          <w:rFonts w:asciiTheme="minorHAnsi" w:eastAsiaTheme="minorHAnsi" w:hAnsiTheme="minorHAnsi" w:cstheme="minorHAnsi"/>
          <w:sz w:val="22"/>
          <w:szCs w:val="22"/>
          <w:lang w:val="en-CA"/>
        </w:rPr>
      </w:pPr>
      <w:r w:rsidRPr="00F162C5">
        <w:rPr>
          <w:rFonts w:asciiTheme="minorHAnsi" w:eastAsiaTheme="minorHAnsi" w:hAnsiTheme="minorHAnsi" w:cstheme="minorHAnsi"/>
          <w:sz w:val="22"/>
          <w:szCs w:val="22"/>
          <w:lang w:val="en-CA"/>
        </w:rPr>
        <w:t xml:space="preserve">Caroline Fortin-Beaudry, </w:t>
      </w:r>
    </w:p>
    <w:p w:rsidR="00C07F6F" w:rsidRPr="00F162C5" w:rsidRDefault="00C07F6F" w:rsidP="00F162C5">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line="259" w:lineRule="auto"/>
        <w:rPr>
          <w:rFonts w:asciiTheme="minorHAnsi" w:eastAsiaTheme="minorHAnsi" w:hAnsiTheme="minorHAnsi" w:cstheme="minorHAnsi"/>
          <w:sz w:val="22"/>
          <w:szCs w:val="22"/>
          <w:lang w:val="en-CA"/>
        </w:rPr>
      </w:pPr>
      <w:r w:rsidRPr="00F162C5">
        <w:rPr>
          <w:rFonts w:asciiTheme="minorHAnsi" w:eastAsiaTheme="minorHAnsi" w:hAnsiTheme="minorHAnsi" w:cstheme="minorHAnsi"/>
          <w:sz w:val="22"/>
          <w:szCs w:val="22"/>
          <w:lang w:val="en-CA"/>
        </w:rPr>
        <w:t>Staffing Support Advisor</w:t>
      </w:r>
    </w:p>
    <w:p w:rsidR="00DD72C1" w:rsidRPr="00744827" w:rsidRDefault="00DD72C1" w:rsidP="00845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0"/>
        <w:rPr>
          <w:rStyle w:val="Lienhypertexte"/>
          <w:rFonts w:asciiTheme="minorHAnsi" w:hAnsiTheme="minorHAnsi" w:cstheme="minorHAnsi"/>
          <w:bCs/>
          <w:strike/>
          <w:sz w:val="22"/>
          <w:szCs w:val="22"/>
          <w:lang w:val="en-CA"/>
        </w:rPr>
      </w:pPr>
      <w:r w:rsidRPr="00F162C5">
        <w:rPr>
          <w:rFonts w:asciiTheme="minorHAnsi" w:hAnsiTheme="minorHAnsi" w:cstheme="minorHAnsi"/>
          <w:sz w:val="22"/>
          <w:szCs w:val="22"/>
          <w:lang w:val="en-CA"/>
        </w:rPr>
        <w:t>Annexes:</w:t>
      </w:r>
      <w:r w:rsidR="00744827">
        <w:rPr>
          <w:rStyle w:val="Lienhypertexte"/>
          <w:rFonts w:asciiTheme="minorHAnsi" w:hAnsiTheme="minorHAnsi" w:cstheme="minorHAnsi"/>
          <w:sz w:val="22"/>
          <w:szCs w:val="22"/>
          <w:lang w:val="en-CA"/>
        </w:rPr>
        <w:fldChar w:fldCharType="begin"/>
      </w:r>
      <w:r w:rsidR="00744827">
        <w:rPr>
          <w:rStyle w:val="Lienhypertexte"/>
          <w:rFonts w:asciiTheme="minorHAnsi" w:hAnsiTheme="minorHAnsi" w:cstheme="minorHAnsi"/>
          <w:sz w:val="22"/>
          <w:szCs w:val="22"/>
          <w:lang w:val="en-CA"/>
        </w:rPr>
        <w:instrText xml:space="preserve"> HYPERLINK  \l "AnnexB" </w:instrText>
      </w:r>
      <w:r w:rsidR="00744827">
        <w:rPr>
          <w:rStyle w:val="Lienhypertexte"/>
          <w:rFonts w:asciiTheme="minorHAnsi" w:hAnsiTheme="minorHAnsi" w:cstheme="minorHAnsi"/>
          <w:sz w:val="22"/>
          <w:szCs w:val="22"/>
          <w:lang w:val="en-CA"/>
        </w:rPr>
        <w:fldChar w:fldCharType="separate"/>
      </w:r>
    </w:p>
    <w:p w:rsidR="00845262" w:rsidRPr="00CF48F6" w:rsidRDefault="00845262" w:rsidP="00845262">
      <w:pPr>
        <w:numPr>
          <w:ilvl w:val="0"/>
          <w:numId w:val="3"/>
        </w:numPr>
        <w:rPr>
          <w:rStyle w:val="Lienhypertexte"/>
          <w:rFonts w:asciiTheme="minorHAnsi" w:hAnsiTheme="minorHAnsi" w:cstheme="minorHAnsi"/>
          <w:bCs/>
          <w:sz w:val="22"/>
          <w:szCs w:val="22"/>
          <w:lang w:val="en-CA"/>
        </w:rPr>
      </w:pPr>
      <w:r>
        <w:rPr>
          <w:rStyle w:val="Lienhypertexte"/>
          <w:rFonts w:asciiTheme="minorHAnsi" w:hAnsiTheme="minorHAnsi" w:cstheme="minorHAnsi"/>
          <w:sz w:val="22"/>
          <w:szCs w:val="22"/>
          <w:lang w:val="en-CA"/>
        </w:rPr>
        <w:fldChar w:fldCharType="begin"/>
      </w:r>
      <w:r>
        <w:rPr>
          <w:rStyle w:val="Lienhypertexte"/>
          <w:rFonts w:asciiTheme="minorHAnsi" w:hAnsiTheme="minorHAnsi" w:cstheme="minorHAnsi"/>
          <w:sz w:val="22"/>
          <w:szCs w:val="22"/>
          <w:lang w:val="en-CA"/>
        </w:rPr>
        <w:instrText xml:space="preserve"> HYPERLINK  \l "AnnexA" </w:instrText>
      </w:r>
      <w:r>
        <w:rPr>
          <w:rStyle w:val="Lienhypertexte"/>
          <w:rFonts w:asciiTheme="minorHAnsi" w:hAnsiTheme="minorHAnsi" w:cstheme="minorHAnsi"/>
          <w:sz w:val="22"/>
          <w:szCs w:val="22"/>
          <w:lang w:val="en-CA"/>
        </w:rPr>
        <w:fldChar w:fldCharType="separate"/>
      </w:r>
      <w:r w:rsidRPr="00CF48F6">
        <w:rPr>
          <w:rStyle w:val="Lienhypertexte"/>
          <w:rFonts w:asciiTheme="minorHAnsi" w:hAnsiTheme="minorHAnsi" w:cstheme="minorHAnsi"/>
          <w:sz w:val="22"/>
          <w:szCs w:val="22"/>
          <w:lang w:val="en-CA"/>
        </w:rPr>
        <w:t xml:space="preserve">Annex A – </w:t>
      </w:r>
      <w:r>
        <w:rPr>
          <w:rStyle w:val="Lienhypertexte"/>
          <w:rFonts w:asciiTheme="minorHAnsi" w:hAnsiTheme="minorHAnsi" w:cstheme="minorHAnsi"/>
          <w:sz w:val="22"/>
          <w:szCs w:val="22"/>
          <w:lang w:val="en-CA"/>
        </w:rPr>
        <w:t>T</w:t>
      </w:r>
      <w:r w:rsidRPr="005C03BA">
        <w:rPr>
          <w:rStyle w:val="Lienhypertexte"/>
          <w:rFonts w:asciiTheme="minorHAnsi" w:hAnsiTheme="minorHAnsi" w:cstheme="minorHAnsi"/>
          <w:sz w:val="22"/>
          <w:szCs w:val="22"/>
          <w:lang w:val="en-CA"/>
        </w:rPr>
        <w:t>he New Direction in Staffing (NDS) highlights for DHs</w:t>
      </w:r>
      <w:r w:rsidRPr="00CF48F6">
        <w:rPr>
          <w:rStyle w:val="Lienhypertexte"/>
          <w:rFonts w:asciiTheme="minorHAnsi" w:hAnsiTheme="minorHAnsi" w:cstheme="minorHAnsi"/>
          <w:sz w:val="22"/>
          <w:szCs w:val="22"/>
          <w:lang w:val="en-CA"/>
        </w:rPr>
        <w:t xml:space="preserve"> </w:t>
      </w:r>
    </w:p>
    <w:p w:rsidR="00845262" w:rsidRPr="00CF48F6" w:rsidRDefault="00845262" w:rsidP="00845262">
      <w:pPr>
        <w:numPr>
          <w:ilvl w:val="0"/>
          <w:numId w:val="3"/>
        </w:numPr>
        <w:rPr>
          <w:rFonts w:asciiTheme="minorHAnsi" w:hAnsiTheme="minorHAnsi" w:cstheme="minorHAnsi"/>
          <w:bCs/>
          <w:strike/>
          <w:sz w:val="22"/>
          <w:szCs w:val="22"/>
          <w:lang w:val="en-CA"/>
        </w:rPr>
      </w:pPr>
      <w:r>
        <w:rPr>
          <w:rStyle w:val="Lienhypertexte"/>
          <w:rFonts w:asciiTheme="minorHAnsi" w:hAnsiTheme="minorHAnsi" w:cstheme="minorHAnsi"/>
          <w:sz w:val="22"/>
          <w:szCs w:val="22"/>
          <w:lang w:val="en-CA"/>
        </w:rPr>
        <w:fldChar w:fldCharType="end"/>
      </w:r>
      <w:hyperlink w:anchor="AnnexB" w:history="1">
        <w:r w:rsidRPr="00CF48F6">
          <w:rPr>
            <w:rStyle w:val="Lienhypertexte"/>
            <w:rFonts w:asciiTheme="minorHAnsi" w:hAnsiTheme="minorHAnsi" w:cstheme="minorHAnsi"/>
            <w:sz w:val="22"/>
            <w:szCs w:val="22"/>
            <w:lang w:val="en-CA"/>
          </w:rPr>
          <w:t>Annex B - Data on Population and Staffing Activities</w:t>
        </w:r>
      </w:hyperlink>
    </w:p>
    <w:p w:rsidR="00DD72C1" w:rsidRPr="00F162C5" w:rsidRDefault="00DD72C1" w:rsidP="00F162C5">
      <w:pPr>
        <w:pStyle w:val="Titre3"/>
        <w:jc w:val="right"/>
        <w:rPr>
          <w:lang w:val="en-CA"/>
        </w:rPr>
      </w:pPr>
      <w:r w:rsidRPr="00744827">
        <w:rPr>
          <w:rStyle w:val="Lienhypertexte"/>
          <w:lang w:val="en-CA"/>
        </w:rPr>
        <w:br w:type="page"/>
      </w:r>
      <w:r w:rsidR="00744827">
        <w:rPr>
          <w:rStyle w:val="Lienhypertexte"/>
          <w:rFonts w:asciiTheme="minorHAnsi" w:eastAsia="Times New Roman" w:hAnsiTheme="minorHAnsi" w:cstheme="minorHAnsi"/>
          <w:sz w:val="22"/>
          <w:szCs w:val="22"/>
          <w:lang w:val="en-CA"/>
        </w:rPr>
        <w:fldChar w:fldCharType="end"/>
      </w:r>
    </w:p>
    <w:p w:rsidR="00DD72C1" w:rsidRPr="00F162C5" w:rsidRDefault="00744827" w:rsidP="00F162C5">
      <w:pPr>
        <w:pStyle w:val="Titre3"/>
        <w:jc w:val="right"/>
        <w:rPr>
          <w:lang w:val="en-CA"/>
        </w:rPr>
      </w:pPr>
      <w:bookmarkStart w:id="1" w:name="AnnexA"/>
      <w:r>
        <w:rPr>
          <w:lang w:val="en-CA"/>
        </w:rPr>
        <w:lastRenderedPageBreak/>
        <w:t>Annex A</w:t>
      </w:r>
    </w:p>
    <w:bookmarkEnd w:id="1"/>
    <w:p w:rsidR="003C2A0F" w:rsidRPr="00374A6E" w:rsidRDefault="003C2A0F" w:rsidP="003C2A0F">
      <w:pPr>
        <w:keepNext/>
        <w:keepLines/>
        <w:spacing w:before="120" w:after="120" w:line="259" w:lineRule="auto"/>
        <w:jc w:val="center"/>
        <w:outlineLvl w:val="1"/>
        <w:rPr>
          <w:rFonts w:ascii="Segoe UI" w:eastAsiaTheme="majorEastAsia" w:hAnsi="Segoe UI" w:cs="Segoe UI"/>
          <w:b/>
          <w:color w:val="5B315E" w:themeColor="accent2"/>
          <w:sz w:val="32"/>
          <w:szCs w:val="32"/>
          <w:lang w:val="en-CA"/>
        </w:rPr>
      </w:pPr>
      <w:r w:rsidRPr="00374A6E">
        <w:rPr>
          <w:rFonts w:ascii="Segoe UI" w:eastAsiaTheme="majorEastAsia" w:hAnsi="Segoe UI" w:cs="Segoe UI"/>
          <w:b/>
          <w:color w:val="5B315E" w:themeColor="accent2"/>
          <w:sz w:val="32"/>
          <w:szCs w:val="32"/>
          <w:lang w:val="en-CA"/>
        </w:rPr>
        <w:t>A New direction in Staffing – A merit-based system that is effective, efficient and fair</w:t>
      </w:r>
    </w:p>
    <w:p w:rsidR="003C2A0F" w:rsidRPr="00374A6E" w:rsidRDefault="003C2A0F" w:rsidP="003C2A0F">
      <w:pPr>
        <w:pStyle w:val="Titre3"/>
        <w:spacing w:after="120"/>
        <w:rPr>
          <w:lang w:val="en-CA"/>
        </w:rPr>
      </w:pPr>
      <w:r w:rsidRPr="00374A6E">
        <w:rPr>
          <w:lang w:val="en-CA"/>
        </w:rPr>
        <w:t>Appointment Policy</w:t>
      </w:r>
    </w:p>
    <w:p w:rsidR="003C2A0F" w:rsidRPr="00374A6E" w:rsidRDefault="003C2A0F" w:rsidP="003C2A0F">
      <w:pPr>
        <w:keepLines/>
        <w:tabs>
          <w:tab w:val="center" w:pos="4680"/>
          <w:tab w:val="right" w:pos="9360"/>
        </w:tabs>
        <w:rPr>
          <w:rFonts w:asciiTheme="minorHAnsi" w:eastAsiaTheme="minorHAnsi" w:hAnsiTheme="minorHAnsi" w:cstheme="minorHAnsi"/>
          <w:noProof/>
          <w:sz w:val="22"/>
          <w:szCs w:val="22"/>
          <w:lang w:val="en-CA" w:eastAsia="en-CA"/>
        </w:rPr>
      </w:pPr>
      <w:r w:rsidRPr="00374A6E">
        <w:rPr>
          <w:rStyle w:val="lev"/>
          <w:rFonts w:eastAsiaTheme="minorHAnsi" w:cstheme="minorHAnsi"/>
          <w:szCs w:val="22"/>
          <w:lang w:val="en-CA"/>
        </w:rPr>
        <w:t>New focus on core requirements</w:t>
      </w:r>
      <w:r w:rsidRPr="00374A6E">
        <w:rPr>
          <w:rFonts w:asciiTheme="minorHAnsi" w:eastAsiaTheme="minorHAnsi" w:hAnsiTheme="minorHAnsi" w:cstheme="minorHAnsi"/>
          <w:noProof/>
          <w:sz w:val="22"/>
          <w:szCs w:val="22"/>
          <w:lang w:val="en-CA" w:eastAsia="en-CA"/>
        </w:rPr>
        <w:t xml:space="preserve"> to provide sub-delegated persons greater discretion in making an appointment</w:t>
      </w:r>
    </w:p>
    <w:p w:rsidR="003C2A0F" w:rsidRPr="00374A6E" w:rsidRDefault="003C2A0F" w:rsidP="003C2A0F">
      <w:pPr>
        <w:keepLines/>
        <w:numPr>
          <w:ilvl w:val="0"/>
          <w:numId w:val="23"/>
        </w:numPr>
        <w:tabs>
          <w:tab w:val="center" w:pos="4680"/>
          <w:tab w:val="right" w:pos="9360"/>
        </w:tabs>
        <w:rPr>
          <w:rFonts w:asciiTheme="minorHAnsi" w:eastAsiaTheme="minorHAnsi" w:hAnsiTheme="minorHAnsi" w:cstheme="minorHAnsi"/>
          <w:sz w:val="22"/>
          <w:szCs w:val="22"/>
          <w:lang w:val="en-CA"/>
        </w:rPr>
      </w:pPr>
      <w:r w:rsidRPr="00374A6E">
        <w:rPr>
          <w:rStyle w:val="lev"/>
          <w:rFonts w:eastAsiaTheme="minorHAnsi" w:cstheme="minorHAnsi"/>
          <w:szCs w:val="22"/>
          <w:lang w:val="en-CA"/>
        </w:rPr>
        <w:t>One Appointment Policy</w:t>
      </w:r>
      <w:r w:rsidRPr="00374A6E">
        <w:rPr>
          <w:rFonts w:asciiTheme="minorHAnsi" w:eastAsiaTheme="minorHAnsi" w:hAnsiTheme="minorHAnsi" w:cstheme="minorHAnsi"/>
          <w:sz w:val="22"/>
          <w:szCs w:val="22"/>
          <w:lang w:val="en-CA"/>
        </w:rPr>
        <w:t>, no duplication with legal requirements</w:t>
      </w:r>
    </w:p>
    <w:p w:rsidR="003C2A0F" w:rsidRPr="00374A6E" w:rsidRDefault="003C2A0F" w:rsidP="003C2A0F">
      <w:pPr>
        <w:keepLines/>
        <w:numPr>
          <w:ilvl w:val="0"/>
          <w:numId w:val="23"/>
        </w:numPr>
        <w:tabs>
          <w:tab w:val="center" w:pos="4680"/>
          <w:tab w:val="right" w:pos="9360"/>
        </w:tabs>
        <w:rPr>
          <w:rFonts w:asciiTheme="minorHAnsi" w:eastAsiaTheme="minorHAnsi" w:hAnsiTheme="minorHAnsi" w:cstheme="minorHAnsi"/>
          <w:sz w:val="22"/>
          <w:szCs w:val="22"/>
          <w:lang w:val="en-CA"/>
        </w:rPr>
      </w:pPr>
      <w:r w:rsidRPr="00374A6E">
        <w:rPr>
          <w:rStyle w:val="lev"/>
          <w:rFonts w:eastAsiaTheme="minorHAnsi" w:cstheme="minorHAnsi"/>
          <w:szCs w:val="22"/>
          <w:lang w:val="en-CA"/>
        </w:rPr>
        <w:t>Broader focus on values-based system</w:t>
      </w:r>
      <w:r w:rsidRPr="00374A6E">
        <w:rPr>
          <w:rFonts w:asciiTheme="minorHAnsi" w:eastAsiaTheme="minorHAnsi" w:hAnsiTheme="minorHAnsi" w:cstheme="minorBidi"/>
          <w:bCs/>
          <w:sz w:val="22"/>
          <w:szCs w:val="22"/>
          <w:lang w:val="en-CA"/>
        </w:rPr>
        <w:t>,</w:t>
      </w:r>
      <w:r w:rsidRPr="00374A6E">
        <w:rPr>
          <w:rFonts w:asciiTheme="minorHAnsi" w:eastAsiaTheme="minorHAnsi" w:hAnsiTheme="minorHAnsi" w:cstheme="minorHAnsi"/>
          <w:sz w:val="22"/>
          <w:szCs w:val="22"/>
          <w:lang w:val="en-CA"/>
        </w:rPr>
        <w:t xml:space="preserve"> away from rules-based system</w:t>
      </w:r>
    </w:p>
    <w:p w:rsidR="003C2A0F" w:rsidRPr="00374A6E" w:rsidRDefault="003C2A0F" w:rsidP="003C2A0F">
      <w:pPr>
        <w:keepLines/>
        <w:numPr>
          <w:ilvl w:val="0"/>
          <w:numId w:val="23"/>
        </w:numPr>
        <w:tabs>
          <w:tab w:val="center" w:pos="4680"/>
          <w:tab w:val="right" w:pos="9360"/>
        </w:tabs>
        <w:rPr>
          <w:rFonts w:asciiTheme="minorHAnsi" w:eastAsiaTheme="minorHAnsi" w:hAnsiTheme="minorHAnsi" w:cstheme="minorHAnsi"/>
          <w:sz w:val="22"/>
          <w:szCs w:val="22"/>
          <w:lang w:val="en-CA"/>
        </w:rPr>
      </w:pPr>
      <w:r w:rsidRPr="00374A6E">
        <w:rPr>
          <w:rFonts w:asciiTheme="minorHAnsi" w:eastAsiaTheme="minorHAnsi" w:hAnsiTheme="minorHAnsi" w:cstheme="minorHAnsi"/>
          <w:sz w:val="22"/>
          <w:szCs w:val="22"/>
          <w:lang w:val="en-CA"/>
        </w:rPr>
        <w:t xml:space="preserve">Appointments Policy supported by </w:t>
      </w:r>
      <w:r w:rsidRPr="00374A6E">
        <w:rPr>
          <w:rStyle w:val="lev"/>
          <w:rFonts w:eastAsiaTheme="minorHAnsi" w:cstheme="minorHAnsi"/>
          <w:szCs w:val="22"/>
          <w:lang w:val="en-CA"/>
        </w:rPr>
        <w:t>streamlined guidance:</w:t>
      </w:r>
    </w:p>
    <w:p w:rsidR="003C2A0F" w:rsidRPr="00374A6E" w:rsidRDefault="003C2A0F" w:rsidP="003C2A0F">
      <w:pPr>
        <w:keepLines/>
        <w:numPr>
          <w:ilvl w:val="1"/>
          <w:numId w:val="30"/>
        </w:numPr>
        <w:tabs>
          <w:tab w:val="center" w:pos="4680"/>
          <w:tab w:val="right" w:pos="9360"/>
        </w:tabs>
        <w:rPr>
          <w:rFonts w:asciiTheme="minorHAnsi" w:eastAsiaTheme="minorHAnsi" w:hAnsiTheme="minorHAnsi" w:cstheme="minorHAnsi"/>
          <w:sz w:val="22"/>
          <w:szCs w:val="22"/>
          <w:lang w:val="en-CA"/>
        </w:rPr>
      </w:pPr>
      <w:r w:rsidRPr="00374A6E">
        <w:rPr>
          <w:rFonts w:asciiTheme="minorHAnsi" w:eastAsiaTheme="minorHAnsi" w:hAnsiTheme="minorHAnsi" w:cstheme="minorHAnsi"/>
          <w:sz w:val="22"/>
          <w:szCs w:val="22"/>
          <w:lang w:val="en-CA"/>
        </w:rPr>
        <w:t>A roadmap to the requirements in legislation, regulations and policy</w:t>
      </w:r>
    </w:p>
    <w:p w:rsidR="003C2A0F" w:rsidRPr="00374A6E" w:rsidRDefault="003C2A0F" w:rsidP="003C2A0F">
      <w:pPr>
        <w:keepLines/>
        <w:numPr>
          <w:ilvl w:val="1"/>
          <w:numId w:val="30"/>
        </w:numPr>
        <w:tabs>
          <w:tab w:val="center" w:pos="4680"/>
          <w:tab w:val="right" w:pos="9360"/>
        </w:tabs>
        <w:rPr>
          <w:rFonts w:asciiTheme="minorHAnsi" w:eastAsiaTheme="minorHAnsi" w:hAnsiTheme="minorHAnsi" w:cstheme="minorHAnsi"/>
          <w:sz w:val="22"/>
          <w:szCs w:val="22"/>
          <w:lang w:val="en-CA"/>
        </w:rPr>
      </w:pPr>
      <w:r w:rsidRPr="00374A6E">
        <w:rPr>
          <w:rFonts w:asciiTheme="minorHAnsi" w:eastAsiaTheme="minorHAnsi" w:hAnsiTheme="minorHAnsi" w:cstheme="minorHAnsi"/>
          <w:sz w:val="22"/>
          <w:szCs w:val="22"/>
          <w:lang w:val="en-CA"/>
        </w:rPr>
        <w:t>Options and considerations for decision-making where there is discretion</w:t>
      </w:r>
    </w:p>
    <w:p w:rsidR="003C2A0F" w:rsidRPr="00374A6E" w:rsidRDefault="003C2A0F" w:rsidP="003C2A0F">
      <w:pPr>
        <w:keepLines/>
        <w:numPr>
          <w:ilvl w:val="0"/>
          <w:numId w:val="24"/>
        </w:numPr>
        <w:tabs>
          <w:tab w:val="center" w:pos="4680"/>
          <w:tab w:val="right" w:pos="9360"/>
        </w:tabs>
        <w:rPr>
          <w:rFonts w:asciiTheme="minorHAnsi" w:eastAsiaTheme="minorHAnsi" w:hAnsiTheme="minorHAnsi" w:cstheme="minorHAnsi"/>
          <w:sz w:val="22"/>
          <w:szCs w:val="22"/>
          <w:lang w:val="en-CA"/>
        </w:rPr>
      </w:pPr>
      <w:r w:rsidRPr="00374A6E">
        <w:rPr>
          <w:rStyle w:val="lev"/>
          <w:rFonts w:eastAsiaTheme="minorHAnsi" w:cstheme="minorHAnsi"/>
          <w:szCs w:val="22"/>
          <w:lang w:val="en-CA"/>
        </w:rPr>
        <w:t>Clear expectations</w:t>
      </w:r>
      <w:r w:rsidRPr="00374A6E">
        <w:rPr>
          <w:rFonts w:asciiTheme="minorHAnsi" w:eastAsiaTheme="minorHAnsi" w:hAnsiTheme="minorHAnsi" w:cstheme="minorHAnsi"/>
          <w:sz w:val="22"/>
          <w:szCs w:val="22"/>
          <w:lang w:val="en-CA"/>
        </w:rPr>
        <w:t xml:space="preserve"> for priority entitlements</w:t>
      </w:r>
    </w:p>
    <w:p w:rsidR="003C2A0F" w:rsidRPr="00374A6E" w:rsidRDefault="003C2A0F" w:rsidP="003C2A0F">
      <w:pPr>
        <w:keepLines/>
        <w:numPr>
          <w:ilvl w:val="0"/>
          <w:numId w:val="24"/>
        </w:numPr>
        <w:tabs>
          <w:tab w:val="center" w:pos="4680"/>
          <w:tab w:val="right" w:pos="9360"/>
        </w:tabs>
        <w:rPr>
          <w:rFonts w:asciiTheme="minorHAnsi" w:eastAsiaTheme="minorHAnsi" w:hAnsiTheme="minorHAnsi" w:cstheme="minorHAnsi"/>
          <w:sz w:val="22"/>
          <w:szCs w:val="22"/>
          <w:lang w:val="en-CA"/>
        </w:rPr>
      </w:pPr>
      <w:r w:rsidRPr="00374A6E">
        <w:rPr>
          <w:rFonts w:asciiTheme="minorHAnsi" w:eastAsiaTheme="minorHAnsi" w:hAnsiTheme="minorHAnsi" w:cstheme="minorHAnsi"/>
          <w:sz w:val="22"/>
          <w:szCs w:val="22"/>
          <w:lang w:val="en-CA"/>
        </w:rPr>
        <w:t>No restrictions to assessment methods for EX appointments</w:t>
      </w:r>
    </w:p>
    <w:p w:rsidR="003C2A0F" w:rsidRPr="00374A6E" w:rsidRDefault="003C2A0F" w:rsidP="003C2A0F">
      <w:pPr>
        <w:keepLines/>
        <w:numPr>
          <w:ilvl w:val="0"/>
          <w:numId w:val="24"/>
        </w:numPr>
        <w:tabs>
          <w:tab w:val="center" w:pos="4680"/>
          <w:tab w:val="right" w:pos="9360"/>
        </w:tabs>
        <w:spacing w:after="240"/>
        <w:ind w:left="714" w:hanging="357"/>
        <w:rPr>
          <w:rFonts w:asciiTheme="minorHAnsi" w:eastAsiaTheme="minorHAnsi" w:hAnsiTheme="minorHAnsi" w:cstheme="minorHAnsi"/>
          <w:sz w:val="22"/>
          <w:szCs w:val="22"/>
          <w:lang w:val="en-CA"/>
        </w:rPr>
      </w:pPr>
      <w:r w:rsidRPr="00374A6E">
        <w:rPr>
          <w:rFonts w:asciiTheme="minorHAnsi" w:eastAsiaTheme="minorHAnsi" w:hAnsiTheme="minorHAnsi" w:cstheme="minorHAnsi"/>
          <w:sz w:val="22"/>
          <w:szCs w:val="22"/>
          <w:lang w:val="en-CA"/>
        </w:rPr>
        <w:t>Exceptions to National Area of Selection approved by deputy head</w:t>
      </w:r>
    </w:p>
    <w:p w:rsidR="003C2A0F" w:rsidRPr="00374A6E" w:rsidRDefault="003C2A0F" w:rsidP="003C2A0F">
      <w:pPr>
        <w:pStyle w:val="Titre3"/>
        <w:spacing w:after="120"/>
        <w:rPr>
          <w:lang w:val="en-CA"/>
        </w:rPr>
      </w:pPr>
      <w:r w:rsidRPr="00374A6E">
        <w:rPr>
          <w:lang w:val="en-CA"/>
        </w:rPr>
        <w:t>Delegation</w:t>
      </w:r>
    </w:p>
    <w:p w:rsidR="003C2A0F" w:rsidRPr="00374A6E" w:rsidRDefault="003C2A0F" w:rsidP="003C2A0F">
      <w:pPr>
        <w:keepLines/>
        <w:numPr>
          <w:ilvl w:val="0"/>
          <w:numId w:val="26"/>
        </w:numPr>
        <w:spacing w:after="320" w:line="259" w:lineRule="auto"/>
        <w:contextualSpacing/>
        <w:rPr>
          <w:rFonts w:asciiTheme="minorHAnsi" w:eastAsiaTheme="minorHAnsi" w:hAnsiTheme="minorHAnsi" w:cstheme="minorBidi"/>
          <w:sz w:val="22"/>
          <w:szCs w:val="22"/>
          <w:lang w:val="en-CA"/>
        </w:rPr>
      </w:pPr>
      <w:r w:rsidRPr="00374A6E">
        <w:rPr>
          <w:rStyle w:val="lev"/>
          <w:rFonts w:eastAsiaTheme="minorHAnsi" w:cstheme="minorHAnsi"/>
          <w:lang w:val="en-CA"/>
        </w:rPr>
        <w:t>New ability to customize organizational staffing system</w:t>
      </w:r>
      <w:r w:rsidRPr="00374A6E">
        <w:rPr>
          <w:rFonts w:asciiTheme="minorHAnsi" w:eastAsiaTheme="minorHAnsi" w:hAnsiTheme="minorHAnsi" w:cstheme="minorBidi"/>
          <w:sz w:val="22"/>
          <w:szCs w:val="22"/>
          <w:lang w:val="en-CA"/>
        </w:rPr>
        <w:t xml:space="preserve"> based on unique context and evolving business needs</w:t>
      </w:r>
    </w:p>
    <w:p w:rsidR="003C2A0F" w:rsidRPr="00374A6E" w:rsidRDefault="003C2A0F" w:rsidP="003C2A0F">
      <w:pPr>
        <w:keepLines/>
        <w:numPr>
          <w:ilvl w:val="0"/>
          <w:numId w:val="25"/>
        </w:numPr>
        <w:spacing w:after="320" w:line="259" w:lineRule="auto"/>
        <w:contextualSpacing/>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 xml:space="preserve">Deputy head establish a direction on the </w:t>
      </w:r>
      <w:r w:rsidRPr="00374A6E">
        <w:rPr>
          <w:rStyle w:val="lev"/>
          <w:rFonts w:eastAsiaTheme="minorHAnsi" w:cstheme="minorHAnsi"/>
          <w:lang w:val="en-CA"/>
        </w:rPr>
        <w:t>use of advertised and non-advertised</w:t>
      </w:r>
      <w:r w:rsidRPr="00374A6E">
        <w:rPr>
          <w:rFonts w:asciiTheme="minorHAnsi" w:eastAsiaTheme="minorHAnsi" w:hAnsiTheme="minorHAnsi" w:cstheme="minorBidi"/>
          <w:sz w:val="20"/>
          <w:szCs w:val="22"/>
          <w:lang w:val="en-CA"/>
        </w:rPr>
        <w:t xml:space="preserve"> </w:t>
      </w:r>
      <w:r w:rsidRPr="00374A6E">
        <w:rPr>
          <w:rFonts w:asciiTheme="minorHAnsi" w:eastAsiaTheme="minorHAnsi" w:hAnsiTheme="minorHAnsi" w:cstheme="minorBidi"/>
          <w:sz w:val="22"/>
          <w:szCs w:val="22"/>
          <w:lang w:val="en-CA"/>
        </w:rPr>
        <w:t>appointment processes</w:t>
      </w:r>
    </w:p>
    <w:p w:rsidR="003C2A0F" w:rsidRPr="00374A6E" w:rsidRDefault="003C2A0F" w:rsidP="003C2A0F">
      <w:pPr>
        <w:keepLines/>
        <w:numPr>
          <w:ilvl w:val="0"/>
          <w:numId w:val="25"/>
        </w:numPr>
        <w:spacing w:after="320" w:line="259" w:lineRule="auto"/>
        <w:contextualSpacing/>
        <w:rPr>
          <w:rStyle w:val="lev"/>
          <w:rFonts w:eastAsiaTheme="minorHAnsi" w:cstheme="minorHAnsi"/>
          <w:lang w:val="en-CA"/>
        </w:rPr>
      </w:pPr>
      <w:r w:rsidRPr="00374A6E">
        <w:rPr>
          <w:rFonts w:asciiTheme="minorHAnsi" w:eastAsiaTheme="minorHAnsi" w:hAnsiTheme="minorHAnsi" w:cstheme="minorBidi"/>
          <w:sz w:val="22"/>
          <w:szCs w:val="22"/>
          <w:lang w:val="en-CA"/>
        </w:rPr>
        <w:t xml:space="preserve">Deputy heads to establish requirement(s) for sub-delegated persons to </w:t>
      </w:r>
      <w:r w:rsidRPr="00374A6E">
        <w:rPr>
          <w:rStyle w:val="lev"/>
          <w:rFonts w:eastAsiaTheme="minorHAnsi" w:cstheme="minorHAnsi"/>
          <w:lang w:val="en-CA"/>
        </w:rPr>
        <w:t>articulate, in writing, their selection decision</w:t>
      </w:r>
    </w:p>
    <w:p w:rsidR="003C2A0F" w:rsidRPr="00374A6E" w:rsidRDefault="003C2A0F" w:rsidP="003C2A0F">
      <w:pPr>
        <w:keepLines/>
        <w:numPr>
          <w:ilvl w:val="0"/>
          <w:numId w:val="25"/>
        </w:numPr>
        <w:spacing w:after="320" w:line="259" w:lineRule="auto"/>
        <w:contextualSpacing/>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Clarity on requirements related to investigations</w:t>
      </w:r>
    </w:p>
    <w:p w:rsidR="003C2A0F" w:rsidRPr="00374A6E" w:rsidRDefault="003C2A0F" w:rsidP="003C2A0F">
      <w:pPr>
        <w:keepLines/>
        <w:numPr>
          <w:ilvl w:val="0"/>
          <w:numId w:val="25"/>
        </w:numPr>
        <w:spacing w:after="320" w:line="259" w:lineRule="auto"/>
        <w:contextualSpacing/>
        <w:rPr>
          <w:rFonts w:asciiTheme="minorHAnsi" w:eastAsiaTheme="minorHAnsi" w:hAnsiTheme="minorHAnsi" w:cstheme="minorBidi"/>
          <w:sz w:val="22"/>
          <w:szCs w:val="22"/>
          <w:lang w:val="en-CA"/>
        </w:rPr>
      </w:pPr>
      <w:r w:rsidRPr="00374A6E">
        <w:rPr>
          <w:rStyle w:val="lev"/>
          <w:rFonts w:eastAsiaTheme="minorHAnsi" w:cstheme="minorHAnsi"/>
          <w:lang w:val="en-CA"/>
        </w:rPr>
        <w:t>Attestation form</w:t>
      </w:r>
      <w:r w:rsidRPr="00374A6E">
        <w:rPr>
          <w:rFonts w:asciiTheme="minorHAnsi" w:eastAsiaTheme="minorHAnsi" w:hAnsiTheme="minorHAnsi" w:cstheme="minorBidi"/>
          <w:sz w:val="20"/>
          <w:szCs w:val="22"/>
          <w:lang w:val="en-CA"/>
        </w:rPr>
        <w:t xml:space="preserve"> </w:t>
      </w:r>
      <w:r w:rsidRPr="00374A6E">
        <w:rPr>
          <w:rFonts w:asciiTheme="minorHAnsi" w:eastAsiaTheme="minorHAnsi" w:hAnsiTheme="minorHAnsi" w:cstheme="minorBidi"/>
          <w:sz w:val="22"/>
          <w:szCs w:val="22"/>
          <w:lang w:val="en-CA"/>
        </w:rPr>
        <w:t>to reinforce the accountabilities of sub-delegated persons</w:t>
      </w:r>
    </w:p>
    <w:p w:rsidR="003C2A0F" w:rsidRPr="00374A6E" w:rsidRDefault="003C2A0F" w:rsidP="003C2A0F">
      <w:pPr>
        <w:keepLines/>
        <w:spacing w:after="360" w:line="259" w:lineRule="auto"/>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All PSC monitoring and reporting requirements now found in the Appointment Delegation and Accountability Instrument</w:t>
      </w:r>
    </w:p>
    <w:p w:rsidR="003C2A0F" w:rsidRPr="00374A6E" w:rsidRDefault="003C2A0F" w:rsidP="003C2A0F">
      <w:pPr>
        <w:pStyle w:val="Titre3"/>
        <w:spacing w:after="120"/>
        <w:rPr>
          <w:lang w:val="en-CA"/>
        </w:rPr>
      </w:pPr>
      <w:r w:rsidRPr="00374A6E">
        <w:rPr>
          <w:lang w:val="en-CA"/>
        </w:rPr>
        <w:t>Monitoring and Reporting</w:t>
      </w:r>
    </w:p>
    <w:p w:rsidR="003C2A0F" w:rsidRPr="00374A6E" w:rsidRDefault="003C2A0F" w:rsidP="003C2A0F">
      <w:pPr>
        <w:keepLines/>
        <w:spacing w:after="120" w:line="259" w:lineRule="auto"/>
        <w:rPr>
          <w:rFonts w:asciiTheme="minorHAnsi" w:eastAsiaTheme="minorHAnsi" w:hAnsiTheme="minorHAnsi" w:cstheme="minorBidi"/>
          <w:sz w:val="22"/>
          <w:szCs w:val="22"/>
          <w:lang w:val="en-CA"/>
        </w:rPr>
      </w:pPr>
      <w:r w:rsidRPr="00374A6E">
        <w:rPr>
          <w:rStyle w:val="lev"/>
          <w:rFonts w:eastAsiaTheme="minorHAnsi" w:cstheme="minorHAnsi"/>
          <w:szCs w:val="22"/>
          <w:lang w:val="en-CA"/>
        </w:rPr>
        <w:t>Monitoring built by organizations</w:t>
      </w:r>
      <w:r w:rsidRPr="00374A6E">
        <w:rPr>
          <w:rFonts w:asciiTheme="minorHAnsi" w:eastAsiaTheme="minorHAnsi" w:hAnsiTheme="minorHAnsi" w:cstheme="minorBidi"/>
          <w:sz w:val="22"/>
          <w:szCs w:val="22"/>
          <w:lang w:val="en-CA"/>
        </w:rPr>
        <w:t>, targeted to their needs</w:t>
      </w:r>
    </w:p>
    <w:p w:rsidR="003C2A0F" w:rsidRPr="00374A6E" w:rsidRDefault="003C2A0F" w:rsidP="003C2A0F">
      <w:pPr>
        <w:keepLines/>
        <w:numPr>
          <w:ilvl w:val="0"/>
          <w:numId w:val="27"/>
        </w:numPr>
        <w:spacing w:after="320" w:line="259" w:lineRule="auto"/>
        <w:contextualSpacing/>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Annual Departmental Staffing Accountability Report no longer required</w:t>
      </w:r>
    </w:p>
    <w:p w:rsidR="003C2A0F" w:rsidRPr="00374A6E" w:rsidRDefault="003C2A0F" w:rsidP="003C2A0F">
      <w:pPr>
        <w:keepLines/>
        <w:numPr>
          <w:ilvl w:val="0"/>
          <w:numId w:val="27"/>
        </w:numPr>
        <w:spacing w:after="320" w:line="259" w:lineRule="auto"/>
        <w:contextualSpacing/>
        <w:rPr>
          <w:rFonts w:asciiTheme="minorHAnsi" w:eastAsiaTheme="minorHAnsi" w:hAnsiTheme="minorHAnsi" w:cstheme="minorBidi"/>
          <w:sz w:val="22"/>
          <w:szCs w:val="22"/>
          <w:lang w:val="en-CA"/>
        </w:rPr>
      </w:pPr>
      <w:r w:rsidRPr="00374A6E">
        <w:rPr>
          <w:rStyle w:val="lev"/>
          <w:rFonts w:eastAsiaTheme="minorHAnsi" w:cstheme="minorHAnsi"/>
          <w:szCs w:val="22"/>
          <w:lang w:val="en-CA"/>
        </w:rPr>
        <w:t>Annual reporting to the PSC limited</w:t>
      </w:r>
      <w:r w:rsidRPr="00374A6E">
        <w:rPr>
          <w:rFonts w:asciiTheme="minorHAnsi" w:eastAsiaTheme="minorHAnsi" w:hAnsiTheme="minorHAnsi" w:cstheme="minorBidi"/>
          <w:sz w:val="22"/>
          <w:szCs w:val="22"/>
          <w:lang w:val="en-CA"/>
        </w:rPr>
        <w:t xml:space="preserve"> to:</w:t>
      </w:r>
    </w:p>
    <w:p w:rsidR="003C2A0F" w:rsidRPr="00374A6E" w:rsidRDefault="003C2A0F" w:rsidP="003C2A0F">
      <w:pPr>
        <w:keepLines/>
        <w:numPr>
          <w:ilvl w:val="1"/>
          <w:numId w:val="27"/>
        </w:numPr>
        <w:spacing w:after="320" w:line="259" w:lineRule="auto"/>
        <w:contextualSpacing/>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Use of Public Service Official Language Exclusion Approval Order</w:t>
      </w:r>
    </w:p>
    <w:p w:rsidR="003C2A0F" w:rsidRPr="00374A6E" w:rsidRDefault="003C2A0F" w:rsidP="003C2A0F">
      <w:pPr>
        <w:keepLines/>
        <w:numPr>
          <w:ilvl w:val="1"/>
          <w:numId w:val="27"/>
        </w:numPr>
        <w:spacing w:after="320" w:line="259" w:lineRule="auto"/>
        <w:contextualSpacing/>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Exceptions to the National Area of Selection approved by the deputy head</w:t>
      </w:r>
    </w:p>
    <w:p w:rsidR="003C2A0F" w:rsidRPr="00374A6E" w:rsidRDefault="003C2A0F" w:rsidP="003C2A0F">
      <w:pPr>
        <w:keepLines/>
        <w:numPr>
          <w:ilvl w:val="1"/>
          <w:numId w:val="27"/>
        </w:numPr>
        <w:spacing w:after="320" w:line="259" w:lineRule="auto"/>
        <w:contextualSpacing/>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Results of any internal investigations</w:t>
      </w:r>
    </w:p>
    <w:p w:rsidR="003C2A0F" w:rsidRPr="00374A6E" w:rsidRDefault="003C2A0F" w:rsidP="003C2A0F">
      <w:pPr>
        <w:keepLines/>
        <w:numPr>
          <w:ilvl w:val="1"/>
          <w:numId w:val="27"/>
        </w:numPr>
        <w:spacing w:after="320" w:line="259" w:lineRule="auto"/>
        <w:contextualSpacing/>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Actions taken following any PSC investigations or audits.</w:t>
      </w:r>
    </w:p>
    <w:p w:rsidR="003C2A0F" w:rsidRPr="00374A6E" w:rsidRDefault="003C2A0F" w:rsidP="003C2A0F">
      <w:pPr>
        <w:keepLines/>
        <w:numPr>
          <w:ilvl w:val="0"/>
          <w:numId w:val="28"/>
        </w:numPr>
        <w:spacing w:after="320" w:line="259" w:lineRule="auto"/>
        <w:contextualSpacing/>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 xml:space="preserve">Deputy head responsible for </w:t>
      </w:r>
      <w:r w:rsidRPr="00374A6E">
        <w:rPr>
          <w:rStyle w:val="lev"/>
          <w:rFonts w:eastAsiaTheme="minorHAnsi" w:cstheme="minorHAnsi"/>
          <w:szCs w:val="22"/>
          <w:lang w:val="en-CA"/>
        </w:rPr>
        <w:t>ongoing monitoring of organizational staffing system</w:t>
      </w:r>
      <w:r w:rsidRPr="00374A6E">
        <w:rPr>
          <w:rFonts w:asciiTheme="minorHAnsi" w:eastAsiaTheme="minorHAnsi" w:hAnsiTheme="minorHAnsi" w:cstheme="minorBidi"/>
          <w:sz w:val="22"/>
          <w:szCs w:val="22"/>
          <w:lang w:val="en-CA"/>
        </w:rPr>
        <w:t xml:space="preserve"> based on the organization’s unique context</w:t>
      </w:r>
    </w:p>
    <w:p w:rsidR="003C2A0F" w:rsidRPr="00374A6E" w:rsidRDefault="003C2A0F" w:rsidP="003C2A0F">
      <w:pPr>
        <w:keepLines/>
        <w:numPr>
          <w:ilvl w:val="1"/>
          <w:numId w:val="28"/>
        </w:numPr>
        <w:spacing w:after="320" w:line="259" w:lineRule="auto"/>
        <w:contextualSpacing/>
        <w:rPr>
          <w:rFonts w:asciiTheme="minorHAnsi" w:eastAsiaTheme="minorHAnsi" w:hAnsiTheme="minorHAnsi" w:cstheme="minorBidi"/>
          <w:sz w:val="22"/>
          <w:szCs w:val="22"/>
          <w:lang w:val="en-CA"/>
        </w:rPr>
      </w:pPr>
      <w:r w:rsidRPr="00374A6E">
        <w:rPr>
          <w:rStyle w:val="lev"/>
          <w:rFonts w:eastAsiaTheme="minorHAnsi" w:cstheme="minorHAnsi"/>
          <w:szCs w:val="22"/>
          <w:lang w:val="en-CA"/>
        </w:rPr>
        <w:lastRenderedPageBreak/>
        <w:t>Assessment of adherence to requirements</w:t>
      </w:r>
      <w:r w:rsidRPr="00374A6E">
        <w:rPr>
          <w:rFonts w:asciiTheme="minorHAnsi" w:eastAsiaTheme="minorHAnsi" w:hAnsiTheme="minorHAnsi" w:cstheme="minorBidi"/>
          <w:sz w:val="22"/>
          <w:szCs w:val="22"/>
          <w:lang w:val="en-CA"/>
        </w:rPr>
        <w:t>, based on organization’s own risks, at the minimum every five years</w:t>
      </w:r>
    </w:p>
    <w:p w:rsidR="003C2A0F" w:rsidRPr="00374A6E" w:rsidRDefault="003C2A0F" w:rsidP="003C2A0F">
      <w:pPr>
        <w:pStyle w:val="Titre3"/>
        <w:spacing w:after="120"/>
        <w:rPr>
          <w:lang w:val="en-CA"/>
        </w:rPr>
      </w:pPr>
      <w:r w:rsidRPr="00374A6E">
        <w:rPr>
          <w:lang w:val="en-CA"/>
        </w:rPr>
        <w:t>PSC Oversight</w:t>
      </w:r>
    </w:p>
    <w:p w:rsidR="003C2A0F" w:rsidRPr="00374A6E" w:rsidRDefault="003C2A0F" w:rsidP="003C2A0F">
      <w:pPr>
        <w:keepLines/>
        <w:spacing w:after="120" w:line="259" w:lineRule="auto"/>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System wide-focus</w:t>
      </w:r>
    </w:p>
    <w:p w:rsidR="003C2A0F" w:rsidRPr="00374A6E" w:rsidRDefault="003C2A0F" w:rsidP="003C2A0F">
      <w:pPr>
        <w:keepLines/>
        <w:numPr>
          <w:ilvl w:val="0"/>
          <w:numId w:val="29"/>
        </w:numPr>
        <w:spacing w:line="259" w:lineRule="auto"/>
        <w:rPr>
          <w:rStyle w:val="lev"/>
          <w:rFonts w:eastAsiaTheme="minorHAnsi" w:cstheme="minorHAnsi"/>
          <w:lang w:val="en-CA"/>
        </w:rPr>
      </w:pPr>
      <w:r w:rsidRPr="00374A6E">
        <w:rPr>
          <w:rStyle w:val="lev"/>
          <w:rFonts w:eastAsiaTheme="minorHAnsi" w:cstheme="minorHAnsi"/>
          <w:lang w:val="en-CA"/>
        </w:rPr>
        <w:t>Government-wide compliance audit every two years</w:t>
      </w:r>
    </w:p>
    <w:p w:rsidR="003C2A0F" w:rsidRPr="00374A6E" w:rsidRDefault="003C2A0F" w:rsidP="003C2A0F">
      <w:pPr>
        <w:keepLines/>
        <w:numPr>
          <w:ilvl w:val="0"/>
          <w:numId w:val="29"/>
        </w:numPr>
        <w:spacing w:line="259" w:lineRule="auto"/>
        <w:rPr>
          <w:rFonts w:asciiTheme="minorHAnsi" w:eastAsiaTheme="minorHAnsi" w:hAnsiTheme="minorHAnsi" w:cstheme="minorBidi"/>
          <w:sz w:val="22"/>
          <w:szCs w:val="22"/>
          <w:lang w:val="en-CA"/>
        </w:rPr>
      </w:pPr>
      <w:r w:rsidRPr="00374A6E">
        <w:rPr>
          <w:rStyle w:val="lev"/>
          <w:rFonts w:eastAsiaTheme="minorHAnsi" w:cstheme="minorHAnsi"/>
          <w:lang w:val="en-CA"/>
        </w:rPr>
        <w:t>Renewed Survey of Staffing</w:t>
      </w:r>
      <w:r w:rsidRPr="00374A6E">
        <w:rPr>
          <w:rFonts w:asciiTheme="minorHAnsi" w:eastAsiaTheme="minorHAnsi" w:hAnsiTheme="minorHAnsi" w:cstheme="minorBidi"/>
          <w:sz w:val="20"/>
          <w:szCs w:val="22"/>
          <w:lang w:val="en-CA"/>
        </w:rPr>
        <w:t xml:space="preserve"> </w:t>
      </w:r>
      <w:r w:rsidRPr="00374A6E">
        <w:rPr>
          <w:rFonts w:asciiTheme="minorHAnsi" w:eastAsiaTheme="minorHAnsi" w:hAnsiTheme="minorHAnsi" w:cstheme="minorBidi"/>
          <w:sz w:val="22"/>
          <w:szCs w:val="22"/>
          <w:lang w:val="en-CA"/>
        </w:rPr>
        <w:t>administered in alternating years with government-wide audit</w:t>
      </w:r>
    </w:p>
    <w:p w:rsidR="003C2A0F" w:rsidRPr="00374A6E" w:rsidRDefault="003C2A0F" w:rsidP="003C2A0F">
      <w:pPr>
        <w:keepLines/>
        <w:numPr>
          <w:ilvl w:val="0"/>
          <w:numId w:val="29"/>
        </w:numPr>
        <w:spacing w:line="259" w:lineRule="auto"/>
        <w:rPr>
          <w:rFonts w:asciiTheme="minorHAnsi" w:eastAsiaTheme="minorHAnsi" w:hAnsiTheme="minorHAnsi" w:cstheme="minorBidi"/>
          <w:sz w:val="22"/>
          <w:szCs w:val="22"/>
          <w:lang w:val="en-CA"/>
        </w:rPr>
      </w:pPr>
      <w:r w:rsidRPr="00374A6E">
        <w:rPr>
          <w:rStyle w:val="lev"/>
          <w:rFonts w:eastAsiaTheme="minorHAnsi" w:cstheme="minorHAnsi"/>
          <w:lang w:val="en-CA"/>
        </w:rPr>
        <w:t>System-wide effectiveness and efficiency reviews</w:t>
      </w:r>
      <w:r w:rsidRPr="00374A6E">
        <w:rPr>
          <w:rFonts w:asciiTheme="minorHAnsi" w:eastAsiaTheme="minorHAnsi" w:hAnsiTheme="minorHAnsi" w:cstheme="minorBidi"/>
          <w:sz w:val="20"/>
          <w:szCs w:val="22"/>
          <w:lang w:val="en-CA"/>
        </w:rPr>
        <w:t xml:space="preserve"> </w:t>
      </w:r>
      <w:r w:rsidRPr="00374A6E">
        <w:rPr>
          <w:rFonts w:asciiTheme="minorHAnsi" w:eastAsiaTheme="minorHAnsi" w:hAnsiTheme="minorHAnsi" w:cstheme="minorBidi"/>
          <w:sz w:val="22"/>
          <w:szCs w:val="22"/>
          <w:lang w:val="en-CA"/>
        </w:rPr>
        <w:t>to support continuous improvement</w:t>
      </w:r>
    </w:p>
    <w:p w:rsidR="003C2A0F" w:rsidRPr="00374A6E" w:rsidRDefault="003C2A0F" w:rsidP="003C2A0F">
      <w:pPr>
        <w:keepLines/>
        <w:numPr>
          <w:ilvl w:val="0"/>
          <w:numId w:val="29"/>
        </w:numPr>
        <w:spacing w:line="259" w:lineRule="auto"/>
        <w:rPr>
          <w:rFonts w:asciiTheme="minorHAnsi" w:eastAsiaTheme="minorHAnsi" w:hAnsiTheme="minorHAnsi" w:cstheme="minorBidi"/>
          <w:sz w:val="22"/>
          <w:szCs w:val="22"/>
          <w:lang w:val="en-CA"/>
        </w:rPr>
      </w:pPr>
      <w:r w:rsidRPr="00374A6E">
        <w:rPr>
          <w:rStyle w:val="lev"/>
          <w:rFonts w:eastAsiaTheme="minorHAnsi" w:cstheme="minorHAnsi"/>
          <w:lang w:val="en-CA"/>
        </w:rPr>
        <w:t>Targeted PSC audits</w:t>
      </w:r>
      <w:r w:rsidRPr="00374A6E">
        <w:rPr>
          <w:rFonts w:asciiTheme="minorHAnsi" w:eastAsiaTheme="minorHAnsi" w:hAnsiTheme="minorHAnsi" w:cstheme="minorBidi"/>
          <w:sz w:val="20"/>
          <w:szCs w:val="22"/>
          <w:lang w:val="en-CA"/>
        </w:rPr>
        <w:t xml:space="preserve"> </w:t>
      </w:r>
      <w:r w:rsidRPr="00374A6E">
        <w:rPr>
          <w:rFonts w:asciiTheme="minorHAnsi" w:eastAsiaTheme="minorHAnsi" w:hAnsiTheme="minorHAnsi" w:cstheme="minorBidi"/>
          <w:sz w:val="22"/>
          <w:szCs w:val="22"/>
          <w:lang w:val="en-CA"/>
        </w:rPr>
        <w:t>as a result of identified system-wide or organizational risks or at the deputy head request</w:t>
      </w:r>
    </w:p>
    <w:p w:rsidR="003C2A0F" w:rsidRPr="00374A6E" w:rsidRDefault="003C2A0F" w:rsidP="003C2A0F">
      <w:pPr>
        <w:keepLines/>
        <w:numPr>
          <w:ilvl w:val="0"/>
          <w:numId w:val="29"/>
        </w:numPr>
        <w:spacing w:after="320" w:line="259" w:lineRule="auto"/>
        <w:rPr>
          <w:rFonts w:asciiTheme="minorHAnsi" w:eastAsiaTheme="minorHAnsi" w:hAnsiTheme="minorHAnsi" w:cstheme="minorBidi"/>
          <w:sz w:val="22"/>
          <w:szCs w:val="22"/>
          <w:lang w:val="en-CA"/>
        </w:rPr>
      </w:pPr>
      <w:r w:rsidRPr="00374A6E">
        <w:rPr>
          <w:rStyle w:val="lev"/>
          <w:rFonts w:eastAsiaTheme="minorHAnsi" w:cstheme="minorHAnsi"/>
          <w:lang w:val="en-CA"/>
        </w:rPr>
        <w:t>Investigations conducted</w:t>
      </w:r>
      <w:r w:rsidRPr="00374A6E">
        <w:rPr>
          <w:rFonts w:asciiTheme="minorHAnsi" w:eastAsiaTheme="minorHAnsi" w:hAnsiTheme="minorHAnsi" w:cstheme="minorBidi"/>
          <w:sz w:val="20"/>
          <w:szCs w:val="22"/>
          <w:lang w:val="en-CA"/>
        </w:rPr>
        <w:t xml:space="preserve"> </w:t>
      </w:r>
      <w:r w:rsidRPr="00374A6E">
        <w:rPr>
          <w:rFonts w:asciiTheme="minorHAnsi" w:eastAsiaTheme="minorHAnsi" w:hAnsiTheme="minorHAnsi" w:cstheme="minorBidi"/>
          <w:sz w:val="22"/>
          <w:szCs w:val="22"/>
          <w:lang w:val="en-CA"/>
        </w:rPr>
        <w:t>when there is a reason to believe there was political influence, fraud or improper conduct in an appointment process</w:t>
      </w:r>
    </w:p>
    <w:p w:rsidR="00DD72C1" w:rsidRPr="009B526E" w:rsidRDefault="003C2A0F" w:rsidP="003C2A0F">
      <w:pPr>
        <w:rPr>
          <w:b/>
          <w:color w:val="54575A" w:themeColor="text1"/>
          <w:sz w:val="12"/>
          <w:szCs w:val="12"/>
          <w:lang w:val="en-CA"/>
        </w:rPr>
      </w:pPr>
      <w:r w:rsidRPr="009B526E">
        <w:rPr>
          <w:rStyle w:val="lev"/>
          <w:rFonts w:eastAsiaTheme="minorHAnsi" w:cstheme="minorHAnsi"/>
          <w:b w:val="0"/>
          <w:lang w:val="en-CA"/>
        </w:rPr>
        <w:t>This document should be read in conjunction with the Public Service Employment Act, the Public Service Employment Regulations, the PSC Appointment Policy and the PSC Appointment Delegation and Accountability Instrument.</w:t>
      </w:r>
    </w:p>
    <w:p w:rsidR="00DD72C1" w:rsidRPr="00F162C5" w:rsidRDefault="00DD72C1" w:rsidP="00F162C5">
      <w:pPr>
        <w:rPr>
          <w:color w:val="54575A" w:themeColor="text1"/>
          <w:sz w:val="12"/>
          <w:szCs w:val="12"/>
          <w:lang w:val="en-CA"/>
        </w:rPr>
        <w:sectPr w:rsidR="00DD72C1" w:rsidRPr="00F162C5">
          <w:pgSz w:w="12240" w:h="15840"/>
          <w:pgMar w:top="1440" w:right="1800" w:bottom="1440" w:left="1800" w:header="708" w:footer="708" w:gutter="0"/>
          <w:cols w:space="708"/>
          <w:docGrid w:linePitch="360"/>
        </w:sectPr>
      </w:pPr>
    </w:p>
    <w:p w:rsidR="00DD72C1" w:rsidRPr="00F162C5" w:rsidRDefault="00744827" w:rsidP="00F162C5">
      <w:pPr>
        <w:pStyle w:val="Titre3"/>
        <w:jc w:val="right"/>
        <w:rPr>
          <w:lang w:val="en-CA"/>
        </w:rPr>
      </w:pPr>
      <w:bookmarkStart w:id="2" w:name="AnnexB"/>
      <w:r>
        <w:rPr>
          <w:lang w:val="en-CA"/>
        </w:rPr>
        <w:lastRenderedPageBreak/>
        <w:t>Annex B</w:t>
      </w:r>
    </w:p>
    <w:bookmarkEnd w:id="2"/>
    <w:p w:rsidR="00732ABB" w:rsidRPr="00732ABB" w:rsidRDefault="00732ABB" w:rsidP="00732ABB">
      <w:pPr>
        <w:pStyle w:val="Titre1"/>
        <w:spacing w:before="120" w:after="120"/>
        <w:rPr>
          <w:sz w:val="40"/>
          <w:lang w:val="en-CA"/>
        </w:rPr>
      </w:pPr>
      <w:r w:rsidRPr="00732ABB">
        <w:rPr>
          <w:sz w:val="40"/>
          <w:lang w:val="en-CA"/>
        </w:rPr>
        <w:t>Population by tenure as of March 31</w:t>
      </w:r>
    </w:p>
    <w:p w:rsidR="00726EA8" w:rsidRDefault="00DD72C1" w:rsidP="00E17501">
      <w:pPr>
        <w:pStyle w:val="Titre3"/>
        <w:jc w:val="center"/>
      </w:pPr>
      <w:r w:rsidRPr="00726EA8">
        <w:rPr>
          <w:rStyle w:val="lev"/>
          <w:noProof/>
          <w:lang w:val="en-CA" w:eastAsia="en-CA"/>
        </w:rPr>
        <w:drawing>
          <wp:inline distT="0" distB="0" distL="0" distR="0" wp14:anchorId="098D2E31" wp14:editId="0831D5F6">
            <wp:extent cx="5648400" cy="3049200"/>
            <wp:effectExtent l="0" t="0" r="9525" b="18415"/>
            <wp:docPr id="13" name="Chart 13" descr="Population by tenure as of March 3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26EA8" w:rsidRDefault="00726EA8" w:rsidP="00726EA8">
      <w:pPr>
        <w:pStyle w:val="Lgende"/>
        <w:jc w:val="center"/>
      </w:pPr>
      <w:r>
        <w:t xml:space="preserve">Figure </w:t>
      </w:r>
      <w:r>
        <w:fldChar w:fldCharType="begin"/>
      </w:r>
      <w:r>
        <w:instrText xml:space="preserve"> SEQ Figure \* ARABIC </w:instrText>
      </w:r>
      <w:r>
        <w:fldChar w:fldCharType="separate"/>
      </w:r>
      <w:r w:rsidR="00F452A8">
        <w:rPr>
          <w:noProof/>
        </w:rPr>
        <w:t>1</w:t>
      </w:r>
      <w:r>
        <w:fldChar w:fldCharType="end"/>
      </w:r>
      <w:r>
        <w:t xml:space="preserve"> - </w:t>
      </w:r>
      <w:r w:rsidRPr="003A75D1">
        <w:t>Population by tenure as of March 31</w:t>
      </w:r>
    </w:p>
    <w:p w:rsidR="00726EA8" w:rsidRDefault="00726EA8" w:rsidP="00726EA8">
      <w:pPr>
        <w:pStyle w:val="Lgende"/>
        <w:keepNext/>
        <w:spacing w:before="240"/>
        <w:jc w:val="center"/>
      </w:pPr>
      <w:r>
        <w:t xml:space="preserve">Table </w:t>
      </w:r>
      <w:r>
        <w:fldChar w:fldCharType="begin"/>
      </w:r>
      <w:r>
        <w:instrText xml:space="preserve"> SEQ Table \* ARABIC </w:instrText>
      </w:r>
      <w:r>
        <w:fldChar w:fldCharType="separate"/>
      </w:r>
      <w:r w:rsidR="00AD62FD">
        <w:rPr>
          <w:noProof/>
        </w:rPr>
        <w:t>3</w:t>
      </w:r>
      <w:r>
        <w:fldChar w:fldCharType="end"/>
      </w:r>
      <w:r>
        <w:t xml:space="preserve"> - </w:t>
      </w:r>
      <w:r w:rsidRPr="00955B82">
        <w:t>Public Service Employment Act population by tenure as of March 31</w:t>
      </w:r>
    </w:p>
    <w:tbl>
      <w:tblPr>
        <w:tblStyle w:val="TableGrid3"/>
        <w:tblW w:w="5000" w:type="pct"/>
        <w:jc w:val="center"/>
        <w:tblLook w:val="0000" w:firstRow="0" w:lastRow="0" w:firstColumn="0" w:lastColumn="0" w:noHBand="0" w:noVBand="0"/>
        <w:tblDescription w:val="Public by tenure as of March 31 from 2014 to 2019"/>
      </w:tblPr>
      <w:tblGrid>
        <w:gridCol w:w="3437"/>
        <w:gridCol w:w="2597"/>
        <w:gridCol w:w="2089"/>
        <w:gridCol w:w="2089"/>
        <w:gridCol w:w="2089"/>
        <w:gridCol w:w="2089"/>
      </w:tblGrid>
      <w:tr w:rsidR="00726EA8" w:rsidRPr="00726EA8" w:rsidTr="00981500">
        <w:trPr>
          <w:cantSplit/>
          <w:trHeight w:val="290"/>
          <w:tblHeader/>
          <w:jc w:val="center"/>
        </w:trPr>
        <w:tc>
          <w:tcPr>
            <w:tcW w:w="1194" w:type="pct"/>
          </w:tcPr>
          <w:p w:rsidR="00726EA8" w:rsidRPr="00726EA8" w:rsidRDefault="00726EA8" w:rsidP="00726EA8">
            <w:pPr>
              <w:pStyle w:val="TableTitle"/>
              <w:rPr>
                <w:rFonts w:eastAsiaTheme="minorHAnsi"/>
                <w:lang w:val="en-CA"/>
              </w:rPr>
            </w:pPr>
            <w:r w:rsidRPr="00726EA8">
              <w:rPr>
                <w:rFonts w:eastAsiaTheme="minorHAnsi"/>
                <w:lang w:val="en-CA"/>
              </w:rPr>
              <w:t>Year</w:t>
            </w:r>
          </w:p>
        </w:tc>
        <w:tc>
          <w:tcPr>
            <w:tcW w:w="902" w:type="pct"/>
          </w:tcPr>
          <w:p w:rsidR="00726EA8" w:rsidRPr="00726EA8" w:rsidRDefault="00726EA8" w:rsidP="00726EA8">
            <w:pPr>
              <w:pStyle w:val="TableTitle"/>
              <w:rPr>
                <w:rFonts w:eastAsiaTheme="minorHAnsi"/>
                <w:lang w:val="en-CA"/>
              </w:rPr>
            </w:pPr>
            <w:r w:rsidRPr="00726EA8">
              <w:rPr>
                <w:rFonts w:eastAsiaTheme="minorHAnsi"/>
                <w:lang w:val="en-CA"/>
              </w:rPr>
              <w:t>Indeterminate</w:t>
            </w:r>
          </w:p>
          <w:p w:rsidR="00726EA8" w:rsidRPr="00726EA8" w:rsidRDefault="00726EA8" w:rsidP="00726EA8">
            <w:pPr>
              <w:pStyle w:val="TableTitle"/>
              <w:rPr>
                <w:rFonts w:eastAsiaTheme="minorHAnsi"/>
                <w:lang w:val="en-CA"/>
              </w:rPr>
            </w:pPr>
            <w:r w:rsidRPr="00726EA8">
              <w:rPr>
                <w:rFonts w:eastAsiaTheme="minorHAnsi"/>
                <w:lang w:val="en-CA"/>
              </w:rPr>
              <w:t>population</w:t>
            </w:r>
          </w:p>
        </w:tc>
        <w:tc>
          <w:tcPr>
            <w:tcW w:w="726" w:type="pct"/>
          </w:tcPr>
          <w:p w:rsidR="00726EA8" w:rsidRPr="00726EA8" w:rsidRDefault="00726EA8" w:rsidP="00726EA8">
            <w:pPr>
              <w:pStyle w:val="TableTitle"/>
              <w:rPr>
                <w:rFonts w:eastAsiaTheme="minorHAnsi"/>
                <w:lang w:val="en-CA"/>
              </w:rPr>
            </w:pPr>
            <w:r w:rsidRPr="00726EA8">
              <w:rPr>
                <w:rFonts w:eastAsiaTheme="minorHAnsi"/>
                <w:lang w:val="en-CA"/>
              </w:rPr>
              <w:t>Term</w:t>
            </w:r>
          </w:p>
          <w:p w:rsidR="00726EA8" w:rsidRPr="00726EA8" w:rsidRDefault="00726EA8" w:rsidP="00726EA8">
            <w:pPr>
              <w:pStyle w:val="TableTitle"/>
              <w:rPr>
                <w:rFonts w:eastAsiaTheme="minorHAnsi"/>
                <w:lang w:val="en-CA"/>
              </w:rPr>
            </w:pPr>
            <w:r w:rsidRPr="00726EA8">
              <w:rPr>
                <w:rFonts w:eastAsiaTheme="minorHAnsi"/>
                <w:lang w:val="en-CA"/>
              </w:rPr>
              <w:t xml:space="preserve">population </w:t>
            </w:r>
          </w:p>
        </w:tc>
        <w:tc>
          <w:tcPr>
            <w:tcW w:w="726" w:type="pct"/>
          </w:tcPr>
          <w:p w:rsidR="00726EA8" w:rsidRPr="00726EA8" w:rsidRDefault="00726EA8" w:rsidP="00726EA8">
            <w:pPr>
              <w:pStyle w:val="TableTitle"/>
              <w:rPr>
                <w:rFonts w:eastAsiaTheme="minorHAnsi"/>
                <w:lang w:val="en-CA"/>
              </w:rPr>
            </w:pPr>
            <w:r w:rsidRPr="00726EA8">
              <w:rPr>
                <w:rFonts w:eastAsiaTheme="minorHAnsi"/>
                <w:lang w:val="en-CA"/>
              </w:rPr>
              <w:t>Casual</w:t>
            </w:r>
          </w:p>
          <w:p w:rsidR="00726EA8" w:rsidRPr="00726EA8" w:rsidRDefault="00726EA8" w:rsidP="00726EA8">
            <w:pPr>
              <w:pStyle w:val="TableTitle"/>
              <w:rPr>
                <w:rFonts w:eastAsiaTheme="minorHAnsi"/>
                <w:lang w:val="en-CA"/>
              </w:rPr>
            </w:pPr>
            <w:r w:rsidRPr="00726EA8">
              <w:rPr>
                <w:rFonts w:eastAsiaTheme="minorHAnsi"/>
                <w:lang w:val="en-CA"/>
              </w:rPr>
              <w:t>population</w:t>
            </w:r>
          </w:p>
        </w:tc>
        <w:tc>
          <w:tcPr>
            <w:tcW w:w="726" w:type="pct"/>
          </w:tcPr>
          <w:p w:rsidR="00726EA8" w:rsidRPr="00726EA8" w:rsidRDefault="00726EA8" w:rsidP="00726EA8">
            <w:pPr>
              <w:pStyle w:val="TableTitle"/>
              <w:rPr>
                <w:rFonts w:eastAsiaTheme="minorHAnsi"/>
                <w:lang w:val="en-CA"/>
              </w:rPr>
            </w:pPr>
            <w:r w:rsidRPr="00726EA8">
              <w:rPr>
                <w:rFonts w:eastAsiaTheme="minorHAnsi"/>
                <w:lang w:val="en-CA"/>
              </w:rPr>
              <w:t>Student</w:t>
            </w:r>
          </w:p>
          <w:p w:rsidR="00726EA8" w:rsidRPr="00726EA8" w:rsidRDefault="00726EA8" w:rsidP="00726EA8">
            <w:pPr>
              <w:pStyle w:val="TableTitle"/>
              <w:rPr>
                <w:rFonts w:eastAsiaTheme="minorHAnsi"/>
                <w:lang w:val="en-CA"/>
              </w:rPr>
            </w:pPr>
            <w:r w:rsidRPr="00726EA8">
              <w:rPr>
                <w:rFonts w:eastAsiaTheme="minorHAnsi"/>
                <w:lang w:val="en-CA"/>
              </w:rPr>
              <w:t>population</w:t>
            </w:r>
          </w:p>
        </w:tc>
        <w:tc>
          <w:tcPr>
            <w:tcW w:w="726" w:type="pct"/>
          </w:tcPr>
          <w:p w:rsidR="00726EA8" w:rsidRPr="00726EA8" w:rsidRDefault="00726EA8" w:rsidP="00726EA8">
            <w:pPr>
              <w:pStyle w:val="TableTitle"/>
              <w:rPr>
                <w:rFonts w:eastAsiaTheme="minorHAnsi"/>
                <w:lang w:val="en-CA"/>
              </w:rPr>
            </w:pPr>
            <w:r w:rsidRPr="00726EA8">
              <w:rPr>
                <w:rFonts w:eastAsiaTheme="minorHAnsi"/>
                <w:lang w:val="en-CA"/>
              </w:rPr>
              <w:t>Total</w:t>
            </w:r>
          </w:p>
          <w:p w:rsidR="00726EA8" w:rsidRPr="00726EA8" w:rsidRDefault="00726EA8" w:rsidP="00726EA8">
            <w:pPr>
              <w:pStyle w:val="TableTitle"/>
              <w:rPr>
                <w:rFonts w:eastAsiaTheme="minorHAnsi"/>
                <w:lang w:val="en-CA"/>
              </w:rPr>
            </w:pPr>
            <w:r w:rsidRPr="00726EA8">
              <w:rPr>
                <w:rFonts w:eastAsiaTheme="minorHAnsi"/>
                <w:lang w:val="en-CA"/>
              </w:rPr>
              <w:t>population</w:t>
            </w:r>
          </w:p>
        </w:tc>
      </w:tr>
      <w:tr w:rsidR="00726EA8" w:rsidRPr="00726EA8" w:rsidTr="00981500">
        <w:trPr>
          <w:cantSplit/>
          <w:trHeight w:val="290"/>
          <w:tblHeader/>
          <w:jc w:val="center"/>
        </w:trPr>
        <w:tc>
          <w:tcPr>
            <w:tcW w:w="1194" w:type="pct"/>
          </w:tcPr>
          <w:p w:rsidR="00726EA8" w:rsidRPr="00726EA8" w:rsidRDefault="00726EA8" w:rsidP="00981500">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As of March 31, 2014</w:t>
            </w:r>
          </w:p>
        </w:tc>
        <w:tc>
          <w:tcPr>
            <w:tcW w:w="902"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182</w:t>
            </w:r>
          </w:p>
        </w:tc>
        <w:tc>
          <w:tcPr>
            <w:tcW w:w="726"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17</w:t>
            </w:r>
          </w:p>
        </w:tc>
        <w:tc>
          <w:tcPr>
            <w:tcW w:w="726"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24</w:t>
            </w:r>
          </w:p>
        </w:tc>
        <w:tc>
          <w:tcPr>
            <w:tcW w:w="726"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6</w:t>
            </w:r>
          </w:p>
        </w:tc>
        <w:tc>
          <w:tcPr>
            <w:tcW w:w="726"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229</w:t>
            </w:r>
          </w:p>
        </w:tc>
      </w:tr>
      <w:tr w:rsidR="00726EA8" w:rsidRPr="00726EA8" w:rsidTr="00981500">
        <w:trPr>
          <w:cantSplit/>
          <w:trHeight w:val="290"/>
          <w:tblHeader/>
          <w:jc w:val="center"/>
        </w:trPr>
        <w:tc>
          <w:tcPr>
            <w:tcW w:w="1194" w:type="pct"/>
          </w:tcPr>
          <w:p w:rsidR="00726EA8" w:rsidRPr="00726EA8" w:rsidRDefault="00726EA8" w:rsidP="00981500">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As of March 31, 2015</w:t>
            </w:r>
          </w:p>
        </w:tc>
        <w:tc>
          <w:tcPr>
            <w:tcW w:w="902"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185</w:t>
            </w:r>
          </w:p>
        </w:tc>
        <w:tc>
          <w:tcPr>
            <w:tcW w:w="726"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19</w:t>
            </w:r>
          </w:p>
        </w:tc>
        <w:tc>
          <w:tcPr>
            <w:tcW w:w="726"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18</w:t>
            </w:r>
          </w:p>
        </w:tc>
        <w:tc>
          <w:tcPr>
            <w:tcW w:w="726"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6</w:t>
            </w:r>
          </w:p>
        </w:tc>
        <w:tc>
          <w:tcPr>
            <w:tcW w:w="726"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228</w:t>
            </w:r>
          </w:p>
        </w:tc>
      </w:tr>
      <w:tr w:rsidR="00726EA8" w:rsidRPr="00726EA8" w:rsidTr="00981500">
        <w:trPr>
          <w:cantSplit/>
          <w:trHeight w:val="290"/>
          <w:tblHeader/>
          <w:jc w:val="center"/>
        </w:trPr>
        <w:tc>
          <w:tcPr>
            <w:tcW w:w="1194" w:type="pct"/>
          </w:tcPr>
          <w:p w:rsidR="00726EA8" w:rsidRPr="00726EA8" w:rsidRDefault="00726EA8" w:rsidP="00981500">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As of March 31, 2016</w:t>
            </w:r>
          </w:p>
        </w:tc>
        <w:tc>
          <w:tcPr>
            <w:tcW w:w="902"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199</w:t>
            </w:r>
          </w:p>
        </w:tc>
        <w:tc>
          <w:tcPr>
            <w:tcW w:w="726"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22</w:t>
            </w:r>
          </w:p>
        </w:tc>
        <w:tc>
          <w:tcPr>
            <w:tcW w:w="726"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29</w:t>
            </w:r>
          </w:p>
        </w:tc>
        <w:tc>
          <w:tcPr>
            <w:tcW w:w="726"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8</w:t>
            </w:r>
          </w:p>
        </w:tc>
        <w:tc>
          <w:tcPr>
            <w:tcW w:w="726"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258</w:t>
            </w:r>
          </w:p>
        </w:tc>
      </w:tr>
      <w:tr w:rsidR="00726EA8" w:rsidRPr="00726EA8" w:rsidTr="00981500">
        <w:trPr>
          <w:cantSplit/>
          <w:trHeight w:val="290"/>
          <w:tblHeader/>
          <w:jc w:val="center"/>
        </w:trPr>
        <w:tc>
          <w:tcPr>
            <w:tcW w:w="1194" w:type="pct"/>
          </w:tcPr>
          <w:p w:rsidR="00726EA8" w:rsidRPr="00726EA8" w:rsidRDefault="00726EA8" w:rsidP="00981500">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As of March 31, 2017</w:t>
            </w:r>
          </w:p>
        </w:tc>
        <w:tc>
          <w:tcPr>
            <w:tcW w:w="902"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232</w:t>
            </w:r>
          </w:p>
        </w:tc>
        <w:tc>
          <w:tcPr>
            <w:tcW w:w="726"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25</w:t>
            </w:r>
          </w:p>
        </w:tc>
        <w:tc>
          <w:tcPr>
            <w:tcW w:w="726"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27</w:t>
            </w:r>
          </w:p>
        </w:tc>
        <w:tc>
          <w:tcPr>
            <w:tcW w:w="726"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13</w:t>
            </w:r>
          </w:p>
        </w:tc>
        <w:tc>
          <w:tcPr>
            <w:tcW w:w="726"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297</w:t>
            </w:r>
          </w:p>
        </w:tc>
      </w:tr>
      <w:tr w:rsidR="00726EA8" w:rsidRPr="00726EA8" w:rsidTr="00981500">
        <w:trPr>
          <w:cantSplit/>
          <w:trHeight w:val="290"/>
          <w:tblHeader/>
          <w:jc w:val="center"/>
        </w:trPr>
        <w:tc>
          <w:tcPr>
            <w:tcW w:w="1194" w:type="pct"/>
          </w:tcPr>
          <w:p w:rsidR="00726EA8" w:rsidRPr="00726EA8" w:rsidRDefault="00726EA8" w:rsidP="00981500">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As of March 31, 2018</w:t>
            </w:r>
          </w:p>
        </w:tc>
        <w:tc>
          <w:tcPr>
            <w:tcW w:w="902"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236</w:t>
            </w:r>
          </w:p>
        </w:tc>
        <w:tc>
          <w:tcPr>
            <w:tcW w:w="726"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24</w:t>
            </w:r>
          </w:p>
        </w:tc>
        <w:tc>
          <w:tcPr>
            <w:tcW w:w="726"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18</w:t>
            </w:r>
          </w:p>
        </w:tc>
        <w:tc>
          <w:tcPr>
            <w:tcW w:w="726"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4</w:t>
            </w:r>
          </w:p>
        </w:tc>
        <w:tc>
          <w:tcPr>
            <w:tcW w:w="726"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282</w:t>
            </w:r>
          </w:p>
        </w:tc>
      </w:tr>
      <w:tr w:rsidR="00726EA8" w:rsidRPr="00726EA8" w:rsidTr="00981500">
        <w:trPr>
          <w:cantSplit/>
          <w:trHeight w:val="290"/>
          <w:tblHeader/>
          <w:jc w:val="center"/>
        </w:trPr>
        <w:tc>
          <w:tcPr>
            <w:tcW w:w="1194" w:type="pct"/>
          </w:tcPr>
          <w:p w:rsidR="00726EA8" w:rsidRPr="00726EA8" w:rsidRDefault="00726EA8" w:rsidP="00981500">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As of March 31, 2019</w:t>
            </w:r>
          </w:p>
        </w:tc>
        <w:tc>
          <w:tcPr>
            <w:tcW w:w="902"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265</w:t>
            </w:r>
          </w:p>
        </w:tc>
        <w:tc>
          <w:tcPr>
            <w:tcW w:w="726"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30</w:t>
            </w:r>
          </w:p>
        </w:tc>
        <w:tc>
          <w:tcPr>
            <w:tcW w:w="726"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27</w:t>
            </w:r>
          </w:p>
        </w:tc>
        <w:tc>
          <w:tcPr>
            <w:tcW w:w="726"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7</w:t>
            </w:r>
          </w:p>
        </w:tc>
        <w:tc>
          <w:tcPr>
            <w:tcW w:w="726"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329</w:t>
            </w:r>
          </w:p>
        </w:tc>
      </w:tr>
    </w:tbl>
    <w:p w:rsidR="00981500" w:rsidRPr="00981500" w:rsidRDefault="00981500" w:rsidP="00981500">
      <w:pPr>
        <w:pStyle w:val="Titre1"/>
        <w:spacing w:before="120" w:after="120"/>
        <w:rPr>
          <w:sz w:val="40"/>
          <w:lang w:val="en-CA"/>
        </w:rPr>
      </w:pPr>
      <w:r w:rsidRPr="00981500">
        <w:rPr>
          <w:sz w:val="40"/>
          <w:lang w:val="en-CA"/>
        </w:rPr>
        <w:lastRenderedPageBreak/>
        <w:t>Population by language requirements as of March 31, 2019</w:t>
      </w:r>
    </w:p>
    <w:p w:rsidR="00726EA8" w:rsidRDefault="00DD72C1" w:rsidP="00E17501">
      <w:pPr>
        <w:pStyle w:val="Titre3"/>
        <w:jc w:val="center"/>
      </w:pPr>
      <w:r w:rsidRPr="00726EA8">
        <w:rPr>
          <w:rStyle w:val="lev"/>
          <w:noProof/>
          <w:lang w:val="en-CA" w:eastAsia="en-CA"/>
        </w:rPr>
        <w:drawing>
          <wp:inline distT="0" distB="0" distL="0" distR="0" wp14:anchorId="7AE9EEC5" wp14:editId="7B79E271">
            <wp:extent cx="1980000" cy="3020400"/>
            <wp:effectExtent l="0" t="0" r="1270" b="8890"/>
            <wp:docPr id="8" name="Chart 8" descr="Population by language requirements as of March 31, 20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26EA8" w:rsidRDefault="00726EA8" w:rsidP="00726EA8">
      <w:pPr>
        <w:pStyle w:val="Lgende"/>
        <w:jc w:val="center"/>
      </w:pPr>
      <w:r>
        <w:t xml:space="preserve">Figure </w:t>
      </w:r>
      <w:r>
        <w:fldChar w:fldCharType="begin"/>
      </w:r>
      <w:r>
        <w:instrText xml:space="preserve"> SEQ Figure \* ARABIC </w:instrText>
      </w:r>
      <w:r>
        <w:fldChar w:fldCharType="separate"/>
      </w:r>
      <w:r w:rsidR="00F452A8">
        <w:rPr>
          <w:noProof/>
        </w:rPr>
        <w:t>2</w:t>
      </w:r>
      <w:r>
        <w:fldChar w:fldCharType="end"/>
      </w:r>
      <w:r>
        <w:t xml:space="preserve"> - </w:t>
      </w:r>
      <w:r w:rsidRPr="00492266">
        <w:t>Population by language requirements as of March 31, 2019</w:t>
      </w:r>
    </w:p>
    <w:p w:rsidR="00726EA8" w:rsidRDefault="00726EA8" w:rsidP="00726EA8">
      <w:pPr>
        <w:pStyle w:val="Lgende"/>
        <w:keepNext/>
        <w:spacing w:before="240"/>
        <w:jc w:val="center"/>
      </w:pPr>
      <w:r>
        <w:t xml:space="preserve">Table </w:t>
      </w:r>
      <w:r>
        <w:fldChar w:fldCharType="begin"/>
      </w:r>
      <w:r>
        <w:instrText xml:space="preserve"> SEQ Table \* ARABIC </w:instrText>
      </w:r>
      <w:r>
        <w:fldChar w:fldCharType="separate"/>
      </w:r>
      <w:r w:rsidR="00AD62FD">
        <w:rPr>
          <w:noProof/>
        </w:rPr>
        <w:t>4</w:t>
      </w:r>
      <w:r>
        <w:fldChar w:fldCharType="end"/>
      </w:r>
      <w:r>
        <w:t xml:space="preserve"> - </w:t>
      </w:r>
      <w:r w:rsidRPr="00395F61">
        <w:t>Public Service Employment Act population by language requirements of the position for fiscal year 2018 to 2019</w:t>
      </w:r>
    </w:p>
    <w:tbl>
      <w:tblPr>
        <w:tblStyle w:val="TableGrid3"/>
        <w:tblW w:w="5000" w:type="pct"/>
        <w:jc w:val="center"/>
        <w:tblLook w:val="0000" w:firstRow="0" w:lastRow="0" w:firstColumn="0" w:lastColumn="0" w:noHBand="0" w:noVBand="0"/>
        <w:tblDescription w:val="Population by language requirements as of March 31, 2019"/>
      </w:tblPr>
      <w:tblGrid>
        <w:gridCol w:w="4781"/>
        <w:gridCol w:w="3954"/>
        <w:gridCol w:w="5655"/>
      </w:tblGrid>
      <w:tr w:rsidR="00726EA8" w:rsidRPr="00726EA8" w:rsidTr="009F6F06">
        <w:trPr>
          <w:cantSplit/>
          <w:trHeight w:val="290"/>
          <w:tblHeader/>
          <w:jc w:val="center"/>
        </w:trPr>
        <w:tc>
          <w:tcPr>
            <w:tcW w:w="1661" w:type="pct"/>
          </w:tcPr>
          <w:p w:rsidR="00726EA8" w:rsidRPr="00726EA8" w:rsidRDefault="00726EA8" w:rsidP="00726EA8">
            <w:pPr>
              <w:pStyle w:val="TableTitle"/>
              <w:rPr>
                <w:rFonts w:eastAsiaTheme="minorHAnsi"/>
                <w:lang w:val="en-CA"/>
              </w:rPr>
            </w:pPr>
            <w:r w:rsidRPr="00726EA8">
              <w:rPr>
                <w:rFonts w:eastAsiaTheme="minorHAnsi"/>
                <w:lang w:val="en-CA"/>
              </w:rPr>
              <w:t>Linguistic requirements of the position</w:t>
            </w:r>
          </w:p>
        </w:tc>
        <w:tc>
          <w:tcPr>
            <w:tcW w:w="1374" w:type="pct"/>
          </w:tcPr>
          <w:p w:rsidR="00726EA8" w:rsidRPr="00726EA8" w:rsidRDefault="00726EA8" w:rsidP="00726EA8">
            <w:pPr>
              <w:pStyle w:val="TableTitle"/>
              <w:rPr>
                <w:rFonts w:eastAsiaTheme="minorHAnsi"/>
                <w:lang w:val="en-CA"/>
              </w:rPr>
            </w:pPr>
            <w:r w:rsidRPr="00726EA8">
              <w:rPr>
                <w:rFonts w:eastAsiaTheme="minorHAnsi"/>
                <w:lang w:val="en-CA"/>
              </w:rPr>
              <w:t>Population as of March 31, 2019</w:t>
            </w:r>
          </w:p>
        </w:tc>
        <w:tc>
          <w:tcPr>
            <w:tcW w:w="1965" w:type="pct"/>
          </w:tcPr>
          <w:p w:rsidR="00726EA8" w:rsidRPr="00726EA8" w:rsidRDefault="00726EA8" w:rsidP="00726EA8">
            <w:pPr>
              <w:pStyle w:val="TableTitle"/>
              <w:rPr>
                <w:rFonts w:eastAsiaTheme="minorHAnsi"/>
                <w:lang w:val="en-CA"/>
              </w:rPr>
            </w:pPr>
            <w:r w:rsidRPr="00726EA8">
              <w:rPr>
                <w:rFonts w:eastAsiaTheme="minorHAnsi"/>
                <w:lang w:val="en-CA"/>
              </w:rPr>
              <w:t>Percentage of population as of March 31, 2019</w:t>
            </w:r>
          </w:p>
        </w:tc>
      </w:tr>
      <w:tr w:rsidR="00726EA8" w:rsidRPr="00726EA8" w:rsidTr="009F6F06">
        <w:trPr>
          <w:cantSplit/>
          <w:trHeight w:val="290"/>
          <w:tblHeader/>
          <w:jc w:val="center"/>
        </w:trPr>
        <w:tc>
          <w:tcPr>
            <w:tcW w:w="1661" w:type="pct"/>
          </w:tcPr>
          <w:p w:rsidR="00726EA8" w:rsidRPr="00726EA8" w:rsidRDefault="00726EA8"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 xml:space="preserve">Bilingual </w:t>
            </w:r>
          </w:p>
        </w:tc>
        <w:tc>
          <w:tcPr>
            <w:tcW w:w="1374"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149</w:t>
            </w:r>
          </w:p>
        </w:tc>
        <w:tc>
          <w:tcPr>
            <w:tcW w:w="1965" w:type="pct"/>
            <w:shd w:val="clear" w:color="auto" w:fill="auto"/>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57%</w:t>
            </w:r>
          </w:p>
        </w:tc>
      </w:tr>
      <w:tr w:rsidR="00726EA8" w:rsidRPr="00726EA8" w:rsidTr="009F6F06">
        <w:trPr>
          <w:cantSplit/>
          <w:trHeight w:val="290"/>
          <w:tblHeader/>
          <w:jc w:val="center"/>
        </w:trPr>
        <w:tc>
          <w:tcPr>
            <w:tcW w:w="1661" w:type="pct"/>
          </w:tcPr>
          <w:p w:rsidR="00726EA8" w:rsidRPr="00726EA8" w:rsidRDefault="00726EA8"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Unilingual</w:t>
            </w:r>
          </w:p>
        </w:tc>
        <w:tc>
          <w:tcPr>
            <w:tcW w:w="1374"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112</w:t>
            </w:r>
          </w:p>
        </w:tc>
        <w:tc>
          <w:tcPr>
            <w:tcW w:w="1965" w:type="pct"/>
            <w:shd w:val="clear" w:color="auto" w:fill="auto"/>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43%</w:t>
            </w:r>
          </w:p>
        </w:tc>
      </w:tr>
      <w:tr w:rsidR="00726EA8" w:rsidRPr="00726EA8" w:rsidTr="009F6F06">
        <w:trPr>
          <w:cantSplit/>
          <w:trHeight w:val="290"/>
          <w:tblHeader/>
          <w:jc w:val="center"/>
        </w:trPr>
        <w:tc>
          <w:tcPr>
            <w:tcW w:w="1661" w:type="pct"/>
          </w:tcPr>
          <w:p w:rsidR="00726EA8" w:rsidRPr="00726EA8" w:rsidRDefault="00726EA8"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Unknown</w:t>
            </w:r>
          </w:p>
        </w:tc>
        <w:tc>
          <w:tcPr>
            <w:tcW w:w="1374"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68</w:t>
            </w:r>
          </w:p>
        </w:tc>
        <w:tc>
          <w:tcPr>
            <w:tcW w:w="1965" w:type="pct"/>
            <w:shd w:val="clear" w:color="auto" w:fill="auto"/>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p>
        </w:tc>
      </w:tr>
    </w:tbl>
    <w:p w:rsidR="009F6F06" w:rsidRPr="009F6F06" w:rsidRDefault="009F6F06" w:rsidP="009F6F06">
      <w:pPr>
        <w:pStyle w:val="Titre1"/>
        <w:spacing w:before="120" w:after="120"/>
        <w:rPr>
          <w:sz w:val="40"/>
          <w:lang w:val="en-CA"/>
        </w:rPr>
      </w:pPr>
      <w:r w:rsidRPr="009F6F06">
        <w:rPr>
          <w:sz w:val="40"/>
        </w:rPr>
        <w:lastRenderedPageBreak/>
        <w:t>Population by occupational group as of March 31, 2019</w:t>
      </w:r>
    </w:p>
    <w:p w:rsidR="00726EA8" w:rsidRDefault="00726EA8" w:rsidP="00E17501">
      <w:pPr>
        <w:pStyle w:val="Titre3"/>
        <w:jc w:val="center"/>
      </w:pPr>
      <w:r w:rsidRPr="00726EA8">
        <w:rPr>
          <w:rStyle w:val="lev"/>
          <w:noProof/>
          <w:lang w:val="en-CA" w:eastAsia="en-CA"/>
        </w:rPr>
        <w:drawing>
          <wp:inline distT="0" distB="0" distL="0" distR="0" wp14:anchorId="6D5DECD8" wp14:editId="4753FD4D">
            <wp:extent cx="1980000" cy="3020400"/>
            <wp:effectExtent l="0" t="0" r="1270" b="8890"/>
            <wp:docPr id="5" name="Chart 5" descr="Population by occupational group as of March 31, 20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26EA8" w:rsidRDefault="00726EA8" w:rsidP="00726EA8">
      <w:pPr>
        <w:pStyle w:val="Lgende"/>
        <w:jc w:val="center"/>
      </w:pPr>
      <w:r>
        <w:t xml:space="preserve">Figure </w:t>
      </w:r>
      <w:r>
        <w:fldChar w:fldCharType="begin"/>
      </w:r>
      <w:r>
        <w:instrText xml:space="preserve"> SEQ Figure \* ARABIC </w:instrText>
      </w:r>
      <w:r>
        <w:fldChar w:fldCharType="separate"/>
      </w:r>
      <w:r w:rsidR="00F452A8">
        <w:rPr>
          <w:noProof/>
        </w:rPr>
        <w:t>3</w:t>
      </w:r>
      <w:r>
        <w:fldChar w:fldCharType="end"/>
      </w:r>
      <w:r>
        <w:t xml:space="preserve"> - </w:t>
      </w:r>
      <w:r w:rsidRPr="00AA3EB5">
        <w:t>Population by occupational group as of March 31, 2019</w:t>
      </w:r>
    </w:p>
    <w:p w:rsidR="00726EA8" w:rsidRDefault="00726EA8" w:rsidP="00726EA8">
      <w:pPr>
        <w:pStyle w:val="Lgende"/>
        <w:keepNext/>
        <w:spacing w:before="240"/>
        <w:jc w:val="center"/>
      </w:pPr>
      <w:r>
        <w:t xml:space="preserve">Table </w:t>
      </w:r>
      <w:r>
        <w:fldChar w:fldCharType="begin"/>
      </w:r>
      <w:r>
        <w:instrText xml:space="preserve"> SEQ Table \* ARABIC </w:instrText>
      </w:r>
      <w:r>
        <w:fldChar w:fldCharType="separate"/>
      </w:r>
      <w:r w:rsidR="00AD62FD">
        <w:rPr>
          <w:noProof/>
        </w:rPr>
        <w:t>5</w:t>
      </w:r>
      <w:r>
        <w:fldChar w:fldCharType="end"/>
      </w:r>
      <w:r>
        <w:t xml:space="preserve"> - </w:t>
      </w:r>
      <w:r w:rsidRPr="002F2CEF">
        <w:t>Top occupational groups, as a percentage of the Public Service Employment Act population for fiscal year 2018 to 2019</w:t>
      </w:r>
    </w:p>
    <w:tbl>
      <w:tblPr>
        <w:tblStyle w:val="TableGrid3"/>
        <w:tblW w:w="5000" w:type="pct"/>
        <w:jc w:val="center"/>
        <w:tblLook w:val="0000" w:firstRow="0" w:lastRow="0" w:firstColumn="0" w:lastColumn="0" w:noHBand="0" w:noVBand="0"/>
        <w:tblDescription w:val="Population by occupational group as of March 31, 2019"/>
      </w:tblPr>
      <w:tblGrid>
        <w:gridCol w:w="4956"/>
        <w:gridCol w:w="3882"/>
        <w:gridCol w:w="5552"/>
      </w:tblGrid>
      <w:tr w:rsidR="00726EA8" w:rsidRPr="00726EA8" w:rsidTr="009F6F06">
        <w:trPr>
          <w:cantSplit/>
          <w:trHeight w:val="290"/>
          <w:tblHeader/>
          <w:jc w:val="center"/>
        </w:trPr>
        <w:tc>
          <w:tcPr>
            <w:tcW w:w="1722" w:type="pct"/>
          </w:tcPr>
          <w:p w:rsidR="00726EA8" w:rsidRPr="00726EA8" w:rsidRDefault="00726EA8" w:rsidP="00726EA8">
            <w:pPr>
              <w:pStyle w:val="TableTitle"/>
              <w:rPr>
                <w:rFonts w:eastAsiaTheme="minorHAnsi"/>
                <w:color w:val="000000"/>
                <w:lang w:val="en-CA"/>
              </w:rPr>
            </w:pPr>
            <w:r w:rsidRPr="00726EA8">
              <w:rPr>
                <w:rFonts w:eastAsiaTheme="minorHAnsi"/>
                <w:lang w:val="en-CA"/>
              </w:rPr>
              <w:t>Occupational group</w:t>
            </w:r>
          </w:p>
        </w:tc>
        <w:tc>
          <w:tcPr>
            <w:tcW w:w="1349" w:type="pct"/>
          </w:tcPr>
          <w:p w:rsidR="00726EA8" w:rsidRPr="00726EA8" w:rsidRDefault="00726EA8" w:rsidP="00726EA8">
            <w:pPr>
              <w:pStyle w:val="TableTitle"/>
              <w:rPr>
                <w:rFonts w:eastAsiaTheme="minorHAnsi"/>
                <w:color w:val="000000"/>
                <w:lang w:val="en-CA"/>
              </w:rPr>
            </w:pPr>
            <w:r w:rsidRPr="00726EA8">
              <w:rPr>
                <w:rFonts w:eastAsiaTheme="minorHAnsi"/>
                <w:lang w:val="en-CA"/>
              </w:rPr>
              <w:t>Population as of March 31, 2019</w:t>
            </w:r>
          </w:p>
        </w:tc>
        <w:tc>
          <w:tcPr>
            <w:tcW w:w="1929" w:type="pct"/>
          </w:tcPr>
          <w:p w:rsidR="00726EA8" w:rsidRPr="00726EA8" w:rsidRDefault="00726EA8" w:rsidP="00726EA8">
            <w:pPr>
              <w:pStyle w:val="TableTitle"/>
              <w:rPr>
                <w:rFonts w:eastAsiaTheme="minorHAnsi"/>
                <w:lang w:val="en-CA"/>
              </w:rPr>
            </w:pPr>
            <w:r w:rsidRPr="00726EA8">
              <w:rPr>
                <w:rFonts w:eastAsiaTheme="minorHAnsi"/>
                <w:lang w:val="en-CA"/>
              </w:rPr>
              <w:t>Percentage of population as of March 31, 2019</w:t>
            </w:r>
          </w:p>
        </w:tc>
      </w:tr>
      <w:tr w:rsidR="00726EA8" w:rsidRPr="00726EA8" w:rsidTr="009F6F06">
        <w:trPr>
          <w:cantSplit/>
          <w:trHeight w:val="290"/>
          <w:tblHeader/>
          <w:jc w:val="center"/>
        </w:trPr>
        <w:tc>
          <w:tcPr>
            <w:tcW w:w="1722" w:type="pct"/>
          </w:tcPr>
          <w:p w:rsidR="00726EA8" w:rsidRPr="00726EA8" w:rsidRDefault="00726EA8"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PC – Physical Sciences</w:t>
            </w:r>
          </w:p>
        </w:tc>
        <w:tc>
          <w:tcPr>
            <w:tcW w:w="1349"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114</w:t>
            </w:r>
          </w:p>
        </w:tc>
        <w:tc>
          <w:tcPr>
            <w:tcW w:w="1929"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35%</w:t>
            </w:r>
          </w:p>
        </w:tc>
      </w:tr>
      <w:tr w:rsidR="00726EA8" w:rsidRPr="00726EA8" w:rsidTr="009F6F06">
        <w:trPr>
          <w:cantSplit/>
          <w:trHeight w:val="290"/>
          <w:tblHeader/>
          <w:jc w:val="center"/>
        </w:trPr>
        <w:tc>
          <w:tcPr>
            <w:tcW w:w="1722" w:type="pct"/>
          </w:tcPr>
          <w:p w:rsidR="00726EA8" w:rsidRPr="00726EA8" w:rsidRDefault="00726EA8"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EC – Economics and Social Science Services</w:t>
            </w:r>
          </w:p>
        </w:tc>
        <w:tc>
          <w:tcPr>
            <w:tcW w:w="1349"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55</w:t>
            </w:r>
          </w:p>
        </w:tc>
        <w:tc>
          <w:tcPr>
            <w:tcW w:w="1929"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17%</w:t>
            </w:r>
          </w:p>
        </w:tc>
      </w:tr>
      <w:tr w:rsidR="00726EA8" w:rsidRPr="00726EA8" w:rsidTr="009F6F06">
        <w:trPr>
          <w:cantSplit/>
          <w:trHeight w:val="290"/>
          <w:tblHeader/>
          <w:jc w:val="center"/>
        </w:trPr>
        <w:tc>
          <w:tcPr>
            <w:tcW w:w="1722" w:type="pct"/>
          </w:tcPr>
          <w:p w:rsidR="00726EA8" w:rsidRPr="00726EA8" w:rsidRDefault="00726EA8"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AS – Administrative Services</w:t>
            </w:r>
          </w:p>
        </w:tc>
        <w:tc>
          <w:tcPr>
            <w:tcW w:w="1349"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39</w:t>
            </w:r>
          </w:p>
        </w:tc>
        <w:tc>
          <w:tcPr>
            <w:tcW w:w="1929"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12%</w:t>
            </w:r>
          </w:p>
        </w:tc>
      </w:tr>
      <w:tr w:rsidR="00726EA8" w:rsidRPr="00726EA8" w:rsidTr="009F6F06">
        <w:trPr>
          <w:cantSplit/>
          <w:trHeight w:val="290"/>
          <w:tblHeader/>
          <w:jc w:val="center"/>
        </w:trPr>
        <w:tc>
          <w:tcPr>
            <w:tcW w:w="1722" w:type="pct"/>
          </w:tcPr>
          <w:p w:rsidR="00726EA8" w:rsidRPr="00726EA8" w:rsidRDefault="00726EA8"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CR – Clerical and Regulatory</w:t>
            </w:r>
          </w:p>
        </w:tc>
        <w:tc>
          <w:tcPr>
            <w:tcW w:w="1349"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25</w:t>
            </w:r>
          </w:p>
        </w:tc>
        <w:tc>
          <w:tcPr>
            <w:tcW w:w="1929"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8%</w:t>
            </w:r>
          </w:p>
        </w:tc>
      </w:tr>
      <w:tr w:rsidR="00726EA8" w:rsidRPr="00726EA8" w:rsidTr="009F6F06">
        <w:trPr>
          <w:cantSplit/>
          <w:trHeight w:val="290"/>
          <w:tblHeader/>
          <w:jc w:val="center"/>
        </w:trPr>
        <w:tc>
          <w:tcPr>
            <w:tcW w:w="1722" w:type="pct"/>
          </w:tcPr>
          <w:p w:rsidR="00726EA8" w:rsidRPr="00726EA8" w:rsidRDefault="00726EA8"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Other</w:t>
            </w:r>
          </w:p>
        </w:tc>
        <w:tc>
          <w:tcPr>
            <w:tcW w:w="1349"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89</w:t>
            </w:r>
          </w:p>
        </w:tc>
        <w:tc>
          <w:tcPr>
            <w:tcW w:w="1929"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28%</w:t>
            </w:r>
          </w:p>
        </w:tc>
      </w:tr>
    </w:tbl>
    <w:p w:rsidR="009F6F06" w:rsidRPr="009F6F06" w:rsidRDefault="009F6F06" w:rsidP="009F6F06">
      <w:pPr>
        <w:pStyle w:val="Titre1"/>
        <w:spacing w:before="120" w:after="120"/>
        <w:rPr>
          <w:sz w:val="40"/>
        </w:rPr>
      </w:pPr>
      <w:r w:rsidRPr="009F6F06">
        <w:rPr>
          <w:sz w:val="40"/>
        </w:rPr>
        <w:lastRenderedPageBreak/>
        <w:t>Population by region as of March 31, 2019</w:t>
      </w:r>
    </w:p>
    <w:p w:rsidR="00726EA8" w:rsidRDefault="00726EA8" w:rsidP="00726EA8">
      <w:pPr>
        <w:pStyle w:val="Citation"/>
        <w:keepNext/>
        <w:spacing w:before="0" w:after="0"/>
      </w:pPr>
      <w:r w:rsidRPr="00726EA8">
        <w:rPr>
          <w:rStyle w:val="lev"/>
          <w:noProof/>
          <w:lang w:val="en-CA" w:eastAsia="en-CA"/>
        </w:rPr>
        <w:drawing>
          <wp:inline distT="0" distB="0" distL="0" distR="0" wp14:anchorId="13CB525E" wp14:editId="7A238D7A">
            <wp:extent cx="1980000" cy="3020400"/>
            <wp:effectExtent l="0" t="0" r="1270" b="8890"/>
            <wp:docPr id="12" name="Chart 12" descr="Population by region as of March 31, 2019 "/>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26EA8" w:rsidRDefault="00726EA8" w:rsidP="00726EA8">
      <w:pPr>
        <w:pStyle w:val="Lgende"/>
        <w:jc w:val="center"/>
      </w:pPr>
      <w:r>
        <w:t xml:space="preserve">Figure </w:t>
      </w:r>
      <w:r>
        <w:fldChar w:fldCharType="begin"/>
      </w:r>
      <w:r>
        <w:instrText xml:space="preserve"> SEQ Figure \* ARABIC </w:instrText>
      </w:r>
      <w:r>
        <w:fldChar w:fldCharType="separate"/>
      </w:r>
      <w:r w:rsidR="00F452A8">
        <w:rPr>
          <w:noProof/>
        </w:rPr>
        <w:t>4</w:t>
      </w:r>
      <w:r>
        <w:fldChar w:fldCharType="end"/>
      </w:r>
      <w:r>
        <w:t xml:space="preserve"> - </w:t>
      </w:r>
      <w:r w:rsidRPr="000C6C02">
        <w:t>Population by region as of March 31, 2019</w:t>
      </w:r>
    </w:p>
    <w:p w:rsidR="00726EA8" w:rsidRDefault="00726EA8" w:rsidP="00726EA8">
      <w:pPr>
        <w:pStyle w:val="Lgende"/>
        <w:keepNext/>
        <w:spacing w:before="240"/>
        <w:jc w:val="center"/>
      </w:pPr>
      <w:r>
        <w:t xml:space="preserve">Table </w:t>
      </w:r>
      <w:r>
        <w:fldChar w:fldCharType="begin"/>
      </w:r>
      <w:r>
        <w:instrText xml:space="preserve"> SEQ Table \* ARABIC </w:instrText>
      </w:r>
      <w:r>
        <w:fldChar w:fldCharType="separate"/>
      </w:r>
      <w:r w:rsidR="00AD62FD">
        <w:rPr>
          <w:noProof/>
        </w:rPr>
        <w:t>6</w:t>
      </w:r>
      <w:r>
        <w:fldChar w:fldCharType="end"/>
      </w:r>
      <w:r>
        <w:t xml:space="preserve"> - </w:t>
      </w:r>
      <w:r w:rsidRPr="001D3D5C">
        <w:t>Distribution by region, as a percentage of the Public Service Employment Act population for fiscal year 2018 to 2019</w:t>
      </w:r>
    </w:p>
    <w:tbl>
      <w:tblPr>
        <w:tblStyle w:val="TableGrid3"/>
        <w:tblW w:w="5000" w:type="pct"/>
        <w:jc w:val="center"/>
        <w:tblLook w:val="0000" w:firstRow="0" w:lastRow="0" w:firstColumn="0" w:lastColumn="0" w:noHBand="0" w:noVBand="0"/>
        <w:tblDescription w:val="Population by region as of March 31, 2019"/>
      </w:tblPr>
      <w:tblGrid>
        <w:gridCol w:w="3908"/>
        <w:gridCol w:w="4314"/>
        <w:gridCol w:w="6168"/>
      </w:tblGrid>
      <w:tr w:rsidR="00726EA8" w:rsidRPr="00726EA8" w:rsidTr="009F6F06">
        <w:trPr>
          <w:cantSplit/>
          <w:trHeight w:val="290"/>
          <w:tblHeader/>
          <w:jc w:val="center"/>
        </w:trPr>
        <w:tc>
          <w:tcPr>
            <w:tcW w:w="1358" w:type="pct"/>
          </w:tcPr>
          <w:p w:rsidR="00726EA8" w:rsidRPr="00726EA8" w:rsidRDefault="00726EA8" w:rsidP="00726EA8">
            <w:pPr>
              <w:pStyle w:val="TableTitle"/>
              <w:rPr>
                <w:rFonts w:eastAsiaTheme="minorHAnsi"/>
                <w:lang w:val="en-CA"/>
              </w:rPr>
            </w:pPr>
            <w:r w:rsidRPr="00726EA8">
              <w:rPr>
                <w:rFonts w:eastAsiaTheme="minorHAnsi"/>
                <w:lang w:val="en-CA"/>
              </w:rPr>
              <w:t>Region</w:t>
            </w:r>
          </w:p>
        </w:tc>
        <w:tc>
          <w:tcPr>
            <w:tcW w:w="1499" w:type="pct"/>
          </w:tcPr>
          <w:p w:rsidR="00726EA8" w:rsidRPr="00726EA8" w:rsidRDefault="00726EA8" w:rsidP="00726EA8">
            <w:pPr>
              <w:pStyle w:val="TableTitle"/>
              <w:rPr>
                <w:rFonts w:eastAsiaTheme="minorHAnsi"/>
                <w:lang w:val="en-CA"/>
              </w:rPr>
            </w:pPr>
            <w:r w:rsidRPr="00726EA8">
              <w:rPr>
                <w:rFonts w:eastAsiaTheme="minorHAnsi"/>
                <w:lang w:val="en-CA"/>
              </w:rPr>
              <w:t>Population as of March 31, 2019</w:t>
            </w:r>
          </w:p>
        </w:tc>
        <w:tc>
          <w:tcPr>
            <w:tcW w:w="2143" w:type="pct"/>
          </w:tcPr>
          <w:p w:rsidR="00726EA8" w:rsidRPr="00726EA8" w:rsidRDefault="00726EA8" w:rsidP="00726EA8">
            <w:pPr>
              <w:pStyle w:val="TableTitle"/>
              <w:rPr>
                <w:rFonts w:eastAsiaTheme="minorHAnsi"/>
                <w:lang w:val="en-CA"/>
              </w:rPr>
            </w:pPr>
            <w:r w:rsidRPr="00726EA8">
              <w:rPr>
                <w:rFonts w:eastAsiaTheme="minorHAnsi"/>
                <w:lang w:val="en-CA"/>
              </w:rPr>
              <w:t>Percentage of population as of March 31, 2019</w:t>
            </w:r>
          </w:p>
        </w:tc>
      </w:tr>
      <w:tr w:rsidR="00726EA8" w:rsidRPr="00726EA8" w:rsidTr="009F6F06">
        <w:trPr>
          <w:cantSplit/>
          <w:trHeight w:val="290"/>
          <w:tblHeader/>
          <w:jc w:val="center"/>
        </w:trPr>
        <w:tc>
          <w:tcPr>
            <w:tcW w:w="1358" w:type="pct"/>
          </w:tcPr>
          <w:p w:rsidR="00726EA8" w:rsidRPr="00726EA8" w:rsidRDefault="00726EA8"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National Capital Region (NCR)</w:t>
            </w:r>
          </w:p>
        </w:tc>
        <w:tc>
          <w:tcPr>
            <w:tcW w:w="1499"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226</w:t>
            </w:r>
          </w:p>
        </w:tc>
        <w:tc>
          <w:tcPr>
            <w:tcW w:w="2143"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69%</w:t>
            </w:r>
          </w:p>
        </w:tc>
      </w:tr>
      <w:tr w:rsidR="00726EA8" w:rsidRPr="00726EA8" w:rsidTr="009F6F06">
        <w:trPr>
          <w:cantSplit/>
          <w:trHeight w:val="290"/>
          <w:tblHeader/>
          <w:jc w:val="center"/>
        </w:trPr>
        <w:tc>
          <w:tcPr>
            <w:tcW w:w="1358" w:type="pct"/>
          </w:tcPr>
          <w:p w:rsidR="00726EA8" w:rsidRPr="00726EA8" w:rsidRDefault="00726EA8"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Non-NCR</w:t>
            </w:r>
          </w:p>
        </w:tc>
        <w:tc>
          <w:tcPr>
            <w:tcW w:w="1499"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101</w:t>
            </w:r>
          </w:p>
        </w:tc>
        <w:tc>
          <w:tcPr>
            <w:tcW w:w="2143"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31%</w:t>
            </w:r>
          </w:p>
        </w:tc>
      </w:tr>
      <w:tr w:rsidR="00726EA8" w:rsidRPr="00726EA8" w:rsidTr="009F6F06">
        <w:trPr>
          <w:cantSplit/>
          <w:trHeight w:val="290"/>
          <w:tblHeader/>
          <w:jc w:val="center"/>
        </w:trPr>
        <w:tc>
          <w:tcPr>
            <w:tcW w:w="1358" w:type="pct"/>
          </w:tcPr>
          <w:p w:rsidR="00726EA8" w:rsidRPr="00726EA8" w:rsidRDefault="00726EA8"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Unknown</w:t>
            </w:r>
          </w:p>
        </w:tc>
        <w:tc>
          <w:tcPr>
            <w:tcW w:w="1499"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w:t>
            </w:r>
          </w:p>
        </w:tc>
        <w:tc>
          <w:tcPr>
            <w:tcW w:w="2143" w:type="pct"/>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p>
        </w:tc>
      </w:tr>
    </w:tbl>
    <w:p w:rsidR="009F6F06" w:rsidRPr="00404DAF" w:rsidRDefault="009F6F06" w:rsidP="00404DAF">
      <w:pPr>
        <w:pStyle w:val="Titre1"/>
        <w:spacing w:before="120" w:after="120"/>
        <w:rPr>
          <w:sz w:val="40"/>
        </w:rPr>
      </w:pPr>
      <w:r w:rsidRPr="00404DAF">
        <w:rPr>
          <w:sz w:val="40"/>
        </w:rPr>
        <w:lastRenderedPageBreak/>
        <w:t>External indeterminate hires by occupational group, 2018-19</w:t>
      </w:r>
    </w:p>
    <w:p w:rsidR="00726EA8" w:rsidRDefault="00726EA8" w:rsidP="00726EA8">
      <w:pPr>
        <w:pStyle w:val="Level1"/>
        <w:keepNext/>
        <w:tabs>
          <w:tab w:val="left" w:pos="-1440"/>
        </w:tabs>
        <w:autoSpaceDE w:val="0"/>
        <w:autoSpaceDN w:val="0"/>
        <w:adjustRightInd w:val="0"/>
        <w:spacing w:line="20" w:lineRule="atLeast"/>
        <w:jc w:val="center"/>
      </w:pPr>
      <w:r w:rsidRPr="00726EA8">
        <w:rPr>
          <w:rStyle w:val="lev"/>
          <w:noProof/>
          <w:lang w:val="en-CA" w:eastAsia="en-CA"/>
        </w:rPr>
        <w:drawing>
          <wp:inline distT="0" distB="0" distL="0" distR="0" wp14:anchorId="6B6AEA96" wp14:editId="7FB67FB0">
            <wp:extent cx="1980000" cy="3013200"/>
            <wp:effectExtent l="0" t="0" r="1270" b="15875"/>
            <wp:docPr id="7" name="Chart 7" descr="External indeterminate hires by occupational group, 2018-19 "/>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26EA8" w:rsidRDefault="00726EA8" w:rsidP="00726EA8">
      <w:pPr>
        <w:pStyle w:val="Lgende"/>
        <w:jc w:val="center"/>
      </w:pPr>
      <w:r>
        <w:t xml:space="preserve">Figure </w:t>
      </w:r>
      <w:r>
        <w:fldChar w:fldCharType="begin"/>
      </w:r>
      <w:r>
        <w:instrText xml:space="preserve"> SEQ Figure \* ARABIC </w:instrText>
      </w:r>
      <w:r>
        <w:fldChar w:fldCharType="separate"/>
      </w:r>
      <w:r w:rsidR="00F452A8">
        <w:rPr>
          <w:noProof/>
        </w:rPr>
        <w:t>5</w:t>
      </w:r>
      <w:r>
        <w:fldChar w:fldCharType="end"/>
      </w:r>
      <w:r>
        <w:t xml:space="preserve"> - External indeterminate hires by occupational group, 2018-19</w:t>
      </w:r>
    </w:p>
    <w:p w:rsidR="00726EA8" w:rsidRDefault="00726EA8" w:rsidP="00726EA8">
      <w:pPr>
        <w:pStyle w:val="Lgende"/>
        <w:keepNext/>
        <w:spacing w:before="240"/>
        <w:jc w:val="center"/>
      </w:pPr>
      <w:r>
        <w:t xml:space="preserve">Table </w:t>
      </w:r>
      <w:r>
        <w:fldChar w:fldCharType="begin"/>
      </w:r>
      <w:r>
        <w:instrText xml:space="preserve"> SEQ Table \* ARABIC </w:instrText>
      </w:r>
      <w:r>
        <w:fldChar w:fldCharType="separate"/>
      </w:r>
      <w:r w:rsidR="00AD62FD">
        <w:rPr>
          <w:noProof/>
        </w:rPr>
        <w:t>7</w:t>
      </w:r>
      <w:r>
        <w:fldChar w:fldCharType="end"/>
      </w:r>
      <w:r>
        <w:t xml:space="preserve"> - </w:t>
      </w:r>
      <w:r w:rsidRPr="00D12559">
        <w:t>External indeterminate hires by top occupational groups, for fiscal year 2018 to 2019</w:t>
      </w:r>
    </w:p>
    <w:tbl>
      <w:tblPr>
        <w:tblStyle w:val="TableGrid3"/>
        <w:tblW w:w="0" w:type="auto"/>
        <w:jc w:val="center"/>
        <w:tblLook w:val="0000" w:firstRow="0" w:lastRow="0" w:firstColumn="0" w:lastColumn="0" w:noHBand="0" w:noVBand="0"/>
        <w:tblDescription w:val="External indeterminate hires by top occupational groups, 2018-19"/>
      </w:tblPr>
      <w:tblGrid>
        <w:gridCol w:w="4310"/>
        <w:gridCol w:w="4352"/>
        <w:gridCol w:w="4939"/>
      </w:tblGrid>
      <w:tr w:rsidR="00726EA8" w:rsidRPr="00726EA8" w:rsidTr="00726EA8">
        <w:trPr>
          <w:cantSplit/>
          <w:trHeight w:val="290"/>
          <w:tblHeader/>
          <w:jc w:val="center"/>
        </w:trPr>
        <w:tc>
          <w:tcPr>
            <w:tcW w:w="0" w:type="auto"/>
          </w:tcPr>
          <w:p w:rsidR="00726EA8" w:rsidRPr="00726EA8" w:rsidRDefault="00726EA8" w:rsidP="00726EA8">
            <w:pPr>
              <w:pStyle w:val="TableTitle"/>
              <w:rPr>
                <w:rFonts w:eastAsiaTheme="minorHAnsi"/>
                <w:color w:val="000000"/>
                <w:lang w:val="en-CA"/>
              </w:rPr>
            </w:pPr>
            <w:r w:rsidRPr="00726EA8">
              <w:rPr>
                <w:rFonts w:eastAsiaTheme="minorHAnsi"/>
                <w:lang w:val="en-CA"/>
              </w:rPr>
              <w:t>Occupational group</w:t>
            </w:r>
          </w:p>
        </w:tc>
        <w:tc>
          <w:tcPr>
            <w:tcW w:w="0" w:type="auto"/>
          </w:tcPr>
          <w:p w:rsidR="00726EA8" w:rsidRPr="00726EA8" w:rsidRDefault="00726EA8" w:rsidP="00726EA8">
            <w:pPr>
              <w:pStyle w:val="TableTitle"/>
              <w:rPr>
                <w:rFonts w:eastAsiaTheme="minorHAnsi"/>
                <w:color w:val="000000"/>
                <w:lang w:val="en-CA"/>
              </w:rPr>
            </w:pPr>
            <w:r w:rsidRPr="00726EA8">
              <w:rPr>
                <w:rFonts w:eastAsiaTheme="minorHAnsi"/>
                <w:color w:val="000000"/>
                <w:lang w:val="en-CA"/>
              </w:rPr>
              <w:t xml:space="preserve">Number of indeterminate hiring activities </w:t>
            </w:r>
          </w:p>
        </w:tc>
        <w:tc>
          <w:tcPr>
            <w:tcW w:w="0" w:type="auto"/>
          </w:tcPr>
          <w:p w:rsidR="00726EA8" w:rsidRPr="00726EA8" w:rsidRDefault="00726EA8" w:rsidP="00726EA8">
            <w:pPr>
              <w:pStyle w:val="TableTitle"/>
              <w:rPr>
                <w:rFonts w:eastAsiaTheme="minorHAnsi"/>
                <w:color w:val="000000"/>
                <w:lang w:val="en-CA"/>
              </w:rPr>
            </w:pPr>
            <w:r w:rsidRPr="00726EA8">
              <w:rPr>
                <w:rFonts w:eastAsiaTheme="minorHAnsi"/>
                <w:color w:val="000000"/>
                <w:lang w:val="en-CA"/>
              </w:rPr>
              <w:t>Percentage of all indeterminate hiring activities</w:t>
            </w:r>
          </w:p>
        </w:tc>
      </w:tr>
      <w:tr w:rsidR="00726EA8" w:rsidRPr="00726EA8" w:rsidTr="00726EA8">
        <w:trPr>
          <w:cantSplit/>
          <w:trHeight w:val="290"/>
          <w:tblHeader/>
          <w:jc w:val="center"/>
        </w:trPr>
        <w:tc>
          <w:tcPr>
            <w:tcW w:w="0" w:type="auto"/>
          </w:tcPr>
          <w:p w:rsidR="00726EA8" w:rsidRPr="00726EA8" w:rsidRDefault="00726EA8" w:rsidP="00D823DC">
            <w:pPr>
              <w:autoSpaceDE w:val="0"/>
              <w:autoSpaceDN w:val="0"/>
              <w:adjustRightInd w:val="0"/>
              <w:rPr>
                <w:rFonts w:asciiTheme="minorHAnsi" w:eastAsiaTheme="minorHAnsi" w:hAnsiTheme="minorHAnsi" w:cstheme="minorHAnsi"/>
                <w:color w:val="000000"/>
                <w:sz w:val="22"/>
                <w:szCs w:val="22"/>
                <w:highlight w:val="yellow"/>
                <w:lang w:val="en-CA"/>
              </w:rPr>
            </w:pPr>
            <w:r w:rsidRPr="00726EA8">
              <w:rPr>
                <w:rFonts w:asciiTheme="minorHAnsi" w:eastAsiaTheme="minorHAnsi" w:hAnsiTheme="minorHAnsi" w:cstheme="minorHAnsi"/>
                <w:color w:val="000000"/>
                <w:sz w:val="22"/>
                <w:szCs w:val="22"/>
                <w:lang w:val="en-CA"/>
              </w:rPr>
              <w:t>EC – Economics and Social Science Services</w:t>
            </w:r>
          </w:p>
        </w:tc>
        <w:tc>
          <w:tcPr>
            <w:tcW w:w="0" w:type="auto"/>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7</w:t>
            </w:r>
          </w:p>
        </w:tc>
        <w:tc>
          <w:tcPr>
            <w:tcW w:w="0" w:type="auto"/>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28%</w:t>
            </w:r>
          </w:p>
        </w:tc>
      </w:tr>
      <w:tr w:rsidR="00726EA8" w:rsidRPr="00726EA8" w:rsidTr="00726EA8">
        <w:trPr>
          <w:cantSplit/>
          <w:trHeight w:val="290"/>
          <w:tblHeader/>
          <w:jc w:val="center"/>
        </w:trPr>
        <w:tc>
          <w:tcPr>
            <w:tcW w:w="0" w:type="auto"/>
          </w:tcPr>
          <w:p w:rsidR="00726EA8" w:rsidRPr="00726EA8" w:rsidRDefault="00726EA8"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CR – Clerical and Regulatory</w:t>
            </w:r>
          </w:p>
        </w:tc>
        <w:tc>
          <w:tcPr>
            <w:tcW w:w="0" w:type="auto"/>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6</w:t>
            </w:r>
          </w:p>
        </w:tc>
        <w:tc>
          <w:tcPr>
            <w:tcW w:w="0" w:type="auto"/>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24%</w:t>
            </w:r>
          </w:p>
        </w:tc>
      </w:tr>
      <w:tr w:rsidR="00726EA8" w:rsidRPr="00726EA8" w:rsidTr="00726EA8">
        <w:trPr>
          <w:cantSplit/>
          <w:trHeight w:val="290"/>
          <w:tblHeader/>
          <w:jc w:val="center"/>
        </w:trPr>
        <w:tc>
          <w:tcPr>
            <w:tcW w:w="0" w:type="auto"/>
          </w:tcPr>
          <w:p w:rsidR="00726EA8" w:rsidRPr="00726EA8" w:rsidRDefault="00726EA8"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PC – Physical Sciences</w:t>
            </w:r>
          </w:p>
        </w:tc>
        <w:tc>
          <w:tcPr>
            <w:tcW w:w="0" w:type="auto"/>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5</w:t>
            </w:r>
          </w:p>
        </w:tc>
        <w:tc>
          <w:tcPr>
            <w:tcW w:w="0" w:type="auto"/>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w:t>
            </w:r>
          </w:p>
        </w:tc>
      </w:tr>
      <w:tr w:rsidR="00726EA8" w:rsidRPr="00726EA8" w:rsidTr="00726EA8">
        <w:trPr>
          <w:cantSplit/>
          <w:trHeight w:val="290"/>
          <w:tblHeader/>
          <w:jc w:val="center"/>
        </w:trPr>
        <w:tc>
          <w:tcPr>
            <w:tcW w:w="0" w:type="auto"/>
          </w:tcPr>
          <w:p w:rsidR="00726EA8" w:rsidRPr="00726EA8" w:rsidRDefault="00726EA8"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AS – Administrative Services</w:t>
            </w:r>
          </w:p>
        </w:tc>
        <w:tc>
          <w:tcPr>
            <w:tcW w:w="0" w:type="auto"/>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4</w:t>
            </w:r>
          </w:p>
        </w:tc>
        <w:tc>
          <w:tcPr>
            <w:tcW w:w="0" w:type="auto"/>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16%</w:t>
            </w:r>
          </w:p>
        </w:tc>
      </w:tr>
      <w:tr w:rsidR="00726EA8" w:rsidRPr="00726EA8" w:rsidTr="00726EA8">
        <w:trPr>
          <w:cantSplit/>
          <w:trHeight w:val="70"/>
          <w:tblHeader/>
          <w:jc w:val="center"/>
        </w:trPr>
        <w:tc>
          <w:tcPr>
            <w:tcW w:w="0" w:type="auto"/>
          </w:tcPr>
          <w:p w:rsidR="00726EA8" w:rsidRPr="00726EA8" w:rsidRDefault="00726EA8"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Other</w:t>
            </w:r>
          </w:p>
        </w:tc>
        <w:tc>
          <w:tcPr>
            <w:tcW w:w="0" w:type="auto"/>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w:t>
            </w:r>
          </w:p>
        </w:tc>
        <w:tc>
          <w:tcPr>
            <w:tcW w:w="0" w:type="auto"/>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12%</w:t>
            </w:r>
          </w:p>
        </w:tc>
      </w:tr>
      <w:tr w:rsidR="00726EA8" w:rsidRPr="00726EA8" w:rsidTr="00726EA8">
        <w:trPr>
          <w:cantSplit/>
          <w:trHeight w:val="290"/>
          <w:tblHeader/>
          <w:jc w:val="center"/>
        </w:trPr>
        <w:tc>
          <w:tcPr>
            <w:tcW w:w="0" w:type="auto"/>
          </w:tcPr>
          <w:p w:rsidR="00726EA8" w:rsidRPr="00726EA8" w:rsidRDefault="00726EA8"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Total</w:t>
            </w:r>
          </w:p>
        </w:tc>
        <w:tc>
          <w:tcPr>
            <w:tcW w:w="0" w:type="auto"/>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25</w:t>
            </w:r>
          </w:p>
        </w:tc>
        <w:tc>
          <w:tcPr>
            <w:tcW w:w="0" w:type="auto"/>
          </w:tcPr>
          <w:p w:rsidR="00726EA8" w:rsidRPr="00726EA8" w:rsidRDefault="00726EA8"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100%</w:t>
            </w:r>
          </w:p>
        </w:tc>
      </w:tr>
    </w:tbl>
    <w:p w:rsidR="00404DAF" w:rsidRPr="00404DAF" w:rsidRDefault="00404DAF" w:rsidP="00404DAF">
      <w:pPr>
        <w:pStyle w:val="Titre1"/>
        <w:spacing w:before="120" w:after="120"/>
        <w:rPr>
          <w:sz w:val="40"/>
          <w:lang w:val="en-CA"/>
        </w:rPr>
      </w:pPr>
      <w:r w:rsidRPr="00404DAF">
        <w:rPr>
          <w:rFonts w:eastAsia="Times New Roman"/>
          <w:sz w:val="40"/>
          <w:lang w:val="en-CA"/>
        </w:rPr>
        <w:lastRenderedPageBreak/>
        <w:t>Staffing by region</w:t>
      </w:r>
    </w:p>
    <w:p w:rsidR="00272FB9" w:rsidRDefault="00DD72C1" w:rsidP="00272FB9">
      <w:pPr>
        <w:pStyle w:val="Level1"/>
        <w:keepNext/>
        <w:tabs>
          <w:tab w:val="left" w:pos="-1440"/>
        </w:tabs>
        <w:autoSpaceDE w:val="0"/>
        <w:autoSpaceDN w:val="0"/>
        <w:adjustRightInd w:val="0"/>
        <w:spacing w:line="20" w:lineRule="atLeast"/>
        <w:jc w:val="center"/>
      </w:pPr>
      <w:r w:rsidRPr="00272FB9">
        <w:rPr>
          <w:rStyle w:val="lev"/>
          <w:noProof/>
          <w:lang w:val="en-CA" w:eastAsia="en-CA"/>
        </w:rPr>
        <w:drawing>
          <wp:inline distT="0" distB="0" distL="0" distR="0" wp14:anchorId="37EC529E" wp14:editId="002A58BC">
            <wp:extent cx="5648400" cy="3049200"/>
            <wp:effectExtent l="0" t="0" r="9525" b="18415"/>
            <wp:docPr id="6" name="Chart 6" descr="Staffing by region&#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D72C1" w:rsidRDefault="00272FB9" w:rsidP="00272FB9">
      <w:pPr>
        <w:pStyle w:val="Lgende"/>
        <w:jc w:val="center"/>
      </w:pPr>
      <w:r>
        <w:t xml:space="preserve">Figure </w:t>
      </w:r>
      <w:r>
        <w:fldChar w:fldCharType="begin"/>
      </w:r>
      <w:r>
        <w:instrText xml:space="preserve"> SEQ Figure \* ARABIC </w:instrText>
      </w:r>
      <w:r>
        <w:fldChar w:fldCharType="separate"/>
      </w:r>
      <w:r w:rsidR="00F452A8">
        <w:rPr>
          <w:noProof/>
        </w:rPr>
        <w:t>6</w:t>
      </w:r>
      <w:r>
        <w:fldChar w:fldCharType="end"/>
      </w:r>
      <w:r>
        <w:t xml:space="preserve"> - </w:t>
      </w:r>
      <w:r w:rsidRPr="00647331">
        <w:t>Staffing by region</w:t>
      </w:r>
    </w:p>
    <w:p w:rsidR="00330D2B" w:rsidRDefault="00330D2B" w:rsidP="00330D2B">
      <w:pPr>
        <w:pStyle w:val="Lgende"/>
        <w:keepNext/>
        <w:spacing w:before="240"/>
        <w:jc w:val="center"/>
      </w:pPr>
      <w:r>
        <w:t xml:space="preserve">Table </w:t>
      </w:r>
      <w:r>
        <w:fldChar w:fldCharType="begin"/>
      </w:r>
      <w:r>
        <w:instrText xml:space="preserve"> SEQ Table \* ARABIC </w:instrText>
      </w:r>
      <w:r>
        <w:fldChar w:fldCharType="separate"/>
      </w:r>
      <w:r w:rsidR="00AD62FD">
        <w:rPr>
          <w:noProof/>
        </w:rPr>
        <w:t>8</w:t>
      </w:r>
      <w:r>
        <w:fldChar w:fldCharType="end"/>
      </w:r>
      <w:r>
        <w:t xml:space="preserve"> - </w:t>
      </w:r>
      <w:r w:rsidRPr="00E35CCB">
        <w:t>Percentage of staffing activities in the National Capital Region compared with all other regions by fiscal year</w:t>
      </w:r>
    </w:p>
    <w:tbl>
      <w:tblPr>
        <w:tblStyle w:val="TableGrid3"/>
        <w:tblW w:w="5000" w:type="pct"/>
        <w:jc w:val="center"/>
        <w:tblLook w:val="0000" w:firstRow="0" w:lastRow="0" w:firstColumn="0" w:lastColumn="0" w:noHBand="0" w:noVBand="0"/>
        <w:tblDescription w:val="Staffing by region from 2014 to 2019"/>
      </w:tblPr>
      <w:tblGrid>
        <w:gridCol w:w="2190"/>
        <w:gridCol w:w="6821"/>
        <w:gridCol w:w="5379"/>
      </w:tblGrid>
      <w:tr w:rsidR="00272FB9" w:rsidRPr="00726EA8" w:rsidTr="00404DAF">
        <w:trPr>
          <w:cantSplit/>
          <w:trHeight w:val="290"/>
          <w:tblHeader/>
          <w:jc w:val="center"/>
        </w:trPr>
        <w:tc>
          <w:tcPr>
            <w:tcW w:w="761" w:type="pct"/>
          </w:tcPr>
          <w:p w:rsidR="00272FB9" w:rsidRPr="00726EA8" w:rsidRDefault="00272FB9" w:rsidP="00330D2B">
            <w:pPr>
              <w:pStyle w:val="TableTitle"/>
              <w:rPr>
                <w:rFonts w:eastAsiaTheme="minorHAnsi"/>
                <w:lang w:val="en-CA"/>
              </w:rPr>
            </w:pPr>
            <w:r w:rsidRPr="00726EA8">
              <w:rPr>
                <w:rFonts w:eastAsiaTheme="minorHAnsi"/>
                <w:lang w:val="en-CA"/>
              </w:rPr>
              <w:t>Fiscal year</w:t>
            </w:r>
          </w:p>
        </w:tc>
        <w:tc>
          <w:tcPr>
            <w:tcW w:w="2370" w:type="pct"/>
          </w:tcPr>
          <w:p w:rsidR="00272FB9" w:rsidRPr="00726EA8" w:rsidRDefault="00272FB9" w:rsidP="00330D2B">
            <w:pPr>
              <w:pStyle w:val="TableTitle"/>
              <w:rPr>
                <w:rFonts w:eastAsiaTheme="minorHAnsi"/>
                <w:lang w:val="en-CA"/>
              </w:rPr>
            </w:pPr>
            <w:r w:rsidRPr="00726EA8">
              <w:rPr>
                <w:rFonts w:eastAsiaTheme="minorHAnsi"/>
                <w:lang w:val="en-CA"/>
              </w:rPr>
              <w:t>Percentage of staffing activities in the National Capital Region (NCR)</w:t>
            </w:r>
          </w:p>
        </w:tc>
        <w:tc>
          <w:tcPr>
            <w:tcW w:w="1869" w:type="pct"/>
          </w:tcPr>
          <w:p w:rsidR="00272FB9" w:rsidRPr="00726EA8" w:rsidRDefault="00272FB9" w:rsidP="00330D2B">
            <w:pPr>
              <w:pStyle w:val="TableTitle"/>
              <w:rPr>
                <w:rFonts w:eastAsiaTheme="minorHAnsi"/>
                <w:lang w:val="en-CA"/>
              </w:rPr>
            </w:pPr>
            <w:r w:rsidRPr="00726EA8">
              <w:rPr>
                <w:rFonts w:eastAsiaTheme="minorHAnsi"/>
                <w:lang w:val="en-CA"/>
              </w:rPr>
              <w:t>Percentage of staffing activities in all other regions (Non-NCR)</w:t>
            </w:r>
          </w:p>
        </w:tc>
      </w:tr>
      <w:tr w:rsidR="00272FB9" w:rsidRPr="00726EA8" w:rsidTr="00404DAF">
        <w:trPr>
          <w:cantSplit/>
          <w:trHeight w:val="290"/>
          <w:tblHeader/>
          <w:jc w:val="center"/>
        </w:trPr>
        <w:tc>
          <w:tcPr>
            <w:tcW w:w="761" w:type="pct"/>
          </w:tcPr>
          <w:p w:rsidR="00272FB9" w:rsidRPr="00726EA8" w:rsidRDefault="00272FB9"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2014 to 2015</w:t>
            </w:r>
          </w:p>
        </w:tc>
        <w:tc>
          <w:tcPr>
            <w:tcW w:w="2370" w:type="pct"/>
          </w:tcPr>
          <w:p w:rsidR="00272FB9" w:rsidRPr="00726EA8" w:rsidRDefault="00330D2B" w:rsidP="00330D2B">
            <w:pPr>
              <w:tabs>
                <w:tab w:val="center" w:pos="2449"/>
                <w:tab w:val="left" w:pos="3795"/>
              </w:tabs>
              <w:autoSpaceDE w:val="0"/>
              <w:autoSpaceDN w:val="0"/>
              <w:adjustRightInd w:val="0"/>
              <w:jc w:val="center"/>
              <w:rPr>
                <w:rFonts w:asciiTheme="minorHAnsi" w:eastAsiaTheme="minorHAnsi" w:hAnsiTheme="minorHAnsi" w:cstheme="minorHAnsi"/>
                <w:color w:val="000000"/>
                <w:sz w:val="22"/>
                <w:szCs w:val="22"/>
                <w:lang w:val="en-CA"/>
              </w:rPr>
            </w:pPr>
            <w:r>
              <w:rPr>
                <w:rFonts w:asciiTheme="minorHAnsi" w:eastAsiaTheme="minorHAnsi" w:hAnsiTheme="minorHAnsi" w:cstheme="minorHAnsi"/>
                <w:color w:val="000000"/>
                <w:sz w:val="22"/>
                <w:szCs w:val="22"/>
                <w:lang w:val="en-CA"/>
              </w:rPr>
              <w:t>60%</w:t>
            </w:r>
          </w:p>
        </w:tc>
        <w:tc>
          <w:tcPr>
            <w:tcW w:w="1869" w:type="pct"/>
          </w:tcPr>
          <w:p w:rsidR="00272FB9" w:rsidRPr="00726EA8" w:rsidRDefault="00272FB9"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40%</w:t>
            </w:r>
          </w:p>
        </w:tc>
      </w:tr>
      <w:tr w:rsidR="00272FB9" w:rsidRPr="00726EA8" w:rsidTr="00404DAF">
        <w:trPr>
          <w:cantSplit/>
          <w:trHeight w:val="290"/>
          <w:tblHeader/>
          <w:jc w:val="center"/>
        </w:trPr>
        <w:tc>
          <w:tcPr>
            <w:tcW w:w="761" w:type="pct"/>
          </w:tcPr>
          <w:p w:rsidR="00272FB9" w:rsidRPr="00726EA8" w:rsidRDefault="00272FB9"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2015 to 2016</w:t>
            </w:r>
          </w:p>
        </w:tc>
        <w:tc>
          <w:tcPr>
            <w:tcW w:w="2370" w:type="pct"/>
          </w:tcPr>
          <w:p w:rsidR="00272FB9" w:rsidRPr="00726EA8" w:rsidRDefault="00272FB9"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72%</w:t>
            </w:r>
          </w:p>
        </w:tc>
        <w:tc>
          <w:tcPr>
            <w:tcW w:w="1869" w:type="pct"/>
          </w:tcPr>
          <w:p w:rsidR="00272FB9" w:rsidRPr="00726EA8" w:rsidRDefault="00272FB9"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28%</w:t>
            </w:r>
          </w:p>
        </w:tc>
      </w:tr>
      <w:tr w:rsidR="00272FB9" w:rsidRPr="00726EA8" w:rsidTr="00404DAF">
        <w:trPr>
          <w:cantSplit/>
          <w:trHeight w:val="290"/>
          <w:tblHeader/>
          <w:jc w:val="center"/>
        </w:trPr>
        <w:tc>
          <w:tcPr>
            <w:tcW w:w="761" w:type="pct"/>
          </w:tcPr>
          <w:p w:rsidR="00272FB9" w:rsidRPr="00726EA8" w:rsidRDefault="00272FB9"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2016 to 2017</w:t>
            </w:r>
          </w:p>
        </w:tc>
        <w:tc>
          <w:tcPr>
            <w:tcW w:w="2370" w:type="pct"/>
          </w:tcPr>
          <w:p w:rsidR="00272FB9" w:rsidRPr="00726EA8" w:rsidRDefault="00272FB9"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66%</w:t>
            </w:r>
          </w:p>
        </w:tc>
        <w:tc>
          <w:tcPr>
            <w:tcW w:w="1869" w:type="pct"/>
          </w:tcPr>
          <w:p w:rsidR="00272FB9" w:rsidRPr="00726EA8" w:rsidRDefault="00272FB9"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34%</w:t>
            </w:r>
          </w:p>
        </w:tc>
      </w:tr>
      <w:tr w:rsidR="00272FB9" w:rsidRPr="00726EA8" w:rsidTr="00404DAF">
        <w:trPr>
          <w:cantSplit/>
          <w:trHeight w:val="290"/>
          <w:tblHeader/>
          <w:jc w:val="center"/>
        </w:trPr>
        <w:tc>
          <w:tcPr>
            <w:tcW w:w="761" w:type="pct"/>
          </w:tcPr>
          <w:p w:rsidR="00272FB9" w:rsidRPr="00726EA8" w:rsidRDefault="00272FB9"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2017 to 2018</w:t>
            </w:r>
          </w:p>
        </w:tc>
        <w:tc>
          <w:tcPr>
            <w:tcW w:w="2370" w:type="pct"/>
          </w:tcPr>
          <w:p w:rsidR="00272FB9" w:rsidRPr="00726EA8" w:rsidRDefault="00272FB9"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75%</w:t>
            </w:r>
          </w:p>
        </w:tc>
        <w:tc>
          <w:tcPr>
            <w:tcW w:w="1869" w:type="pct"/>
          </w:tcPr>
          <w:p w:rsidR="00272FB9" w:rsidRPr="00726EA8" w:rsidRDefault="00272FB9"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25%</w:t>
            </w:r>
          </w:p>
        </w:tc>
      </w:tr>
      <w:tr w:rsidR="00272FB9" w:rsidRPr="00726EA8" w:rsidTr="00404DAF">
        <w:trPr>
          <w:cantSplit/>
          <w:trHeight w:val="290"/>
          <w:tblHeader/>
          <w:jc w:val="center"/>
        </w:trPr>
        <w:tc>
          <w:tcPr>
            <w:tcW w:w="761" w:type="pct"/>
          </w:tcPr>
          <w:p w:rsidR="00272FB9" w:rsidRPr="00726EA8" w:rsidRDefault="00272FB9"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2018 to 2019</w:t>
            </w:r>
          </w:p>
        </w:tc>
        <w:tc>
          <w:tcPr>
            <w:tcW w:w="2370" w:type="pct"/>
          </w:tcPr>
          <w:p w:rsidR="00272FB9" w:rsidRPr="00726EA8" w:rsidRDefault="00272FB9"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73%</w:t>
            </w:r>
          </w:p>
        </w:tc>
        <w:tc>
          <w:tcPr>
            <w:tcW w:w="1869" w:type="pct"/>
          </w:tcPr>
          <w:p w:rsidR="00272FB9" w:rsidRPr="00726EA8" w:rsidRDefault="00272FB9"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27%</w:t>
            </w:r>
          </w:p>
        </w:tc>
      </w:tr>
    </w:tbl>
    <w:p w:rsidR="00404DAF" w:rsidRPr="00404DAF" w:rsidRDefault="00404DAF" w:rsidP="00404DAF">
      <w:pPr>
        <w:pStyle w:val="Titre1"/>
        <w:spacing w:before="120" w:after="120"/>
        <w:rPr>
          <w:sz w:val="40"/>
          <w:lang w:val="en-CA"/>
        </w:rPr>
      </w:pPr>
      <w:r w:rsidRPr="00404DAF">
        <w:rPr>
          <w:rFonts w:eastAsia="Times New Roman"/>
          <w:sz w:val="40"/>
          <w:lang w:val="en-CA"/>
        </w:rPr>
        <w:lastRenderedPageBreak/>
        <w:t>Staffing by process type</w:t>
      </w:r>
    </w:p>
    <w:p w:rsidR="00330D2B" w:rsidRDefault="00726EA8" w:rsidP="00330D2B">
      <w:pPr>
        <w:pStyle w:val="Level1"/>
        <w:keepNext/>
        <w:tabs>
          <w:tab w:val="left" w:pos="-1440"/>
        </w:tabs>
        <w:autoSpaceDE w:val="0"/>
        <w:autoSpaceDN w:val="0"/>
        <w:adjustRightInd w:val="0"/>
        <w:spacing w:line="20" w:lineRule="atLeast"/>
        <w:jc w:val="center"/>
      </w:pPr>
      <w:r w:rsidRPr="00330D2B">
        <w:rPr>
          <w:rStyle w:val="lev"/>
          <w:noProof/>
          <w:lang w:val="en-CA" w:eastAsia="en-CA"/>
        </w:rPr>
        <w:drawing>
          <wp:inline distT="0" distB="0" distL="0" distR="0" wp14:anchorId="44BE4545" wp14:editId="52743FBB">
            <wp:extent cx="5648400" cy="3049200"/>
            <wp:effectExtent l="0" t="0" r="9525" b="18415"/>
            <wp:docPr id="16" name="Chart 16" descr="Staffing by process type&#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26EA8" w:rsidRDefault="00330D2B" w:rsidP="00330D2B">
      <w:pPr>
        <w:pStyle w:val="Lgende"/>
        <w:jc w:val="center"/>
      </w:pPr>
      <w:r>
        <w:t xml:space="preserve">Figure </w:t>
      </w:r>
      <w:r>
        <w:fldChar w:fldCharType="begin"/>
      </w:r>
      <w:r>
        <w:instrText xml:space="preserve"> SEQ Figure \* ARABIC </w:instrText>
      </w:r>
      <w:r>
        <w:fldChar w:fldCharType="separate"/>
      </w:r>
      <w:r w:rsidR="00F452A8">
        <w:rPr>
          <w:noProof/>
        </w:rPr>
        <w:t>7</w:t>
      </w:r>
      <w:r>
        <w:fldChar w:fldCharType="end"/>
      </w:r>
      <w:r>
        <w:t xml:space="preserve"> - </w:t>
      </w:r>
      <w:r w:rsidRPr="007F37FA">
        <w:t>Staffing by process type</w:t>
      </w:r>
    </w:p>
    <w:p w:rsidR="00330D2B" w:rsidRDefault="00330D2B" w:rsidP="00330D2B">
      <w:pPr>
        <w:pStyle w:val="Lgende"/>
        <w:keepNext/>
        <w:spacing w:before="240"/>
        <w:jc w:val="center"/>
      </w:pPr>
      <w:r>
        <w:t xml:space="preserve">Table </w:t>
      </w:r>
      <w:r>
        <w:fldChar w:fldCharType="begin"/>
      </w:r>
      <w:r>
        <w:instrText xml:space="preserve"> SEQ Table \* ARABIC </w:instrText>
      </w:r>
      <w:r>
        <w:fldChar w:fldCharType="separate"/>
      </w:r>
      <w:r w:rsidR="00AD62FD">
        <w:rPr>
          <w:noProof/>
        </w:rPr>
        <w:t>9</w:t>
      </w:r>
      <w:r>
        <w:fldChar w:fldCharType="end"/>
      </w:r>
      <w:r>
        <w:t xml:space="preserve"> - </w:t>
      </w:r>
      <w:r w:rsidRPr="003E1889">
        <w:t>Number and percentage of staffing activities by type of process and fiscal year</w:t>
      </w:r>
    </w:p>
    <w:tbl>
      <w:tblPr>
        <w:tblStyle w:val="TableGrid3"/>
        <w:tblW w:w="5000" w:type="pct"/>
        <w:jc w:val="center"/>
        <w:tblLook w:val="0000" w:firstRow="0" w:lastRow="0" w:firstColumn="0" w:lastColumn="0" w:noHBand="0" w:noVBand="0"/>
        <w:tblDescription w:val="Staffing by process type from 2014 to 2019"/>
      </w:tblPr>
      <w:tblGrid>
        <w:gridCol w:w="1672"/>
        <w:gridCol w:w="5917"/>
        <w:gridCol w:w="2769"/>
        <w:gridCol w:w="4032"/>
      </w:tblGrid>
      <w:tr w:rsidR="00330D2B" w:rsidRPr="00726EA8" w:rsidTr="00404DAF">
        <w:trPr>
          <w:cantSplit/>
          <w:trHeight w:val="290"/>
          <w:tblHeader/>
          <w:jc w:val="center"/>
        </w:trPr>
        <w:tc>
          <w:tcPr>
            <w:tcW w:w="581" w:type="pct"/>
          </w:tcPr>
          <w:p w:rsidR="00330D2B" w:rsidRPr="00726EA8" w:rsidRDefault="00330D2B" w:rsidP="00330D2B">
            <w:pPr>
              <w:pStyle w:val="TableTitle"/>
              <w:rPr>
                <w:rFonts w:eastAsiaTheme="minorHAnsi"/>
                <w:lang w:val="en-CA"/>
              </w:rPr>
            </w:pPr>
            <w:r w:rsidRPr="00726EA8">
              <w:rPr>
                <w:rFonts w:eastAsiaTheme="minorHAnsi"/>
                <w:lang w:val="en-CA"/>
              </w:rPr>
              <w:t>Fiscal year</w:t>
            </w:r>
          </w:p>
        </w:tc>
        <w:tc>
          <w:tcPr>
            <w:tcW w:w="2056" w:type="pct"/>
          </w:tcPr>
          <w:p w:rsidR="00330D2B" w:rsidRPr="00726EA8" w:rsidRDefault="00330D2B" w:rsidP="00330D2B">
            <w:pPr>
              <w:pStyle w:val="TableTitle"/>
              <w:rPr>
                <w:rFonts w:eastAsiaTheme="minorHAnsi"/>
                <w:lang w:val="en-CA"/>
              </w:rPr>
            </w:pPr>
            <w:r w:rsidRPr="00726EA8">
              <w:rPr>
                <w:rFonts w:eastAsiaTheme="minorHAnsi"/>
                <w:lang w:val="en-CA"/>
              </w:rPr>
              <w:t>Non-advertised processes (excludes unknowns)</w:t>
            </w:r>
          </w:p>
        </w:tc>
        <w:tc>
          <w:tcPr>
            <w:tcW w:w="962" w:type="pct"/>
          </w:tcPr>
          <w:p w:rsidR="00330D2B" w:rsidRPr="00726EA8" w:rsidRDefault="00330D2B" w:rsidP="00330D2B">
            <w:pPr>
              <w:pStyle w:val="TableTitle"/>
              <w:rPr>
                <w:rFonts w:eastAsiaTheme="minorHAnsi"/>
                <w:lang w:val="en-CA"/>
              </w:rPr>
            </w:pPr>
            <w:r w:rsidRPr="00726EA8">
              <w:rPr>
                <w:rFonts w:eastAsiaTheme="minorHAnsi"/>
                <w:lang w:val="en-CA"/>
              </w:rPr>
              <w:t>Advertised processes</w:t>
            </w:r>
          </w:p>
        </w:tc>
        <w:tc>
          <w:tcPr>
            <w:tcW w:w="1401" w:type="pct"/>
          </w:tcPr>
          <w:p w:rsidR="00330D2B" w:rsidRPr="00726EA8" w:rsidRDefault="00330D2B" w:rsidP="00330D2B">
            <w:pPr>
              <w:pStyle w:val="TableTitle"/>
              <w:rPr>
                <w:rFonts w:eastAsiaTheme="minorHAnsi"/>
                <w:lang w:val="en-CA"/>
              </w:rPr>
            </w:pPr>
            <w:r w:rsidRPr="00726EA8">
              <w:rPr>
                <w:rFonts w:eastAsiaTheme="minorHAnsi"/>
                <w:lang w:val="en-CA"/>
              </w:rPr>
              <w:t>% of Non- advertised processes</w:t>
            </w:r>
          </w:p>
        </w:tc>
      </w:tr>
      <w:tr w:rsidR="00330D2B" w:rsidRPr="00726EA8" w:rsidTr="00404DAF">
        <w:trPr>
          <w:cantSplit/>
          <w:trHeight w:val="290"/>
          <w:tblHeader/>
          <w:jc w:val="center"/>
        </w:trPr>
        <w:tc>
          <w:tcPr>
            <w:tcW w:w="581" w:type="pct"/>
          </w:tcPr>
          <w:p w:rsidR="00330D2B" w:rsidRPr="00726EA8" w:rsidRDefault="00330D2B"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 xml:space="preserve">2014 to 2015 </w:t>
            </w:r>
          </w:p>
        </w:tc>
        <w:tc>
          <w:tcPr>
            <w:tcW w:w="2056" w:type="pct"/>
          </w:tcPr>
          <w:p w:rsidR="00330D2B" w:rsidRPr="00726EA8" w:rsidRDefault="00330D2B"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17</w:t>
            </w:r>
          </w:p>
        </w:tc>
        <w:tc>
          <w:tcPr>
            <w:tcW w:w="962" w:type="pct"/>
          </w:tcPr>
          <w:p w:rsidR="00330D2B" w:rsidRPr="00726EA8" w:rsidRDefault="00330D2B"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33</w:t>
            </w:r>
          </w:p>
        </w:tc>
        <w:tc>
          <w:tcPr>
            <w:tcW w:w="1401" w:type="pct"/>
          </w:tcPr>
          <w:p w:rsidR="00330D2B" w:rsidRPr="00726EA8" w:rsidRDefault="00330D2B"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34%</w:t>
            </w:r>
          </w:p>
        </w:tc>
      </w:tr>
      <w:tr w:rsidR="00330D2B" w:rsidRPr="00726EA8" w:rsidTr="00404DAF">
        <w:trPr>
          <w:cantSplit/>
          <w:trHeight w:val="290"/>
          <w:tblHeader/>
          <w:jc w:val="center"/>
        </w:trPr>
        <w:tc>
          <w:tcPr>
            <w:tcW w:w="581" w:type="pct"/>
          </w:tcPr>
          <w:p w:rsidR="00330D2B" w:rsidRPr="00726EA8" w:rsidRDefault="00330D2B"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 xml:space="preserve">2015 to 2016 </w:t>
            </w:r>
          </w:p>
        </w:tc>
        <w:tc>
          <w:tcPr>
            <w:tcW w:w="2056" w:type="pct"/>
          </w:tcPr>
          <w:p w:rsidR="00330D2B" w:rsidRPr="00726EA8" w:rsidRDefault="00330D2B"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17</w:t>
            </w:r>
          </w:p>
        </w:tc>
        <w:tc>
          <w:tcPr>
            <w:tcW w:w="962" w:type="pct"/>
          </w:tcPr>
          <w:p w:rsidR="00330D2B" w:rsidRPr="00726EA8" w:rsidRDefault="00330D2B"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34</w:t>
            </w:r>
          </w:p>
        </w:tc>
        <w:tc>
          <w:tcPr>
            <w:tcW w:w="1401" w:type="pct"/>
          </w:tcPr>
          <w:p w:rsidR="00330D2B" w:rsidRPr="00726EA8" w:rsidRDefault="00330D2B"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33%</w:t>
            </w:r>
          </w:p>
        </w:tc>
      </w:tr>
      <w:tr w:rsidR="00330D2B" w:rsidRPr="00726EA8" w:rsidTr="00404DAF">
        <w:trPr>
          <w:cantSplit/>
          <w:trHeight w:val="290"/>
          <w:tblHeader/>
          <w:jc w:val="center"/>
        </w:trPr>
        <w:tc>
          <w:tcPr>
            <w:tcW w:w="581" w:type="pct"/>
          </w:tcPr>
          <w:p w:rsidR="00330D2B" w:rsidRPr="00726EA8" w:rsidRDefault="00330D2B"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2016 to 2017</w:t>
            </w:r>
          </w:p>
        </w:tc>
        <w:tc>
          <w:tcPr>
            <w:tcW w:w="2056" w:type="pct"/>
          </w:tcPr>
          <w:p w:rsidR="00330D2B" w:rsidRPr="00726EA8" w:rsidRDefault="00330D2B"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14</w:t>
            </w:r>
          </w:p>
        </w:tc>
        <w:tc>
          <w:tcPr>
            <w:tcW w:w="962" w:type="pct"/>
          </w:tcPr>
          <w:p w:rsidR="00330D2B" w:rsidRPr="00726EA8" w:rsidRDefault="00330D2B"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77</w:t>
            </w:r>
          </w:p>
        </w:tc>
        <w:tc>
          <w:tcPr>
            <w:tcW w:w="1401" w:type="pct"/>
          </w:tcPr>
          <w:p w:rsidR="00330D2B" w:rsidRPr="00726EA8" w:rsidRDefault="00330D2B"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15%</w:t>
            </w:r>
          </w:p>
        </w:tc>
      </w:tr>
      <w:tr w:rsidR="00330D2B" w:rsidRPr="00726EA8" w:rsidTr="00404DAF">
        <w:trPr>
          <w:cantSplit/>
          <w:trHeight w:val="290"/>
          <w:tblHeader/>
          <w:jc w:val="center"/>
        </w:trPr>
        <w:tc>
          <w:tcPr>
            <w:tcW w:w="581" w:type="pct"/>
          </w:tcPr>
          <w:p w:rsidR="00330D2B" w:rsidRPr="00726EA8" w:rsidRDefault="00330D2B"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2017 to 2018</w:t>
            </w:r>
          </w:p>
        </w:tc>
        <w:tc>
          <w:tcPr>
            <w:tcW w:w="2056" w:type="pct"/>
          </w:tcPr>
          <w:p w:rsidR="00330D2B" w:rsidRPr="00726EA8" w:rsidRDefault="00330D2B"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37</w:t>
            </w:r>
          </w:p>
        </w:tc>
        <w:tc>
          <w:tcPr>
            <w:tcW w:w="962" w:type="pct"/>
          </w:tcPr>
          <w:p w:rsidR="00330D2B" w:rsidRPr="00726EA8" w:rsidRDefault="00330D2B"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56</w:t>
            </w:r>
          </w:p>
        </w:tc>
        <w:tc>
          <w:tcPr>
            <w:tcW w:w="1401" w:type="pct"/>
          </w:tcPr>
          <w:p w:rsidR="00330D2B" w:rsidRPr="00726EA8" w:rsidRDefault="00330D2B"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40%</w:t>
            </w:r>
          </w:p>
        </w:tc>
      </w:tr>
      <w:tr w:rsidR="00330D2B" w:rsidRPr="00726EA8" w:rsidTr="00404DAF">
        <w:trPr>
          <w:cantSplit/>
          <w:trHeight w:val="290"/>
          <w:tblHeader/>
          <w:jc w:val="center"/>
        </w:trPr>
        <w:tc>
          <w:tcPr>
            <w:tcW w:w="581" w:type="pct"/>
          </w:tcPr>
          <w:p w:rsidR="00330D2B" w:rsidRPr="00726EA8" w:rsidRDefault="00330D2B"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2018 to 2019</w:t>
            </w:r>
          </w:p>
        </w:tc>
        <w:tc>
          <w:tcPr>
            <w:tcW w:w="2056" w:type="pct"/>
          </w:tcPr>
          <w:p w:rsidR="00330D2B" w:rsidRPr="00726EA8" w:rsidRDefault="00330D2B"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59</w:t>
            </w:r>
          </w:p>
        </w:tc>
        <w:tc>
          <w:tcPr>
            <w:tcW w:w="962" w:type="pct"/>
          </w:tcPr>
          <w:p w:rsidR="00330D2B" w:rsidRPr="00726EA8" w:rsidRDefault="00330D2B"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59</w:t>
            </w:r>
          </w:p>
        </w:tc>
        <w:tc>
          <w:tcPr>
            <w:tcW w:w="1401" w:type="pct"/>
          </w:tcPr>
          <w:p w:rsidR="00330D2B" w:rsidRPr="00726EA8" w:rsidRDefault="00330D2B"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50%</w:t>
            </w:r>
          </w:p>
        </w:tc>
      </w:tr>
    </w:tbl>
    <w:p w:rsidR="00404DAF" w:rsidRPr="00404DAF" w:rsidRDefault="00404DAF" w:rsidP="00404DAF">
      <w:pPr>
        <w:pStyle w:val="Titre1"/>
        <w:spacing w:before="120" w:after="120"/>
        <w:rPr>
          <w:sz w:val="40"/>
          <w:lang w:val="en-CA"/>
        </w:rPr>
      </w:pPr>
      <w:r w:rsidRPr="00404DAF">
        <w:rPr>
          <w:rFonts w:eastAsia="Times New Roman"/>
          <w:sz w:val="40"/>
          <w:lang w:val="en-CA"/>
        </w:rPr>
        <w:lastRenderedPageBreak/>
        <w:t>Staffing by appointment type</w:t>
      </w:r>
    </w:p>
    <w:p w:rsidR="00286551" w:rsidRDefault="00DD72C1" w:rsidP="00286551">
      <w:pPr>
        <w:pStyle w:val="Level1"/>
        <w:keepNext/>
        <w:tabs>
          <w:tab w:val="left" w:pos="-1440"/>
        </w:tabs>
        <w:autoSpaceDE w:val="0"/>
        <w:autoSpaceDN w:val="0"/>
        <w:adjustRightInd w:val="0"/>
        <w:spacing w:line="20" w:lineRule="atLeast"/>
        <w:jc w:val="center"/>
      </w:pPr>
      <w:r w:rsidRPr="00286551">
        <w:rPr>
          <w:rStyle w:val="lev"/>
          <w:noProof/>
          <w:lang w:val="en-CA" w:eastAsia="en-CA"/>
        </w:rPr>
        <w:drawing>
          <wp:inline distT="0" distB="0" distL="0" distR="0" wp14:anchorId="018EDC89" wp14:editId="60AF1470">
            <wp:extent cx="5648400" cy="3049200"/>
            <wp:effectExtent l="0" t="0" r="9525" b="18415"/>
            <wp:docPr id="9" name="Chart 9" descr="Staffing by appointment type&#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D72C1" w:rsidRDefault="00286551" w:rsidP="00286551">
      <w:pPr>
        <w:pStyle w:val="Lgende"/>
        <w:jc w:val="center"/>
        <w:rPr>
          <w:rFonts w:ascii="Arial" w:hAnsi="Arial" w:cs="Arial"/>
          <w:sz w:val="22"/>
          <w:szCs w:val="22"/>
          <w:lang w:val="en-CA"/>
        </w:rPr>
      </w:pPr>
      <w:r>
        <w:t xml:space="preserve">Figure </w:t>
      </w:r>
      <w:r>
        <w:fldChar w:fldCharType="begin"/>
      </w:r>
      <w:r>
        <w:instrText xml:space="preserve"> SEQ Figure \* ARABIC </w:instrText>
      </w:r>
      <w:r>
        <w:fldChar w:fldCharType="separate"/>
      </w:r>
      <w:r w:rsidR="00F452A8">
        <w:rPr>
          <w:noProof/>
        </w:rPr>
        <w:t>8</w:t>
      </w:r>
      <w:r>
        <w:fldChar w:fldCharType="end"/>
      </w:r>
      <w:r>
        <w:t xml:space="preserve"> - </w:t>
      </w:r>
      <w:r w:rsidRPr="009049BA">
        <w:t>Staffing by appointment type</w:t>
      </w:r>
    </w:p>
    <w:p w:rsidR="00286551" w:rsidRDefault="00286551" w:rsidP="00286551">
      <w:pPr>
        <w:pStyle w:val="Lgende"/>
        <w:keepNext/>
        <w:spacing w:before="240"/>
        <w:jc w:val="center"/>
      </w:pPr>
      <w:r>
        <w:t xml:space="preserve">Table </w:t>
      </w:r>
      <w:r>
        <w:fldChar w:fldCharType="begin"/>
      </w:r>
      <w:r>
        <w:instrText xml:space="preserve"> SEQ Table \* ARABIC </w:instrText>
      </w:r>
      <w:r>
        <w:fldChar w:fldCharType="separate"/>
      </w:r>
      <w:r w:rsidR="00AD62FD">
        <w:rPr>
          <w:noProof/>
        </w:rPr>
        <w:t>10</w:t>
      </w:r>
      <w:r>
        <w:fldChar w:fldCharType="end"/>
      </w:r>
      <w:r>
        <w:t xml:space="preserve"> - </w:t>
      </w:r>
      <w:r w:rsidRPr="00DB3D0F">
        <w:t>Staffing activities by appointment type and fiscal year</w:t>
      </w:r>
    </w:p>
    <w:tbl>
      <w:tblPr>
        <w:tblStyle w:val="TableGrid3"/>
        <w:tblW w:w="5000" w:type="pct"/>
        <w:jc w:val="center"/>
        <w:tblLook w:val="0000" w:firstRow="0" w:lastRow="0" w:firstColumn="0" w:lastColumn="0" w:noHBand="0" w:noVBand="0"/>
        <w:tblDescription w:val="Staffing by appointment type from 2014 to 2019"/>
      </w:tblPr>
      <w:tblGrid>
        <w:gridCol w:w="2243"/>
        <w:gridCol w:w="1899"/>
        <w:gridCol w:w="2469"/>
        <w:gridCol w:w="3396"/>
        <w:gridCol w:w="3045"/>
        <w:gridCol w:w="1338"/>
      </w:tblGrid>
      <w:tr w:rsidR="00286551" w:rsidRPr="00726EA8" w:rsidTr="00286551">
        <w:trPr>
          <w:cantSplit/>
          <w:tblHeader/>
          <w:jc w:val="center"/>
        </w:trPr>
        <w:tc>
          <w:tcPr>
            <w:tcW w:w="779" w:type="pct"/>
          </w:tcPr>
          <w:p w:rsidR="00286551" w:rsidRPr="00726EA8" w:rsidRDefault="00286551" w:rsidP="00286551">
            <w:pPr>
              <w:pStyle w:val="TableTitle"/>
              <w:rPr>
                <w:rFonts w:eastAsiaTheme="minorHAnsi"/>
                <w:lang w:val="en-CA"/>
              </w:rPr>
            </w:pPr>
            <w:r w:rsidRPr="00726EA8">
              <w:rPr>
                <w:rFonts w:eastAsiaTheme="minorHAnsi"/>
                <w:lang w:val="en-CA"/>
              </w:rPr>
              <w:t>Fiscal year</w:t>
            </w:r>
          </w:p>
        </w:tc>
        <w:tc>
          <w:tcPr>
            <w:tcW w:w="660" w:type="pct"/>
          </w:tcPr>
          <w:p w:rsidR="00286551" w:rsidRPr="00726EA8" w:rsidRDefault="00286551" w:rsidP="00286551">
            <w:pPr>
              <w:pStyle w:val="TableTitle"/>
              <w:rPr>
                <w:rFonts w:eastAsiaTheme="minorHAnsi"/>
                <w:lang w:val="en-CA"/>
              </w:rPr>
            </w:pPr>
            <w:r w:rsidRPr="00726EA8">
              <w:rPr>
                <w:rFonts w:eastAsiaTheme="minorHAnsi"/>
                <w:lang w:val="en-CA"/>
              </w:rPr>
              <w:t>Promotions</w:t>
            </w:r>
          </w:p>
        </w:tc>
        <w:tc>
          <w:tcPr>
            <w:tcW w:w="858" w:type="pct"/>
          </w:tcPr>
          <w:p w:rsidR="00286551" w:rsidRPr="00726EA8" w:rsidRDefault="00286551" w:rsidP="00286551">
            <w:pPr>
              <w:pStyle w:val="TableTitle"/>
              <w:rPr>
                <w:rFonts w:eastAsiaTheme="minorHAnsi"/>
                <w:lang w:val="en-CA"/>
              </w:rPr>
            </w:pPr>
            <w:r w:rsidRPr="00726EA8">
              <w:rPr>
                <w:rFonts w:eastAsiaTheme="minorHAnsi"/>
                <w:lang w:val="en-CA"/>
              </w:rPr>
              <w:t>Lateral and downward movements</w:t>
            </w:r>
          </w:p>
        </w:tc>
        <w:tc>
          <w:tcPr>
            <w:tcW w:w="1180" w:type="pct"/>
          </w:tcPr>
          <w:p w:rsidR="00286551" w:rsidRPr="00726EA8" w:rsidRDefault="00286551" w:rsidP="00286551">
            <w:pPr>
              <w:pStyle w:val="TableTitle"/>
              <w:rPr>
                <w:rFonts w:eastAsiaTheme="minorHAnsi"/>
                <w:lang w:val="en-CA"/>
              </w:rPr>
            </w:pPr>
            <w:r w:rsidRPr="00726EA8">
              <w:rPr>
                <w:rFonts w:eastAsiaTheme="minorHAnsi"/>
                <w:lang w:val="en-CA"/>
              </w:rPr>
              <w:t>Appointments to the public service (includes casuals and students)</w:t>
            </w:r>
          </w:p>
        </w:tc>
        <w:tc>
          <w:tcPr>
            <w:tcW w:w="1058" w:type="pct"/>
          </w:tcPr>
          <w:p w:rsidR="00286551" w:rsidRPr="00726EA8" w:rsidRDefault="00286551" w:rsidP="00286551">
            <w:pPr>
              <w:pStyle w:val="TableTitle"/>
              <w:rPr>
                <w:rFonts w:eastAsiaTheme="minorHAnsi"/>
                <w:lang w:val="en-CA"/>
              </w:rPr>
            </w:pPr>
            <w:r w:rsidRPr="00726EA8">
              <w:rPr>
                <w:rFonts w:eastAsiaTheme="minorHAnsi"/>
                <w:lang w:val="en-CA"/>
              </w:rPr>
              <w:t>Acting appointments (excludes appointments of less than 4 months)</w:t>
            </w:r>
          </w:p>
        </w:tc>
        <w:tc>
          <w:tcPr>
            <w:tcW w:w="465" w:type="pct"/>
          </w:tcPr>
          <w:p w:rsidR="00286551" w:rsidRPr="00726EA8" w:rsidRDefault="00286551" w:rsidP="00286551">
            <w:pPr>
              <w:pStyle w:val="TableTitle"/>
              <w:rPr>
                <w:rFonts w:eastAsiaTheme="minorHAnsi"/>
                <w:lang w:val="en-CA"/>
              </w:rPr>
            </w:pPr>
            <w:r w:rsidRPr="00726EA8">
              <w:rPr>
                <w:rFonts w:eastAsiaTheme="minorHAnsi"/>
                <w:lang w:val="en-CA"/>
              </w:rPr>
              <w:t>Total</w:t>
            </w:r>
          </w:p>
        </w:tc>
      </w:tr>
      <w:tr w:rsidR="00286551" w:rsidRPr="00726EA8" w:rsidTr="00286551">
        <w:trPr>
          <w:cantSplit/>
          <w:tblHeader/>
          <w:jc w:val="center"/>
        </w:trPr>
        <w:tc>
          <w:tcPr>
            <w:tcW w:w="779" w:type="pct"/>
          </w:tcPr>
          <w:p w:rsidR="00286551" w:rsidRPr="00726EA8" w:rsidRDefault="00286551"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 xml:space="preserve">2014 to 2015 </w:t>
            </w:r>
          </w:p>
        </w:tc>
        <w:tc>
          <w:tcPr>
            <w:tcW w:w="660"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19</w:t>
            </w:r>
          </w:p>
        </w:tc>
        <w:tc>
          <w:tcPr>
            <w:tcW w:w="858"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35</w:t>
            </w:r>
          </w:p>
        </w:tc>
        <w:tc>
          <w:tcPr>
            <w:tcW w:w="1180"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73</w:t>
            </w:r>
          </w:p>
        </w:tc>
        <w:tc>
          <w:tcPr>
            <w:tcW w:w="1058"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29</w:t>
            </w:r>
          </w:p>
        </w:tc>
        <w:tc>
          <w:tcPr>
            <w:tcW w:w="465"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156</w:t>
            </w:r>
          </w:p>
        </w:tc>
      </w:tr>
      <w:tr w:rsidR="00286551" w:rsidRPr="00726EA8" w:rsidTr="00286551">
        <w:trPr>
          <w:cantSplit/>
          <w:tblHeader/>
          <w:jc w:val="center"/>
        </w:trPr>
        <w:tc>
          <w:tcPr>
            <w:tcW w:w="779" w:type="pct"/>
          </w:tcPr>
          <w:p w:rsidR="00286551" w:rsidRPr="00726EA8" w:rsidRDefault="00286551"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2015 to 2016</w:t>
            </w:r>
          </w:p>
        </w:tc>
        <w:tc>
          <w:tcPr>
            <w:tcW w:w="660"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30</w:t>
            </w:r>
          </w:p>
        </w:tc>
        <w:tc>
          <w:tcPr>
            <w:tcW w:w="858"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37</w:t>
            </w:r>
          </w:p>
        </w:tc>
        <w:tc>
          <w:tcPr>
            <w:tcW w:w="1180"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104</w:t>
            </w:r>
          </w:p>
        </w:tc>
        <w:tc>
          <w:tcPr>
            <w:tcW w:w="1058"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34</w:t>
            </w:r>
          </w:p>
        </w:tc>
        <w:tc>
          <w:tcPr>
            <w:tcW w:w="465"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205</w:t>
            </w:r>
          </w:p>
        </w:tc>
      </w:tr>
      <w:tr w:rsidR="00286551" w:rsidRPr="00726EA8" w:rsidTr="00286551">
        <w:trPr>
          <w:cantSplit/>
          <w:tblHeader/>
          <w:jc w:val="center"/>
        </w:trPr>
        <w:tc>
          <w:tcPr>
            <w:tcW w:w="779" w:type="pct"/>
          </w:tcPr>
          <w:p w:rsidR="00286551" w:rsidRPr="00726EA8" w:rsidRDefault="00286551"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 xml:space="preserve">2016 to 2017 </w:t>
            </w:r>
          </w:p>
        </w:tc>
        <w:tc>
          <w:tcPr>
            <w:tcW w:w="660"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47</w:t>
            </w:r>
          </w:p>
        </w:tc>
        <w:tc>
          <w:tcPr>
            <w:tcW w:w="858"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57</w:t>
            </w:r>
          </w:p>
        </w:tc>
        <w:tc>
          <w:tcPr>
            <w:tcW w:w="1180"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123</w:t>
            </w:r>
          </w:p>
        </w:tc>
        <w:tc>
          <w:tcPr>
            <w:tcW w:w="1058"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37</w:t>
            </w:r>
          </w:p>
        </w:tc>
        <w:tc>
          <w:tcPr>
            <w:tcW w:w="465"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264</w:t>
            </w:r>
          </w:p>
        </w:tc>
      </w:tr>
      <w:tr w:rsidR="00286551" w:rsidRPr="00726EA8" w:rsidTr="00286551">
        <w:trPr>
          <w:cantSplit/>
          <w:tblHeader/>
          <w:jc w:val="center"/>
        </w:trPr>
        <w:tc>
          <w:tcPr>
            <w:tcW w:w="779" w:type="pct"/>
          </w:tcPr>
          <w:p w:rsidR="00286551" w:rsidRPr="00726EA8" w:rsidRDefault="00286551"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2017 to 2018</w:t>
            </w:r>
          </w:p>
        </w:tc>
        <w:tc>
          <w:tcPr>
            <w:tcW w:w="660"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49</w:t>
            </w:r>
          </w:p>
        </w:tc>
        <w:tc>
          <w:tcPr>
            <w:tcW w:w="858"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45</w:t>
            </w:r>
          </w:p>
        </w:tc>
        <w:tc>
          <w:tcPr>
            <w:tcW w:w="1180"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88</w:t>
            </w:r>
          </w:p>
        </w:tc>
        <w:tc>
          <w:tcPr>
            <w:tcW w:w="1058"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24</w:t>
            </w:r>
          </w:p>
        </w:tc>
        <w:tc>
          <w:tcPr>
            <w:tcW w:w="465"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206</w:t>
            </w:r>
          </w:p>
        </w:tc>
      </w:tr>
      <w:tr w:rsidR="00286551" w:rsidRPr="00726EA8" w:rsidTr="00286551">
        <w:trPr>
          <w:cantSplit/>
          <w:tblHeader/>
          <w:jc w:val="center"/>
        </w:trPr>
        <w:tc>
          <w:tcPr>
            <w:tcW w:w="779" w:type="pct"/>
          </w:tcPr>
          <w:p w:rsidR="00286551" w:rsidRPr="00726EA8" w:rsidRDefault="00286551"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2018 to 2019</w:t>
            </w:r>
          </w:p>
        </w:tc>
        <w:tc>
          <w:tcPr>
            <w:tcW w:w="660"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64</w:t>
            </w:r>
          </w:p>
        </w:tc>
        <w:tc>
          <w:tcPr>
            <w:tcW w:w="858"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52</w:t>
            </w:r>
          </w:p>
        </w:tc>
        <w:tc>
          <w:tcPr>
            <w:tcW w:w="1180"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136</w:t>
            </w:r>
          </w:p>
        </w:tc>
        <w:tc>
          <w:tcPr>
            <w:tcW w:w="1058"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32</w:t>
            </w:r>
          </w:p>
        </w:tc>
        <w:tc>
          <w:tcPr>
            <w:tcW w:w="465"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284</w:t>
            </w:r>
          </w:p>
        </w:tc>
      </w:tr>
    </w:tbl>
    <w:p w:rsidR="00404DAF" w:rsidRPr="00404DAF" w:rsidRDefault="00404DAF" w:rsidP="00404DAF">
      <w:pPr>
        <w:pStyle w:val="Titre1"/>
        <w:spacing w:before="120" w:after="120"/>
        <w:rPr>
          <w:sz w:val="40"/>
          <w:lang w:val="en-CA"/>
        </w:rPr>
      </w:pPr>
      <w:r w:rsidRPr="00404DAF">
        <w:rPr>
          <w:rFonts w:eastAsia="Times New Roman"/>
          <w:sz w:val="40"/>
          <w:lang w:val="en-CA"/>
        </w:rPr>
        <w:lastRenderedPageBreak/>
        <w:t>Staffing by tenure</w:t>
      </w:r>
    </w:p>
    <w:p w:rsidR="00286551" w:rsidRDefault="00286551" w:rsidP="00286551">
      <w:pPr>
        <w:pStyle w:val="Level1"/>
        <w:keepNext/>
        <w:tabs>
          <w:tab w:val="left" w:pos="-1440"/>
        </w:tabs>
        <w:autoSpaceDE w:val="0"/>
        <w:autoSpaceDN w:val="0"/>
        <w:adjustRightInd w:val="0"/>
        <w:spacing w:line="20" w:lineRule="atLeast"/>
        <w:jc w:val="center"/>
      </w:pPr>
      <w:r w:rsidRPr="00286551">
        <w:rPr>
          <w:rStyle w:val="lev"/>
          <w:noProof/>
          <w:lang w:val="en-CA" w:eastAsia="en-CA"/>
        </w:rPr>
        <w:drawing>
          <wp:inline distT="0" distB="0" distL="0" distR="0" wp14:anchorId="32C3B11C" wp14:editId="186E3FC3">
            <wp:extent cx="5648400" cy="3049200"/>
            <wp:effectExtent l="0" t="0" r="9525" b="18415"/>
            <wp:docPr id="18" name="Chart 18" descr="Staffing by tenure&#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86551" w:rsidRDefault="00286551" w:rsidP="00286551">
      <w:pPr>
        <w:pStyle w:val="Lgende"/>
        <w:jc w:val="center"/>
      </w:pPr>
      <w:r>
        <w:t xml:space="preserve">Figure </w:t>
      </w:r>
      <w:r>
        <w:fldChar w:fldCharType="begin"/>
      </w:r>
      <w:r>
        <w:instrText xml:space="preserve"> SEQ Figure \* ARABIC </w:instrText>
      </w:r>
      <w:r>
        <w:fldChar w:fldCharType="separate"/>
      </w:r>
      <w:r w:rsidR="00F452A8">
        <w:rPr>
          <w:noProof/>
        </w:rPr>
        <w:t>9</w:t>
      </w:r>
      <w:r>
        <w:fldChar w:fldCharType="end"/>
      </w:r>
      <w:r>
        <w:t xml:space="preserve"> - </w:t>
      </w:r>
      <w:r w:rsidRPr="005D0D7F">
        <w:t>Staffing by tenure</w:t>
      </w:r>
    </w:p>
    <w:p w:rsidR="00286551" w:rsidRDefault="00286551" w:rsidP="00404DAF">
      <w:pPr>
        <w:pStyle w:val="Lgende"/>
        <w:keepNext/>
        <w:jc w:val="center"/>
      </w:pPr>
      <w:r>
        <w:t xml:space="preserve">Table </w:t>
      </w:r>
      <w:r>
        <w:fldChar w:fldCharType="begin"/>
      </w:r>
      <w:r>
        <w:instrText xml:space="preserve"> SEQ Table \* ARABIC </w:instrText>
      </w:r>
      <w:r>
        <w:fldChar w:fldCharType="separate"/>
      </w:r>
      <w:r w:rsidR="00AD62FD">
        <w:rPr>
          <w:noProof/>
        </w:rPr>
        <w:t>11</w:t>
      </w:r>
      <w:r>
        <w:fldChar w:fldCharType="end"/>
      </w:r>
      <w:r>
        <w:t xml:space="preserve"> - </w:t>
      </w:r>
      <w:r w:rsidRPr="00367BC6">
        <w:t>Staffing activities by tenure and fiscal year</w:t>
      </w:r>
    </w:p>
    <w:tbl>
      <w:tblPr>
        <w:tblStyle w:val="TableGrid3"/>
        <w:tblW w:w="5000" w:type="pct"/>
        <w:jc w:val="center"/>
        <w:tblLook w:val="0000" w:firstRow="0" w:lastRow="0" w:firstColumn="0" w:lastColumn="0" w:noHBand="0" w:noVBand="0"/>
        <w:tblDescription w:val="Staffing by tenure from 2014 to 2019"/>
      </w:tblPr>
      <w:tblGrid>
        <w:gridCol w:w="2398"/>
        <w:gridCol w:w="2398"/>
        <w:gridCol w:w="2400"/>
        <w:gridCol w:w="2397"/>
        <w:gridCol w:w="2397"/>
        <w:gridCol w:w="2400"/>
      </w:tblGrid>
      <w:tr w:rsidR="00286551" w:rsidRPr="00726EA8" w:rsidTr="00286551">
        <w:trPr>
          <w:cantSplit/>
          <w:tblHeader/>
          <w:jc w:val="center"/>
        </w:trPr>
        <w:tc>
          <w:tcPr>
            <w:tcW w:w="833" w:type="pct"/>
          </w:tcPr>
          <w:p w:rsidR="00286551" w:rsidRPr="00726EA8" w:rsidRDefault="00286551" w:rsidP="00286551">
            <w:pPr>
              <w:pStyle w:val="TableTitle"/>
              <w:rPr>
                <w:rFonts w:eastAsiaTheme="minorHAnsi"/>
                <w:lang w:val="en-CA"/>
              </w:rPr>
            </w:pPr>
            <w:r w:rsidRPr="00726EA8">
              <w:rPr>
                <w:rFonts w:eastAsiaTheme="minorHAnsi"/>
                <w:lang w:val="en-CA"/>
              </w:rPr>
              <w:t>Fiscal year</w:t>
            </w:r>
          </w:p>
        </w:tc>
        <w:tc>
          <w:tcPr>
            <w:tcW w:w="833" w:type="pct"/>
          </w:tcPr>
          <w:p w:rsidR="00286551" w:rsidRPr="00726EA8" w:rsidRDefault="00286551" w:rsidP="00286551">
            <w:pPr>
              <w:pStyle w:val="TableTitle"/>
              <w:rPr>
                <w:rFonts w:eastAsiaTheme="minorHAnsi"/>
                <w:lang w:val="en-CA"/>
              </w:rPr>
            </w:pPr>
            <w:r w:rsidRPr="00726EA8">
              <w:rPr>
                <w:rFonts w:eastAsiaTheme="minorHAnsi"/>
                <w:lang w:val="en-CA"/>
              </w:rPr>
              <w:t>Indeterminate staffing activities</w:t>
            </w:r>
          </w:p>
        </w:tc>
        <w:tc>
          <w:tcPr>
            <w:tcW w:w="834" w:type="pct"/>
          </w:tcPr>
          <w:p w:rsidR="00286551" w:rsidRPr="00726EA8" w:rsidRDefault="00286551" w:rsidP="00286551">
            <w:pPr>
              <w:pStyle w:val="TableTitle"/>
              <w:rPr>
                <w:rFonts w:eastAsiaTheme="minorHAnsi"/>
                <w:lang w:val="en-CA"/>
              </w:rPr>
            </w:pPr>
            <w:r w:rsidRPr="00726EA8">
              <w:rPr>
                <w:rFonts w:eastAsiaTheme="minorHAnsi"/>
                <w:lang w:val="en-CA"/>
              </w:rPr>
              <w:t>Term staffing activities</w:t>
            </w:r>
          </w:p>
        </w:tc>
        <w:tc>
          <w:tcPr>
            <w:tcW w:w="833" w:type="pct"/>
          </w:tcPr>
          <w:p w:rsidR="00286551" w:rsidRPr="00726EA8" w:rsidRDefault="00286551" w:rsidP="00286551">
            <w:pPr>
              <w:pStyle w:val="TableTitle"/>
              <w:rPr>
                <w:rFonts w:eastAsiaTheme="minorHAnsi"/>
                <w:lang w:val="en-CA"/>
              </w:rPr>
            </w:pPr>
            <w:r w:rsidRPr="00726EA8">
              <w:rPr>
                <w:rFonts w:eastAsiaTheme="minorHAnsi"/>
                <w:lang w:val="en-CA"/>
              </w:rPr>
              <w:t>Casual staffing activities</w:t>
            </w:r>
          </w:p>
        </w:tc>
        <w:tc>
          <w:tcPr>
            <w:tcW w:w="833" w:type="pct"/>
          </w:tcPr>
          <w:p w:rsidR="00286551" w:rsidRPr="00726EA8" w:rsidRDefault="00286551" w:rsidP="00286551">
            <w:pPr>
              <w:pStyle w:val="TableTitle"/>
              <w:rPr>
                <w:rFonts w:eastAsiaTheme="minorHAnsi"/>
                <w:lang w:val="en-CA"/>
              </w:rPr>
            </w:pPr>
            <w:r w:rsidRPr="00726EA8">
              <w:rPr>
                <w:rFonts w:eastAsiaTheme="minorHAnsi"/>
                <w:lang w:val="en-CA"/>
              </w:rPr>
              <w:t>Student staffing activities</w:t>
            </w:r>
          </w:p>
        </w:tc>
        <w:tc>
          <w:tcPr>
            <w:tcW w:w="834" w:type="pct"/>
          </w:tcPr>
          <w:p w:rsidR="00286551" w:rsidRPr="00726EA8" w:rsidRDefault="00286551" w:rsidP="00286551">
            <w:pPr>
              <w:pStyle w:val="TableTitle"/>
              <w:rPr>
                <w:rFonts w:eastAsiaTheme="minorHAnsi"/>
                <w:lang w:val="en-CA"/>
              </w:rPr>
            </w:pPr>
            <w:r w:rsidRPr="00726EA8">
              <w:rPr>
                <w:rFonts w:eastAsiaTheme="minorHAnsi"/>
                <w:lang w:val="en-CA"/>
              </w:rPr>
              <w:t>Total staffing activities</w:t>
            </w:r>
          </w:p>
        </w:tc>
      </w:tr>
      <w:tr w:rsidR="00286551" w:rsidRPr="00726EA8" w:rsidTr="00286551">
        <w:trPr>
          <w:cantSplit/>
          <w:tblHeader/>
          <w:jc w:val="center"/>
        </w:trPr>
        <w:tc>
          <w:tcPr>
            <w:tcW w:w="833" w:type="pct"/>
          </w:tcPr>
          <w:p w:rsidR="00286551" w:rsidRPr="00726EA8" w:rsidRDefault="00286551"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2014 to 2015</w:t>
            </w:r>
          </w:p>
        </w:tc>
        <w:tc>
          <w:tcPr>
            <w:tcW w:w="833"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75</w:t>
            </w:r>
          </w:p>
        </w:tc>
        <w:tc>
          <w:tcPr>
            <w:tcW w:w="834"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22</w:t>
            </w:r>
          </w:p>
        </w:tc>
        <w:tc>
          <w:tcPr>
            <w:tcW w:w="833"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42</w:t>
            </w:r>
          </w:p>
        </w:tc>
        <w:tc>
          <w:tcPr>
            <w:tcW w:w="833"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17</w:t>
            </w:r>
          </w:p>
        </w:tc>
        <w:tc>
          <w:tcPr>
            <w:tcW w:w="834"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156</w:t>
            </w:r>
          </w:p>
        </w:tc>
      </w:tr>
      <w:tr w:rsidR="00286551" w:rsidRPr="00726EA8" w:rsidTr="00286551">
        <w:trPr>
          <w:cantSplit/>
          <w:tblHeader/>
          <w:jc w:val="center"/>
        </w:trPr>
        <w:tc>
          <w:tcPr>
            <w:tcW w:w="833" w:type="pct"/>
          </w:tcPr>
          <w:p w:rsidR="00286551" w:rsidRPr="00726EA8" w:rsidRDefault="00286551"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2015 to 2016</w:t>
            </w:r>
          </w:p>
        </w:tc>
        <w:tc>
          <w:tcPr>
            <w:tcW w:w="833"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97</w:t>
            </w:r>
          </w:p>
        </w:tc>
        <w:tc>
          <w:tcPr>
            <w:tcW w:w="834"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25</w:t>
            </w:r>
          </w:p>
        </w:tc>
        <w:tc>
          <w:tcPr>
            <w:tcW w:w="833"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61</w:t>
            </w:r>
          </w:p>
        </w:tc>
        <w:tc>
          <w:tcPr>
            <w:tcW w:w="833"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22</w:t>
            </w:r>
          </w:p>
        </w:tc>
        <w:tc>
          <w:tcPr>
            <w:tcW w:w="834"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205</w:t>
            </w:r>
          </w:p>
        </w:tc>
      </w:tr>
      <w:tr w:rsidR="00286551" w:rsidRPr="00726EA8" w:rsidTr="00286551">
        <w:trPr>
          <w:cantSplit/>
          <w:tblHeader/>
          <w:jc w:val="center"/>
        </w:trPr>
        <w:tc>
          <w:tcPr>
            <w:tcW w:w="833" w:type="pct"/>
          </w:tcPr>
          <w:p w:rsidR="00286551" w:rsidRPr="00726EA8" w:rsidRDefault="00286551"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2016 to 2017</w:t>
            </w:r>
          </w:p>
        </w:tc>
        <w:tc>
          <w:tcPr>
            <w:tcW w:w="833"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147</w:t>
            </w:r>
          </w:p>
        </w:tc>
        <w:tc>
          <w:tcPr>
            <w:tcW w:w="834"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39</w:t>
            </w:r>
          </w:p>
        </w:tc>
        <w:tc>
          <w:tcPr>
            <w:tcW w:w="833"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55</w:t>
            </w:r>
          </w:p>
        </w:tc>
        <w:tc>
          <w:tcPr>
            <w:tcW w:w="833"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23</w:t>
            </w:r>
          </w:p>
        </w:tc>
        <w:tc>
          <w:tcPr>
            <w:tcW w:w="834"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264</w:t>
            </w:r>
          </w:p>
        </w:tc>
      </w:tr>
      <w:tr w:rsidR="00286551" w:rsidRPr="00726EA8" w:rsidTr="00286551">
        <w:trPr>
          <w:cantSplit/>
          <w:tblHeader/>
          <w:jc w:val="center"/>
        </w:trPr>
        <w:tc>
          <w:tcPr>
            <w:tcW w:w="833" w:type="pct"/>
          </w:tcPr>
          <w:p w:rsidR="00286551" w:rsidRPr="00726EA8" w:rsidRDefault="00286551"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2017 to 2018</w:t>
            </w:r>
          </w:p>
        </w:tc>
        <w:tc>
          <w:tcPr>
            <w:tcW w:w="833"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128</w:t>
            </w:r>
          </w:p>
        </w:tc>
        <w:tc>
          <w:tcPr>
            <w:tcW w:w="834"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23</w:t>
            </w:r>
          </w:p>
        </w:tc>
        <w:tc>
          <w:tcPr>
            <w:tcW w:w="833"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39</w:t>
            </w:r>
          </w:p>
        </w:tc>
        <w:tc>
          <w:tcPr>
            <w:tcW w:w="833"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16</w:t>
            </w:r>
          </w:p>
        </w:tc>
        <w:tc>
          <w:tcPr>
            <w:tcW w:w="834"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206</w:t>
            </w:r>
          </w:p>
        </w:tc>
      </w:tr>
      <w:tr w:rsidR="00286551" w:rsidRPr="00726EA8" w:rsidTr="00286551">
        <w:trPr>
          <w:cantSplit/>
          <w:tblHeader/>
          <w:jc w:val="center"/>
        </w:trPr>
        <w:tc>
          <w:tcPr>
            <w:tcW w:w="833" w:type="pct"/>
          </w:tcPr>
          <w:p w:rsidR="00286551" w:rsidRPr="00726EA8" w:rsidRDefault="00286551"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2018 to 2019</w:t>
            </w:r>
          </w:p>
        </w:tc>
        <w:tc>
          <w:tcPr>
            <w:tcW w:w="833"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166</w:t>
            </w:r>
          </w:p>
        </w:tc>
        <w:tc>
          <w:tcPr>
            <w:tcW w:w="834"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41</w:t>
            </w:r>
          </w:p>
        </w:tc>
        <w:tc>
          <w:tcPr>
            <w:tcW w:w="833"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53</w:t>
            </w:r>
          </w:p>
        </w:tc>
        <w:tc>
          <w:tcPr>
            <w:tcW w:w="833"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24</w:t>
            </w:r>
          </w:p>
        </w:tc>
        <w:tc>
          <w:tcPr>
            <w:tcW w:w="834" w:type="pct"/>
          </w:tcPr>
          <w:p w:rsidR="00286551" w:rsidRPr="00726EA8" w:rsidRDefault="00286551"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284</w:t>
            </w:r>
          </w:p>
        </w:tc>
      </w:tr>
    </w:tbl>
    <w:p w:rsidR="00286551" w:rsidRPr="00286551" w:rsidRDefault="00286551" w:rsidP="00404DAF">
      <w:pPr>
        <w:rPr>
          <w:rStyle w:val="lev"/>
          <w:rFonts w:eastAsiaTheme="minorHAnsi"/>
          <w:lang w:val="en-CA"/>
        </w:rPr>
      </w:pPr>
      <w:r w:rsidRPr="00286551">
        <w:rPr>
          <w:rStyle w:val="lev"/>
          <w:rFonts w:eastAsiaTheme="minorHAnsi"/>
          <w:lang w:val="en-CA"/>
        </w:rPr>
        <w:t>Key findings - Staffing and non-partisanship survey (2018)</w:t>
      </w:r>
    </w:p>
    <w:p w:rsidR="00286551" w:rsidRPr="00726EA8" w:rsidRDefault="00286551" w:rsidP="00286551">
      <w:pPr>
        <w:numPr>
          <w:ilvl w:val="0"/>
          <w:numId w:val="14"/>
        </w:numPr>
        <w:spacing w:after="100" w:afterAutospacing="1"/>
        <w:rPr>
          <w:rFonts w:asciiTheme="minorHAnsi" w:hAnsiTheme="minorHAnsi" w:cstheme="minorHAnsi"/>
          <w:sz w:val="22"/>
          <w:szCs w:val="22"/>
          <w:lang w:val="en-CA" w:eastAsia="en-CA"/>
        </w:rPr>
      </w:pPr>
      <w:r w:rsidRPr="00726EA8">
        <w:rPr>
          <w:rFonts w:asciiTheme="minorHAnsi" w:hAnsiTheme="minorHAnsi" w:cstheme="minorHAnsi"/>
          <w:sz w:val="22"/>
          <w:szCs w:val="22"/>
          <w:lang w:val="en-CA" w:eastAsia="en-CA"/>
        </w:rPr>
        <w:t xml:space="preserve">84.0% of </w:t>
      </w:r>
      <w:r w:rsidRPr="00286551">
        <w:rPr>
          <w:rStyle w:val="lev"/>
          <w:lang w:val="en-CA"/>
        </w:rPr>
        <w:t>employees</w:t>
      </w:r>
      <w:r w:rsidRPr="00726EA8">
        <w:rPr>
          <w:rFonts w:asciiTheme="minorHAnsi" w:hAnsiTheme="minorHAnsi" w:cstheme="minorHAnsi"/>
          <w:sz w:val="22"/>
          <w:szCs w:val="22"/>
          <w:lang w:val="en-CA" w:eastAsia="en-CA"/>
        </w:rPr>
        <w:t xml:space="preserve"> agreed that people hired can do the job, compared to 67.1% in organizations of similar size, and 53.8% in the federal public service</w:t>
      </w:r>
    </w:p>
    <w:p w:rsidR="00286551" w:rsidRPr="00726EA8" w:rsidRDefault="00286551" w:rsidP="00286551">
      <w:pPr>
        <w:numPr>
          <w:ilvl w:val="0"/>
          <w:numId w:val="14"/>
        </w:numPr>
        <w:spacing w:after="100" w:afterAutospacing="1"/>
        <w:rPr>
          <w:rFonts w:asciiTheme="minorHAnsi" w:hAnsiTheme="minorHAnsi" w:cstheme="minorHAnsi"/>
          <w:sz w:val="22"/>
          <w:szCs w:val="22"/>
          <w:lang w:val="en-CA" w:eastAsia="en-CA"/>
        </w:rPr>
      </w:pPr>
      <w:r w:rsidRPr="00726EA8">
        <w:rPr>
          <w:rFonts w:asciiTheme="minorHAnsi" w:hAnsiTheme="minorHAnsi" w:cstheme="minorHAnsi"/>
          <w:sz w:val="22"/>
          <w:szCs w:val="22"/>
          <w:lang w:val="en-CA" w:eastAsia="en-CA"/>
        </w:rPr>
        <w:t xml:space="preserve">81.7% of </w:t>
      </w:r>
      <w:r w:rsidRPr="00286551">
        <w:rPr>
          <w:rStyle w:val="lev"/>
          <w:lang w:val="en-CA"/>
        </w:rPr>
        <w:t>managers</w:t>
      </w:r>
      <w:r w:rsidRPr="00726EA8">
        <w:rPr>
          <w:rFonts w:asciiTheme="minorHAnsi" w:hAnsiTheme="minorHAnsi" w:cstheme="minorHAnsi"/>
          <w:sz w:val="22"/>
          <w:szCs w:val="22"/>
          <w:lang w:val="en-CA" w:eastAsia="en-CA"/>
        </w:rPr>
        <w:t xml:space="preserve"> agreed that the New Direction in Staffing has improved the way they hire and appoint persons to and within their organization, compared to 69.7% in organizations of similar size, and 56.1% in the federal public service</w:t>
      </w:r>
    </w:p>
    <w:p w:rsidR="00286551" w:rsidRPr="00726EA8" w:rsidRDefault="00286551" w:rsidP="00286551">
      <w:pPr>
        <w:numPr>
          <w:ilvl w:val="0"/>
          <w:numId w:val="14"/>
        </w:numPr>
        <w:spacing w:after="100" w:afterAutospacing="1"/>
        <w:rPr>
          <w:rFonts w:asciiTheme="minorHAnsi" w:hAnsiTheme="minorHAnsi" w:cstheme="minorHAnsi"/>
          <w:sz w:val="22"/>
          <w:szCs w:val="22"/>
          <w:lang w:val="en-CA" w:eastAsia="en-CA"/>
        </w:rPr>
      </w:pPr>
      <w:r w:rsidRPr="00726EA8">
        <w:rPr>
          <w:rFonts w:asciiTheme="minorHAnsi" w:hAnsiTheme="minorHAnsi" w:cstheme="minorHAnsi"/>
          <w:sz w:val="22"/>
          <w:szCs w:val="22"/>
          <w:lang w:val="en-CA" w:eastAsia="en-CA"/>
        </w:rPr>
        <w:t xml:space="preserve">79.0% of </w:t>
      </w:r>
      <w:r w:rsidRPr="00286551">
        <w:rPr>
          <w:rStyle w:val="lev"/>
          <w:lang w:val="en-CA"/>
        </w:rPr>
        <w:t>managers</w:t>
      </w:r>
      <w:r w:rsidRPr="00726EA8">
        <w:rPr>
          <w:rFonts w:asciiTheme="minorHAnsi" w:hAnsiTheme="minorHAnsi" w:cstheme="minorHAnsi"/>
          <w:sz w:val="22"/>
          <w:szCs w:val="22"/>
          <w:lang w:val="en-CA" w:eastAsia="en-CA"/>
        </w:rPr>
        <w:t xml:space="preserve"> agreed that within their organization, the administrative to staff a position is </w:t>
      </w:r>
      <w:r w:rsidRPr="00286551">
        <w:rPr>
          <w:rStyle w:val="lev"/>
          <w:lang w:val="en-CA"/>
        </w:rPr>
        <w:t>burdensome</w:t>
      </w:r>
      <w:r w:rsidRPr="00726EA8">
        <w:rPr>
          <w:rFonts w:asciiTheme="minorHAnsi" w:hAnsiTheme="minorHAnsi" w:cstheme="minorHAnsi"/>
          <w:sz w:val="22"/>
          <w:szCs w:val="22"/>
          <w:lang w:val="en-CA" w:eastAsia="en-CA"/>
        </w:rPr>
        <w:t>, compared to 79.3% in organizations of similar size, and 87.9% in the federal public service</w:t>
      </w:r>
    </w:p>
    <w:p w:rsidR="002244BA" w:rsidRPr="002244BA" w:rsidRDefault="002244BA" w:rsidP="002244BA">
      <w:pPr>
        <w:pStyle w:val="Titre1"/>
        <w:spacing w:before="120" w:after="120"/>
        <w:rPr>
          <w:sz w:val="40"/>
          <w:lang w:val="en-CA"/>
        </w:rPr>
      </w:pPr>
      <w:r w:rsidRPr="002244BA">
        <w:rPr>
          <w:rFonts w:eastAsia="Times New Roman"/>
          <w:sz w:val="40"/>
          <w:lang w:val="en-CA"/>
        </w:rPr>
        <w:lastRenderedPageBreak/>
        <w:t>Student program hires</w:t>
      </w:r>
    </w:p>
    <w:p w:rsidR="00D823DC" w:rsidRDefault="00DD72C1" w:rsidP="00D823DC">
      <w:pPr>
        <w:pStyle w:val="Level1"/>
        <w:keepNext/>
        <w:tabs>
          <w:tab w:val="left" w:pos="-1440"/>
        </w:tabs>
        <w:autoSpaceDE w:val="0"/>
        <w:autoSpaceDN w:val="0"/>
        <w:adjustRightInd w:val="0"/>
        <w:spacing w:line="20" w:lineRule="atLeast"/>
        <w:jc w:val="center"/>
      </w:pPr>
      <w:r w:rsidRPr="00D823DC">
        <w:rPr>
          <w:rStyle w:val="lev"/>
          <w:noProof/>
          <w:lang w:val="en-CA" w:eastAsia="en-CA"/>
        </w:rPr>
        <w:drawing>
          <wp:inline distT="0" distB="0" distL="0" distR="0" wp14:anchorId="2885A394" wp14:editId="29E131DE">
            <wp:extent cx="5648400" cy="3049200"/>
            <wp:effectExtent l="0" t="0" r="9525" b="18415"/>
            <wp:docPr id="17" name="Chart 17" descr="Student program hire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D72C1" w:rsidRDefault="00D823DC" w:rsidP="00D823DC">
      <w:pPr>
        <w:pStyle w:val="Lgende"/>
        <w:jc w:val="center"/>
      </w:pPr>
      <w:r>
        <w:t xml:space="preserve">Figure </w:t>
      </w:r>
      <w:r>
        <w:fldChar w:fldCharType="begin"/>
      </w:r>
      <w:r>
        <w:instrText xml:space="preserve"> SEQ Figure \* ARABIC </w:instrText>
      </w:r>
      <w:r>
        <w:fldChar w:fldCharType="separate"/>
      </w:r>
      <w:r w:rsidR="00F452A8">
        <w:rPr>
          <w:noProof/>
        </w:rPr>
        <w:t>10</w:t>
      </w:r>
      <w:r>
        <w:fldChar w:fldCharType="end"/>
      </w:r>
      <w:r>
        <w:t xml:space="preserve"> - </w:t>
      </w:r>
      <w:r w:rsidRPr="007C58F0">
        <w:t>Student program hires</w:t>
      </w:r>
    </w:p>
    <w:p w:rsidR="00D823DC" w:rsidRDefault="00D823DC" w:rsidP="00D823DC">
      <w:pPr>
        <w:pStyle w:val="Lgende"/>
        <w:keepNext/>
        <w:spacing w:before="240"/>
        <w:jc w:val="center"/>
      </w:pPr>
      <w:r>
        <w:t xml:space="preserve">Table </w:t>
      </w:r>
      <w:r>
        <w:fldChar w:fldCharType="begin"/>
      </w:r>
      <w:r>
        <w:instrText xml:space="preserve"> SEQ Table \* ARABIC </w:instrText>
      </w:r>
      <w:r>
        <w:fldChar w:fldCharType="separate"/>
      </w:r>
      <w:r w:rsidR="00AD62FD">
        <w:rPr>
          <w:noProof/>
        </w:rPr>
        <w:t>12</w:t>
      </w:r>
      <w:r>
        <w:fldChar w:fldCharType="end"/>
      </w:r>
      <w:r>
        <w:t xml:space="preserve"> - </w:t>
      </w:r>
      <w:r w:rsidRPr="00F67804">
        <w:t>Student staffing activities by recruitment program and fiscal year</w:t>
      </w:r>
    </w:p>
    <w:tbl>
      <w:tblPr>
        <w:tblStyle w:val="TableGrid3"/>
        <w:tblW w:w="0" w:type="auto"/>
        <w:jc w:val="center"/>
        <w:tblLook w:val="0000" w:firstRow="0" w:lastRow="0" w:firstColumn="0" w:lastColumn="0" w:noHBand="0" w:noVBand="0"/>
        <w:tblDescription w:val="Student program hires from 2014 to 2019"/>
      </w:tblPr>
      <w:tblGrid>
        <w:gridCol w:w="1398"/>
        <w:gridCol w:w="4458"/>
        <w:gridCol w:w="4489"/>
        <w:gridCol w:w="2879"/>
        <w:gridCol w:w="721"/>
      </w:tblGrid>
      <w:tr w:rsidR="00D823DC" w:rsidRPr="00726EA8" w:rsidTr="00D823DC">
        <w:trPr>
          <w:cantSplit/>
          <w:tblHeader/>
          <w:jc w:val="center"/>
        </w:trPr>
        <w:tc>
          <w:tcPr>
            <w:tcW w:w="0" w:type="auto"/>
          </w:tcPr>
          <w:p w:rsidR="00D823DC" w:rsidRPr="00726EA8" w:rsidRDefault="00D823DC" w:rsidP="00D823DC">
            <w:pPr>
              <w:pStyle w:val="TableTitle"/>
              <w:rPr>
                <w:rFonts w:eastAsiaTheme="minorHAnsi"/>
                <w:lang w:val="en-CA"/>
              </w:rPr>
            </w:pPr>
            <w:r w:rsidRPr="00726EA8">
              <w:rPr>
                <w:rFonts w:eastAsiaTheme="minorHAnsi"/>
                <w:lang w:val="en-CA"/>
              </w:rPr>
              <w:t>Fiscal year</w:t>
            </w:r>
          </w:p>
        </w:tc>
        <w:tc>
          <w:tcPr>
            <w:tcW w:w="0" w:type="auto"/>
          </w:tcPr>
          <w:p w:rsidR="00D823DC" w:rsidRPr="00726EA8" w:rsidRDefault="00D823DC" w:rsidP="00D823DC">
            <w:pPr>
              <w:pStyle w:val="TableTitle"/>
              <w:rPr>
                <w:rFonts w:eastAsiaTheme="minorHAnsi"/>
                <w:lang w:val="en-CA"/>
              </w:rPr>
            </w:pPr>
            <w:r w:rsidRPr="00726EA8">
              <w:rPr>
                <w:rFonts w:eastAsiaTheme="minorHAnsi"/>
                <w:lang w:val="en-CA"/>
              </w:rPr>
              <w:t>Federal Student Work Experience Program</w:t>
            </w:r>
          </w:p>
        </w:tc>
        <w:tc>
          <w:tcPr>
            <w:tcW w:w="0" w:type="auto"/>
          </w:tcPr>
          <w:p w:rsidR="00D823DC" w:rsidRPr="00726EA8" w:rsidRDefault="00D823DC" w:rsidP="00D823DC">
            <w:pPr>
              <w:pStyle w:val="TableTitle"/>
              <w:rPr>
                <w:rFonts w:eastAsiaTheme="minorHAnsi"/>
                <w:lang w:val="en-CA"/>
              </w:rPr>
            </w:pPr>
            <w:r w:rsidRPr="00726EA8">
              <w:rPr>
                <w:rFonts w:eastAsiaTheme="minorHAnsi"/>
                <w:lang w:val="en-CA"/>
              </w:rPr>
              <w:t>Post-Secondary Co-op/Internship Program</w:t>
            </w:r>
          </w:p>
        </w:tc>
        <w:tc>
          <w:tcPr>
            <w:tcW w:w="0" w:type="auto"/>
          </w:tcPr>
          <w:p w:rsidR="00D823DC" w:rsidRPr="00726EA8" w:rsidRDefault="00D823DC" w:rsidP="00D823DC">
            <w:pPr>
              <w:pStyle w:val="TableTitle"/>
              <w:rPr>
                <w:rFonts w:eastAsiaTheme="minorHAnsi"/>
                <w:lang w:val="en-CA"/>
              </w:rPr>
            </w:pPr>
            <w:r w:rsidRPr="00726EA8">
              <w:rPr>
                <w:rFonts w:eastAsiaTheme="minorHAnsi"/>
                <w:lang w:val="en-CA"/>
              </w:rPr>
              <w:t>Research Affiliate Program</w:t>
            </w:r>
          </w:p>
        </w:tc>
        <w:tc>
          <w:tcPr>
            <w:tcW w:w="0" w:type="auto"/>
          </w:tcPr>
          <w:p w:rsidR="00D823DC" w:rsidRPr="00726EA8" w:rsidRDefault="00D823DC" w:rsidP="00D823DC">
            <w:pPr>
              <w:pStyle w:val="TableTitle"/>
              <w:rPr>
                <w:rFonts w:eastAsiaTheme="minorHAnsi"/>
                <w:lang w:val="en-CA"/>
              </w:rPr>
            </w:pPr>
            <w:r w:rsidRPr="00726EA8">
              <w:rPr>
                <w:rFonts w:eastAsiaTheme="minorHAnsi"/>
                <w:lang w:val="en-CA"/>
              </w:rPr>
              <w:t>Total</w:t>
            </w:r>
          </w:p>
        </w:tc>
      </w:tr>
      <w:tr w:rsidR="00D823DC" w:rsidRPr="00726EA8" w:rsidTr="00D823DC">
        <w:trPr>
          <w:cantSplit/>
          <w:tblHeader/>
          <w:jc w:val="center"/>
        </w:trPr>
        <w:tc>
          <w:tcPr>
            <w:tcW w:w="0" w:type="auto"/>
          </w:tcPr>
          <w:p w:rsidR="00D823DC" w:rsidRPr="00726EA8" w:rsidRDefault="00D823DC"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2014 to 2015</w:t>
            </w:r>
          </w:p>
        </w:tc>
        <w:tc>
          <w:tcPr>
            <w:tcW w:w="0" w:type="auto"/>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7</w:t>
            </w:r>
          </w:p>
        </w:tc>
        <w:tc>
          <w:tcPr>
            <w:tcW w:w="0" w:type="auto"/>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10</w:t>
            </w:r>
          </w:p>
        </w:tc>
        <w:tc>
          <w:tcPr>
            <w:tcW w:w="0" w:type="auto"/>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0</w:t>
            </w:r>
          </w:p>
        </w:tc>
        <w:tc>
          <w:tcPr>
            <w:tcW w:w="0" w:type="auto"/>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17</w:t>
            </w:r>
          </w:p>
        </w:tc>
      </w:tr>
      <w:tr w:rsidR="00D823DC" w:rsidRPr="00726EA8" w:rsidTr="00D823DC">
        <w:trPr>
          <w:cantSplit/>
          <w:tblHeader/>
          <w:jc w:val="center"/>
        </w:trPr>
        <w:tc>
          <w:tcPr>
            <w:tcW w:w="0" w:type="auto"/>
          </w:tcPr>
          <w:p w:rsidR="00D823DC" w:rsidRPr="00726EA8" w:rsidRDefault="00D823DC"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2015 to 2016</w:t>
            </w:r>
          </w:p>
        </w:tc>
        <w:tc>
          <w:tcPr>
            <w:tcW w:w="0" w:type="auto"/>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12</w:t>
            </w:r>
          </w:p>
        </w:tc>
        <w:tc>
          <w:tcPr>
            <w:tcW w:w="0" w:type="auto"/>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10</w:t>
            </w:r>
          </w:p>
        </w:tc>
        <w:tc>
          <w:tcPr>
            <w:tcW w:w="0" w:type="auto"/>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0</w:t>
            </w:r>
          </w:p>
        </w:tc>
        <w:tc>
          <w:tcPr>
            <w:tcW w:w="0" w:type="auto"/>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22</w:t>
            </w:r>
          </w:p>
        </w:tc>
      </w:tr>
      <w:tr w:rsidR="00D823DC" w:rsidRPr="00726EA8" w:rsidTr="00D823DC">
        <w:trPr>
          <w:cantSplit/>
          <w:tblHeader/>
          <w:jc w:val="center"/>
        </w:trPr>
        <w:tc>
          <w:tcPr>
            <w:tcW w:w="0" w:type="auto"/>
          </w:tcPr>
          <w:p w:rsidR="00D823DC" w:rsidRPr="00726EA8" w:rsidRDefault="00D823DC"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2016 to 2017</w:t>
            </w:r>
          </w:p>
        </w:tc>
        <w:tc>
          <w:tcPr>
            <w:tcW w:w="0" w:type="auto"/>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10</w:t>
            </w:r>
          </w:p>
        </w:tc>
        <w:tc>
          <w:tcPr>
            <w:tcW w:w="0" w:type="auto"/>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13</w:t>
            </w:r>
          </w:p>
        </w:tc>
        <w:tc>
          <w:tcPr>
            <w:tcW w:w="0" w:type="auto"/>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0</w:t>
            </w:r>
          </w:p>
        </w:tc>
        <w:tc>
          <w:tcPr>
            <w:tcW w:w="0" w:type="auto"/>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23</w:t>
            </w:r>
          </w:p>
        </w:tc>
      </w:tr>
      <w:tr w:rsidR="00D823DC" w:rsidRPr="00726EA8" w:rsidTr="00D823DC">
        <w:trPr>
          <w:cantSplit/>
          <w:tblHeader/>
          <w:jc w:val="center"/>
        </w:trPr>
        <w:tc>
          <w:tcPr>
            <w:tcW w:w="0" w:type="auto"/>
          </w:tcPr>
          <w:p w:rsidR="00D823DC" w:rsidRPr="00726EA8" w:rsidRDefault="00D823DC"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2017 to 2018</w:t>
            </w:r>
          </w:p>
        </w:tc>
        <w:tc>
          <w:tcPr>
            <w:tcW w:w="0" w:type="auto"/>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9</w:t>
            </w:r>
          </w:p>
        </w:tc>
        <w:tc>
          <w:tcPr>
            <w:tcW w:w="0" w:type="auto"/>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7</w:t>
            </w:r>
          </w:p>
        </w:tc>
        <w:tc>
          <w:tcPr>
            <w:tcW w:w="0" w:type="auto"/>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0</w:t>
            </w:r>
          </w:p>
        </w:tc>
        <w:tc>
          <w:tcPr>
            <w:tcW w:w="0" w:type="auto"/>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16</w:t>
            </w:r>
          </w:p>
        </w:tc>
      </w:tr>
      <w:tr w:rsidR="00D823DC" w:rsidRPr="00726EA8" w:rsidTr="00D823DC">
        <w:trPr>
          <w:cantSplit/>
          <w:tblHeader/>
          <w:jc w:val="center"/>
        </w:trPr>
        <w:tc>
          <w:tcPr>
            <w:tcW w:w="0" w:type="auto"/>
          </w:tcPr>
          <w:p w:rsidR="00D823DC" w:rsidRPr="00726EA8" w:rsidRDefault="00D823DC"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2018 to 2019</w:t>
            </w:r>
          </w:p>
        </w:tc>
        <w:tc>
          <w:tcPr>
            <w:tcW w:w="0" w:type="auto"/>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6</w:t>
            </w:r>
          </w:p>
        </w:tc>
        <w:tc>
          <w:tcPr>
            <w:tcW w:w="0" w:type="auto"/>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18</w:t>
            </w:r>
          </w:p>
        </w:tc>
        <w:tc>
          <w:tcPr>
            <w:tcW w:w="0" w:type="auto"/>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0</w:t>
            </w:r>
          </w:p>
        </w:tc>
        <w:tc>
          <w:tcPr>
            <w:tcW w:w="0" w:type="auto"/>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24</w:t>
            </w:r>
          </w:p>
        </w:tc>
      </w:tr>
    </w:tbl>
    <w:p w:rsidR="002244BA" w:rsidRPr="002244BA" w:rsidRDefault="002244BA" w:rsidP="002244BA">
      <w:pPr>
        <w:pStyle w:val="Titre1"/>
        <w:spacing w:before="120" w:after="120"/>
        <w:rPr>
          <w:sz w:val="28"/>
          <w:lang w:val="en-CA"/>
        </w:rPr>
      </w:pPr>
      <w:r w:rsidRPr="002244BA">
        <w:rPr>
          <w:rFonts w:eastAsia="Times New Roman"/>
          <w:sz w:val="28"/>
          <w:lang w:val="en-CA"/>
        </w:rPr>
        <w:lastRenderedPageBreak/>
        <w:t>External indeterminate and term hiring activities: Post-Secondary Recruitment Program and former student hires</w:t>
      </w:r>
    </w:p>
    <w:p w:rsidR="00D823DC" w:rsidRDefault="00D823DC" w:rsidP="00D823DC">
      <w:pPr>
        <w:pStyle w:val="Level1"/>
        <w:keepNext/>
        <w:tabs>
          <w:tab w:val="left" w:pos="-1440"/>
        </w:tabs>
        <w:autoSpaceDE w:val="0"/>
        <w:autoSpaceDN w:val="0"/>
        <w:adjustRightInd w:val="0"/>
        <w:spacing w:line="20" w:lineRule="atLeast"/>
        <w:jc w:val="center"/>
      </w:pPr>
      <w:r w:rsidRPr="00D823DC">
        <w:rPr>
          <w:rStyle w:val="lev"/>
          <w:noProof/>
          <w:lang w:val="en-CA" w:eastAsia="en-CA"/>
        </w:rPr>
        <w:drawing>
          <wp:inline distT="0" distB="0" distL="0" distR="0" wp14:anchorId="294F1304" wp14:editId="59994FF3">
            <wp:extent cx="5648400" cy="3049200"/>
            <wp:effectExtent l="0" t="0" r="9525" b="18415"/>
            <wp:docPr id="19" name="Chart 19" descr="External indeterminate and term hiring activities: Post-Secondary Recruitment Program and former student hi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D72C1" w:rsidRDefault="00D823DC" w:rsidP="00D823DC">
      <w:pPr>
        <w:pStyle w:val="Lgende"/>
        <w:jc w:val="center"/>
      </w:pPr>
      <w:r>
        <w:t xml:space="preserve">Figure </w:t>
      </w:r>
      <w:r>
        <w:fldChar w:fldCharType="begin"/>
      </w:r>
      <w:r>
        <w:instrText xml:space="preserve"> SEQ Figure \* ARABIC </w:instrText>
      </w:r>
      <w:r>
        <w:fldChar w:fldCharType="separate"/>
      </w:r>
      <w:r w:rsidR="00F452A8">
        <w:rPr>
          <w:noProof/>
        </w:rPr>
        <w:t>11</w:t>
      </w:r>
      <w:r>
        <w:fldChar w:fldCharType="end"/>
      </w:r>
      <w:r>
        <w:t xml:space="preserve"> - </w:t>
      </w:r>
      <w:r w:rsidRPr="007B31AC">
        <w:t>External indeterminate and term hiring activities: Post-Secondary Recruitment Program and former student hires</w:t>
      </w:r>
    </w:p>
    <w:p w:rsidR="005A2CD4" w:rsidRDefault="005A2CD4" w:rsidP="009B054B">
      <w:pPr>
        <w:pStyle w:val="Lgende"/>
        <w:keepNext/>
        <w:spacing w:before="240"/>
        <w:jc w:val="center"/>
      </w:pPr>
      <w:r>
        <w:t xml:space="preserve">Table </w:t>
      </w:r>
      <w:r>
        <w:fldChar w:fldCharType="begin"/>
      </w:r>
      <w:r>
        <w:instrText xml:space="preserve"> SEQ Table \* ARABIC </w:instrText>
      </w:r>
      <w:r>
        <w:fldChar w:fldCharType="separate"/>
      </w:r>
      <w:r w:rsidR="00AD62FD">
        <w:rPr>
          <w:noProof/>
        </w:rPr>
        <w:t>13</w:t>
      </w:r>
      <w:r>
        <w:fldChar w:fldCharType="end"/>
      </w:r>
      <w:r>
        <w:t xml:space="preserve"> - </w:t>
      </w:r>
      <w:r w:rsidRPr="005702C0">
        <w:t>External indeterminate and term hiring activities: Post-Secondary Recruitment Program and former student hires by fiscal year</w:t>
      </w:r>
    </w:p>
    <w:tbl>
      <w:tblPr>
        <w:tblStyle w:val="TableGrid3"/>
        <w:tblW w:w="5000" w:type="pct"/>
        <w:jc w:val="center"/>
        <w:tblLook w:val="0000" w:firstRow="0" w:lastRow="0" w:firstColumn="0" w:lastColumn="0" w:noHBand="0" w:noVBand="0"/>
        <w:tblDescription w:val="External indeterminate and term hiring activities&#10;"/>
      </w:tblPr>
      <w:tblGrid>
        <w:gridCol w:w="2317"/>
        <w:gridCol w:w="7500"/>
        <w:gridCol w:w="4573"/>
      </w:tblGrid>
      <w:tr w:rsidR="00D823DC" w:rsidRPr="00726EA8" w:rsidTr="002244BA">
        <w:trPr>
          <w:cantSplit/>
          <w:tblHeader/>
          <w:jc w:val="center"/>
        </w:trPr>
        <w:tc>
          <w:tcPr>
            <w:tcW w:w="805" w:type="pct"/>
          </w:tcPr>
          <w:p w:rsidR="00D823DC" w:rsidRPr="00726EA8" w:rsidRDefault="00D823DC" w:rsidP="009B054B">
            <w:pPr>
              <w:pStyle w:val="TableTitle"/>
              <w:rPr>
                <w:rFonts w:eastAsiaTheme="minorHAnsi"/>
                <w:lang w:val="en-CA"/>
              </w:rPr>
            </w:pPr>
            <w:r w:rsidRPr="00726EA8">
              <w:rPr>
                <w:rFonts w:eastAsiaTheme="minorHAnsi"/>
                <w:lang w:val="en-CA"/>
              </w:rPr>
              <w:t>Fiscal year</w:t>
            </w:r>
          </w:p>
        </w:tc>
        <w:tc>
          <w:tcPr>
            <w:tcW w:w="2606" w:type="pct"/>
          </w:tcPr>
          <w:p w:rsidR="00D823DC" w:rsidRPr="00726EA8" w:rsidRDefault="00D823DC" w:rsidP="009B054B">
            <w:pPr>
              <w:pStyle w:val="TableTitle"/>
              <w:rPr>
                <w:rFonts w:eastAsiaTheme="minorHAnsi"/>
                <w:lang w:val="en-CA"/>
              </w:rPr>
            </w:pPr>
            <w:r w:rsidRPr="00726EA8">
              <w:rPr>
                <w:rFonts w:eastAsiaTheme="minorHAnsi"/>
                <w:lang w:val="en-CA"/>
              </w:rPr>
              <w:t>Post-Secondary Recruitment Program hires</w:t>
            </w:r>
          </w:p>
        </w:tc>
        <w:tc>
          <w:tcPr>
            <w:tcW w:w="1589" w:type="pct"/>
          </w:tcPr>
          <w:p w:rsidR="00D823DC" w:rsidRPr="00726EA8" w:rsidRDefault="00D823DC" w:rsidP="009B054B">
            <w:pPr>
              <w:pStyle w:val="TableTitle"/>
              <w:rPr>
                <w:rFonts w:eastAsiaTheme="minorHAnsi"/>
                <w:lang w:val="en-CA"/>
              </w:rPr>
            </w:pPr>
            <w:r w:rsidRPr="00726EA8">
              <w:rPr>
                <w:rFonts w:eastAsiaTheme="minorHAnsi"/>
                <w:lang w:val="en-CA"/>
              </w:rPr>
              <w:t>Hiring of former students</w:t>
            </w:r>
          </w:p>
        </w:tc>
      </w:tr>
      <w:tr w:rsidR="00D823DC" w:rsidRPr="00726EA8" w:rsidTr="002244BA">
        <w:trPr>
          <w:cantSplit/>
          <w:tblHeader/>
          <w:jc w:val="center"/>
        </w:trPr>
        <w:tc>
          <w:tcPr>
            <w:tcW w:w="805" w:type="pct"/>
          </w:tcPr>
          <w:p w:rsidR="00D823DC" w:rsidRPr="00726EA8" w:rsidRDefault="00D823DC"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2014 to 2015</w:t>
            </w:r>
          </w:p>
        </w:tc>
        <w:tc>
          <w:tcPr>
            <w:tcW w:w="2606" w:type="pct"/>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0</w:t>
            </w:r>
          </w:p>
        </w:tc>
        <w:tc>
          <w:tcPr>
            <w:tcW w:w="1589" w:type="pct"/>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5</w:t>
            </w:r>
          </w:p>
        </w:tc>
      </w:tr>
      <w:tr w:rsidR="00D823DC" w:rsidRPr="00726EA8" w:rsidTr="002244BA">
        <w:trPr>
          <w:cantSplit/>
          <w:tblHeader/>
          <w:jc w:val="center"/>
        </w:trPr>
        <w:tc>
          <w:tcPr>
            <w:tcW w:w="805" w:type="pct"/>
          </w:tcPr>
          <w:p w:rsidR="00D823DC" w:rsidRPr="00726EA8" w:rsidRDefault="00D823DC"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2015 to 2016</w:t>
            </w:r>
          </w:p>
        </w:tc>
        <w:tc>
          <w:tcPr>
            <w:tcW w:w="2606" w:type="pct"/>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0</w:t>
            </w:r>
          </w:p>
        </w:tc>
        <w:tc>
          <w:tcPr>
            <w:tcW w:w="1589" w:type="pct"/>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8</w:t>
            </w:r>
          </w:p>
        </w:tc>
      </w:tr>
      <w:tr w:rsidR="00D823DC" w:rsidRPr="00726EA8" w:rsidTr="002244BA">
        <w:trPr>
          <w:cantSplit/>
          <w:tblHeader/>
          <w:jc w:val="center"/>
        </w:trPr>
        <w:tc>
          <w:tcPr>
            <w:tcW w:w="805" w:type="pct"/>
          </w:tcPr>
          <w:p w:rsidR="00D823DC" w:rsidRPr="00726EA8" w:rsidRDefault="00D823DC"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2016 to 2017</w:t>
            </w:r>
          </w:p>
        </w:tc>
        <w:tc>
          <w:tcPr>
            <w:tcW w:w="2606" w:type="pct"/>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0</w:t>
            </w:r>
          </w:p>
        </w:tc>
        <w:tc>
          <w:tcPr>
            <w:tcW w:w="1589" w:type="pct"/>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10</w:t>
            </w:r>
          </w:p>
        </w:tc>
      </w:tr>
      <w:tr w:rsidR="00D823DC" w:rsidRPr="00726EA8" w:rsidTr="002244BA">
        <w:trPr>
          <w:cantSplit/>
          <w:tblHeader/>
          <w:jc w:val="center"/>
        </w:trPr>
        <w:tc>
          <w:tcPr>
            <w:tcW w:w="805" w:type="pct"/>
          </w:tcPr>
          <w:p w:rsidR="00D823DC" w:rsidRPr="00726EA8" w:rsidRDefault="00D823DC"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2017 to 2018</w:t>
            </w:r>
          </w:p>
        </w:tc>
        <w:tc>
          <w:tcPr>
            <w:tcW w:w="2606" w:type="pct"/>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0</w:t>
            </w:r>
          </w:p>
        </w:tc>
        <w:tc>
          <w:tcPr>
            <w:tcW w:w="1589" w:type="pct"/>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5</w:t>
            </w:r>
          </w:p>
        </w:tc>
      </w:tr>
      <w:tr w:rsidR="00D823DC" w:rsidRPr="00726EA8" w:rsidTr="002244BA">
        <w:trPr>
          <w:cantSplit/>
          <w:tblHeader/>
          <w:jc w:val="center"/>
        </w:trPr>
        <w:tc>
          <w:tcPr>
            <w:tcW w:w="805" w:type="pct"/>
          </w:tcPr>
          <w:p w:rsidR="00D823DC" w:rsidRPr="00726EA8" w:rsidRDefault="00D823DC" w:rsidP="00D823DC">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2018 to 2019</w:t>
            </w:r>
          </w:p>
        </w:tc>
        <w:tc>
          <w:tcPr>
            <w:tcW w:w="2606" w:type="pct"/>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w:t>
            </w:r>
          </w:p>
        </w:tc>
        <w:tc>
          <w:tcPr>
            <w:tcW w:w="1589" w:type="pct"/>
          </w:tcPr>
          <w:p w:rsidR="00D823DC" w:rsidRPr="00726EA8" w:rsidRDefault="00D823DC" w:rsidP="00D823DC">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11</w:t>
            </w:r>
          </w:p>
        </w:tc>
      </w:tr>
    </w:tbl>
    <w:p w:rsidR="00F452A8" w:rsidRDefault="00F452A8" w:rsidP="00F452A8">
      <w:pPr>
        <w:pStyle w:val="Level1"/>
        <w:tabs>
          <w:tab w:val="left" w:pos="-1440"/>
        </w:tabs>
        <w:autoSpaceDE w:val="0"/>
        <w:autoSpaceDN w:val="0"/>
        <w:adjustRightInd w:val="0"/>
        <w:spacing w:line="20" w:lineRule="atLeast"/>
        <w:rPr>
          <w:rFonts w:ascii="Arial" w:hAnsi="Arial" w:cs="Arial"/>
          <w:sz w:val="22"/>
          <w:szCs w:val="22"/>
          <w:lang w:val="en-CA"/>
        </w:rPr>
        <w:sectPr w:rsidR="00F452A8" w:rsidSect="00845262">
          <w:headerReference w:type="default" r:id="rId21"/>
          <w:footerReference w:type="even" r:id="rId22"/>
          <w:headerReference w:type="first" r:id="rId23"/>
          <w:footerReference w:type="first" r:id="rId24"/>
          <w:pgSz w:w="15840" w:h="12240" w:orient="landscape"/>
          <w:pgMar w:top="1026" w:right="720" w:bottom="720" w:left="720" w:header="709" w:footer="709" w:gutter="0"/>
          <w:cols w:space="708"/>
          <w:titlePg/>
          <w:docGrid w:linePitch="360"/>
        </w:sectPr>
      </w:pPr>
    </w:p>
    <w:p w:rsidR="002244BA" w:rsidRPr="002244BA" w:rsidRDefault="002244BA" w:rsidP="002244BA">
      <w:pPr>
        <w:pStyle w:val="Titre1"/>
        <w:spacing w:before="120" w:after="120"/>
        <w:rPr>
          <w:sz w:val="40"/>
        </w:rPr>
      </w:pPr>
      <w:r w:rsidRPr="002244BA">
        <w:rPr>
          <w:sz w:val="40"/>
        </w:rPr>
        <w:lastRenderedPageBreak/>
        <w:t>Internal and External Time to Staff</w:t>
      </w:r>
    </w:p>
    <w:p w:rsidR="00F452A8" w:rsidRDefault="00DD72C1" w:rsidP="00F452A8">
      <w:pPr>
        <w:pStyle w:val="Level1"/>
        <w:keepNext/>
        <w:tabs>
          <w:tab w:val="left" w:pos="-1440"/>
        </w:tabs>
        <w:autoSpaceDE w:val="0"/>
        <w:autoSpaceDN w:val="0"/>
        <w:adjustRightInd w:val="0"/>
        <w:spacing w:line="20" w:lineRule="atLeast"/>
      </w:pPr>
      <w:r w:rsidRPr="00F452A8">
        <w:rPr>
          <w:rStyle w:val="lev"/>
          <w:noProof/>
          <w:lang w:val="en-CA" w:eastAsia="en-CA"/>
        </w:rPr>
        <w:drawing>
          <wp:inline distT="0" distB="0" distL="0" distR="0" wp14:anchorId="4D904A28" wp14:editId="3379C383">
            <wp:extent cx="5648400" cy="3049200"/>
            <wp:effectExtent l="0" t="0" r="9525" b="18415"/>
            <wp:docPr id="22" name="Chart 22" descr="Internal time to staff Public service median = 176 days 2018-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F452A8" w:rsidRPr="00F452A8">
        <w:rPr>
          <w:rStyle w:val="lev"/>
          <w:noProof/>
          <w:lang w:val="en-CA" w:eastAsia="en-CA"/>
        </w:rPr>
        <w:drawing>
          <wp:inline distT="0" distB="0" distL="0" distR="0" wp14:anchorId="086844F7" wp14:editId="232A5DA5">
            <wp:extent cx="5648400" cy="3049200"/>
            <wp:effectExtent l="0" t="0" r="9525" b="18415"/>
            <wp:docPr id="21" name="Chart 21" descr="External time to staff Public service median = 186 days 2018-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D72C1" w:rsidRDefault="00F452A8" w:rsidP="00F452A8">
      <w:pPr>
        <w:pStyle w:val="Lgende"/>
        <w:tabs>
          <w:tab w:val="left" w:pos="8931"/>
        </w:tabs>
        <w:rPr>
          <w:rFonts w:ascii="Arial" w:hAnsi="Arial" w:cs="Arial"/>
          <w:sz w:val="22"/>
          <w:szCs w:val="22"/>
          <w:lang w:val="en-CA"/>
        </w:rPr>
      </w:pPr>
      <w:r>
        <w:t xml:space="preserve">Figure </w:t>
      </w:r>
      <w:r>
        <w:fldChar w:fldCharType="begin"/>
      </w:r>
      <w:r>
        <w:instrText xml:space="preserve"> SEQ Figure \* ARABIC </w:instrText>
      </w:r>
      <w:r>
        <w:fldChar w:fldCharType="separate"/>
      </w:r>
      <w:r>
        <w:rPr>
          <w:noProof/>
        </w:rPr>
        <w:t>12</w:t>
      </w:r>
      <w:r>
        <w:fldChar w:fldCharType="end"/>
      </w:r>
      <w:r>
        <w:t xml:space="preserve"> - Internal time to staff Public service median = 176 days 2018-19</w:t>
      </w:r>
      <w:r>
        <w:tab/>
        <w:t xml:space="preserve">Figure </w:t>
      </w:r>
      <w:r>
        <w:fldChar w:fldCharType="begin"/>
      </w:r>
      <w:r>
        <w:instrText xml:space="preserve"> SEQ Figure \* ARABIC </w:instrText>
      </w:r>
      <w:r>
        <w:fldChar w:fldCharType="separate"/>
      </w:r>
      <w:r>
        <w:rPr>
          <w:noProof/>
        </w:rPr>
        <w:t>13</w:t>
      </w:r>
      <w:r>
        <w:fldChar w:fldCharType="end"/>
      </w:r>
      <w:r>
        <w:t xml:space="preserve"> - External time to staff Public service median = 186 days 2018-19</w:t>
      </w:r>
    </w:p>
    <w:p w:rsidR="00F452A8" w:rsidRDefault="007B44CF" w:rsidP="00F452A8">
      <w:pPr>
        <w:spacing w:before="240" w:after="240"/>
        <w:rPr>
          <w:rFonts w:asciiTheme="minorHAnsi" w:hAnsiTheme="minorHAnsi" w:cstheme="minorHAnsi"/>
          <w:sz w:val="22"/>
          <w:szCs w:val="22"/>
        </w:rPr>
      </w:pPr>
      <w:hyperlink w:anchor="Internal_external_time_to_staff" w:history="1">
        <w:r w:rsidR="002B65AA" w:rsidRPr="002B65AA">
          <w:rPr>
            <w:rStyle w:val="Lienhypertexte"/>
            <w:rFonts w:asciiTheme="minorHAnsi" w:hAnsiTheme="minorHAnsi" w:cstheme="minorHAnsi"/>
            <w:sz w:val="22"/>
            <w:szCs w:val="22"/>
          </w:rPr>
          <w:t>Internal and External time to staff data table available here</w:t>
        </w:r>
      </w:hyperlink>
      <w:r w:rsidR="00F452A8">
        <w:rPr>
          <w:rFonts w:asciiTheme="minorHAnsi" w:hAnsiTheme="minorHAnsi" w:cstheme="minorHAnsi"/>
          <w:sz w:val="22"/>
          <w:szCs w:val="22"/>
        </w:rPr>
        <w:t>.</w:t>
      </w:r>
    </w:p>
    <w:p w:rsidR="00F452A8" w:rsidRDefault="00F452A8" w:rsidP="00F452A8">
      <w:pPr>
        <w:spacing w:after="120"/>
        <w:rPr>
          <w:rStyle w:val="lev"/>
        </w:rPr>
        <w:sectPr w:rsidR="00F452A8" w:rsidSect="00F452A8">
          <w:pgSz w:w="20160" w:h="12240" w:orient="landscape" w:code="5"/>
          <w:pgMar w:top="1025" w:right="720" w:bottom="720" w:left="720" w:header="708" w:footer="708" w:gutter="0"/>
          <w:cols w:space="708"/>
          <w:titlePg/>
          <w:docGrid w:linePitch="360"/>
        </w:sectPr>
      </w:pPr>
    </w:p>
    <w:p w:rsidR="00F452A8" w:rsidRPr="00F452A8" w:rsidRDefault="00F452A8" w:rsidP="00F452A8">
      <w:pPr>
        <w:spacing w:after="120"/>
        <w:rPr>
          <w:rStyle w:val="lev"/>
        </w:rPr>
      </w:pPr>
      <w:r w:rsidRPr="00F452A8">
        <w:rPr>
          <w:rStyle w:val="lev"/>
        </w:rPr>
        <w:t>Internal Time to Staff</w:t>
      </w:r>
    </w:p>
    <w:p w:rsidR="00F452A8" w:rsidRPr="00F452A8" w:rsidRDefault="00F452A8" w:rsidP="00F452A8">
      <w:pPr>
        <w:spacing w:after="120"/>
        <w:rPr>
          <w:rFonts w:asciiTheme="minorHAnsi" w:hAnsiTheme="minorHAnsi" w:cstheme="minorHAnsi"/>
          <w:sz w:val="22"/>
          <w:szCs w:val="22"/>
          <w:lang w:val="en-CA"/>
        </w:rPr>
      </w:pPr>
      <w:r w:rsidRPr="00F452A8">
        <w:rPr>
          <w:rFonts w:asciiTheme="minorHAnsi" w:hAnsiTheme="minorHAnsi" w:cstheme="minorHAnsi"/>
          <w:sz w:val="22"/>
          <w:szCs w:val="22"/>
          <w:lang w:val="en-CA"/>
        </w:rPr>
        <w:t>The data is insufficient for providing results on internal process times for the Impact Assessment Agency of Canada.</w:t>
      </w:r>
    </w:p>
    <w:p w:rsidR="00F452A8" w:rsidRDefault="00F452A8" w:rsidP="00F452A8">
      <w:pPr>
        <w:pStyle w:val="Level1"/>
        <w:tabs>
          <w:tab w:val="left" w:pos="-1440"/>
        </w:tabs>
        <w:autoSpaceDE w:val="0"/>
        <w:autoSpaceDN w:val="0"/>
        <w:adjustRightInd w:val="0"/>
        <w:spacing w:after="120" w:line="20" w:lineRule="atLeast"/>
        <w:rPr>
          <w:rFonts w:asciiTheme="minorHAnsi" w:hAnsiTheme="minorHAnsi" w:cstheme="minorHAnsi"/>
          <w:sz w:val="22"/>
          <w:szCs w:val="22"/>
          <w:lang w:val="en-CA"/>
        </w:rPr>
      </w:pPr>
      <w:r w:rsidRPr="00F452A8">
        <w:rPr>
          <w:rFonts w:asciiTheme="minorHAnsi" w:hAnsiTheme="minorHAnsi" w:cstheme="minorHAnsi"/>
          <w:sz w:val="22"/>
          <w:szCs w:val="22"/>
          <w:lang w:val="en-CA"/>
        </w:rPr>
        <w:t>Internal time to staff is calculated as the number of calendar days between the opening date of the advertisement and the date of the first notification</w:t>
      </w:r>
      <w:r>
        <w:rPr>
          <w:rFonts w:asciiTheme="minorHAnsi" w:hAnsiTheme="minorHAnsi" w:cstheme="minorHAnsi"/>
          <w:sz w:val="22"/>
          <w:szCs w:val="22"/>
          <w:lang w:val="en-CA"/>
        </w:rPr>
        <w:t>.</w:t>
      </w:r>
    </w:p>
    <w:p w:rsidR="00AD62FD" w:rsidRDefault="00AD62FD" w:rsidP="00F452A8">
      <w:pPr>
        <w:pStyle w:val="Level1"/>
        <w:tabs>
          <w:tab w:val="left" w:pos="-1440"/>
        </w:tabs>
        <w:autoSpaceDE w:val="0"/>
        <w:autoSpaceDN w:val="0"/>
        <w:adjustRightInd w:val="0"/>
        <w:spacing w:after="120" w:line="20" w:lineRule="atLeast"/>
        <w:rPr>
          <w:rFonts w:asciiTheme="minorHAnsi" w:eastAsiaTheme="minorHAnsi" w:hAnsiTheme="minorHAnsi" w:cstheme="minorHAnsi"/>
          <w:b/>
          <w:sz w:val="22"/>
          <w:szCs w:val="22"/>
          <w:lang w:val="en-CA"/>
        </w:rPr>
      </w:pPr>
      <w:r w:rsidRPr="00726EA8">
        <w:rPr>
          <w:rFonts w:asciiTheme="minorHAnsi" w:eastAsiaTheme="minorHAnsi" w:hAnsiTheme="minorHAnsi" w:cstheme="minorHAnsi"/>
          <w:b/>
          <w:sz w:val="22"/>
          <w:szCs w:val="22"/>
          <w:lang w:val="en-CA"/>
        </w:rPr>
        <w:t>Internal time to staff for fiscal year 2018 to 2019</w:t>
      </w:r>
    </w:p>
    <w:p w:rsidR="00AD62FD" w:rsidRDefault="00AD62FD" w:rsidP="00F452A8">
      <w:pPr>
        <w:pStyle w:val="Level1"/>
        <w:tabs>
          <w:tab w:val="left" w:pos="-1440"/>
        </w:tabs>
        <w:autoSpaceDE w:val="0"/>
        <w:autoSpaceDN w:val="0"/>
        <w:adjustRightInd w:val="0"/>
        <w:spacing w:after="120" w:line="20" w:lineRule="atLeast"/>
        <w:rPr>
          <w:rFonts w:asciiTheme="minorHAnsi" w:eastAsiaTheme="minorHAnsi" w:hAnsiTheme="minorHAnsi" w:cstheme="minorHAnsi"/>
          <w:sz w:val="22"/>
          <w:szCs w:val="22"/>
          <w:lang w:val="en-CA"/>
        </w:rPr>
      </w:pPr>
      <w:r w:rsidRPr="00726EA8">
        <w:rPr>
          <w:rFonts w:asciiTheme="minorHAnsi" w:eastAsiaTheme="minorHAnsi" w:hAnsiTheme="minorHAnsi" w:cstheme="minorHAnsi"/>
          <w:sz w:val="22"/>
          <w:szCs w:val="22"/>
          <w:lang w:val="en-CA"/>
        </w:rPr>
        <w:t>The median internal time to staff for the public service (organizations subject to the Public Service Employment Act) for fiscal year 2018 to 2019 is 176 days</w:t>
      </w:r>
      <w:r>
        <w:rPr>
          <w:rFonts w:asciiTheme="minorHAnsi" w:eastAsiaTheme="minorHAnsi" w:hAnsiTheme="minorHAnsi" w:cstheme="minorHAnsi"/>
          <w:sz w:val="22"/>
          <w:szCs w:val="22"/>
          <w:lang w:val="en-CA"/>
        </w:rPr>
        <w:t>.</w:t>
      </w:r>
    </w:p>
    <w:p w:rsidR="00AD62FD" w:rsidRPr="00F452A8" w:rsidRDefault="00AD62FD" w:rsidP="00F452A8">
      <w:pPr>
        <w:pStyle w:val="Level1"/>
        <w:tabs>
          <w:tab w:val="left" w:pos="-1440"/>
        </w:tabs>
        <w:autoSpaceDE w:val="0"/>
        <w:autoSpaceDN w:val="0"/>
        <w:adjustRightInd w:val="0"/>
        <w:spacing w:after="120" w:line="20" w:lineRule="atLeast"/>
        <w:rPr>
          <w:rFonts w:asciiTheme="minorHAnsi" w:hAnsiTheme="minorHAnsi" w:cstheme="minorHAnsi"/>
          <w:sz w:val="22"/>
          <w:szCs w:val="22"/>
          <w:lang w:val="en-CA"/>
        </w:rPr>
      </w:pPr>
      <w:r w:rsidRPr="00726EA8">
        <w:rPr>
          <w:rFonts w:asciiTheme="minorHAnsi" w:eastAsiaTheme="minorHAnsi" w:hAnsiTheme="minorHAnsi" w:cstheme="minorHAnsi"/>
          <w:sz w:val="22"/>
          <w:szCs w:val="22"/>
          <w:lang w:val="en-CA"/>
        </w:rPr>
        <w:t>The data is insufficient for providing results on internal process times for the Impact Assessment Agency of Canada</w:t>
      </w:r>
    </w:p>
    <w:p w:rsidR="00F452A8" w:rsidRPr="00F452A8" w:rsidRDefault="00F452A8" w:rsidP="00F452A8">
      <w:pPr>
        <w:spacing w:after="120"/>
        <w:rPr>
          <w:rStyle w:val="lev"/>
        </w:rPr>
      </w:pPr>
      <w:r w:rsidRPr="00F452A8">
        <w:rPr>
          <w:rStyle w:val="lev"/>
        </w:rPr>
        <w:t>External Time to Staff</w:t>
      </w:r>
    </w:p>
    <w:p w:rsidR="00F452A8" w:rsidRPr="00F452A8" w:rsidRDefault="00F452A8" w:rsidP="00F452A8">
      <w:pPr>
        <w:spacing w:after="120"/>
        <w:rPr>
          <w:rFonts w:asciiTheme="minorHAnsi" w:hAnsiTheme="minorHAnsi" w:cstheme="minorHAnsi"/>
          <w:sz w:val="22"/>
          <w:szCs w:val="22"/>
          <w:lang w:val="en-CA"/>
        </w:rPr>
      </w:pPr>
      <w:r w:rsidRPr="00F452A8">
        <w:rPr>
          <w:rFonts w:asciiTheme="minorHAnsi" w:hAnsiTheme="minorHAnsi" w:cstheme="minorHAnsi"/>
          <w:sz w:val="22"/>
          <w:szCs w:val="22"/>
          <w:lang w:val="en-CA"/>
        </w:rPr>
        <w:t>The data is insufficient for providing results on external process times for the Impact Assessment Agency of Canada.</w:t>
      </w:r>
    </w:p>
    <w:p w:rsidR="00F452A8" w:rsidRDefault="00F452A8" w:rsidP="00F452A8">
      <w:pPr>
        <w:rPr>
          <w:rFonts w:asciiTheme="minorHAnsi" w:hAnsiTheme="minorHAnsi" w:cstheme="minorHAnsi"/>
          <w:sz w:val="22"/>
          <w:szCs w:val="22"/>
          <w:lang w:val="en-CA"/>
        </w:rPr>
      </w:pPr>
      <w:r w:rsidRPr="00F452A8">
        <w:rPr>
          <w:rFonts w:asciiTheme="minorHAnsi" w:hAnsiTheme="minorHAnsi" w:cstheme="minorHAnsi"/>
          <w:sz w:val="22"/>
          <w:szCs w:val="22"/>
          <w:lang w:val="en-CA"/>
        </w:rPr>
        <w:t>External time to staff is calculated as the number of calendar days between the opening date of the advertisement and the date of the first estimated external hire</w:t>
      </w:r>
      <w:r>
        <w:rPr>
          <w:rFonts w:asciiTheme="minorHAnsi" w:hAnsiTheme="minorHAnsi" w:cstheme="minorHAnsi"/>
          <w:sz w:val="22"/>
          <w:szCs w:val="22"/>
          <w:lang w:val="en-CA"/>
        </w:rPr>
        <w:t>.</w:t>
      </w:r>
    </w:p>
    <w:p w:rsidR="00AD62FD" w:rsidRDefault="00AD62FD" w:rsidP="00AD62FD">
      <w:pPr>
        <w:spacing w:before="120" w:after="120"/>
        <w:rPr>
          <w:rFonts w:asciiTheme="minorHAnsi" w:eastAsiaTheme="minorHAnsi" w:hAnsiTheme="minorHAnsi" w:cstheme="minorHAnsi"/>
          <w:b/>
          <w:sz w:val="22"/>
          <w:szCs w:val="22"/>
          <w:lang w:val="en-CA"/>
        </w:rPr>
      </w:pPr>
      <w:r w:rsidRPr="00726EA8">
        <w:rPr>
          <w:rFonts w:asciiTheme="minorHAnsi" w:eastAsiaTheme="minorHAnsi" w:hAnsiTheme="minorHAnsi" w:cstheme="minorHAnsi"/>
          <w:b/>
          <w:sz w:val="22"/>
          <w:szCs w:val="22"/>
          <w:lang w:val="en-CA"/>
        </w:rPr>
        <w:t>External time to staff for fiscal year 2018 to 2019</w:t>
      </w:r>
    </w:p>
    <w:p w:rsidR="00AD62FD" w:rsidRDefault="00AD62FD" w:rsidP="00AD62FD">
      <w:pPr>
        <w:spacing w:after="120"/>
        <w:rPr>
          <w:rFonts w:asciiTheme="minorHAnsi" w:eastAsiaTheme="minorHAnsi" w:hAnsiTheme="minorHAnsi" w:cstheme="minorHAnsi"/>
          <w:sz w:val="22"/>
          <w:szCs w:val="22"/>
          <w:lang w:val="en-CA"/>
        </w:rPr>
      </w:pPr>
      <w:r w:rsidRPr="00726EA8">
        <w:rPr>
          <w:rFonts w:asciiTheme="minorHAnsi" w:eastAsiaTheme="minorHAnsi" w:hAnsiTheme="minorHAnsi" w:cstheme="minorHAnsi"/>
          <w:sz w:val="22"/>
          <w:szCs w:val="22"/>
          <w:lang w:val="en-CA"/>
        </w:rPr>
        <w:t>The median external time to staff for the public service (organizations subject to the Public Service Employment Act) for fiscal year 2018 to 2019 is 186 days</w:t>
      </w:r>
      <w:r>
        <w:rPr>
          <w:rFonts w:asciiTheme="minorHAnsi" w:eastAsiaTheme="minorHAnsi" w:hAnsiTheme="minorHAnsi" w:cstheme="minorHAnsi"/>
          <w:sz w:val="22"/>
          <w:szCs w:val="22"/>
          <w:lang w:val="en-CA"/>
        </w:rPr>
        <w:t>.</w:t>
      </w:r>
    </w:p>
    <w:p w:rsidR="00AD62FD" w:rsidRPr="00F452A8" w:rsidRDefault="00AD62FD" w:rsidP="00F452A8">
      <w:pPr>
        <w:rPr>
          <w:rFonts w:asciiTheme="minorHAnsi" w:hAnsiTheme="minorHAnsi" w:cstheme="minorHAnsi"/>
          <w:sz w:val="22"/>
          <w:szCs w:val="22"/>
          <w:lang w:val="en-CA"/>
        </w:rPr>
      </w:pPr>
      <w:r w:rsidRPr="00726EA8">
        <w:rPr>
          <w:rFonts w:asciiTheme="minorHAnsi" w:eastAsiaTheme="minorHAnsi" w:hAnsiTheme="minorHAnsi" w:cstheme="minorHAnsi"/>
          <w:sz w:val="22"/>
          <w:szCs w:val="22"/>
          <w:lang w:val="en-CA"/>
        </w:rPr>
        <w:t>The data is insufficient for providing results on external process times for the Impact Assessment Agency of Canada.</w:t>
      </w:r>
    </w:p>
    <w:p w:rsidR="00F452A8" w:rsidRDefault="00F452A8" w:rsidP="00F452A8">
      <w:pPr>
        <w:spacing w:before="240" w:after="240"/>
        <w:rPr>
          <w:rFonts w:asciiTheme="minorHAnsi" w:hAnsiTheme="minorHAnsi" w:cstheme="minorHAnsi"/>
          <w:sz w:val="22"/>
          <w:szCs w:val="22"/>
          <w:lang w:val="en-CA"/>
        </w:rPr>
        <w:sectPr w:rsidR="00F452A8" w:rsidSect="00F452A8">
          <w:type w:val="continuous"/>
          <w:pgSz w:w="20160" w:h="12240" w:orient="landscape" w:code="5"/>
          <w:pgMar w:top="1025" w:right="720" w:bottom="720" w:left="720" w:header="708" w:footer="708" w:gutter="0"/>
          <w:cols w:num="2" w:space="708"/>
          <w:titlePg/>
          <w:docGrid w:linePitch="360"/>
        </w:sectPr>
      </w:pPr>
    </w:p>
    <w:p w:rsidR="00F452A8" w:rsidRDefault="00F452A8" w:rsidP="00F452A8">
      <w:pPr>
        <w:spacing w:after="120"/>
        <w:rPr>
          <w:rStyle w:val="lev"/>
        </w:rPr>
        <w:sectPr w:rsidR="00F452A8" w:rsidSect="00F452A8">
          <w:type w:val="continuous"/>
          <w:pgSz w:w="20160" w:h="12240" w:orient="landscape" w:code="5"/>
          <w:pgMar w:top="1025" w:right="720" w:bottom="720" w:left="720" w:header="708" w:footer="708" w:gutter="0"/>
          <w:cols w:space="708"/>
          <w:titlePg/>
          <w:docGrid w:linePitch="360"/>
        </w:sectPr>
      </w:pPr>
    </w:p>
    <w:p w:rsidR="002B65AA" w:rsidRPr="002B65AA" w:rsidRDefault="002B65AA" w:rsidP="002B65AA">
      <w:pPr>
        <w:pStyle w:val="Titre1"/>
        <w:spacing w:before="120" w:after="120"/>
        <w:rPr>
          <w:sz w:val="40"/>
        </w:rPr>
      </w:pPr>
      <w:r w:rsidRPr="002B65AA">
        <w:rPr>
          <w:sz w:val="40"/>
        </w:rPr>
        <w:lastRenderedPageBreak/>
        <w:t>Internal and External Time to Staff</w:t>
      </w:r>
    </w:p>
    <w:p w:rsidR="00AD62FD" w:rsidRDefault="00AD62FD" w:rsidP="00AD62FD">
      <w:pPr>
        <w:pStyle w:val="Lgende"/>
        <w:keepNext/>
      </w:pPr>
      <w:r>
        <w:t xml:space="preserve">Table </w:t>
      </w:r>
      <w:r>
        <w:fldChar w:fldCharType="begin"/>
      </w:r>
      <w:r>
        <w:instrText xml:space="preserve"> SEQ Table \* ARABIC </w:instrText>
      </w:r>
      <w:r>
        <w:fldChar w:fldCharType="separate"/>
      </w:r>
      <w:r>
        <w:rPr>
          <w:noProof/>
        </w:rPr>
        <w:t>14</w:t>
      </w:r>
      <w:r>
        <w:fldChar w:fldCharType="end"/>
      </w:r>
      <w:r>
        <w:t xml:space="preserve"> - Internal and External time to staff</w:t>
      </w:r>
    </w:p>
    <w:tbl>
      <w:tblPr>
        <w:tblStyle w:val="TableGrid3"/>
        <w:tblW w:w="0" w:type="auto"/>
        <w:tblLook w:val="0000" w:firstRow="0" w:lastRow="0" w:firstColumn="0" w:lastColumn="0" w:noHBand="0" w:noVBand="0"/>
        <w:tblDescription w:val="Internal and External time to staff"/>
      </w:tblPr>
      <w:tblGrid>
        <w:gridCol w:w="2972"/>
        <w:gridCol w:w="8789"/>
        <w:gridCol w:w="9284"/>
      </w:tblGrid>
      <w:tr w:rsidR="00AD62FD" w:rsidRPr="00726EA8" w:rsidTr="00933CD5">
        <w:trPr>
          <w:cantSplit/>
          <w:trHeight w:val="290"/>
          <w:tblHeader/>
        </w:trPr>
        <w:tc>
          <w:tcPr>
            <w:tcW w:w="2972" w:type="dxa"/>
          </w:tcPr>
          <w:p w:rsidR="00AD62FD" w:rsidRPr="00726EA8" w:rsidRDefault="00AD62FD" w:rsidP="00AD62FD">
            <w:pPr>
              <w:pStyle w:val="TableTitle"/>
              <w:rPr>
                <w:rFonts w:eastAsiaTheme="minorHAnsi"/>
                <w:lang w:val="en-CA"/>
              </w:rPr>
            </w:pPr>
            <w:bookmarkStart w:id="3" w:name="Internal_external_time_to_staff"/>
            <w:r w:rsidRPr="00726EA8">
              <w:rPr>
                <w:rFonts w:eastAsiaTheme="minorHAnsi"/>
                <w:lang w:val="en-CA"/>
              </w:rPr>
              <w:t>Number of calendar days</w:t>
            </w:r>
            <w:bookmarkEnd w:id="3"/>
          </w:p>
        </w:tc>
        <w:tc>
          <w:tcPr>
            <w:tcW w:w="8789" w:type="dxa"/>
          </w:tcPr>
          <w:p w:rsidR="00AD62FD" w:rsidRPr="00726EA8" w:rsidRDefault="00AD62FD" w:rsidP="00AD62FD">
            <w:pPr>
              <w:pStyle w:val="TableTitle"/>
              <w:rPr>
                <w:rFonts w:eastAsiaTheme="minorHAnsi"/>
                <w:lang w:val="en-CA"/>
              </w:rPr>
            </w:pPr>
            <w:r w:rsidRPr="00726EA8">
              <w:rPr>
                <w:rFonts w:eastAsiaTheme="minorHAnsi"/>
                <w:lang w:val="en-CA"/>
              </w:rPr>
              <w:t xml:space="preserve">The number of internal appointments for which the TTS-IA was within the specified number of calendar days for organizations subject to the </w:t>
            </w:r>
            <w:r w:rsidRPr="00AD62FD">
              <w:rPr>
                <w:rStyle w:val="Accentuation"/>
              </w:rPr>
              <w:t>Public Service Employment Act</w:t>
            </w:r>
          </w:p>
        </w:tc>
        <w:tc>
          <w:tcPr>
            <w:tcW w:w="9284" w:type="dxa"/>
          </w:tcPr>
          <w:p w:rsidR="00AD62FD" w:rsidRPr="00726EA8" w:rsidRDefault="00AD62FD" w:rsidP="00AD62FD">
            <w:pPr>
              <w:pStyle w:val="TableTitle"/>
              <w:rPr>
                <w:rFonts w:eastAsiaTheme="minorHAnsi"/>
                <w:lang w:val="en-CA"/>
              </w:rPr>
            </w:pPr>
            <w:r w:rsidRPr="00726EA8">
              <w:rPr>
                <w:rFonts w:eastAsiaTheme="minorHAnsi"/>
                <w:lang w:val="en-CA"/>
              </w:rPr>
              <w:t xml:space="preserve">The number of external appointment processes for which the TTS-EA was within the specified number of calendar days for organizations subject to the </w:t>
            </w:r>
            <w:r w:rsidRPr="00AD62FD">
              <w:rPr>
                <w:rStyle w:val="Accentuation"/>
              </w:rPr>
              <w:t>Public Service Employment Ac</w:t>
            </w:r>
            <w:r w:rsidRPr="00726EA8">
              <w:rPr>
                <w:rFonts w:eastAsiaTheme="minorHAnsi"/>
                <w:i/>
                <w:lang w:val="en-CA"/>
              </w:rPr>
              <w:t>t</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0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0</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0</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0 to 29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15</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49</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30 to 59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130</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82</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60 to 89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277</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124</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90 to 119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391</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160</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120 to 149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367</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181</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150 to 179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322</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179</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180 to 209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278</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160</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210 to 239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241</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139</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240 to 269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165</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84</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270 to 299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134</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73</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300 to 329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107</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61</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330 to 359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77</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41</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360 to 389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61</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43</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390 to 419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53</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49</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420 to 449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51</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35</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450 to 479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42</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22</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480 to 509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40</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27</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510 to 539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32</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17</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540 to 569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24</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15</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570 to 599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21</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14</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600 to 629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11</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12</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630 to 659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19</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7</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660 to 689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5</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690 to 719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13</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7</w:t>
            </w:r>
          </w:p>
        </w:tc>
      </w:tr>
      <w:tr w:rsidR="00AD62FD" w:rsidRPr="00726EA8" w:rsidTr="00933CD5">
        <w:trPr>
          <w:cantSplit/>
          <w:trHeight w:val="302"/>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720 to 749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6</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11</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750 to 779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5</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780 to 809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8</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7</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810 to 839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4</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840 to 869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10</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870 to 899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4</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0</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900 to 929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5</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930 to 959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5</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1</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960 to 989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3</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0</w:t>
            </w:r>
          </w:p>
        </w:tc>
      </w:tr>
      <w:tr w:rsidR="00AD62FD" w:rsidRPr="00726EA8" w:rsidTr="00933CD5">
        <w:trPr>
          <w:cantSplit/>
          <w:trHeight w:val="290"/>
          <w:tblHeader/>
        </w:trPr>
        <w:tc>
          <w:tcPr>
            <w:tcW w:w="2972" w:type="dxa"/>
          </w:tcPr>
          <w:p w:rsidR="00AD62FD" w:rsidRPr="00726EA8" w:rsidRDefault="00AD62FD" w:rsidP="009F6F06">
            <w:pPr>
              <w:autoSpaceDE w:val="0"/>
              <w:autoSpaceDN w:val="0"/>
              <w:adjustRightInd w:val="0"/>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More than 990 calendar days</w:t>
            </w:r>
          </w:p>
        </w:tc>
        <w:tc>
          <w:tcPr>
            <w:tcW w:w="8789"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23</w:t>
            </w:r>
          </w:p>
        </w:tc>
        <w:tc>
          <w:tcPr>
            <w:tcW w:w="9284" w:type="dxa"/>
          </w:tcPr>
          <w:p w:rsidR="00AD62FD" w:rsidRPr="00726EA8" w:rsidRDefault="00AD62FD" w:rsidP="009F6F06">
            <w:pPr>
              <w:autoSpaceDE w:val="0"/>
              <w:autoSpaceDN w:val="0"/>
              <w:adjustRightInd w:val="0"/>
              <w:jc w:val="center"/>
              <w:rPr>
                <w:rFonts w:asciiTheme="minorHAnsi" w:eastAsiaTheme="minorHAnsi" w:hAnsiTheme="minorHAnsi" w:cstheme="minorHAnsi"/>
                <w:color w:val="000000"/>
                <w:sz w:val="22"/>
                <w:szCs w:val="22"/>
                <w:lang w:val="en-CA"/>
              </w:rPr>
            </w:pPr>
            <w:r w:rsidRPr="00726EA8">
              <w:rPr>
                <w:rFonts w:asciiTheme="minorHAnsi" w:eastAsiaTheme="minorHAnsi" w:hAnsiTheme="minorHAnsi" w:cstheme="minorHAnsi"/>
                <w:color w:val="000000"/>
                <w:sz w:val="22"/>
                <w:szCs w:val="22"/>
                <w:lang w:val="en-CA"/>
              </w:rPr>
              <w:t>0</w:t>
            </w:r>
          </w:p>
        </w:tc>
      </w:tr>
    </w:tbl>
    <w:p w:rsidR="00F452A8" w:rsidRDefault="00F452A8" w:rsidP="00F162C5">
      <w:pPr>
        <w:pStyle w:val="Level1"/>
        <w:tabs>
          <w:tab w:val="left" w:pos="-1440"/>
        </w:tabs>
        <w:autoSpaceDE w:val="0"/>
        <w:autoSpaceDN w:val="0"/>
        <w:adjustRightInd w:val="0"/>
        <w:spacing w:after="120" w:line="20" w:lineRule="atLeast"/>
        <w:rPr>
          <w:rFonts w:asciiTheme="minorHAnsi" w:hAnsiTheme="minorHAnsi" w:cstheme="minorHAnsi"/>
          <w:b/>
          <w:bCs/>
          <w:sz w:val="22"/>
          <w:szCs w:val="22"/>
          <w:lang w:val="en-CA"/>
        </w:rPr>
        <w:sectPr w:rsidR="00F452A8" w:rsidSect="00F452A8">
          <w:headerReference w:type="default" r:id="rId27"/>
          <w:footerReference w:type="default" r:id="rId28"/>
          <w:pgSz w:w="24480" w:h="15840" w:orient="landscape" w:code="3"/>
          <w:pgMar w:top="1440" w:right="1985" w:bottom="1440" w:left="1440" w:header="708" w:footer="283" w:gutter="0"/>
          <w:cols w:space="708"/>
          <w:titlePg/>
          <w:docGrid w:linePitch="360"/>
        </w:sectPr>
      </w:pPr>
    </w:p>
    <w:p w:rsidR="002B65AA" w:rsidRPr="002B65AA" w:rsidRDefault="002B65AA" w:rsidP="002B65AA">
      <w:pPr>
        <w:pStyle w:val="Titre1"/>
        <w:spacing w:before="120" w:after="120"/>
        <w:rPr>
          <w:sz w:val="40"/>
          <w:lang w:val="en-CA" w:eastAsia="en-CA"/>
        </w:rPr>
      </w:pPr>
      <w:r w:rsidRPr="002B65AA">
        <w:rPr>
          <w:sz w:val="40"/>
          <w:lang w:val="en-CA" w:eastAsia="en-CA"/>
        </w:rPr>
        <w:lastRenderedPageBreak/>
        <w:t>Technical Notes</w:t>
      </w:r>
    </w:p>
    <w:p w:rsidR="00DD72C1" w:rsidRPr="00726EA8" w:rsidRDefault="00DD72C1" w:rsidP="00F162C5">
      <w:pPr>
        <w:numPr>
          <w:ilvl w:val="0"/>
          <w:numId w:val="16"/>
        </w:numPr>
        <w:ind w:left="360"/>
        <w:rPr>
          <w:rFonts w:asciiTheme="minorHAnsi" w:hAnsiTheme="minorHAnsi" w:cstheme="minorHAnsi"/>
          <w:sz w:val="22"/>
          <w:szCs w:val="22"/>
          <w:lang w:val="en-CA" w:eastAsia="en-CA"/>
        </w:rPr>
      </w:pPr>
      <w:r w:rsidRPr="00726EA8">
        <w:rPr>
          <w:rFonts w:asciiTheme="minorHAnsi" w:hAnsiTheme="minorHAnsi" w:cstheme="minorHAnsi"/>
          <w:sz w:val="22"/>
          <w:szCs w:val="22"/>
          <w:lang w:val="en-CA" w:eastAsia="en-CA"/>
        </w:rPr>
        <w:t>The Time to Staff - Internal Appointments (TTS-IA) is the median number of calendar days between the opening date of an internal advertisement and the date of the first Notice of Appointment or Proposal of Appointment (NAPA) from the Public Service Resourcing System for internal term and indeterminate positions. As NAPAs are not required for all internal staffing actions, this measure is limited to reporting on internal promotional appointments</w:t>
      </w:r>
    </w:p>
    <w:p w:rsidR="00DD72C1" w:rsidRPr="00726EA8" w:rsidRDefault="00DD72C1" w:rsidP="00F162C5">
      <w:pPr>
        <w:numPr>
          <w:ilvl w:val="0"/>
          <w:numId w:val="16"/>
        </w:numPr>
        <w:ind w:left="360"/>
        <w:rPr>
          <w:rFonts w:asciiTheme="minorHAnsi" w:hAnsiTheme="minorHAnsi" w:cstheme="minorHAnsi"/>
          <w:sz w:val="22"/>
          <w:szCs w:val="22"/>
          <w:lang w:val="en-CA" w:eastAsia="en-CA"/>
        </w:rPr>
      </w:pPr>
      <w:r w:rsidRPr="00726EA8">
        <w:rPr>
          <w:rFonts w:asciiTheme="minorHAnsi" w:hAnsiTheme="minorHAnsi" w:cstheme="minorHAnsi"/>
          <w:sz w:val="22"/>
          <w:szCs w:val="22"/>
          <w:lang w:val="en-CA" w:eastAsia="en-CA"/>
        </w:rPr>
        <w:t>Only estimated term and indeterminate appointments/notifications are included (deployments, casual and acting appointments are excluded)</w:t>
      </w:r>
    </w:p>
    <w:p w:rsidR="00DD72C1" w:rsidRPr="00726EA8" w:rsidRDefault="00DD72C1" w:rsidP="00F162C5">
      <w:pPr>
        <w:numPr>
          <w:ilvl w:val="0"/>
          <w:numId w:val="16"/>
        </w:numPr>
        <w:ind w:left="360"/>
        <w:rPr>
          <w:rFonts w:asciiTheme="minorHAnsi" w:hAnsiTheme="minorHAnsi" w:cstheme="minorHAnsi"/>
          <w:sz w:val="22"/>
          <w:szCs w:val="22"/>
          <w:lang w:val="en-CA" w:eastAsia="en-CA"/>
        </w:rPr>
      </w:pPr>
      <w:r w:rsidRPr="00726EA8">
        <w:rPr>
          <w:rFonts w:asciiTheme="minorHAnsi" w:hAnsiTheme="minorHAnsi" w:cstheme="minorHAnsi"/>
          <w:sz w:val="22"/>
          <w:szCs w:val="22"/>
          <w:lang w:val="en-CA" w:eastAsia="en-CA"/>
        </w:rPr>
        <w:t>The Time to Staff - External Appointments (TTS-EA) is the median number of calendar days between the opening date of an external advertisement and the date of the first estimated appointment of an individual from outside an organization subject to the Public Service Employment Act for term and indeterminate positions. Only estimated term and indeterminate appointments/notifications are included (deployments, casual and acting appointments are excluded)</w:t>
      </w:r>
    </w:p>
    <w:p w:rsidR="00DD72C1" w:rsidRDefault="00DD72C1" w:rsidP="00F162C5">
      <w:pPr>
        <w:numPr>
          <w:ilvl w:val="0"/>
          <w:numId w:val="16"/>
        </w:numPr>
        <w:ind w:left="360"/>
        <w:rPr>
          <w:rFonts w:asciiTheme="minorHAnsi" w:hAnsiTheme="minorHAnsi" w:cstheme="minorHAnsi"/>
          <w:sz w:val="22"/>
          <w:szCs w:val="22"/>
          <w:lang w:val="en-CA" w:eastAsia="en-CA"/>
        </w:rPr>
      </w:pPr>
      <w:r w:rsidRPr="00726EA8">
        <w:rPr>
          <w:rFonts w:asciiTheme="minorHAnsi" w:hAnsiTheme="minorHAnsi" w:cstheme="minorHAnsi"/>
          <w:sz w:val="22"/>
          <w:szCs w:val="22"/>
          <w:lang w:val="en-CA" w:eastAsia="en-CA"/>
        </w:rPr>
        <w:t>Because data between systems is linked using a probabilistic match, errors in data linkage are a potential source of measurement error</w:t>
      </w:r>
    </w:p>
    <w:p w:rsidR="002B65AA" w:rsidRPr="002B65AA" w:rsidRDefault="002B65AA" w:rsidP="002B65AA">
      <w:pPr>
        <w:pStyle w:val="Titre1"/>
        <w:spacing w:before="120" w:after="120"/>
        <w:rPr>
          <w:sz w:val="40"/>
          <w:lang w:val="en-CA" w:eastAsia="en-CA"/>
        </w:rPr>
      </w:pPr>
      <w:r w:rsidRPr="002B65AA">
        <w:rPr>
          <w:sz w:val="40"/>
          <w:lang w:val="en-CA" w:eastAsia="en-CA"/>
        </w:rPr>
        <w:t>Sources</w:t>
      </w:r>
    </w:p>
    <w:p w:rsidR="00DD72C1" w:rsidRPr="00726EA8" w:rsidRDefault="00DD72C1" w:rsidP="00F162C5">
      <w:pPr>
        <w:numPr>
          <w:ilvl w:val="0"/>
          <w:numId w:val="16"/>
        </w:numPr>
        <w:ind w:left="360"/>
        <w:rPr>
          <w:rFonts w:asciiTheme="minorHAnsi" w:hAnsiTheme="minorHAnsi" w:cstheme="minorHAnsi"/>
          <w:sz w:val="22"/>
          <w:szCs w:val="22"/>
          <w:lang w:val="en-CA" w:eastAsia="en-CA"/>
        </w:rPr>
      </w:pPr>
      <w:r w:rsidRPr="00726EA8">
        <w:rPr>
          <w:rFonts w:asciiTheme="minorHAnsi" w:hAnsiTheme="minorHAnsi" w:cstheme="minorHAnsi"/>
          <w:sz w:val="22"/>
          <w:szCs w:val="22"/>
          <w:lang w:val="en-CA" w:eastAsia="en-CA"/>
        </w:rPr>
        <w:t>Hiring and staffing activities data are derived from information received from the Treasury Board of Canada Secretariat Incumbent File.  The Incumbent File is extracted from the Public Services and Procurement Canada’s pay system.  The data constitutes an estimate of hiring and staffing activities to and within organizations.</w:t>
      </w:r>
    </w:p>
    <w:p w:rsidR="00DD72C1" w:rsidRPr="00726EA8" w:rsidRDefault="00DD72C1" w:rsidP="00F162C5">
      <w:pPr>
        <w:numPr>
          <w:ilvl w:val="0"/>
          <w:numId w:val="16"/>
        </w:numPr>
        <w:ind w:left="360"/>
        <w:rPr>
          <w:rFonts w:asciiTheme="minorHAnsi" w:hAnsiTheme="minorHAnsi" w:cstheme="minorHAnsi"/>
          <w:sz w:val="22"/>
          <w:szCs w:val="22"/>
          <w:lang w:val="en-CA" w:eastAsia="en-CA"/>
        </w:rPr>
      </w:pPr>
      <w:r w:rsidRPr="00726EA8">
        <w:rPr>
          <w:rFonts w:asciiTheme="minorHAnsi" w:hAnsiTheme="minorHAnsi" w:cstheme="minorHAnsi"/>
          <w:sz w:val="22"/>
          <w:szCs w:val="22"/>
          <w:lang w:val="en-CA" w:eastAsia="en-CA"/>
        </w:rPr>
        <w:t>Information from the Priority Information Management System and the Public Services Resourcing System is also used to determine if staffing actions are advertised or non-advertised as well as for calculating time to staff.</w:t>
      </w:r>
    </w:p>
    <w:p w:rsidR="00DD72C1" w:rsidRPr="00726EA8" w:rsidRDefault="00DD72C1" w:rsidP="00F162C5">
      <w:pPr>
        <w:numPr>
          <w:ilvl w:val="0"/>
          <w:numId w:val="16"/>
        </w:numPr>
        <w:ind w:left="360"/>
        <w:rPr>
          <w:rFonts w:asciiTheme="minorHAnsi" w:hAnsiTheme="minorHAnsi" w:cstheme="minorHAnsi"/>
          <w:sz w:val="22"/>
          <w:szCs w:val="22"/>
          <w:lang w:val="en-CA" w:eastAsia="en-CA"/>
        </w:rPr>
      </w:pPr>
      <w:r w:rsidRPr="00726EA8">
        <w:rPr>
          <w:rFonts w:asciiTheme="minorHAnsi" w:hAnsiTheme="minorHAnsi" w:cstheme="minorHAnsi"/>
          <w:sz w:val="22"/>
          <w:szCs w:val="22"/>
          <w:lang w:val="en-CA" w:eastAsia="en-CA"/>
        </w:rPr>
        <w:t>The data are not expected to match an organization’s human resources data, due to methodology and timing differences.</w:t>
      </w:r>
    </w:p>
    <w:sectPr w:rsidR="00DD72C1" w:rsidRPr="00726EA8" w:rsidSect="00383873">
      <w:pgSz w:w="12240" w:h="15840"/>
      <w:pgMar w:top="1985" w:right="1440" w:bottom="1440" w:left="1440" w:header="708"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F06" w:rsidRDefault="009F6F06" w:rsidP="0051557E">
      <w:r>
        <w:separator/>
      </w:r>
    </w:p>
  </w:endnote>
  <w:endnote w:type="continuationSeparator" w:id="0">
    <w:p w:rsidR="009F6F06" w:rsidRDefault="009F6F06" w:rsidP="0051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F06" w:rsidRDefault="009F6F06" w:rsidP="00FC190A">
    <w:pPr>
      <w:pBdr>
        <w:top w:val="single" w:sz="4" w:space="1" w:color="D9D9D9"/>
      </w:pBdr>
      <w:tabs>
        <w:tab w:val="center" w:pos="4680"/>
        <w:tab w:val="right" w:pos="9360"/>
      </w:tabs>
    </w:pPr>
    <w:r w:rsidRPr="006B2FDC">
      <w:rPr>
        <w:rFonts w:ascii="Calibri" w:eastAsia="Calibri" w:hAnsi="Calibri" w:cs="Arial"/>
        <w:sz w:val="16"/>
        <w:szCs w:val="22"/>
        <w:lang w:val="fr-CA"/>
      </w:rPr>
      <w:fldChar w:fldCharType="begin"/>
    </w:r>
    <w:r w:rsidRPr="006B2FDC">
      <w:rPr>
        <w:rFonts w:ascii="Calibri" w:eastAsia="Calibri" w:hAnsi="Calibri" w:cs="Arial"/>
        <w:sz w:val="16"/>
        <w:szCs w:val="22"/>
        <w:lang w:val="en-CA"/>
      </w:rPr>
      <w:instrText xml:space="preserve"> PAGE   \* MERGEFORMAT </w:instrText>
    </w:r>
    <w:r w:rsidRPr="006B2FDC">
      <w:rPr>
        <w:rFonts w:ascii="Calibri" w:eastAsia="Calibri" w:hAnsi="Calibri" w:cs="Arial"/>
        <w:sz w:val="16"/>
        <w:szCs w:val="22"/>
        <w:lang w:val="fr-CA"/>
      </w:rPr>
      <w:fldChar w:fldCharType="separate"/>
    </w:r>
    <w:r w:rsidR="007B44CF" w:rsidRPr="007B44CF">
      <w:rPr>
        <w:rFonts w:ascii="Calibri" w:eastAsia="Calibri" w:hAnsi="Calibri" w:cs="Arial"/>
        <w:b/>
        <w:bCs/>
        <w:noProof/>
        <w:sz w:val="16"/>
        <w:szCs w:val="22"/>
        <w:lang w:val="en-CA"/>
      </w:rPr>
      <w:t>10</w:t>
    </w:r>
    <w:r w:rsidRPr="006B2FDC">
      <w:rPr>
        <w:rFonts w:ascii="Calibri" w:eastAsia="Calibri" w:hAnsi="Calibri" w:cs="Arial"/>
        <w:b/>
        <w:bCs/>
        <w:noProof/>
        <w:sz w:val="16"/>
        <w:szCs w:val="22"/>
        <w:lang w:val="fr-CA"/>
      </w:rPr>
      <w:fldChar w:fldCharType="end"/>
    </w:r>
    <w:r w:rsidRPr="006B2FDC">
      <w:rPr>
        <w:rFonts w:ascii="Calibri" w:eastAsia="Calibri" w:hAnsi="Calibri" w:cs="Arial"/>
        <w:b/>
        <w:bCs/>
        <w:sz w:val="16"/>
        <w:szCs w:val="22"/>
        <w:lang w:val="en-CA"/>
      </w:rPr>
      <w:t xml:space="preserve"> </w:t>
    </w:r>
    <w:r>
      <w:rPr>
        <w:rFonts w:ascii="Calibri" w:eastAsia="Calibri" w:hAnsi="Calibri" w:cs="Arial"/>
        <w:b/>
        <w:bCs/>
        <w:sz w:val="16"/>
        <w:szCs w:val="22"/>
        <w:lang w:val="en-CA"/>
      </w:rPr>
      <w:tab/>
    </w:r>
    <w:r>
      <w:rPr>
        <w:rFonts w:ascii="Calibri" w:eastAsia="Calibri" w:hAnsi="Calibri" w:cs="Arial"/>
        <w:b/>
        <w:bCs/>
        <w:sz w:val="16"/>
        <w:szCs w:val="22"/>
        <w:lang w:val="en-CA"/>
      </w:rPr>
      <w:tab/>
      <w:t>G</w:t>
    </w:r>
    <w:r w:rsidRPr="006B2FDC">
      <w:rPr>
        <w:rFonts w:ascii="Calibri" w:eastAsia="Calibri" w:hAnsi="Calibri" w:cs="Arial"/>
        <w:sz w:val="16"/>
        <w:szCs w:val="22"/>
        <w:lang w:val="en-CA"/>
      </w:rPr>
      <w:t xml:space="preserve">CDOCS </w:t>
    </w:r>
    <w:r>
      <w:rPr>
        <w:rFonts w:ascii="Calibri" w:eastAsia="Calibri" w:hAnsi="Calibri" w:cs="Arial"/>
        <w:sz w:val="16"/>
        <w:szCs w:val="22"/>
        <w:lang w:val="en-CA"/>
      </w:rPr>
      <w:t>9920914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F06" w:rsidRDefault="009F6F06" w:rsidP="00FC190A">
    <w:pPr>
      <w:pStyle w:val="Pieddepage"/>
      <w:jc w:val="center"/>
    </w:pPr>
    <w:r>
      <w:t xml:space="preserve"> Produced by Data Services and Analysis Directorate (PSC) – Updated on September 3,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F06" w:rsidRDefault="009F6F06" w:rsidP="00241F3A">
    <w:pPr>
      <w:pBdr>
        <w:top w:val="single" w:sz="4" w:space="1" w:color="D9D9D9"/>
      </w:pBdr>
      <w:tabs>
        <w:tab w:val="center" w:pos="4680"/>
        <w:tab w:val="right" w:pos="9360"/>
      </w:tabs>
    </w:pPr>
    <w:r w:rsidRPr="006B2FDC">
      <w:rPr>
        <w:rFonts w:ascii="Calibri" w:eastAsia="Calibri" w:hAnsi="Calibri" w:cs="Arial"/>
        <w:sz w:val="16"/>
        <w:szCs w:val="22"/>
        <w:lang w:val="fr-CA"/>
      </w:rPr>
      <w:fldChar w:fldCharType="begin"/>
    </w:r>
    <w:r w:rsidRPr="006B2FDC">
      <w:rPr>
        <w:rFonts w:ascii="Calibri" w:eastAsia="Calibri" w:hAnsi="Calibri" w:cs="Arial"/>
        <w:sz w:val="16"/>
        <w:szCs w:val="22"/>
        <w:lang w:val="en-CA"/>
      </w:rPr>
      <w:instrText xml:space="preserve"> PAGE   \* MERGEFORMAT </w:instrText>
    </w:r>
    <w:r w:rsidRPr="006B2FDC">
      <w:rPr>
        <w:rFonts w:ascii="Calibri" w:eastAsia="Calibri" w:hAnsi="Calibri" w:cs="Arial"/>
        <w:sz w:val="16"/>
        <w:szCs w:val="22"/>
        <w:lang w:val="fr-CA"/>
      </w:rPr>
      <w:fldChar w:fldCharType="separate"/>
    </w:r>
    <w:r w:rsidR="007B44CF" w:rsidRPr="007B44CF">
      <w:rPr>
        <w:rFonts w:ascii="Calibri" w:eastAsia="Calibri" w:hAnsi="Calibri" w:cs="Arial"/>
        <w:b/>
        <w:bCs/>
        <w:noProof/>
        <w:sz w:val="16"/>
        <w:szCs w:val="22"/>
        <w:lang w:val="en-CA"/>
      </w:rPr>
      <w:t>13</w:t>
    </w:r>
    <w:r w:rsidRPr="006B2FDC">
      <w:rPr>
        <w:rFonts w:ascii="Calibri" w:eastAsia="Calibri" w:hAnsi="Calibri" w:cs="Arial"/>
        <w:b/>
        <w:bCs/>
        <w:noProof/>
        <w:sz w:val="16"/>
        <w:szCs w:val="22"/>
        <w:lang w:val="fr-CA"/>
      </w:rPr>
      <w:fldChar w:fldCharType="end"/>
    </w:r>
    <w:r w:rsidRPr="006B2FDC">
      <w:rPr>
        <w:rFonts w:ascii="Calibri" w:eastAsia="Calibri" w:hAnsi="Calibri" w:cs="Arial"/>
        <w:b/>
        <w:bCs/>
        <w:sz w:val="16"/>
        <w:szCs w:val="22"/>
        <w:lang w:val="en-CA"/>
      </w:rPr>
      <w:t xml:space="preserve"> </w:t>
    </w:r>
    <w:r>
      <w:rPr>
        <w:rFonts w:ascii="Calibri" w:eastAsia="Calibri" w:hAnsi="Calibri" w:cs="Arial"/>
        <w:b/>
        <w:bCs/>
        <w:sz w:val="16"/>
        <w:szCs w:val="22"/>
        <w:lang w:val="en-CA"/>
      </w:rPr>
      <w:tab/>
    </w:r>
    <w:r>
      <w:rPr>
        <w:rFonts w:ascii="Calibri" w:eastAsia="Calibri" w:hAnsi="Calibri" w:cs="Arial"/>
        <w:b/>
        <w:bCs/>
        <w:sz w:val="16"/>
        <w:szCs w:val="22"/>
        <w:lang w:val="en-CA"/>
      </w:rPr>
      <w:tab/>
      <w:t>G</w:t>
    </w:r>
    <w:r w:rsidRPr="006B2FDC">
      <w:rPr>
        <w:rFonts w:ascii="Calibri" w:eastAsia="Calibri" w:hAnsi="Calibri" w:cs="Arial"/>
        <w:sz w:val="16"/>
        <w:szCs w:val="22"/>
        <w:lang w:val="en-CA"/>
      </w:rPr>
      <w:t xml:space="preserve">CDOCS </w:t>
    </w:r>
    <w:r>
      <w:rPr>
        <w:rFonts w:ascii="Calibri" w:eastAsia="Calibri" w:hAnsi="Calibri" w:cs="Arial"/>
        <w:sz w:val="16"/>
        <w:szCs w:val="22"/>
        <w:lang w:val="en-CA"/>
      </w:rPr>
      <w:t>9920914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F06" w:rsidRDefault="009F6F06" w:rsidP="00241F3A">
    <w:pPr>
      <w:pBdr>
        <w:top w:val="single" w:sz="4" w:space="1" w:color="D9D9D9"/>
      </w:pBdr>
      <w:tabs>
        <w:tab w:val="center" w:pos="4680"/>
        <w:tab w:val="right" w:pos="9360"/>
      </w:tabs>
    </w:pPr>
    <w:r w:rsidRPr="006B2FDC">
      <w:rPr>
        <w:rFonts w:ascii="Calibri" w:eastAsia="Calibri" w:hAnsi="Calibri" w:cs="Arial"/>
        <w:sz w:val="16"/>
        <w:szCs w:val="22"/>
        <w:lang w:val="fr-CA"/>
      </w:rPr>
      <w:fldChar w:fldCharType="begin"/>
    </w:r>
    <w:r w:rsidRPr="006B2FDC">
      <w:rPr>
        <w:rFonts w:ascii="Calibri" w:eastAsia="Calibri" w:hAnsi="Calibri" w:cs="Arial"/>
        <w:sz w:val="16"/>
        <w:szCs w:val="22"/>
        <w:lang w:val="en-CA"/>
      </w:rPr>
      <w:instrText xml:space="preserve"> PAGE   \* MERGEFORMAT </w:instrText>
    </w:r>
    <w:r w:rsidRPr="006B2FDC">
      <w:rPr>
        <w:rFonts w:ascii="Calibri" w:eastAsia="Calibri" w:hAnsi="Calibri" w:cs="Arial"/>
        <w:sz w:val="16"/>
        <w:szCs w:val="22"/>
        <w:lang w:val="fr-CA"/>
      </w:rPr>
      <w:fldChar w:fldCharType="separate"/>
    </w:r>
    <w:r w:rsidRPr="00C73FC2">
      <w:rPr>
        <w:rFonts w:ascii="Calibri" w:eastAsia="Calibri" w:hAnsi="Calibri" w:cs="Arial"/>
        <w:b/>
        <w:bCs/>
        <w:noProof/>
        <w:sz w:val="16"/>
        <w:szCs w:val="22"/>
        <w:lang w:val="en-CA"/>
      </w:rPr>
      <w:t>21</w:t>
    </w:r>
    <w:r w:rsidRPr="006B2FDC">
      <w:rPr>
        <w:rFonts w:ascii="Calibri" w:eastAsia="Calibri" w:hAnsi="Calibri" w:cs="Arial"/>
        <w:b/>
        <w:bCs/>
        <w:noProof/>
        <w:sz w:val="16"/>
        <w:szCs w:val="22"/>
        <w:lang w:val="fr-CA"/>
      </w:rPr>
      <w:fldChar w:fldCharType="end"/>
    </w:r>
    <w:r w:rsidRPr="006B2FDC">
      <w:rPr>
        <w:rFonts w:ascii="Calibri" w:eastAsia="Calibri" w:hAnsi="Calibri" w:cs="Arial"/>
        <w:b/>
        <w:bCs/>
        <w:sz w:val="16"/>
        <w:szCs w:val="22"/>
        <w:lang w:val="en-CA"/>
      </w:rPr>
      <w:t xml:space="preserve"> </w:t>
    </w:r>
    <w:r>
      <w:rPr>
        <w:rFonts w:ascii="Calibri" w:eastAsia="Calibri" w:hAnsi="Calibri" w:cs="Arial"/>
        <w:b/>
        <w:bCs/>
        <w:sz w:val="16"/>
        <w:szCs w:val="22"/>
        <w:lang w:val="en-CA"/>
      </w:rPr>
      <w:tab/>
    </w:r>
    <w:r>
      <w:rPr>
        <w:rFonts w:ascii="Calibri" w:eastAsia="Calibri" w:hAnsi="Calibri" w:cs="Arial"/>
        <w:b/>
        <w:bCs/>
        <w:sz w:val="16"/>
        <w:szCs w:val="22"/>
        <w:lang w:val="en-CA"/>
      </w:rPr>
      <w:tab/>
      <w:t>G</w:t>
    </w:r>
    <w:r w:rsidRPr="006B2FDC">
      <w:rPr>
        <w:rFonts w:ascii="Calibri" w:eastAsia="Calibri" w:hAnsi="Calibri" w:cs="Arial"/>
        <w:sz w:val="16"/>
        <w:szCs w:val="22"/>
        <w:lang w:val="en-CA"/>
      </w:rPr>
      <w:t xml:space="preserve">CDOCS </w:t>
    </w:r>
    <w:r>
      <w:rPr>
        <w:rFonts w:ascii="Calibri" w:eastAsia="Calibri" w:hAnsi="Calibri" w:cs="Arial"/>
        <w:sz w:val="16"/>
        <w:szCs w:val="22"/>
        <w:lang w:val="en-CA"/>
      </w:rPr>
      <w:t>9920914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F06" w:rsidRDefault="009F6F06" w:rsidP="0051557E">
      <w:r>
        <w:separator/>
      </w:r>
    </w:p>
  </w:footnote>
  <w:footnote w:type="continuationSeparator" w:id="0">
    <w:p w:rsidR="009F6F06" w:rsidRDefault="009F6F06" w:rsidP="00515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F06" w:rsidRPr="00B97A30" w:rsidRDefault="009F6F06" w:rsidP="00FC190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F06" w:rsidRPr="00845262" w:rsidRDefault="009F6F06" w:rsidP="0084526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F06" w:rsidRDefault="009F6F06" w:rsidP="0051557E">
    <w:pPr>
      <w:pStyle w:val="En-tte"/>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1DDF"/>
    <w:multiLevelType w:val="hybridMultilevel"/>
    <w:tmpl w:val="D29ADE6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9104A4"/>
    <w:multiLevelType w:val="hybridMultilevel"/>
    <w:tmpl w:val="00C49782"/>
    <w:lvl w:ilvl="0" w:tplc="F2B4A5D0">
      <w:start w:val="1"/>
      <w:numFmt w:val="bullet"/>
      <w:lvlText w:val=""/>
      <w:lvlJc w:val="left"/>
      <w:pPr>
        <w:ind w:left="720" w:hanging="360"/>
      </w:pPr>
      <w:rPr>
        <w:rFonts w:ascii="Symbol" w:hAnsi="Symbol" w:hint="default"/>
        <w:b/>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232685"/>
    <w:multiLevelType w:val="hybridMultilevel"/>
    <w:tmpl w:val="F230B7E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F2129B"/>
    <w:multiLevelType w:val="multilevel"/>
    <w:tmpl w:val="091CC2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BE710FF"/>
    <w:multiLevelType w:val="hybridMultilevel"/>
    <w:tmpl w:val="6F5211AC"/>
    <w:lvl w:ilvl="0" w:tplc="309E786C">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2C6BF6"/>
    <w:multiLevelType w:val="hybridMultilevel"/>
    <w:tmpl w:val="56FA14D2"/>
    <w:lvl w:ilvl="0" w:tplc="3FAE77F8">
      <w:numFmt w:val="bullet"/>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47858AE"/>
    <w:multiLevelType w:val="multilevel"/>
    <w:tmpl w:val="8EC006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47966E7"/>
    <w:multiLevelType w:val="hybridMultilevel"/>
    <w:tmpl w:val="F76C962E"/>
    <w:lvl w:ilvl="0" w:tplc="CE5C5B68">
      <w:start w:val="1"/>
      <w:numFmt w:val="bullet"/>
      <w:lvlText w:val="•"/>
      <w:lvlJc w:val="left"/>
      <w:pPr>
        <w:tabs>
          <w:tab w:val="num" w:pos="720"/>
        </w:tabs>
        <w:ind w:left="720" w:hanging="360"/>
      </w:pPr>
      <w:rPr>
        <w:rFonts w:ascii="Arial" w:hAnsi="Arial" w:hint="default"/>
      </w:rPr>
    </w:lvl>
    <w:lvl w:ilvl="1" w:tplc="F7F66436">
      <w:start w:val="76"/>
      <w:numFmt w:val="bullet"/>
      <w:lvlText w:val="•"/>
      <w:lvlJc w:val="left"/>
      <w:pPr>
        <w:tabs>
          <w:tab w:val="num" w:pos="1440"/>
        </w:tabs>
        <w:ind w:left="1440" w:hanging="360"/>
      </w:pPr>
      <w:rPr>
        <w:rFonts w:ascii="Arial" w:hAnsi="Arial" w:hint="default"/>
      </w:rPr>
    </w:lvl>
    <w:lvl w:ilvl="2" w:tplc="CEF41514" w:tentative="1">
      <w:start w:val="1"/>
      <w:numFmt w:val="bullet"/>
      <w:lvlText w:val="•"/>
      <w:lvlJc w:val="left"/>
      <w:pPr>
        <w:tabs>
          <w:tab w:val="num" w:pos="2160"/>
        </w:tabs>
        <w:ind w:left="2160" w:hanging="360"/>
      </w:pPr>
      <w:rPr>
        <w:rFonts w:ascii="Arial" w:hAnsi="Arial" w:hint="default"/>
      </w:rPr>
    </w:lvl>
    <w:lvl w:ilvl="3" w:tplc="F482A62E" w:tentative="1">
      <w:start w:val="1"/>
      <w:numFmt w:val="bullet"/>
      <w:lvlText w:val="•"/>
      <w:lvlJc w:val="left"/>
      <w:pPr>
        <w:tabs>
          <w:tab w:val="num" w:pos="2880"/>
        </w:tabs>
        <w:ind w:left="2880" w:hanging="360"/>
      </w:pPr>
      <w:rPr>
        <w:rFonts w:ascii="Arial" w:hAnsi="Arial" w:hint="default"/>
      </w:rPr>
    </w:lvl>
    <w:lvl w:ilvl="4" w:tplc="9AFC614C" w:tentative="1">
      <w:start w:val="1"/>
      <w:numFmt w:val="bullet"/>
      <w:lvlText w:val="•"/>
      <w:lvlJc w:val="left"/>
      <w:pPr>
        <w:tabs>
          <w:tab w:val="num" w:pos="3600"/>
        </w:tabs>
        <w:ind w:left="3600" w:hanging="360"/>
      </w:pPr>
      <w:rPr>
        <w:rFonts w:ascii="Arial" w:hAnsi="Arial" w:hint="default"/>
      </w:rPr>
    </w:lvl>
    <w:lvl w:ilvl="5" w:tplc="2CF65ECC" w:tentative="1">
      <w:start w:val="1"/>
      <w:numFmt w:val="bullet"/>
      <w:lvlText w:val="•"/>
      <w:lvlJc w:val="left"/>
      <w:pPr>
        <w:tabs>
          <w:tab w:val="num" w:pos="4320"/>
        </w:tabs>
        <w:ind w:left="4320" w:hanging="360"/>
      </w:pPr>
      <w:rPr>
        <w:rFonts w:ascii="Arial" w:hAnsi="Arial" w:hint="default"/>
      </w:rPr>
    </w:lvl>
    <w:lvl w:ilvl="6" w:tplc="41D4D958" w:tentative="1">
      <w:start w:val="1"/>
      <w:numFmt w:val="bullet"/>
      <w:lvlText w:val="•"/>
      <w:lvlJc w:val="left"/>
      <w:pPr>
        <w:tabs>
          <w:tab w:val="num" w:pos="5040"/>
        </w:tabs>
        <w:ind w:left="5040" w:hanging="360"/>
      </w:pPr>
      <w:rPr>
        <w:rFonts w:ascii="Arial" w:hAnsi="Arial" w:hint="default"/>
      </w:rPr>
    </w:lvl>
    <w:lvl w:ilvl="7" w:tplc="C680DA1A" w:tentative="1">
      <w:start w:val="1"/>
      <w:numFmt w:val="bullet"/>
      <w:lvlText w:val="•"/>
      <w:lvlJc w:val="left"/>
      <w:pPr>
        <w:tabs>
          <w:tab w:val="num" w:pos="5760"/>
        </w:tabs>
        <w:ind w:left="5760" w:hanging="360"/>
      </w:pPr>
      <w:rPr>
        <w:rFonts w:ascii="Arial" w:hAnsi="Arial" w:hint="default"/>
      </w:rPr>
    </w:lvl>
    <w:lvl w:ilvl="8" w:tplc="BED0E66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E721B5"/>
    <w:multiLevelType w:val="hybridMultilevel"/>
    <w:tmpl w:val="C4F459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5B4CB3"/>
    <w:multiLevelType w:val="hybridMultilevel"/>
    <w:tmpl w:val="4B383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13B5FCF"/>
    <w:multiLevelType w:val="hybridMultilevel"/>
    <w:tmpl w:val="4EC0AF72"/>
    <w:lvl w:ilvl="0" w:tplc="10090001">
      <w:start w:val="1"/>
      <w:numFmt w:val="bullet"/>
      <w:lvlText w:val=""/>
      <w:lvlJc w:val="left"/>
      <w:pPr>
        <w:ind w:left="360" w:hanging="360"/>
      </w:pPr>
      <w:rPr>
        <w:rFonts w:ascii="Symbol" w:hAnsi="Symbol" w:hint="default"/>
      </w:rPr>
    </w:lvl>
    <w:lvl w:ilvl="1" w:tplc="169E289C">
      <w:numFmt w:val="bullet"/>
      <w:lvlText w:val="-"/>
      <w:lvlJc w:val="left"/>
      <w:pPr>
        <w:ind w:left="1080" w:hanging="360"/>
      </w:pPr>
      <w:rPr>
        <w:rFonts w:ascii="Arial" w:eastAsiaTheme="minorHAnsi"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495783A"/>
    <w:multiLevelType w:val="hybridMultilevel"/>
    <w:tmpl w:val="3AAA1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A5A50EF"/>
    <w:multiLevelType w:val="hybridMultilevel"/>
    <w:tmpl w:val="36CEDA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DBD2DBF"/>
    <w:multiLevelType w:val="hybridMultilevel"/>
    <w:tmpl w:val="657CD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44718C"/>
    <w:multiLevelType w:val="hybridMultilevel"/>
    <w:tmpl w:val="DF1E189A"/>
    <w:lvl w:ilvl="0" w:tplc="E084BE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576C7"/>
    <w:multiLevelType w:val="hybridMultilevel"/>
    <w:tmpl w:val="A0EAA5E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8F242B8"/>
    <w:multiLevelType w:val="hybridMultilevel"/>
    <w:tmpl w:val="884AF698"/>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9667F5F"/>
    <w:multiLevelType w:val="hybridMultilevel"/>
    <w:tmpl w:val="4316F0EE"/>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39B18DE"/>
    <w:multiLevelType w:val="hybridMultilevel"/>
    <w:tmpl w:val="30408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8D64185"/>
    <w:multiLevelType w:val="hybridMultilevel"/>
    <w:tmpl w:val="A516D5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BD25E2C"/>
    <w:multiLevelType w:val="hybridMultilevel"/>
    <w:tmpl w:val="F67EC2D8"/>
    <w:lvl w:ilvl="0" w:tplc="10090005">
      <w:start w:val="1"/>
      <w:numFmt w:val="bullet"/>
      <w:lvlText w:val=""/>
      <w:lvlJc w:val="left"/>
      <w:pPr>
        <w:ind w:left="720" w:hanging="360"/>
      </w:pPr>
      <w:rPr>
        <w:rFonts w:ascii="Wingdings" w:hAnsi="Wingdings" w:hint="default"/>
      </w:rPr>
    </w:lvl>
    <w:lvl w:ilvl="1" w:tplc="7C82211A">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C9C26DB"/>
    <w:multiLevelType w:val="hybridMultilevel"/>
    <w:tmpl w:val="CC461B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F2A097E"/>
    <w:multiLevelType w:val="hybridMultilevel"/>
    <w:tmpl w:val="9FB20F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680F636F"/>
    <w:multiLevelType w:val="hybridMultilevel"/>
    <w:tmpl w:val="D0EC74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CA96095"/>
    <w:multiLevelType w:val="hybridMultilevel"/>
    <w:tmpl w:val="F9281FF4"/>
    <w:lvl w:ilvl="0" w:tplc="5B7286B6">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CBA6217"/>
    <w:multiLevelType w:val="hybridMultilevel"/>
    <w:tmpl w:val="EAC4FDE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6" w15:restartNumberingAfterBreak="0">
    <w:nsid w:val="6D0C3C2F"/>
    <w:multiLevelType w:val="hybridMultilevel"/>
    <w:tmpl w:val="D4DCB7F0"/>
    <w:lvl w:ilvl="0" w:tplc="17125AA6">
      <w:start w:val="1"/>
      <w:numFmt w:val="bullet"/>
      <w:lvlText w:val=""/>
      <w:lvlJc w:val="left"/>
      <w:pPr>
        <w:ind w:left="360" w:hanging="360"/>
      </w:pPr>
      <w:rPr>
        <w:rFonts w:ascii="Symbol" w:hAnsi="Symbol" w:hint="default"/>
        <w:color w:val="54575A" w:themeColor="text1"/>
        <w:sz w:val="24"/>
        <w:szCs w:val="24"/>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7276730E"/>
    <w:multiLevelType w:val="hybridMultilevel"/>
    <w:tmpl w:val="97562B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8E94D26"/>
    <w:multiLevelType w:val="hybridMultilevel"/>
    <w:tmpl w:val="C4C2CE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B2D4554"/>
    <w:multiLevelType w:val="hybridMultilevel"/>
    <w:tmpl w:val="84B0E09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14"/>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3"/>
  </w:num>
  <w:num w:numId="7">
    <w:abstractNumId w:val="3"/>
  </w:num>
  <w:num w:numId="8">
    <w:abstractNumId w:val="27"/>
  </w:num>
  <w:num w:numId="9">
    <w:abstractNumId w:val="7"/>
  </w:num>
  <w:num w:numId="10">
    <w:abstractNumId w:val="22"/>
  </w:num>
  <w:num w:numId="11">
    <w:abstractNumId w:val="29"/>
  </w:num>
  <w:num w:numId="12">
    <w:abstractNumId w:val="6"/>
  </w:num>
  <w:num w:numId="13">
    <w:abstractNumId w:val="10"/>
  </w:num>
  <w:num w:numId="14">
    <w:abstractNumId w:val="21"/>
  </w:num>
  <w:num w:numId="15">
    <w:abstractNumId w:val="12"/>
  </w:num>
  <w:num w:numId="16">
    <w:abstractNumId w:val="9"/>
  </w:num>
  <w:num w:numId="17">
    <w:abstractNumId w:val="1"/>
  </w:num>
  <w:num w:numId="18">
    <w:abstractNumId w:val="26"/>
  </w:num>
  <w:num w:numId="19">
    <w:abstractNumId w:val="17"/>
  </w:num>
  <w:num w:numId="20">
    <w:abstractNumId w:val="20"/>
  </w:num>
  <w:num w:numId="21">
    <w:abstractNumId w:val="24"/>
  </w:num>
  <w:num w:numId="22">
    <w:abstractNumId w:val="2"/>
  </w:num>
  <w:num w:numId="23">
    <w:abstractNumId w:val="0"/>
  </w:num>
  <w:num w:numId="24">
    <w:abstractNumId w:val="23"/>
  </w:num>
  <w:num w:numId="25">
    <w:abstractNumId w:val="18"/>
  </w:num>
  <w:num w:numId="26">
    <w:abstractNumId w:val="28"/>
  </w:num>
  <w:num w:numId="27">
    <w:abstractNumId w:val="16"/>
  </w:num>
  <w:num w:numId="28">
    <w:abstractNumId w:val="15"/>
  </w:num>
  <w:num w:numId="29">
    <w:abstractNumId w:val="1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10241"/>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2C1"/>
    <w:rsid w:val="00006B02"/>
    <w:rsid w:val="00053CB6"/>
    <w:rsid w:val="0006205F"/>
    <w:rsid w:val="001053BD"/>
    <w:rsid w:val="001E3457"/>
    <w:rsid w:val="001F306B"/>
    <w:rsid w:val="00210749"/>
    <w:rsid w:val="002244BA"/>
    <w:rsid w:val="00241F3A"/>
    <w:rsid w:val="00244CD0"/>
    <w:rsid w:val="00272FB9"/>
    <w:rsid w:val="00286551"/>
    <w:rsid w:val="002B65AA"/>
    <w:rsid w:val="002C40DF"/>
    <w:rsid w:val="002D074C"/>
    <w:rsid w:val="002F5F88"/>
    <w:rsid w:val="003005BD"/>
    <w:rsid w:val="00330D2B"/>
    <w:rsid w:val="00383873"/>
    <w:rsid w:val="003C2A0F"/>
    <w:rsid w:val="00404DAF"/>
    <w:rsid w:val="00444927"/>
    <w:rsid w:val="0047366F"/>
    <w:rsid w:val="0051557E"/>
    <w:rsid w:val="00526087"/>
    <w:rsid w:val="0054204F"/>
    <w:rsid w:val="00574746"/>
    <w:rsid w:val="005938F9"/>
    <w:rsid w:val="005A2CD4"/>
    <w:rsid w:val="005A799A"/>
    <w:rsid w:val="005B204B"/>
    <w:rsid w:val="0064178C"/>
    <w:rsid w:val="00686E15"/>
    <w:rsid w:val="006B1E67"/>
    <w:rsid w:val="00724417"/>
    <w:rsid w:val="00726EA8"/>
    <w:rsid w:val="00732ABB"/>
    <w:rsid w:val="00744827"/>
    <w:rsid w:val="007B44CF"/>
    <w:rsid w:val="007E17D1"/>
    <w:rsid w:val="00845262"/>
    <w:rsid w:val="00893F23"/>
    <w:rsid w:val="00896E83"/>
    <w:rsid w:val="00933CD5"/>
    <w:rsid w:val="00981500"/>
    <w:rsid w:val="00997D3F"/>
    <w:rsid w:val="009B034C"/>
    <w:rsid w:val="009B054B"/>
    <w:rsid w:val="009B526E"/>
    <w:rsid w:val="009B6DB5"/>
    <w:rsid w:val="009F6F06"/>
    <w:rsid w:val="00A3677B"/>
    <w:rsid w:val="00A51A10"/>
    <w:rsid w:val="00A72FFD"/>
    <w:rsid w:val="00A77330"/>
    <w:rsid w:val="00AA3306"/>
    <w:rsid w:val="00AD62FD"/>
    <w:rsid w:val="00B26C32"/>
    <w:rsid w:val="00B95A91"/>
    <w:rsid w:val="00BA5AF4"/>
    <w:rsid w:val="00C07F6F"/>
    <w:rsid w:val="00C4715A"/>
    <w:rsid w:val="00C562F1"/>
    <w:rsid w:val="00C73FC2"/>
    <w:rsid w:val="00D34F34"/>
    <w:rsid w:val="00D36DBD"/>
    <w:rsid w:val="00D823DC"/>
    <w:rsid w:val="00D91C17"/>
    <w:rsid w:val="00DD72C1"/>
    <w:rsid w:val="00DE47BE"/>
    <w:rsid w:val="00E17501"/>
    <w:rsid w:val="00EA7150"/>
    <w:rsid w:val="00EC6C18"/>
    <w:rsid w:val="00ED7F0A"/>
    <w:rsid w:val="00F06DAC"/>
    <w:rsid w:val="00F162C5"/>
    <w:rsid w:val="00F452A8"/>
    <w:rsid w:val="00F47CE8"/>
    <w:rsid w:val="00F52D0D"/>
    <w:rsid w:val="00FC19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74319F7D-730E-43E0-AD9A-6352C21E7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2C1"/>
    <w:pPr>
      <w:spacing w:after="0" w:line="240" w:lineRule="auto"/>
    </w:pPr>
    <w:rPr>
      <w:rFonts w:ascii="Times New Roman" w:eastAsia="Times New Roman" w:hAnsi="Times New Roman" w:cs="Times New Roman"/>
      <w:sz w:val="24"/>
      <w:szCs w:val="20"/>
      <w:lang w:val="en-US"/>
    </w:rPr>
  </w:style>
  <w:style w:type="paragraph" w:styleId="Titre1">
    <w:name w:val="heading 1"/>
    <w:basedOn w:val="Normal"/>
    <w:next w:val="Normal"/>
    <w:link w:val="Titre1Car"/>
    <w:uiPriority w:val="9"/>
    <w:qFormat/>
    <w:rsid w:val="00210749"/>
    <w:pPr>
      <w:keepNext/>
      <w:spacing w:before="240"/>
      <w:outlineLvl w:val="0"/>
    </w:pPr>
    <w:rPr>
      <w:rFonts w:asciiTheme="majorHAnsi" w:eastAsiaTheme="majorEastAsia" w:hAnsiTheme="majorHAnsi" w:cstheme="majorBidi"/>
      <w:sz w:val="48"/>
      <w:szCs w:val="48"/>
    </w:rPr>
  </w:style>
  <w:style w:type="paragraph" w:styleId="Titre2">
    <w:name w:val="heading 2"/>
    <w:basedOn w:val="Normal"/>
    <w:next w:val="Normal"/>
    <w:link w:val="Titre2Car"/>
    <w:uiPriority w:val="9"/>
    <w:unhideWhenUsed/>
    <w:qFormat/>
    <w:rsid w:val="00210749"/>
    <w:pPr>
      <w:keepNext/>
      <w:spacing w:before="40"/>
      <w:outlineLvl w:val="1"/>
    </w:pPr>
    <w:rPr>
      <w:rFonts w:ascii="Segoe UI" w:eastAsiaTheme="majorEastAsia" w:hAnsi="Segoe UI" w:cs="Segoe UI"/>
      <w:b/>
      <w:color w:val="5B315E" w:themeColor="accent2"/>
      <w:sz w:val="32"/>
      <w:szCs w:val="32"/>
    </w:rPr>
  </w:style>
  <w:style w:type="paragraph" w:styleId="Titre3">
    <w:name w:val="heading 3"/>
    <w:basedOn w:val="Normal"/>
    <w:next w:val="Normal"/>
    <w:link w:val="Titre3Car"/>
    <w:uiPriority w:val="9"/>
    <w:unhideWhenUsed/>
    <w:qFormat/>
    <w:rsid w:val="00210749"/>
    <w:pPr>
      <w:keepNext/>
      <w:spacing w:before="40"/>
      <w:outlineLvl w:val="2"/>
    </w:pPr>
    <w:rPr>
      <w:rFonts w:ascii="Segoe UI Semibold" w:eastAsiaTheme="majorEastAsia" w:hAnsi="Segoe UI Semibold" w:cs="Segoe UI Semibold"/>
      <w:szCs w:val="24"/>
    </w:rPr>
  </w:style>
  <w:style w:type="paragraph" w:styleId="Titre4">
    <w:name w:val="heading 4"/>
    <w:basedOn w:val="Normal"/>
    <w:next w:val="Normal"/>
    <w:link w:val="Titre4Car"/>
    <w:uiPriority w:val="9"/>
    <w:unhideWhenUsed/>
    <w:qFormat/>
    <w:rsid w:val="00210749"/>
    <w:pPr>
      <w:keepNext/>
      <w:spacing w:before="40"/>
      <w:outlineLvl w:val="3"/>
    </w:pPr>
    <w:rPr>
      <w:rFonts w:asciiTheme="majorHAnsi" w:eastAsiaTheme="majorEastAsia" w:hAnsiTheme="majorHAnsi" w:cstheme="majorBidi"/>
      <w:iCs/>
      <w:color w:val="54575A" w:themeColor="text2"/>
    </w:rPr>
  </w:style>
  <w:style w:type="paragraph" w:styleId="Titre5">
    <w:name w:val="heading 5"/>
    <w:basedOn w:val="Normal"/>
    <w:next w:val="Normal"/>
    <w:link w:val="Titre5Car"/>
    <w:uiPriority w:val="9"/>
    <w:unhideWhenUsed/>
    <w:qFormat/>
    <w:rsid w:val="00210749"/>
    <w:pPr>
      <w:keepNext/>
      <w:spacing w:before="40"/>
      <w:outlineLvl w:val="4"/>
    </w:pPr>
    <w:rPr>
      <w:rFonts w:asciiTheme="majorHAnsi" w:eastAsiaTheme="majorEastAsia" w:hAnsiTheme="majorHAnsi" w:cstheme="majorBidi"/>
      <w:color w:val="9F004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0749"/>
    <w:pPr>
      <w:tabs>
        <w:tab w:val="center" w:pos="4680"/>
        <w:tab w:val="right" w:pos="9360"/>
      </w:tabs>
    </w:pPr>
  </w:style>
  <w:style w:type="character" w:customStyle="1" w:styleId="En-tteCar">
    <w:name w:val="En-tête Car"/>
    <w:basedOn w:val="Policepardfaut"/>
    <w:link w:val="En-tte"/>
    <w:uiPriority w:val="99"/>
    <w:rsid w:val="00210749"/>
    <w:rPr>
      <w:color w:val="54575A" w:themeColor="text1"/>
      <w:lang w:val="fr-CA"/>
    </w:rPr>
  </w:style>
  <w:style w:type="paragraph" w:styleId="Pieddepage">
    <w:name w:val="footer"/>
    <w:basedOn w:val="Normal"/>
    <w:link w:val="PieddepageCar"/>
    <w:uiPriority w:val="99"/>
    <w:unhideWhenUsed/>
    <w:rsid w:val="00210749"/>
    <w:pPr>
      <w:tabs>
        <w:tab w:val="center" w:pos="4680"/>
        <w:tab w:val="right" w:pos="9360"/>
      </w:tabs>
    </w:pPr>
  </w:style>
  <w:style w:type="character" w:customStyle="1" w:styleId="PieddepageCar">
    <w:name w:val="Pied de page Car"/>
    <w:basedOn w:val="Policepardfaut"/>
    <w:link w:val="Pieddepage"/>
    <w:uiPriority w:val="99"/>
    <w:rsid w:val="00210749"/>
    <w:rPr>
      <w:color w:val="54575A" w:themeColor="text1"/>
      <w:lang w:val="fr-CA"/>
    </w:rPr>
  </w:style>
  <w:style w:type="paragraph" w:styleId="Textedebulles">
    <w:name w:val="Balloon Text"/>
    <w:basedOn w:val="Normal"/>
    <w:link w:val="TextedebullesCar"/>
    <w:uiPriority w:val="99"/>
    <w:semiHidden/>
    <w:unhideWhenUsed/>
    <w:rsid w:val="00210749"/>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0749"/>
    <w:rPr>
      <w:rFonts w:ascii="Segoe UI" w:hAnsi="Segoe UI" w:cs="Segoe UI"/>
      <w:color w:val="54575A" w:themeColor="text1"/>
      <w:sz w:val="18"/>
      <w:szCs w:val="18"/>
      <w:lang w:val="fr-CA"/>
    </w:rPr>
  </w:style>
  <w:style w:type="paragraph" w:customStyle="1" w:styleId="ColumnTitle">
    <w:name w:val="Column Title"/>
    <w:basedOn w:val="Normal"/>
    <w:qFormat/>
    <w:rsid w:val="00210749"/>
    <w:rPr>
      <w:rFonts w:ascii="Segoe UI Semibold" w:hAnsi="Segoe UI Semibold" w:cs="Segoe UI Semibold"/>
      <w:color w:val="F2F2F2" w:themeColor="background2"/>
      <w:szCs w:val="24"/>
    </w:rPr>
  </w:style>
  <w:style w:type="paragraph" w:customStyle="1" w:styleId="DataText">
    <w:name w:val="Data Text"/>
    <w:basedOn w:val="Normal"/>
    <w:qFormat/>
    <w:rsid w:val="00210749"/>
  </w:style>
  <w:style w:type="character" w:styleId="Appelnotedebasdep">
    <w:name w:val="footnote reference"/>
    <w:basedOn w:val="Policepardfaut"/>
    <w:uiPriority w:val="99"/>
    <w:semiHidden/>
    <w:unhideWhenUsed/>
    <w:rsid w:val="00210749"/>
    <w:rPr>
      <w:vertAlign w:val="superscript"/>
    </w:rPr>
  </w:style>
  <w:style w:type="paragraph" w:styleId="Notedebasdepage">
    <w:name w:val="footnote text"/>
    <w:basedOn w:val="Normal"/>
    <w:link w:val="NotedebasdepageCar"/>
    <w:uiPriority w:val="99"/>
    <w:unhideWhenUsed/>
    <w:rsid w:val="00210749"/>
    <w:rPr>
      <w:sz w:val="20"/>
    </w:rPr>
  </w:style>
  <w:style w:type="character" w:customStyle="1" w:styleId="NotedebasdepageCar">
    <w:name w:val="Note de bas de page Car"/>
    <w:basedOn w:val="Policepardfaut"/>
    <w:link w:val="Notedebasdepage"/>
    <w:uiPriority w:val="99"/>
    <w:rsid w:val="00210749"/>
    <w:rPr>
      <w:color w:val="54575A" w:themeColor="text1"/>
      <w:sz w:val="20"/>
      <w:szCs w:val="20"/>
      <w:lang w:val="fr-CA"/>
    </w:rPr>
  </w:style>
  <w:style w:type="character" w:customStyle="1" w:styleId="Titre1Car">
    <w:name w:val="Titre 1 Car"/>
    <w:basedOn w:val="Policepardfaut"/>
    <w:link w:val="Titre1"/>
    <w:uiPriority w:val="9"/>
    <w:rsid w:val="00210749"/>
    <w:rPr>
      <w:rFonts w:asciiTheme="majorHAnsi" w:eastAsiaTheme="majorEastAsia" w:hAnsiTheme="majorHAnsi" w:cstheme="majorBidi"/>
      <w:color w:val="54575A" w:themeColor="text1"/>
      <w:sz w:val="48"/>
      <w:szCs w:val="48"/>
      <w:lang w:val="fr-CA"/>
    </w:rPr>
  </w:style>
  <w:style w:type="character" w:customStyle="1" w:styleId="Titre2Car">
    <w:name w:val="Titre 2 Car"/>
    <w:basedOn w:val="Policepardfaut"/>
    <w:link w:val="Titre2"/>
    <w:uiPriority w:val="9"/>
    <w:rsid w:val="00210749"/>
    <w:rPr>
      <w:rFonts w:ascii="Segoe UI" w:eastAsiaTheme="majorEastAsia" w:hAnsi="Segoe UI" w:cs="Segoe UI"/>
      <w:b/>
      <w:color w:val="5B315E" w:themeColor="accent2"/>
      <w:sz w:val="32"/>
      <w:szCs w:val="32"/>
      <w:lang w:val="fr-CA"/>
    </w:rPr>
  </w:style>
  <w:style w:type="character" w:customStyle="1" w:styleId="Titre3Car">
    <w:name w:val="Titre 3 Car"/>
    <w:basedOn w:val="Policepardfaut"/>
    <w:link w:val="Titre3"/>
    <w:uiPriority w:val="9"/>
    <w:rsid w:val="00210749"/>
    <w:rPr>
      <w:rFonts w:ascii="Segoe UI Semibold" w:eastAsiaTheme="majorEastAsia" w:hAnsi="Segoe UI Semibold" w:cs="Segoe UI Semibold"/>
      <w:color w:val="54575A" w:themeColor="text1"/>
      <w:sz w:val="24"/>
      <w:szCs w:val="24"/>
      <w:lang w:val="fr-CA"/>
    </w:rPr>
  </w:style>
  <w:style w:type="paragraph" w:customStyle="1" w:styleId="Heading3forBox">
    <w:name w:val="Heading 3 for Box"/>
    <w:basedOn w:val="Normal"/>
    <w:qFormat/>
    <w:rsid w:val="00210749"/>
    <w:rPr>
      <w:rFonts w:ascii="Segoe UI Semibold" w:eastAsiaTheme="majorEastAsia" w:hAnsi="Segoe UI Semibold" w:cs="Segoe UI Semibold"/>
      <w:color w:val="FFFFFF" w:themeColor="background1"/>
      <w:szCs w:val="24"/>
    </w:rPr>
  </w:style>
  <w:style w:type="character" w:customStyle="1" w:styleId="Titre4Car">
    <w:name w:val="Titre 4 Car"/>
    <w:basedOn w:val="Policepardfaut"/>
    <w:link w:val="Titre4"/>
    <w:uiPriority w:val="9"/>
    <w:rsid w:val="00210749"/>
    <w:rPr>
      <w:rFonts w:asciiTheme="majorHAnsi" w:eastAsiaTheme="majorEastAsia" w:hAnsiTheme="majorHAnsi" w:cstheme="majorBidi"/>
      <w:iCs/>
      <w:color w:val="54575A" w:themeColor="text2"/>
      <w:lang w:val="fr-CA"/>
    </w:rPr>
  </w:style>
  <w:style w:type="character" w:customStyle="1" w:styleId="Titre5Car">
    <w:name w:val="Titre 5 Car"/>
    <w:basedOn w:val="Policepardfaut"/>
    <w:link w:val="Titre5"/>
    <w:uiPriority w:val="9"/>
    <w:rsid w:val="00210749"/>
    <w:rPr>
      <w:rFonts w:asciiTheme="majorHAnsi" w:eastAsiaTheme="majorEastAsia" w:hAnsiTheme="majorHAnsi" w:cstheme="majorBidi"/>
      <w:color w:val="9F0040" w:themeColor="accent1" w:themeShade="BF"/>
      <w:lang w:val="fr-CA"/>
    </w:rPr>
  </w:style>
  <w:style w:type="paragraph" w:styleId="Paragraphedeliste">
    <w:name w:val="List Paragraph"/>
    <w:basedOn w:val="Normal"/>
    <w:uiPriority w:val="34"/>
    <w:qFormat/>
    <w:rsid w:val="00210749"/>
    <w:pPr>
      <w:spacing w:after="320"/>
      <w:contextualSpacing/>
    </w:pPr>
  </w:style>
  <w:style w:type="paragraph" w:customStyle="1" w:styleId="NormalWhiteforBox">
    <w:name w:val="Normal White for Box"/>
    <w:basedOn w:val="Normal"/>
    <w:qFormat/>
    <w:rsid w:val="00210749"/>
  </w:style>
  <w:style w:type="paragraph" w:customStyle="1" w:styleId="Numberedlist">
    <w:name w:val="Numbered list"/>
    <w:basedOn w:val="Paragraphedeliste"/>
    <w:qFormat/>
    <w:rsid w:val="00210749"/>
  </w:style>
  <w:style w:type="paragraph" w:styleId="Sous-titre">
    <w:name w:val="Subtitle"/>
    <w:basedOn w:val="Normal"/>
    <w:next w:val="Normal"/>
    <w:link w:val="Sous-titreCar"/>
    <w:uiPriority w:val="11"/>
    <w:qFormat/>
    <w:rsid w:val="00210749"/>
    <w:rPr>
      <w:rFonts w:ascii="Segoe UI Light" w:hAnsi="Segoe UI Light" w:cs="Segoe UI Light"/>
      <w:sz w:val="36"/>
      <w:szCs w:val="36"/>
    </w:rPr>
  </w:style>
  <w:style w:type="character" w:customStyle="1" w:styleId="Sous-titreCar">
    <w:name w:val="Sous-titre Car"/>
    <w:basedOn w:val="Policepardfaut"/>
    <w:link w:val="Sous-titre"/>
    <w:uiPriority w:val="11"/>
    <w:rsid w:val="00210749"/>
    <w:rPr>
      <w:rFonts w:ascii="Segoe UI Light" w:hAnsi="Segoe UI Light" w:cs="Segoe UI Light"/>
      <w:color w:val="54575A" w:themeColor="text1"/>
      <w:sz w:val="36"/>
      <w:szCs w:val="36"/>
      <w:lang w:val="fr-CA"/>
    </w:rPr>
  </w:style>
  <w:style w:type="table" w:styleId="Grilledutableau">
    <w:name w:val="Table Grid"/>
    <w:basedOn w:val="TableauNormal"/>
    <w:uiPriority w:val="39"/>
    <w:rsid w:val="0021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Titre2"/>
    <w:qFormat/>
    <w:rsid w:val="00726EA8"/>
    <w:rPr>
      <w:rFonts w:ascii="Segoe UI Semibold" w:hAnsi="Segoe UI Semibold"/>
      <w:b w:val="0"/>
      <w:color w:val="auto"/>
      <w:sz w:val="22"/>
    </w:rPr>
  </w:style>
  <w:style w:type="paragraph" w:styleId="Titre">
    <w:name w:val="Title"/>
    <w:basedOn w:val="Normal"/>
    <w:next w:val="Normal"/>
    <w:link w:val="TitreCar"/>
    <w:autoRedefine/>
    <w:uiPriority w:val="10"/>
    <w:qFormat/>
    <w:rsid w:val="00DD72C1"/>
    <w:pPr>
      <w:contextualSpacing/>
      <w:jc w:val="center"/>
    </w:pPr>
    <w:rPr>
      <w:rFonts w:ascii="Segoe UI Light" w:eastAsiaTheme="majorEastAsia" w:hAnsi="Segoe UI Light" w:cs="Segoe UI Light"/>
      <w:spacing w:val="-10"/>
      <w:kern w:val="28"/>
      <w:sz w:val="52"/>
      <w:szCs w:val="52"/>
    </w:rPr>
  </w:style>
  <w:style w:type="character" w:customStyle="1" w:styleId="TitreCar">
    <w:name w:val="Titre Car"/>
    <w:basedOn w:val="Policepardfaut"/>
    <w:link w:val="Titre"/>
    <w:uiPriority w:val="10"/>
    <w:rsid w:val="00DD72C1"/>
    <w:rPr>
      <w:rFonts w:ascii="Segoe UI Light" w:eastAsiaTheme="majorEastAsia" w:hAnsi="Segoe UI Light" w:cs="Segoe UI Light"/>
      <w:spacing w:val="-10"/>
      <w:kern w:val="28"/>
      <w:sz w:val="52"/>
      <w:szCs w:val="52"/>
      <w:lang w:val="en-US"/>
    </w:rPr>
  </w:style>
  <w:style w:type="paragraph" w:styleId="NormalWeb">
    <w:name w:val="Normal (Web)"/>
    <w:basedOn w:val="Normal"/>
    <w:uiPriority w:val="99"/>
    <w:unhideWhenUsed/>
    <w:rsid w:val="00DD72C1"/>
    <w:pPr>
      <w:spacing w:before="100" w:beforeAutospacing="1" w:after="100" w:afterAutospacing="1"/>
    </w:pPr>
    <w:rPr>
      <w:rFonts w:ascii="Verdana" w:hAnsi="Verdana"/>
      <w:szCs w:val="24"/>
    </w:rPr>
  </w:style>
  <w:style w:type="paragraph" w:customStyle="1" w:styleId="Level1">
    <w:name w:val="Level 1"/>
    <w:basedOn w:val="Normal"/>
    <w:uiPriority w:val="99"/>
    <w:rsid w:val="00DD72C1"/>
    <w:pPr>
      <w:widowControl w:val="0"/>
    </w:pPr>
  </w:style>
  <w:style w:type="character" w:styleId="Lienhypertexte">
    <w:name w:val="Hyperlink"/>
    <w:uiPriority w:val="99"/>
    <w:unhideWhenUsed/>
    <w:rsid w:val="00DD72C1"/>
    <w:rPr>
      <w:color w:val="0563C1"/>
      <w:u w:val="single"/>
    </w:rPr>
  </w:style>
  <w:style w:type="character" w:styleId="Marquedecommentaire">
    <w:name w:val="annotation reference"/>
    <w:uiPriority w:val="99"/>
    <w:semiHidden/>
    <w:unhideWhenUsed/>
    <w:rsid w:val="00DD72C1"/>
    <w:rPr>
      <w:sz w:val="16"/>
      <w:szCs w:val="16"/>
    </w:rPr>
  </w:style>
  <w:style w:type="paragraph" w:styleId="Commentaire">
    <w:name w:val="annotation text"/>
    <w:basedOn w:val="Normal"/>
    <w:link w:val="CommentaireCar"/>
    <w:uiPriority w:val="99"/>
    <w:semiHidden/>
    <w:unhideWhenUsed/>
    <w:rsid w:val="00DD72C1"/>
    <w:rPr>
      <w:sz w:val="20"/>
    </w:rPr>
  </w:style>
  <w:style w:type="character" w:customStyle="1" w:styleId="CommentaireCar">
    <w:name w:val="Commentaire Car"/>
    <w:basedOn w:val="Policepardfaut"/>
    <w:link w:val="Commentaire"/>
    <w:uiPriority w:val="99"/>
    <w:semiHidden/>
    <w:rsid w:val="00DD72C1"/>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DD72C1"/>
    <w:rPr>
      <w:b/>
      <w:bCs/>
    </w:rPr>
  </w:style>
  <w:style w:type="character" w:customStyle="1" w:styleId="ObjetducommentaireCar">
    <w:name w:val="Objet du commentaire Car"/>
    <w:basedOn w:val="CommentaireCar"/>
    <w:link w:val="Objetducommentaire"/>
    <w:uiPriority w:val="99"/>
    <w:semiHidden/>
    <w:rsid w:val="00DD72C1"/>
    <w:rPr>
      <w:rFonts w:ascii="Times New Roman" w:eastAsia="Times New Roman" w:hAnsi="Times New Roman" w:cs="Times New Roman"/>
      <w:b/>
      <w:bCs/>
      <w:sz w:val="20"/>
      <w:szCs w:val="20"/>
      <w:lang w:val="en-US"/>
    </w:rPr>
  </w:style>
  <w:style w:type="paragraph" w:styleId="Sansinterligne">
    <w:name w:val="No Spacing"/>
    <w:uiPriority w:val="1"/>
    <w:qFormat/>
    <w:rsid w:val="00DD72C1"/>
    <w:pPr>
      <w:spacing w:after="0" w:line="240" w:lineRule="auto"/>
    </w:pPr>
    <w:rPr>
      <w:rFonts w:ascii="Times New Roman" w:eastAsia="Times New Roman" w:hAnsi="Times New Roman" w:cs="Times New Roman"/>
      <w:sz w:val="24"/>
      <w:szCs w:val="20"/>
      <w:lang w:val="en-US"/>
    </w:rPr>
  </w:style>
  <w:style w:type="character" w:styleId="Lienhypertextesuivivisit">
    <w:name w:val="FollowedHyperlink"/>
    <w:uiPriority w:val="99"/>
    <w:semiHidden/>
    <w:unhideWhenUsed/>
    <w:rsid w:val="00DD72C1"/>
    <w:rPr>
      <w:color w:val="954F72"/>
      <w:u w:val="single"/>
    </w:rPr>
  </w:style>
  <w:style w:type="paragraph" w:styleId="Notedefin">
    <w:name w:val="endnote text"/>
    <w:basedOn w:val="Normal"/>
    <w:link w:val="NotedefinCar"/>
    <w:unhideWhenUsed/>
    <w:rsid w:val="00DD72C1"/>
    <w:rPr>
      <w:rFonts w:ascii="Arial" w:hAnsi="Arial"/>
      <w:sz w:val="20"/>
      <w:lang w:val="en-CA" w:eastAsia="en-CA"/>
    </w:rPr>
  </w:style>
  <w:style w:type="character" w:customStyle="1" w:styleId="NotedefinCar">
    <w:name w:val="Note de fin Car"/>
    <w:basedOn w:val="Policepardfaut"/>
    <w:link w:val="Notedefin"/>
    <w:rsid w:val="00DD72C1"/>
    <w:rPr>
      <w:rFonts w:ascii="Arial" w:eastAsia="Times New Roman" w:hAnsi="Arial" w:cs="Times New Roman"/>
      <w:sz w:val="20"/>
      <w:szCs w:val="20"/>
      <w:lang w:eastAsia="en-CA"/>
    </w:rPr>
  </w:style>
  <w:style w:type="character" w:styleId="Appeldenotedefin">
    <w:name w:val="endnote reference"/>
    <w:uiPriority w:val="99"/>
    <w:semiHidden/>
    <w:unhideWhenUsed/>
    <w:rsid w:val="00DD72C1"/>
    <w:rPr>
      <w:vertAlign w:val="superscript"/>
    </w:rPr>
  </w:style>
  <w:style w:type="paragraph" w:customStyle="1" w:styleId="Style1">
    <w:name w:val="Style1"/>
    <w:basedOn w:val="Normal"/>
    <w:link w:val="Style1Char"/>
    <w:qFormat/>
    <w:rsid w:val="00DD72C1"/>
    <w:pPr>
      <w:pBdr>
        <w:bottom w:val="single" w:sz="4" w:space="1" w:color="92D050"/>
      </w:pBdr>
      <w:autoSpaceDE w:val="0"/>
      <w:autoSpaceDN w:val="0"/>
      <w:adjustRightInd w:val="0"/>
      <w:ind w:right="50"/>
    </w:pPr>
    <w:rPr>
      <w:rFonts w:ascii="Arial" w:hAnsi="Arial" w:cs="Arial"/>
      <w:b/>
      <w:caps/>
      <w:color w:val="92D050"/>
      <w:sz w:val="22"/>
      <w:szCs w:val="22"/>
      <w:lang w:val="en-CA"/>
    </w:rPr>
  </w:style>
  <w:style w:type="paragraph" w:customStyle="1" w:styleId="Style2">
    <w:name w:val="Style2"/>
    <w:basedOn w:val="Normal"/>
    <w:link w:val="Style2Char"/>
    <w:qFormat/>
    <w:rsid w:val="00DD72C1"/>
    <w:pPr>
      <w:shd w:val="clear" w:color="auto" w:fill="F2F2F2"/>
    </w:pPr>
    <w:rPr>
      <w:rFonts w:ascii="Arial" w:hAnsi="Arial" w:cs="Arial"/>
      <w:b/>
      <w:color w:val="009999"/>
      <w:spacing w:val="-10"/>
      <w:sz w:val="22"/>
      <w:szCs w:val="22"/>
      <w:lang w:val="en-CA"/>
    </w:rPr>
  </w:style>
  <w:style w:type="character" w:customStyle="1" w:styleId="Style1Char">
    <w:name w:val="Style1 Char"/>
    <w:basedOn w:val="Policepardfaut"/>
    <w:link w:val="Style1"/>
    <w:rsid w:val="00DD72C1"/>
    <w:rPr>
      <w:rFonts w:ascii="Arial" w:eastAsia="Times New Roman" w:hAnsi="Arial" w:cs="Arial"/>
      <w:b/>
      <w:caps/>
      <w:color w:val="92D050"/>
    </w:rPr>
  </w:style>
  <w:style w:type="character" w:customStyle="1" w:styleId="Style2Char">
    <w:name w:val="Style2 Char"/>
    <w:basedOn w:val="Policepardfaut"/>
    <w:link w:val="Style2"/>
    <w:rsid w:val="00DD72C1"/>
    <w:rPr>
      <w:rFonts w:ascii="Arial" w:eastAsia="Times New Roman" w:hAnsi="Arial" w:cs="Arial"/>
      <w:b/>
      <w:color w:val="009999"/>
      <w:spacing w:val="-10"/>
      <w:shd w:val="clear" w:color="auto" w:fill="F2F2F2"/>
    </w:rPr>
  </w:style>
  <w:style w:type="paragraph" w:customStyle="1" w:styleId="Style3">
    <w:name w:val="Style3"/>
    <w:basedOn w:val="Normal"/>
    <w:link w:val="Style3Char"/>
    <w:qFormat/>
    <w:rsid w:val="00DD72C1"/>
    <w:pPr>
      <w:jc w:val="center"/>
    </w:pPr>
    <w:rPr>
      <w:rFonts w:ascii="Arial" w:hAnsi="Arial" w:cs="Arial"/>
      <w:b/>
      <w:sz w:val="22"/>
      <w:szCs w:val="22"/>
      <w:u w:val="single"/>
    </w:rPr>
  </w:style>
  <w:style w:type="paragraph" w:customStyle="1" w:styleId="Style4">
    <w:name w:val="Style4"/>
    <w:basedOn w:val="Normal"/>
    <w:link w:val="Style4Char"/>
    <w:qFormat/>
    <w:rsid w:val="00DD72C1"/>
    <w:rPr>
      <w:rFonts w:ascii="Arial" w:hAnsi="Arial" w:cs="Arial"/>
      <w:sz w:val="22"/>
      <w:szCs w:val="22"/>
      <w:u w:val="single"/>
      <w:lang w:val="en-CA" w:eastAsia="en-CA"/>
    </w:rPr>
  </w:style>
  <w:style w:type="character" w:customStyle="1" w:styleId="Style3Char">
    <w:name w:val="Style3 Char"/>
    <w:basedOn w:val="Policepardfaut"/>
    <w:link w:val="Style3"/>
    <w:rsid w:val="00DD72C1"/>
    <w:rPr>
      <w:rFonts w:ascii="Arial" w:eastAsia="Times New Roman" w:hAnsi="Arial" w:cs="Arial"/>
      <w:b/>
      <w:u w:val="single"/>
      <w:lang w:val="en-US"/>
    </w:rPr>
  </w:style>
  <w:style w:type="paragraph" w:customStyle="1" w:styleId="Style5">
    <w:name w:val="Style5"/>
    <w:basedOn w:val="Normal"/>
    <w:link w:val="Style5Char"/>
    <w:qFormat/>
    <w:rsid w:val="00DD72C1"/>
    <w:pPr>
      <w:jc w:val="center"/>
    </w:pPr>
    <w:rPr>
      <w:rFonts w:ascii="Arial" w:hAnsi="Arial" w:cs="Arial"/>
      <w:b/>
      <w:bCs/>
      <w:sz w:val="22"/>
      <w:szCs w:val="22"/>
      <w:lang w:val="en"/>
    </w:rPr>
  </w:style>
  <w:style w:type="character" w:customStyle="1" w:styleId="Style4Char">
    <w:name w:val="Style4 Char"/>
    <w:basedOn w:val="Policepardfaut"/>
    <w:link w:val="Style4"/>
    <w:rsid w:val="00DD72C1"/>
    <w:rPr>
      <w:rFonts w:ascii="Arial" w:eastAsia="Times New Roman" w:hAnsi="Arial" w:cs="Arial"/>
      <w:u w:val="single"/>
      <w:lang w:eastAsia="en-CA"/>
    </w:rPr>
  </w:style>
  <w:style w:type="paragraph" w:customStyle="1" w:styleId="Style6">
    <w:name w:val="Style6"/>
    <w:basedOn w:val="Normal"/>
    <w:link w:val="Style6Char"/>
    <w:qFormat/>
    <w:rsid w:val="00DD72C1"/>
    <w:pPr>
      <w:jc w:val="center"/>
    </w:pPr>
    <w:rPr>
      <w:rFonts w:ascii="Arial" w:hAnsi="Arial" w:cs="Arial"/>
      <w:b/>
      <w:color w:val="009999"/>
      <w:szCs w:val="24"/>
    </w:rPr>
  </w:style>
  <w:style w:type="character" w:customStyle="1" w:styleId="Style5Char">
    <w:name w:val="Style5 Char"/>
    <w:basedOn w:val="Policepardfaut"/>
    <w:link w:val="Style5"/>
    <w:rsid w:val="00DD72C1"/>
    <w:rPr>
      <w:rFonts w:ascii="Arial" w:eastAsia="Times New Roman" w:hAnsi="Arial" w:cs="Arial"/>
      <w:b/>
      <w:bCs/>
      <w:lang w:val="en"/>
    </w:rPr>
  </w:style>
  <w:style w:type="paragraph" w:customStyle="1" w:styleId="Style7">
    <w:name w:val="Style7"/>
    <w:basedOn w:val="Normal"/>
    <w:link w:val="Style7Char"/>
    <w:qFormat/>
    <w:rsid w:val="00DD72C1"/>
    <w:pPr>
      <w:jc w:val="center"/>
    </w:pPr>
    <w:rPr>
      <w:rFonts w:ascii="Arial" w:hAnsi="Arial" w:cs="Arial"/>
      <w:color w:val="009999"/>
      <w:sz w:val="22"/>
      <w:szCs w:val="32"/>
    </w:rPr>
  </w:style>
  <w:style w:type="character" w:customStyle="1" w:styleId="Style6Char">
    <w:name w:val="Style6 Char"/>
    <w:basedOn w:val="Policepardfaut"/>
    <w:link w:val="Style6"/>
    <w:rsid w:val="00DD72C1"/>
    <w:rPr>
      <w:rFonts w:ascii="Arial" w:eastAsia="Times New Roman" w:hAnsi="Arial" w:cs="Arial"/>
      <w:b/>
      <w:color w:val="009999"/>
      <w:sz w:val="24"/>
      <w:szCs w:val="24"/>
      <w:lang w:val="en-US"/>
    </w:rPr>
  </w:style>
  <w:style w:type="paragraph" w:customStyle="1" w:styleId="Style8">
    <w:name w:val="Style8"/>
    <w:basedOn w:val="Normal"/>
    <w:link w:val="Style8Char"/>
    <w:qFormat/>
    <w:rsid w:val="00DD72C1"/>
    <w:rPr>
      <w:rFonts w:ascii="Arial" w:hAnsi="Arial" w:cs="Arial"/>
      <w:color w:val="767171"/>
      <w:sz w:val="16"/>
      <w:szCs w:val="22"/>
      <w:lang w:val="en-CA"/>
    </w:rPr>
  </w:style>
  <w:style w:type="character" w:customStyle="1" w:styleId="Style7Char">
    <w:name w:val="Style7 Char"/>
    <w:basedOn w:val="Policepardfaut"/>
    <w:link w:val="Style7"/>
    <w:rsid w:val="00DD72C1"/>
    <w:rPr>
      <w:rFonts w:ascii="Arial" w:eastAsia="Times New Roman" w:hAnsi="Arial" w:cs="Arial"/>
      <w:color w:val="009999"/>
      <w:szCs w:val="32"/>
      <w:lang w:val="en-US"/>
    </w:rPr>
  </w:style>
  <w:style w:type="paragraph" w:customStyle="1" w:styleId="Style9">
    <w:name w:val="Style9"/>
    <w:basedOn w:val="Normal"/>
    <w:link w:val="Style9Char"/>
    <w:qFormat/>
    <w:rsid w:val="00DD72C1"/>
    <w:rPr>
      <w:rFonts w:ascii="Arial" w:hAnsi="Arial" w:cs="Arial"/>
      <w:b/>
      <w:color w:val="009999"/>
      <w:spacing w:val="-10"/>
      <w:sz w:val="22"/>
      <w:szCs w:val="22"/>
      <w:lang w:val="en-CA"/>
    </w:rPr>
  </w:style>
  <w:style w:type="character" w:customStyle="1" w:styleId="Style8Char">
    <w:name w:val="Style8 Char"/>
    <w:basedOn w:val="Policepardfaut"/>
    <w:link w:val="Style8"/>
    <w:rsid w:val="00DD72C1"/>
    <w:rPr>
      <w:rFonts w:ascii="Arial" w:eastAsia="Times New Roman" w:hAnsi="Arial" w:cs="Arial"/>
      <w:color w:val="767171"/>
      <w:sz w:val="16"/>
    </w:rPr>
  </w:style>
  <w:style w:type="character" w:customStyle="1" w:styleId="Style9Char">
    <w:name w:val="Style9 Char"/>
    <w:basedOn w:val="Policepardfaut"/>
    <w:link w:val="Style9"/>
    <w:rsid w:val="00DD72C1"/>
    <w:rPr>
      <w:rFonts w:ascii="Arial" w:eastAsia="Times New Roman" w:hAnsi="Arial" w:cs="Arial"/>
      <w:b/>
      <w:color w:val="009999"/>
      <w:spacing w:val="-10"/>
    </w:rPr>
  </w:style>
  <w:style w:type="paragraph" w:styleId="PrformatHTML">
    <w:name w:val="HTML Preformatted"/>
    <w:basedOn w:val="Normal"/>
    <w:link w:val="PrformatHTMLCar"/>
    <w:uiPriority w:val="99"/>
    <w:unhideWhenUsed/>
    <w:rsid w:val="00DD72C1"/>
    <w:rPr>
      <w:rFonts w:ascii="Consolas" w:hAnsi="Consolas"/>
      <w:sz w:val="20"/>
    </w:rPr>
  </w:style>
  <w:style w:type="character" w:customStyle="1" w:styleId="PrformatHTMLCar">
    <w:name w:val="Préformaté HTML Car"/>
    <w:basedOn w:val="Policepardfaut"/>
    <w:link w:val="PrformatHTML"/>
    <w:uiPriority w:val="99"/>
    <w:rsid w:val="00DD72C1"/>
    <w:rPr>
      <w:rFonts w:ascii="Consolas" w:eastAsia="Times New Roman" w:hAnsi="Consolas" w:cs="Times New Roman"/>
      <w:sz w:val="20"/>
      <w:szCs w:val="20"/>
      <w:lang w:val="en-US"/>
    </w:rPr>
  </w:style>
  <w:style w:type="table" w:customStyle="1" w:styleId="TableGrid1">
    <w:name w:val="Table Grid1"/>
    <w:basedOn w:val="TableauNormal"/>
    <w:next w:val="Grilledutableau"/>
    <w:uiPriority w:val="39"/>
    <w:rsid w:val="00DD7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39"/>
    <w:rsid w:val="00DD7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39"/>
    <w:rsid w:val="00DD72C1"/>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basedOn w:val="Policepardfaut"/>
    <w:uiPriority w:val="19"/>
    <w:qFormat/>
    <w:rsid w:val="00DD72C1"/>
    <w:rPr>
      <w:i/>
      <w:iCs/>
      <w:color w:val="A8ABAE" w:themeColor="text1" w:themeTint="7F"/>
    </w:rPr>
  </w:style>
  <w:style w:type="character" w:styleId="lev">
    <w:name w:val="Strong"/>
    <w:basedOn w:val="Policepardfaut"/>
    <w:uiPriority w:val="22"/>
    <w:qFormat/>
    <w:rsid w:val="00726EA8"/>
    <w:rPr>
      <w:rFonts w:asciiTheme="minorHAnsi" w:hAnsiTheme="minorHAnsi"/>
      <w:b/>
      <w:bCs/>
      <w:sz w:val="22"/>
    </w:rPr>
  </w:style>
  <w:style w:type="character" w:styleId="Accentuation">
    <w:name w:val="Emphasis"/>
    <w:basedOn w:val="Policepardfaut"/>
    <w:uiPriority w:val="20"/>
    <w:qFormat/>
    <w:rsid w:val="00F162C5"/>
    <w:rPr>
      <w:rFonts w:asciiTheme="minorHAnsi" w:hAnsiTheme="minorHAnsi"/>
      <w:i/>
      <w:iCs/>
      <w:sz w:val="22"/>
    </w:rPr>
  </w:style>
  <w:style w:type="paragraph" w:styleId="Lgende">
    <w:name w:val="caption"/>
    <w:basedOn w:val="Normal"/>
    <w:next w:val="Normal"/>
    <w:uiPriority w:val="35"/>
    <w:unhideWhenUsed/>
    <w:qFormat/>
    <w:rsid w:val="00726EA8"/>
    <w:rPr>
      <w:rFonts w:asciiTheme="minorHAnsi" w:hAnsiTheme="minorHAnsi"/>
      <w:iCs/>
      <w:sz w:val="18"/>
      <w:szCs w:val="18"/>
    </w:rPr>
  </w:style>
  <w:style w:type="paragraph" w:styleId="Citation">
    <w:name w:val="Quote"/>
    <w:basedOn w:val="Normal"/>
    <w:next w:val="Normal"/>
    <w:link w:val="CitationCar"/>
    <w:uiPriority w:val="29"/>
    <w:qFormat/>
    <w:rsid w:val="00726EA8"/>
    <w:pPr>
      <w:spacing w:before="200" w:after="160"/>
      <w:ind w:left="864" w:right="864"/>
      <w:jc w:val="center"/>
    </w:pPr>
    <w:rPr>
      <w:i/>
      <w:iCs/>
      <w:color w:val="7C8085" w:themeColor="text1" w:themeTint="BF"/>
    </w:rPr>
  </w:style>
  <w:style w:type="character" w:customStyle="1" w:styleId="CitationCar">
    <w:name w:val="Citation Car"/>
    <w:basedOn w:val="Policepardfaut"/>
    <w:link w:val="Citation"/>
    <w:uiPriority w:val="29"/>
    <w:rsid w:val="00726EA8"/>
    <w:rPr>
      <w:rFonts w:ascii="Times New Roman" w:eastAsia="Times New Roman" w:hAnsi="Times New Roman" w:cs="Times New Roman"/>
      <w:i/>
      <w:iCs/>
      <w:color w:val="7C8085" w:themeColor="text1" w:themeTint="B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5464">
      <w:bodyDiv w:val="1"/>
      <w:marLeft w:val="0"/>
      <w:marRight w:val="0"/>
      <w:marTop w:val="0"/>
      <w:marBottom w:val="0"/>
      <w:divBdr>
        <w:top w:val="none" w:sz="0" w:space="0" w:color="auto"/>
        <w:left w:val="none" w:sz="0" w:space="0" w:color="auto"/>
        <w:bottom w:val="none" w:sz="0" w:space="0" w:color="auto"/>
        <w:right w:val="none" w:sz="0" w:space="0" w:color="auto"/>
      </w:divBdr>
    </w:div>
    <w:div w:id="487747243">
      <w:bodyDiv w:val="1"/>
      <w:marLeft w:val="0"/>
      <w:marRight w:val="0"/>
      <w:marTop w:val="0"/>
      <w:marBottom w:val="0"/>
      <w:divBdr>
        <w:top w:val="none" w:sz="0" w:space="0" w:color="auto"/>
        <w:left w:val="none" w:sz="0" w:space="0" w:color="auto"/>
        <w:bottom w:val="none" w:sz="0" w:space="0" w:color="auto"/>
        <w:right w:val="none" w:sz="0" w:space="0" w:color="auto"/>
      </w:divBdr>
    </w:div>
    <w:div w:id="748499430">
      <w:bodyDiv w:val="1"/>
      <w:marLeft w:val="0"/>
      <w:marRight w:val="0"/>
      <w:marTop w:val="0"/>
      <w:marBottom w:val="0"/>
      <w:divBdr>
        <w:top w:val="none" w:sz="0" w:space="0" w:color="auto"/>
        <w:left w:val="none" w:sz="0" w:space="0" w:color="auto"/>
        <w:bottom w:val="none" w:sz="0" w:space="0" w:color="auto"/>
        <w:right w:val="none" w:sz="0" w:space="0" w:color="auto"/>
      </w:divBdr>
    </w:div>
    <w:div w:id="1192766624">
      <w:bodyDiv w:val="1"/>
      <w:marLeft w:val="0"/>
      <w:marRight w:val="0"/>
      <w:marTop w:val="0"/>
      <w:marBottom w:val="0"/>
      <w:divBdr>
        <w:top w:val="none" w:sz="0" w:space="0" w:color="auto"/>
        <w:left w:val="none" w:sz="0" w:space="0" w:color="auto"/>
        <w:bottom w:val="none" w:sz="0" w:space="0" w:color="auto"/>
        <w:right w:val="none" w:sz="0" w:space="0" w:color="auto"/>
      </w:divBdr>
    </w:div>
    <w:div w:id="1208687185">
      <w:bodyDiv w:val="1"/>
      <w:marLeft w:val="0"/>
      <w:marRight w:val="0"/>
      <w:marTop w:val="0"/>
      <w:marBottom w:val="0"/>
      <w:divBdr>
        <w:top w:val="none" w:sz="0" w:space="0" w:color="auto"/>
        <w:left w:val="none" w:sz="0" w:space="0" w:color="auto"/>
        <w:bottom w:val="none" w:sz="0" w:space="0" w:color="auto"/>
        <w:right w:val="none" w:sz="0" w:space="0" w:color="auto"/>
      </w:divBdr>
    </w:div>
    <w:div w:id="1305887646">
      <w:bodyDiv w:val="1"/>
      <w:marLeft w:val="0"/>
      <w:marRight w:val="0"/>
      <w:marTop w:val="0"/>
      <w:marBottom w:val="0"/>
      <w:divBdr>
        <w:top w:val="none" w:sz="0" w:space="0" w:color="auto"/>
        <w:left w:val="none" w:sz="0" w:space="0" w:color="auto"/>
        <w:bottom w:val="none" w:sz="0" w:space="0" w:color="auto"/>
        <w:right w:val="none" w:sz="0" w:space="0" w:color="auto"/>
      </w:divBdr>
    </w:div>
    <w:div w:id="1464343291">
      <w:bodyDiv w:val="1"/>
      <w:marLeft w:val="0"/>
      <w:marRight w:val="0"/>
      <w:marTop w:val="0"/>
      <w:marBottom w:val="0"/>
      <w:divBdr>
        <w:top w:val="none" w:sz="0" w:space="0" w:color="auto"/>
        <w:left w:val="none" w:sz="0" w:space="0" w:color="auto"/>
        <w:bottom w:val="none" w:sz="0" w:space="0" w:color="auto"/>
        <w:right w:val="none" w:sz="0" w:space="0" w:color="auto"/>
      </w:divBdr>
    </w:div>
    <w:div w:id="1799030571">
      <w:bodyDiv w:val="1"/>
      <w:marLeft w:val="0"/>
      <w:marRight w:val="0"/>
      <w:marTop w:val="0"/>
      <w:marBottom w:val="0"/>
      <w:divBdr>
        <w:top w:val="none" w:sz="0" w:space="0" w:color="auto"/>
        <w:left w:val="none" w:sz="0" w:space="0" w:color="auto"/>
        <w:bottom w:val="none" w:sz="0" w:space="0" w:color="auto"/>
        <w:right w:val="none" w:sz="0" w:space="0" w:color="auto"/>
      </w:divBdr>
    </w:div>
    <w:div w:id="1855993293">
      <w:bodyDiv w:val="1"/>
      <w:marLeft w:val="0"/>
      <w:marRight w:val="0"/>
      <w:marTop w:val="0"/>
      <w:marBottom w:val="0"/>
      <w:divBdr>
        <w:top w:val="none" w:sz="0" w:space="0" w:color="auto"/>
        <w:left w:val="none" w:sz="0" w:space="0" w:color="auto"/>
        <w:bottom w:val="none" w:sz="0" w:space="0" w:color="auto"/>
        <w:right w:val="none" w:sz="0" w:space="0" w:color="auto"/>
      </w:divBdr>
    </w:div>
    <w:div w:id="193732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anada.ca/en/government/publicservice/wellness-inclusion-diversity-public-service/diversity-inclusion-public-service/employment-equity-annual-reports/employment-equity-public-service-canada-2017-2018.html" TargetMode="External"/><Relationship Id="rId14" Type="http://schemas.openxmlformats.org/officeDocument/2006/relationships/chart" Target="charts/chart5.xml"/><Relationship Id="rId22" Type="http://schemas.openxmlformats.org/officeDocument/2006/relationships/footer" Target="footer2.xml"/><Relationship Id="rId27" Type="http://schemas.openxmlformats.org/officeDocument/2006/relationships/header" Target="header3.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CFP-Entete-Corpo2019.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5.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6.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7.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t>Population by tenure as of March 31</a:t>
            </a:r>
          </a:p>
        </c:rich>
      </c:tx>
      <c:layout/>
      <c:overlay val="1"/>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820755769669271"/>
          <c:y val="0.11428571428571428"/>
          <c:w val="0.85790458031932704"/>
          <c:h val="0.63086532365272519"/>
        </c:manualLayout>
      </c:layout>
      <c:barChart>
        <c:barDir val="col"/>
        <c:grouping val="stacked"/>
        <c:varyColors val="0"/>
        <c:ser>
          <c:idx val="0"/>
          <c:order val="0"/>
          <c:tx>
            <c:strRef>
              <c:f>Sheet1!$B$1</c:f>
              <c:strCache>
                <c:ptCount val="1"/>
                <c:pt idx="0">
                  <c:v> Indeterminate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(N=229)</c:v>
                </c:pt>
                <c:pt idx="1">
                  <c:v> 2015 
(N=228) </c:v>
                </c:pt>
                <c:pt idx="2">
                  <c:v> 2016 
(N=258)</c:v>
                </c:pt>
                <c:pt idx="3">
                  <c:v> 2017 
(N=297) </c:v>
                </c:pt>
                <c:pt idx="4">
                  <c:v> 2018 
(N=282) </c:v>
                </c:pt>
                <c:pt idx="5">
                  <c:v> 2019
(N=329) </c:v>
                </c:pt>
              </c:strCache>
            </c:strRef>
          </c:cat>
          <c:val>
            <c:numRef>
              <c:f>Sheet1!$B$2:$B$7</c:f>
              <c:numCache>
                <c:formatCode>#\ ###</c:formatCode>
                <c:ptCount val="6"/>
                <c:pt idx="0">
                  <c:v>182</c:v>
                </c:pt>
                <c:pt idx="1">
                  <c:v>185</c:v>
                </c:pt>
                <c:pt idx="2">
                  <c:v>199</c:v>
                </c:pt>
                <c:pt idx="3">
                  <c:v>232</c:v>
                </c:pt>
                <c:pt idx="4">
                  <c:v>236</c:v>
                </c:pt>
                <c:pt idx="5">
                  <c:v>265</c:v>
                </c:pt>
              </c:numCache>
            </c:numRef>
          </c:val>
        </c:ser>
        <c:ser>
          <c:idx val="1"/>
          <c:order val="1"/>
          <c:tx>
            <c:strRef>
              <c:f>Sheet1!$C$1</c:f>
              <c:strCache>
                <c:ptCount val="1"/>
                <c:pt idx="0">
                  <c:v> Term </c:v>
                </c:pt>
              </c:strCache>
            </c:strRef>
          </c:tx>
          <c:spPr>
            <a:solidFill>
              <a:schemeClr val="accent2"/>
            </a:solidFill>
            <a:ln>
              <a:noFill/>
            </a:ln>
            <a:effectLst/>
          </c:spPr>
          <c:invertIfNegative val="0"/>
          <c:dLbls>
            <c:dLbl>
              <c:idx val="0"/>
              <c:layout>
                <c:manualLayout>
                  <c:x val="0"/>
                  <c:y val="1.5584415584415631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4.7618497526100754E-1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4.7618497526100754E-1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0807147258163892E-3"/>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5.1948051948051948E-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1295823504343063E-16"/>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(N=229)</c:v>
                </c:pt>
                <c:pt idx="1">
                  <c:v> 2015 
(N=228) </c:v>
                </c:pt>
                <c:pt idx="2">
                  <c:v> 2016 
(N=258)</c:v>
                </c:pt>
                <c:pt idx="3">
                  <c:v> 2017 
(N=297) </c:v>
                </c:pt>
                <c:pt idx="4">
                  <c:v> 2018 
(N=282) </c:v>
                </c:pt>
                <c:pt idx="5">
                  <c:v> 2019
(N=329) </c:v>
                </c:pt>
              </c:strCache>
            </c:strRef>
          </c:cat>
          <c:val>
            <c:numRef>
              <c:f>Sheet1!$C$2:$C$7</c:f>
              <c:numCache>
                <c:formatCode>#\ ###</c:formatCode>
                <c:ptCount val="6"/>
                <c:pt idx="0">
                  <c:v>17</c:v>
                </c:pt>
                <c:pt idx="1">
                  <c:v>19</c:v>
                </c:pt>
                <c:pt idx="2">
                  <c:v>22</c:v>
                </c:pt>
                <c:pt idx="3">
                  <c:v>25</c:v>
                </c:pt>
                <c:pt idx="4">
                  <c:v>24</c:v>
                </c:pt>
                <c:pt idx="5">
                  <c:v>30</c:v>
                </c:pt>
              </c:numCache>
            </c:numRef>
          </c:val>
        </c:ser>
        <c:ser>
          <c:idx val="2"/>
          <c:order val="2"/>
          <c:tx>
            <c:strRef>
              <c:f>Sheet1!$D$1</c:f>
              <c:strCache>
                <c:ptCount val="1"/>
                <c:pt idx="0">
                  <c:v> Casual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(N=229)</c:v>
                </c:pt>
                <c:pt idx="1">
                  <c:v> 2015 
(N=228) </c:v>
                </c:pt>
                <c:pt idx="2">
                  <c:v> 2016 
(N=258)</c:v>
                </c:pt>
                <c:pt idx="3">
                  <c:v> 2017 
(N=297) </c:v>
                </c:pt>
                <c:pt idx="4">
                  <c:v> 2018 
(N=282) </c:v>
                </c:pt>
                <c:pt idx="5">
                  <c:v> 2019
(N=329) </c:v>
                </c:pt>
              </c:strCache>
            </c:strRef>
          </c:cat>
          <c:val>
            <c:numRef>
              <c:f>Sheet1!$D$2:$D$7</c:f>
              <c:numCache>
                <c:formatCode>#\ ###</c:formatCode>
                <c:ptCount val="6"/>
                <c:pt idx="0">
                  <c:v>24</c:v>
                </c:pt>
                <c:pt idx="1">
                  <c:v>18</c:v>
                </c:pt>
                <c:pt idx="2">
                  <c:v>29</c:v>
                </c:pt>
                <c:pt idx="3">
                  <c:v>27</c:v>
                </c:pt>
                <c:pt idx="4">
                  <c:v>18</c:v>
                </c:pt>
                <c:pt idx="5">
                  <c:v>27</c:v>
                </c:pt>
              </c:numCache>
            </c:numRef>
          </c:val>
        </c:ser>
        <c:ser>
          <c:idx val="3"/>
          <c:order val="3"/>
          <c:tx>
            <c:strRef>
              <c:f>Sheet1!$E$1</c:f>
              <c:strCache>
                <c:ptCount val="1"/>
                <c:pt idx="0">
                  <c:v> Student </c:v>
                </c:pt>
              </c:strCache>
            </c:strRef>
          </c:tx>
          <c:spPr>
            <a:solidFill>
              <a:schemeClr val="accent4"/>
            </a:solidFill>
            <a:ln>
              <a:noFill/>
            </a:ln>
            <a:effectLst/>
          </c:spPr>
          <c:invertIfNegative val="0"/>
          <c:dLbls>
            <c:dLbl>
              <c:idx val="0"/>
              <c:layout>
                <c:manualLayout>
                  <c:x val="2.8239558760857657E-17"/>
                  <c:y val="-3.636363636363636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6479117521715313E-17"/>
                  <c:y val="-4.155844155844157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3.636363636363641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1295823504343063E-16"/>
                  <c:y val="-3.116883116883116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(N=229)</c:v>
                </c:pt>
                <c:pt idx="1">
                  <c:v> 2015 
(N=228) </c:v>
                </c:pt>
                <c:pt idx="2">
                  <c:v> 2016 
(N=258)</c:v>
                </c:pt>
                <c:pt idx="3">
                  <c:v> 2017 
(N=297) </c:v>
                </c:pt>
                <c:pt idx="4">
                  <c:v> 2018 
(N=282) </c:v>
                </c:pt>
                <c:pt idx="5">
                  <c:v> 2019
(N=329) </c:v>
                </c:pt>
              </c:strCache>
            </c:strRef>
          </c:cat>
          <c:val>
            <c:numRef>
              <c:f>Sheet1!$E$2:$E$7</c:f>
              <c:numCache>
                <c:formatCode>#\ ###</c:formatCode>
                <c:ptCount val="6"/>
                <c:pt idx="0">
                  <c:v>6</c:v>
                </c:pt>
                <c:pt idx="1">
                  <c:v>6</c:v>
                </c:pt>
                <c:pt idx="2">
                  <c:v>8</c:v>
                </c:pt>
                <c:pt idx="3">
                  <c:v>13</c:v>
                </c:pt>
                <c:pt idx="4">
                  <c:v>4</c:v>
                </c:pt>
                <c:pt idx="5">
                  <c:v>7</c:v>
                </c:pt>
              </c:numCache>
            </c:numRef>
          </c:val>
        </c:ser>
        <c:dLbls>
          <c:dLblPos val="ctr"/>
          <c:showLegendKey val="0"/>
          <c:showVal val="1"/>
          <c:showCatName val="0"/>
          <c:showSerName val="0"/>
          <c:showPercent val="0"/>
          <c:showBubbleSize val="0"/>
        </c:dLbls>
        <c:gapWidth val="150"/>
        <c:overlap val="100"/>
        <c:axId val="371567008"/>
        <c:axId val="371564264"/>
      </c:barChart>
      <c:catAx>
        <c:axId val="371567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1564264"/>
        <c:crosses val="autoZero"/>
        <c:auto val="1"/>
        <c:lblAlgn val="ctr"/>
        <c:lblOffset val="100"/>
        <c:noMultiLvlLbl val="0"/>
      </c:catAx>
      <c:valAx>
        <c:axId val="371564264"/>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1567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t>Student program hires</a:t>
            </a:r>
          </a:p>
        </c:rich>
      </c:tx>
      <c:layout>
        <c:manualLayout>
          <c:xMode val="edge"/>
          <c:yMode val="edge"/>
          <c:x val="0.40405837128706296"/>
          <c:y val="2.4994792751510102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4038657478101918"/>
          <c:y val="0.12358022524834887"/>
          <c:w val="0.81893579524325377"/>
          <c:h val="0.59127513128395404"/>
        </c:manualLayout>
      </c:layout>
      <c:barChart>
        <c:barDir val="col"/>
        <c:grouping val="stacked"/>
        <c:varyColors val="0"/>
        <c:ser>
          <c:idx val="0"/>
          <c:order val="0"/>
          <c:tx>
            <c:strRef>
              <c:f>Sheet1!$B$1</c:f>
              <c:strCache>
                <c:ptCount val="1"/>
                <c:pt idx="0">
                  <c:v>Federal Student Work Experience Program (FSWEP)</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(N=17)</c:v>
                </c:pt>
                <c:pt idx="1">
                  <c:v>2015-16
 (N=22)</c:v>
                </c:pt>
                <c:pt idx="2">
                  <c:v>2016-17
 (N=23)</c:v>
                </c:pt>
                <c:pt idx="3">
                  <c:v>2017-18
 (N=16)</c:v>
                </c:pt>
                <c:pt idx="4">
                  <c:v>2018-19
 (N=24)</c:v>
                </c:pt>
              </c:strCache>
            </c:strRef>
          </c:cat>
          <c:val>
            <c:numRef>
              <c:f>Sheet1!$B$2:$B$6</c:f>
              <c:numCache>
                <c:formatCode>General</c:formatCode>
                <c:ptCount val="5"/>
                <c:pt idx="0">
                  <c:v>7</c:v>
                </c:pt>
                <c:pt idx="1">
                  <c:v>12</c:v>
                </c:pt>
                <c:pt idx="2">
                  <c:v>10</c:v>
                </c:pt>
                <c:pt idx="3">
                  <c:v>9</c:v>
                </c:pt>
                <c:pt idx="4">
                  <c:v>6</c:v>
                </c:pt>
              </c:numCache>
            </c:numRef>
          </c:val>
        </c:ser>
        <c:ser>
          <c:idx val="1"/>
          <c:order val="1"/>
          <c:tx>
            <c:strRef>
              <c:f>Sheet1!$C$1</c:f>
              <c:strCache>
                <c:ptCount val="1"/>
                <c:pt idx="0">
                  <c:v>Post-Secondary CO-OP/Internship Program (COOP)</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(N=17)</c:v>
                </c:pt>
                <c:pt idx="1">
                  <c:v>2015-16
 (N=22)</c:v>
                </c:pt>
                <c:pt idx="2">
                  <c:v>2016-17
 (N=23)</c:v>
                </c:pt>
                <c:pt idx="3">
                  <c:v>2017-18
 (N=16)</c:v>
                </c:pt>
                <c:pt idx="4">
                  <c:v>2018-19
 (N=24)</c:v>
                </c:pt>
              </c:strCache>
            </c:strRef>
          </c:cat>
          <c:val>
            <c:numRef>
              <c:f>Sheet1!$C$2:$C$6</c:f>
              <c:numCache>
                <c:formatCode>General</c:formatCode>
                <c:ptCount val="5"/>
                <c:pt idx="0">
                  <c:v>10</c:v>
                </c:pt>
                <c:pt idx="1">
                  <c:v>10</c:v>
                </c:pt>
                <c:pt idx="2">
                  <c:v>13</c:v>
                </c:pt>
                <c:pt idx="3">
                  <c:v>7</c:v>
                </c:pt>
                <c:pt idx="4">
                  <c:v>18</c:v>
                </c:pt>
              </c:numCache>
            </c:numRef>
          </c:val>
        </c:ser>
        <c:dLbls>
          <c:dLblPos val="ctr"/>
          <c:showLegendKey val="0"/>
          <c:showVal val="1"/>
          <c:showCatName val="0"/>
          <c:showSerName val="0"/>
          <c:showPercent val="0"/>
          <c:showBubbleSize val="0"/>
        </c:dLbls>
        <c:gapWidth val="150"/>
        <c:overlap val="100"/>
        <c:axId val="374176608"/>
        <c:axId val="374169552"/>
      </c:barChart>
      <c:catAx>
        <c:axId val="3741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4169552"/>
        <c:crosses val="autoZero"/>
        <c:auto val="1"/>
        <c:lblAlgn val="ctr"/>
        <c:lblOffset val="100"/>
        <c:noMultiLvlLbl val="0"/>
      </c:catAx>
      <c:valAx>
        <c:axId val="3741695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4176608"/>
        <c:crosses val="autoZero"/>
        <c:crossBetween val="between"/>
      </c:valAx>
      <c:spPr>
        <a:noFill/>
        <a:ln>
          <a:noFill/>
        </a:ln>
        <a:effectLst/>
      </c:spPr>
    </c:plotArea>
    <c:legend>
      <c:legendPos val="b"/>
      <c:layout>
        <c:manualLayout>
          <c:xMode val="edge"/>
          <c:yMode val="edge"/>
          <c:x val="4.2890265000242525E-2"/>
          <c:y val="0.85400838053138117"/>
          <c:w val="0.86904460864363209"/>
          <c:h val="0.119130558241623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External indeterminate and term hiring activities: Post-Secondary Recruitment Program and former student hires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63032789915352E-2"/>
          <c:y val="0.19540249333760371"/>
          <c:w val="0.90621744112971792"/>
          <c:h val="0.52825822904140041"/>
        </c:manualLayout>
      </c:layout>
      <c:bar3DChart>
        <c:barDir val="col"/>
        <c:grouping val="clustered"/>
        <c:varyColors val="0"/>
        <c:ser>
          <c:idx val="0"/>
          <c:order val="0"/>
          <c:tx>
            <c:strRef>
              <c:f>Sheet1!$B$1</c:f>
              <c:strCache>
                <c:ptCount val="1"/>
                <c:pt idx="0">
                  <c:v>Post-secondary Recruitment (PSR)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layout>
                <c:manualLayout>
                  <c:x val="-7.4280408542248344E-3"/>
                  <c:y val="1.151189562547959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Sheet1!$B$2:$B$6</c:f>
              <c:numCache>
                <c:formatCode>_-* #,##0_-;\-* #,##0_-;_-* "-"??_-;_-@_-</c:formatCode>
                <c:ptCount val="5"/>
                <c:pt idx="0">
                  <c:v>0</c:v>
                </c:pt>
                <c:pt idx="1">
                  <c:v>0</c:v>
                </c:pt>
                <c:pt idx="2">
                  <c:v>0</c:v>
                </c:pt>
                <c:pt idx="3">
                  <c:v>0</c:v>
                </c:pt>
                <c:pt idx="4">
                  <c:v>1</c:v>
                </c:pt>
              </c:numCache>
            </c:numRef>
          </c:val>
        </c:ser>
        <c:ser>
          <c:idx val="1"/>
          <c:order val="1"/>
          <c:tx>
            <c:strRef>
              <c:f>Sheet1!$C$1</c:f>
              <c:strCache>
                <c:ptCount val="1"/>
                <c:pt idx="0">
                  <c:v>Former student hires*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1.151189562547966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7.6745970836530376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Sheet1!$C$2:$C$6</c:f>
              <c:numCache>
                <c:formatCode>_-* #,##0_-;\-* #,##0_-;_-* "-"??_-;_-@_-</c:formatCode>
                <c:ptCount val="5"/>
                <c:pt idx="0">
                  <c:v>5</c:v>
                </c:pt>
                <c:pt idx="1">
                  <c:v>8</c:v>
                </c:pt>
                <c:pt idx="2">
                  <c:v>10</c:v>
                </c:pt>
                <c:pt idx="3">
                  <c:v>5</c:v>
                </c:pt>
                <c:pt idx="4">
                  <c:v>11</c:v>
                </c:pt>
              </c:numCache>
            </c:numRef>
          </c:val>
        </c:ser>
        <c:dLbls>
          <c:showLegendKey val="0"/>
          <c:showVal val="1"/>
          <c:showCatName val="0"/>
          <c:showSerName val="0"/>
          <c:showPercent val="0"/>
          <c:showBubbleSize val="0"/>
        </c:dLbls>
        <c:gapWidth val="150"/>
        <c:shape val="box"/>
        <c:axId val="374169944"/>
        <c:axId val="374170336"/>
        <c:axId val="0"/>
      </c:bar3DChart>
      <c:catAx>
        <c:axId val="3741699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4170336"/>
        <c:crosses val="autoZero"/>
        <c:auto val="1"/>
        <c:lblAlgn val="ctr"/>
        <c:lblOffset val="100"/>
        <c:noMultiLvlLbl val="0"/>
      </c:catAx>
      <c:valAx>
        <c:axId val="374170336"/>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4169944"/>
        <c:crosses val="autoZero"/>
        <c:crossBetween val="between"/>
        <c:minorUnit val="1"/>
      </c:valAx>
      <c:spPr>
        <a:noFill/>
        <a:ln>
          <a:noFill/>
        </a:ln>
        <a:effectLst/>
      </c:spPr>
    </c:plotArea>
    <c:legend>
      <c:legendPos val="r"/>
      <c:layout>
        <c:manualLayout>
          <c:xMode val="edge"/>
          <c:yMode val="edge"/>
          <c:x val="2.8456707535513492E-2"/>
          <c:y val="0.7903145980505315"/>
          <c:w val="0.94572119989179626"/>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Internal time to staff</a:t>
            </a:r>
          </a:p>
          <a:p>
            <a:pPr>
              <a:defRPr sz="1200"/>
            </a:pPr>
            <a:r>
              <a:rPr lang="en-CA" sz="1200"/>
              <a:t>Public service median = 176 days</a:t>
            </a:r>
          </a:p>
          <a:p>
            <a:pPr>
              <a:defRPr sz="1200"/>
            </a:pPr>
            <a:r>
              <a:rPr lang="en-CA" sz="1200"/>
              <a:t> 2018-19</a:t>
            </a:r>
          </a:p>
        </c:rich>
      </c:tx>
      <c:layout>
        <c:manualLayout>
          <c:xMode val="edge"/>
          <c:yMode val="edge"/>
          <c:x val="0.30646464646464644"/>
          <c:y val="3.6182590578239574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15</c:v>
                </c:pt>
                <c:pt idx="2">
                  <c:v>130</c:v>
                </c:pt>
                <c:pt idx="3">
                  <c:v>277</c:v>
                </c:pt>
                <c:pt idx="4">
                  <c:v>391</c:v>
                </c:pt>
                <c:pt idx="5">
                  <c:v>367</c:v>
                </c:pt>
                <c:pt idx="6">
                  <c:v>322</c:v>
                </c:pt>
                <c:pt idx="7">
                  <c:v>278</c:v>
                </c:pt>
                <c:pt idx="8">
                  <c:v>241</c:v>
                </c:pt>
                <c:pt idx="9">
                  <c:v>165</c:v>
                </c:pt>
                <c:pt idx="10">
                  <c:v>134</c:v>
                </c:pt>
                <c:pt idx="11">
                  <c:v>107</c:v>
                </c:pt>
                <c:pt idx="12">
                  <c:v>77</c:v>
                </c:pt>
                <c:pt idx="13">
                  <c:v>61</c:v>
                </c:pt>
                <c:pt idx="14">
                  <c:v>53</c:v>
                </c:pt>
                <c:pt idx="15">
                  <c:v>51</c:v>
                </c:pt>
                <c:pt idx="16">
                  <c:v>42</c:v>
                </c:pt>
                <c:pt idx="17">
                  <c:v>40</c:v>
                </c:pt>
                <c:pt idx="18">
                  <c:v>32</c:v>
                </c:pt>
                <c:pt idx="19">
                  <c:v>24</c:v>
                </c:pt>
                <c:pt idx="20">
                  <c:v>21</c:v>
                </c:pt>
                <c:pt idx="21">
                  <c:v>11</c:v>
                </c:pt>
                <c:pt idx="22">
                  <c:v>19</c:v>
                </c:pt>
                <c:pt idx="23">
                  <c:v>3</c:v>
                </c:pt>
                <c:pt idx="24">
                  <c:v>13</c:v>
                </c:pt>
                <c:pt idx="25">
                  <c:v>6</c:v>
                </c:pt>
                <c:pt idx="26">
                  <c:v>5</c:v>
                </c:pt>
                <c:pt idx="27">
                  <c:v>8</c:v>
                </c:pt>
                <c:pt idx="28">
                  <c:v>4</c:v>
                </c:pt>
                <c:pt idx="29">
                  <c:v>10</c:v>
                </c:pt>
                <c:pt idx="30">
                  <c:v>4</c:v>
                </c:pt>
                <c:pt idx="31">
                  <c:v>5</c:v>
                </c:pt>
                <c:pt idx="32">
                  <c:v>5</c:v>
                </c:pt>
                <c:pt idx="33">
                  <c:v>3</c:v>
                </c:pt>
                <c:pt idx="34">
                  <c:v>23</c:v>
                </c:pt>
              </c:numCache>
            </c:numRef>
          </c:val>
        </c:ser>
        <c:dLbls>
          <c:showLegendKey val="0"/>
          <c:showVal val="0"/>
          <c:showCatName val="0"/>
          <c:showSerName val="0"/>
          <c:showPercent val="0"/>
          <c:showBubbleSize val="0"/>
        </c:dLbls>
        <c:gapWidth val="150"/>
        <c:overlap val="100"/>
        <c:axId val="374175040"/>
        <c:axId val="374171120"/>
      </c:barChart>
      <c:catAx>
        <c:axId val="37417504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4171120"/>
        <c:crosses val="autoZero"/>
        <c:auto val="1"/>
        <c:lblAlgn val="ctr"/>
        <c:lblOffset val="100"/>
        <c:noMultiLvlLbl val="0"/>
      </c:catAx>
      <c:valAx>
        <c:axId val="374171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4175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External time to staff</a:t>
            </a:r>
          </a:p>
          <a:p>
            <a:pPr>
              <a:defRPr sz="1200"/>
            </a:pPr>
            <a:r>
              <a:rPr lang="en-CA" sz="1200"/>
              <a:t>Public service median = 186 days</a:t>
            </a:r>
          </a:p>
          <a:p>
            <a:pPr>
              <a:defRPr sz="1200"/>
            </a:pPr>
            <a:r>
              <a:rPr lang="en-CA" sz="1200"/>
              <a:t> 2018-19</a:t>
            </a:r>
          </a:p>
        </c:rich>
      </c:tx>
      <c:layout>
        <c:manualLayout>
          <c:xMode val="edge"/>
          <c:yMode val="edge"/>
          <c:x val="0.28931161007909423"/>
          <c:y val="2.8471758672323801E-4"/>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49</c:v>
                </c:pt>
                <c:pt idx="2">
                  <c:v>82</c:v>
                </c:pt>
                <c:pt idx="3">
                  <c:v>124</c:v>
                </c:pt>
                <c:pt idx="4">
                  <c:v>160</c:v>
                </c:pt>
                <c:pt idx="5">
                  <c:v>181</c:v>
                </c:pt>
                <c:pt idx="6">
                  <c:v>179</c:v>
                </c:pt>
                <c:pt idx="7">
                  <c:v>160</c:v>
                </c:pt>
                <c:pt idx="8">
                  <c:v>139</c:v>
                </c:pt>
                <c:pt idx="9">
                  <c:v>84</c:v>
                </c:pt>
                <c:pt idx="10">
                  <c:v>73</c:v>
                </c:pt>
                <c:pt idx="11">
                  <c:v>61</c:v>
                </c:pt>
                <c:pt idx="12">
                  <c:v>41</c:v>
                </c:pt>
                <c:pt idx="13">
                  <c:v>43</c:v>
                </c:pt>
                <c:pt idx="14">
                  <c:v>49</c:v>
                </c:pt>
                <c:pt idx="15">
                  <c:v>35</c:v>
                </c:pt>
                <c:pt idx="16">
                  <c:v>22</c:v>
                </c:pt>
                <c:pt idx="17">
                  <c:v>27</c:v>
                </c:pt>
                <c:pt idx="18">
                  <c:v>17</c:v>
                </c:pt>
                <c:pt idx="19">
                  <c:v>15</c:v>
                </c:pt>
                <c:pt idx="20">
                  <c:v>14</c:v>
                </c:pt>
                <c:pt idx="21">
                  <c:v>12</c:v>
                </c:pt>
                <c:pt idx="22">
                  <c:v>7</c:v>
                </c:pt>
                <c:pt idx="23">
                  <c:v>5</c:v>
                </c:pt>
                <c:pt idx="24">
                  <c:v>7</c:v>
                </c:pt>
                <c:pt idx="25">
                  <c:v>11</c:v>
                </c:pt>
                <c:pt idx="26">
                  <c:v>3</c:v>
                </c:pt>
                <c:pt idx="27">
                  <c:v>7</c:v>
                </c:pt>
                <c:pt idx="28">
                  <c:v>2</c:v>
                </c:pt>
                <c:pt idx="29">
                  <c:v>2</c:v>
                </c:pt>
                <c:pt idx="30">
                  <c:v>0</c:v>
                </c:pt>
                <c:pt idx="31">
                  <c:v>3</c:v>
                </c:pt>
                <c:pt idx="32">
                  <c:v>1</c:v>
                </c:pt>
                <c:pt idx="33">
                  <c:v>0</c:v>
                </c:pt>
                <c:pt idx="34">
                  <c:v>0</c:v>
                </c:pt>
              </c:numCache>
            </c:numRef>
          </c:val>
        </c:ser>
        <c:dLbls>
          <c:showLegendKey val="0"/>
          <c:showVal val="0"/>
          <c:showCatName val="0"/>
          <c:showSerName val="0"/>
          <c:showPercent val="0"/>
          <c:showBubbleSize val="0"/>
        </c:dLbls>
        <c:gapWidth val="150"/>
        <c:overlap val="100"/>
        <c:axId val="374173864"/>
        <c:axId val="374174648"/>
      </c:barChart>
      <c:catAx>
        <c:axId val="374173864"/>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4174648"/>
        <c:crosses val="autoZero"/>
        <c:auto val="1"/>
        <c:lblAlgn val="ctr"/>
        <c:lblOffset val="100"/>
        <c:noMultiLvlLbl val="0"/>
      </c:catAx>
      <c:valAx>
        <c:axId val="374174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4173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CA" sz="1200">
                <a:solidFill>
                  <a:sysClr val="windowText" lastClr="000000"/>
                </a:solidFill>
              </a:rPr>
              <a:t>Population by language requirements</a:t>
            </a:r>
            <a:r>
              <a:rPr lang="en-CA" sz="1200" baseline="0">
                <a:solidFill>
                  <a:sysClr val="windowText" lastClr="000000"/>
                </a:solidFill>
              </a:rPr>
              <a:t> as of March 31, 2019</a:t>
            </a:r>
            <a:endParaRPr lang="en-CA" sz="1200">
              <a:solidFill>
                <a:sysClr val="windowText" lastClr="000000"/>
              </a:solidFill>
            </a:endParaRPr>
          </a:p>
        </c:rich>
      </c:tx>
      <c:layout>
        <c:manualLayout>
          <c:xMode val="edge"/>
          <c:yMode val="edge"/>
          <c:x val="0.15918795108917991"/>
          <c:y val="1.6820857863751051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3280823059401084E-2"/>
          <c:y val="0.32562697429852389"/>
          <c:w val="0.8981066627234976"/>
          <c:h val="0.59516739173483535"/>
        </c:manualLayout>
      </c:layout>
      <c:pieChart>
        <c:varyColors val="1"/>
        <c:ser>
          <c:idx val="0"/>
          <c:order val="0"/>
          <c:tx>
            <c:strRef>
              <c:f>Sheet1!$B$1</c:f>
              <c:strCache>
                <c:ptCount val="1"/>
                <c:pt idx="0">
                  <c:v>Population by Language Requirements as of March 31, 2016</c:v>
                </c:pt>
              </c:strCache>
            </c:strRef>
          </c:tx>
          <c:dPt>
            <c:idx val="0"/>
            <c:bubble3D val="0"/>
            <c:spPr>
              <a:solidFill>
                <a:schemeClr val="accent2"/>
              </a:solidFill>
              <a:ln>
                <a:noFill/>
              </a:ln>
              <a:effectLst>
                <a:outerShdw blurRad="57150" dist="19050" dir="5400000" algn="ctr" rotWithShape="0">
                  <a:srgbClr val="000000">
                    <a:alpha val="63000"/>
                  </a:srgbClr>
                </a:outerShdw>
              </a:effectLst>
            </c:spPr>
          </c:dPt>
          <c:dPt>
            <c:idx val="1"/>
            <c:bubble3D val="0"/>
            <c:spPr>
              <a:solidFill>
                <a:schemeClr val="accent1"/>
              </a:solidFill>
              <a:ln>
                <a:noFill/>
              </a:ln>
              <a:effectLst>
                <a:outerShdw blurRad="57150" dist="19050" dir="5400000" algn="ctr" rotWithShape="0">
                  <a:srgbClr val="000000">
                    <a:alpha val="63000"/>
                  </a:srgbClr>
                </a:outerShdw>
              </a:effectLst>
            </c:spPr>
          </c:dPt>
          <c:dLbls>
            <c:dLbl>
              <c:idx val="0"/>
              <c:layout>
                <c:manualLayout>
                  <c:x val="0.1564945226917058"/>
                  <c:y val="-0.15504604574155997"/>
                </c:manualLayout>
              </c:layout>
              <c:showLegendKey val="0"/>
              <c:showVal val="0"/>
              <c:showCatName val="1"/>
              <c:showSerName val="0"/>
              <c:showPercent val="1"/>
              <c:showBubbleSize val="0"/>
              <c:extLst>
                <c:ext xmlns:c15="http://schemas.microsoft.com/office/drawing/2012/chart" uri="{CE6537A1-D6FC-4f65-9D91-7224C49458BB}">
                  <c15:layout>
                    <c:manualLayout>
                      <c:w val="0.340414402425049"/>
                      <c:h val="0.18644044267606294"/>
                    </c:manualLayout>
                  </c15:layout>
                </c:ext>
              </c:extLst>
            </c:dLbl>
            <c:dLbl>
              <c:idx val="1"/>
              <c:layout>
                <c:manualLayout>
                  <c:x val="-9.3896713615023553E-2"/>
                  <c:y val="0.19696696261424673"/>
                </c:manualLayout>
              </c:layout>
              <c:showLegendKey val="0"/>
              <c:showVal val="0"/>
              <c:showCatName val="1"/>
              <c:showSerName val="0"/>
              <c:showPercent val="1"/>
              <c:showBubbleSize val="0"/>
              <c:extLst>
                <c:ext xmlns:c15="http://schemas.microsoft.com/office/drawing/2012/chart" uri="{CE6537A1-D6FC-4f65-9D91-7224C49458BB}">
                  <c15:layout>
                    <c:manualLayout>
                      <c:w val="0.38145539906103287"/>
                      <c:h val="0.18667358050298158"/>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Bilingual </c:v>
                </c:pt>
                <c:pt idx="1">
                  <c:v>Unilingual</c:v>
                </c:pt>
              </c:strCache>
            </c:strRef>
          </c:cat>
          <c:val>
            <c:numRef>
              <c:f>Sheet1!$B$2:$B$3</c:f>
              <c:numCache>
                <c:formatCode>0</c:formatCode>
                <c:ptCount val="2"/>
                <c:pt idx="0">
                  <c:v>149</c:v>
                </c:pt>
                <c:pt idx="1">
                  <c:v>112</c:v>
                </c:pt>
              </c:numCache>
            </c:numRef>
          </c:val>
        </c:ser>
        <c:dLbls>
          <c:showLegendKey val="0"/>
          <c:showVal val="0"/>
          <c:showCatName val="0"/>
          <c:showSerName val="0"/>
          <c:showPercent val="0"/>
          <c:showBubbleSize val="0"/>
          <c:showLeaderLines val="1"/>
        </c:dLbls>
        <c:firstSliceAng val="12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a:solidFill>
                  <a:sysClr val="windowText" lastClr="000000"/>
                </a:solidFill>
              </a:rPr>
              <a:t>Population by occupational</a:t>
            </a:r>
            <a:r>
              <a:rPr lang="en-US" sz="1200" baseline="0">
                <a:solidFill>
                  <a:sysClr val="windowText" lastClr="000000"/>
                </a:solidFill>
              </a:rPr>
              <a:t> group</a:t>
            </a:r>
            <a:r>
              <a:rPr lang="en-US" sz="1200">
                <a:solidFill>
                  <a:sysClr val="windowText" lastClr="000000"/>
                </a:solidFill>
              </a:rPr>
              <a:t> as of March 31, 2019</a:t>
            </a:r>
          </a:p>
        </c:rich>
      </c:tx>
      <c:layout>
        <c:manualLayout>
          <c:xMode val="edge"/>
          <c:yMode val="edge"/>
          <c:x val="0.11600531316564154"/>
          <c:y val="5.1079996323416775E-3"/>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3.2974677048050557E-2"/>
          <c:y val="0.30179943484886967"/>
          <c:w val="0.93955862026122472"/>
          <c:h val="0.62025549540682412"/>
        </c:manualLayout>
      </c:layout>
      <c:pieChart>
        <c:varyColors val="1"/>
        <c:ser>
          <c:idx val="0"/>
          <c:order val="0"/>
          <c:tx>
            <c:strRef>
              <c:f>Sheet1!$B$1</c:f>
              <c:strCache>
                <c:ptCount val="1"/>
                <c:pt idx="0">
                  <c:v>Population by Occupational Group as of March 31, 2016</c:v>
                </c:pt>
              </c:strCache>
            </c:strRef>
          </c:tx>
          <c:spPr>
            <a:ln w="3175"/>
          </c:spPr>
          <c:dPt>
            <c:idx val="0"/>
            <c:bubble3D val="0"/>
            <c:spPr>
              <a:solidFill>
                <a:schemeClr val="accent2"/>
              </a:solidFill>
              <a:ln w="3175">
                <a:solidFill>
                  <a:schemeClr val="lt1"/>
                </a:solidFill>
              </a:ln>
              <a:effectLst/>
            </c:spPr>
          </c:dPt>
          <c:dPt>
            <c:idx val="1"/>
            <c:bubble3D val="0"/>
            <c:spPr>
              <a:solidFill>
                <a:schemeClr val="accent1"/>
              </a:solidFill>
              <a:ln w="3175">
                <a:solidFill>
                  <a:schemeClr val="lt1"/>
                </a:solidFill>
              </a:ln>
              <a:effectLst/>
            </c:spPr>
          </c:dPt>
          <c:dPt>
            <c:idx val="2"/>
            <c:bubble3D val="0"/>
            <c:spPr>
              <a:solidFill>
                <a:schemeClr val="accent3"/>
              </a:solidFill>
              <a:ln w="3175">
                <a:solidFill>
                  <a:schemeClr val="lt1"/>
                </a:solidFill>
              </a:ln>
              <a:effectLst/>
            </c:spPr>
          </c:dPt>
          <c:dPt>
            <c:idx val="3"/>
            <c:bubble3D val="0"/>
            <c:spPr>
              <a:solidFill>
                <a:schemeClr val="accent4"/>
              </a:solidFill>
              <a:ln w="3175">
                <a:solidFill>
                  <a:schemeClr val="lt1"/>
                </a:solidFill>
              </a:ln>
              <a:effectLst/>
            </c:spPr>
          </c:dPt>
          <c:dPt>
            <c:idx val="4"/>
            <c:bubble3D val="0"/>
            <c:spPr>
              <a:solidFill>
                <a:schemeClr val="accent6"/>
              </a:solidFill>
              <a:ln w="3175">
                <a:solidFill>
                  <a:schemeClr val="lt1"/>
                </a:solidFill>
              </a:ln>
              <a:effectLst/>
            </c:spPr>
          </c:dPt>
          <c:dLbls>
            <c:dLbl>
              <c:idx val="0"/>
              <c:layout>
                <c:manualLayout>
                  <c:x val="0.14783093151091964"/>
                  <c:y val="-0.162282749675745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1923686425989204"/>
                  <c:y val="7.2100656678615566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6.2892772247808579E-2"/>
                  <c:y val="0.1904453772072265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705897135198526"/>
                      <c:h val="0.18653716923516855"/>
                    </c:manualLayout>
                  </c15:layout>
                </c:ext>
              </c:extLst>
            </c:dLbl>
            <c:dLbl>
              <c:idx val="3"/>
              <c:layout>
                <c:manualLayout>
                  <c:x val="-0.18867935441229225"/>
                  <c:y val="0.15206511637407188"/>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205145347397611"/>
                      <c:h val="0.15434500648508431"/>
                    </c:manualLayout>
                  </c15:layout>
                </c:ext>
              </c:extLst>
            </c:dLbl>
            <c:dLbl>
              <c:idx val="4"/>
              <c:layout>
                <c:manualLayout>
                  <c:x val="-7.0754716981132074E-2"/>
                  <c:y val="1.2243430660661485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707547169811323"/>
                      <c:h val="0.1491569390402075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PC</c:v>
                </c:pt>
                <c:pt idx="1">
                  <c:v>EC</c:v>
                </c:pt>
                <c:pt idx="2">
                  <c:v>AS</c:v>
                </c:pt>
                <c:pt idx="3">
                  <c:v>CR</c:v>
                </c:pt>
                <c:pt idx="4">
                  <c:v>Other</c:v>
                </c:pt>
              </c:strCache>
            </c:strRef>
          </c:cat>
          <c:val>
            <c:numRef>
              <c:f>Sheet1!$B$2:$B$6</c:f>
              <c:numCache>
                <c:formatCode>General</c:formatCode>
                <c:ptCount val="5"/>
                <c:pt idx="0">
                  <c:v>114</c:v>
                </c:pt>
                <c:pt idx="1">
                  <c:v>55</c:v>
                </c:pt>
                <c:pt idx="2">
                  <c:v>39</c:v>
                </c:pt>
                <c:pt idx="3">
                  <c:v>25</c:v>
                </c:pt>
                <c:pt idx="4">
                  <c:v>89</c:v>
                </c:pt>
              </c:numCache>
            </c:numRef>
          </c:val>
        </c:ser>
        <c:dLbls>
          <c:dLblPos val="bestFit"/>
          <c:showLegendKey val="0"/>
          <c:showVal val="1"/>
          <c:showCatName val="0"/>
          <c:showSerName val="0"/>
          <c:showPercent val="0"/>
          <c:showBubbleSize val="0"/>
          <c:showLeaderLines val="1"/>
        </c:dLbls>
        <c:firstSliceAng val="141"/>
      </c:pie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Population by region as</a:t>
            </a:r>
            <a:r>
              <a:rPr lang="en-CA" sz="1200" baseline="0">
                <a:solidFill>
                  <a:sysClr val="windowText" lastClr="000000"/>
                </a:solidFill>
              </a:rPr>
              <a:t> of March 31, 2019 (N=329)</a:t>
            </a:r>
            <a:endParaRPr lang="en-CA" sz="1200">
              <a:solidFill>
                <a:sysClr val="windowText" lastClr="000000"/>
              </a:solidFill>
            </a:endParaRPr>
          </a:p>
        </c:rich>
      </c:tx>
      <c:layout>
        <c:manualLayout>
          <c:xMode val="edge"/>
          <c:yMode val="edge"/>
          <c:x val="0.1519008247766335"/>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4.3280593446945889E-2"/>
          <c:y val="0.29300321125920964"/>
          <c:w val="0.8981066627234976"/>
          <c:h val="0.59516739173483535"/>
        </c:manualLayout>
      </c:layout>
      <c:pieChart>
        <c:varyColors val="1"/>
        <c:ser>
          <c:idx val="0"/>
          <c:order val="0"/>
          <c:tx>
            <c:strRef>
              <c:f>Sheet1!$B$1</c:f>
              <c:strCache>
                <c:ptCount val="1"/>
                <c:pt idx="0">
                  <c:v>Population by Language Requirements as of March 31, 2016</c:v>
                </c:pt>
              </c:strCache>
            </c:strRef>
          </c:tx>
          <c:dPt>
            <c:idx val="0"/>
            <c:bubble3D val="0"/>
            <c:spPr>
              <a:solidFill>
                <a:schemeClr val="accent2"/>
              </a:solidFill>
              <a:ln>
                <a:noFill/>
              </a:ln>
              <a:effectLst>
                <a:outerShdw blurRad="57150" dist="19050" dir="5400000" algn="ctr" rotWithShape="0">
                  <a:srgbClr val="000000">
                    <a:alpha val="63000"/>
                  </a:srgbClr>
                </a:outerShdw>
              </a:effectLst>
            </c:spPr>
          </c:dPt>
          <c:dPt>
            <c:idx val="1"/>
            <c:bubble3D val="0"/>
            <c:spPr>
              <a:solidFill>
                <a:schemeClr val="accent1"/>
              </a:solidFill>
              <a:ln>
                <a:noFill/>
              </a:ln>
              <a:effectLst>
                <a:outerShdw blurRad="57150" dist="19050" dir="5400000" algn="ctr" rotWithShape="0">
                  <a:srgbClr val="000000">
                    <a:alpha val="63000"/>
                  </a:srgbClr>
                </a:outerShdw>
              </a:effectLst>
            </c:spPr>
          </c:dPt>
          <c:dLbls>
            <c:dLbl>
              <c:idx val="0"/>
              <c:layout>
                <c:manualLayout>
                  <c:x val="0.24198261344499566"/>
                  <c:y val="-0.12963443090484833"/>
                </c:manualLayout>
              </c:layout>
              <c:showLegendKey val="0"/>
              <c:showVal val="0"/>
              <c:showCatName val="1"/>
              <c:showSerName val="0"/>
              <c:showPercent val="1"/>
              <c:showBubbleSize val="0"/>
              <c:extLst>
                <c:ext xmlns:c15="http://schemas.microsoft.com/office/drawing/2012/chart" uri="{CE6537A1-D6FC-4f65-9D91-7224C49458BB}">
                  <c15:layout/>
                </c:ext>
              </c:extLst>
            </c:dLbl>
            <c:dLbl>
              <c:idx val="1"/>
              <c:layout>
                <c:manualLayout>
                  <c:x val="-8.5601626386297161E-2"/>
                  <c:y val="0.17479743344241674"/>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9828076403744322"/>
                      <c:h val="0.19315530204822404"/>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NCR</c:v>
                </c:pt>
                <c:pt idx="1">
                  <c:v>Non-NCR</c:v>
                </c:pt>
              </c:strCache>
            </c:strRef>
          </c:cat>
          <c:val>
            <c:numRef>
              <c:f>Sheet1!$B$2:$B$3</c:f>
              <c:numCache>
                <c:formatCode>0</c:formatCode>
                <c:ptCount val="2"/>
                <c:pt idx="0">
                  <c:v>226</c:v>
                </c:pt>
                <c:pt idx="1">
                  <c:v>101</c:v>
                </c:pt>
              </c:numCache>
            </c:numRef>
          </c:val>
        </c:ser>
        <c:dLbls>
          <c:showLegendKey val="0"/>
          <c:showVal val="0"/>
          <c:showCatName val="0"/>
          <c:showSerName val="0"/>
          <c:showPercent val="0"/>
          <c:showBubbleSize val="0"/>
          <c:showLeaderLines val="1"/>
        </c:dLbls>
        <c:firstSliceAng val="111"/>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a:solidFill>
                  <a:sysClr val="windowText" lastClr="000000"/>
                </a:solidFill>
              </a:rPr>
              <a:t>External</a:t>
            </a:r>
            <a:r>
              <a:rPr lang="en-US" sz="1200" baseline="0">
                <a:solidFill>
                  <a:sysClr val="windowText" lastClr="000000"/>
                </a:solidFill>
              </a:rPr>
              <a:t> indeterminate hires by </a:t>
            </a:r>
          </a:p>
          <a:p>
            <a:pPr>
              <a:defRPr sz="1200" b="1">
                <a:solidFill>
                  <a:sysClr val="windowText" lastClr="000000"/>
                </a:solidFill>
              </a:defRPr>
            </a:pPr>
            <a:r>
              <a:rPr lang="en-US" sz="1200" baseline="0">
                <a:solidFill>
                  <a:sysClr val="windowText" lastClr="000000"/>
                </a:solidFill>
              </a:rPr>
              <a:t>occupational</a:t>
            </a:r>
            <a:r>
              <a:rPr lang="en-US" sz="1200">
                <a:solidFill>
                  <a:sysClr val="windowText" lastClr="000000"/>
                </a:solidFill>
              </a:rPr>
              <a:t> group,</a:t>
            </a:r>
          </a:p>
          <a:p>
            <a:pPr>
              <a:defRPr sz="1200" b="1">
                <a:solidFill>
                  <a:sysClr val="windowText" lastClr="000000"/>
                </a:solidFill>
              </a:defRPr>
            </a:pPr>
            <a:r>
              <a:rPr lang="en-US" sz="1200">
                <a:solidFill>
                  <a:sysClr val="windowText" lastClr="000000"/>
                </a:solidFill>
              </a:rPr>
              <a:t> 2018-19 (N=25)</a:t>
            </a:r>
          </a:p>
        </c:rich>
      </c:tx>
      <c:layout>
        <c:manualLayout>
          <c:xMode val="edge"/>
          <c:yMode val="edge"/>
          <c:x val="0.14968643412327082"/>
          <c:y val="2.5746584826502987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8362366346284976E-2"/>
          <c:y val="0.38659874048936727"/>
          <c:w val="0.8966533531134695"/>
          <c:h val="0.48715812098290862"/>
        </c:manualLayout>
      </c:layout>
      <c:doughnutChart>
        <c:varyColors val="1"/>
        <c:ser>
          <c:idx val="0"/>
          <c:order val="0"/>
          <c:tx>
            <c:strRef>
              <c:f>Sheet1!$B$1</c:f>
              <c:strCache>
                <c:ptCount val="1"/>
                <c:pt idx="0">
                  <c:v>Population by Language Requirements as of March 31, 2016</c:v>
                </c:pt>
              </c:strCache>
            </c:strRef>
          </c:tx>
          <c:spPr>
            <a:solidFill>
              <a:schemeClr val="accent1"/>
            </a:solidFill>
            <a:ln w="6350"/>
          </c:spPr>
          <c:dPt>
            <c:idx val="0"/>
            <c:bubble3D val="0"/>
            <c:spPr>
              <a:solidFill>
                <a:schemeClr val="accent1"/>
              </a:solidFill>
              <a:ln w="6350">
                <a:solidFill>
                  <a:schemeClr val="lt1"/>
                </a:solidFill>
              </a:ln>
              <a:effectLst/>
            </c:spPr>
          </c:dPt>
          <c:dPt>
            <c:idx val="1"/>
            <c:bubble3D val="0"/>
            <c:spPr>
              <a:solidFill>
                <a:schemeClr val="accent4"/>
              </a:solidFill>
              <a:ln w="6350">
                <a:solidFill>
                  <a:schemeClr val="lt1"/>
                </a:solidFill>
              </a:ln>
              <a:effectLst/>
            </c:spPr>
          </c:dPt>
          <c:dPt>
            <c:idx val="2"/>
            <c:bubble3D val="0"/>
            <c:spPr>
              <a:solidFill>
                <a:schemeClr val="accent2"/>
              </a:solidFill>
              <a:ln w="6350">
                <a:solidFill>
                  <a:schemeClr val="lt1"/>
                </a:solidFill>
              </a:ln>
              <a:effectLst/>
            </c:spPr>
          </c:dPt>
          <c:dPt>
            <c:idx val="3"/>
            <c:bubble3D val="0"/>
            <c:spPr>
              <a:solidFill>
                <a:schemeClr val="bg1">
                  <a:lumMod val="65000"/>
                </a:schemeClr>
              </a:solidFill>
              <a:ln w="6350">
                <a:solidFill>
                  <a:schemeClr val="lt1"/>
                </a:solidFill>
              </a:ln>
              <a:effectLst/>
            </c:spPr>
          </c:dPt>
          <c:dPt>
            <c:idx val="4"/>
            <c:bubble3D val="0"/>
            <c:spPr>
              <a:solidFill>
                <a:schemeClr val="accent6"/>
              </a:solidFill>
              <a:ln w="63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ln>
                      <a:noFill/>
                    </a:ln>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Sheet1!$A$2:$A$6</c:f>
              <c:strCache>
                <c:ptCount val="5"/>
                <c:pt idx="0">
                  <c:v>EC</c:v>
                </c:pt>
                <c:pt idx="1">
                  <c:v>CR</c:v>
                </c:pt>
                <c:pt idx="2">
                  <c:v>PC</c:v>
                </c:pt>
                <c:pt idx="3">
                  <c:v>AS</c:v>
                </c:pt>
                <c:pt idx="4">
                  <c:v>Other</c:v>
                </c:pt>
              </c:strCache>
            </c:strRef>
          </c:cat>
          <c:val>
            <c:numRef>
              <c:f>Sheet1!$B$2:$B$6</c:f>
              <c:numCache>
                <c:formatCode>General</c:formatCode>
                <c:ptCount val="5"/>
                <c:pt idx="0">
                  <c:v>7</c:v>
                </c:pt>
                <c:pt idx="1">
                  <c:v>6</c:v>
                </c:pt>
                <c:pt idx="2">
                  <c:v>5</c:v>
                </c:pt>
                <c:pt idx="3">
                  <c:v>4</c:v>
                </c:pt>
                <c:pt idx="4">
                  <c:v>3</c:v>
                </c:pt>
              </c:numCache>
            </c:numRef>
          </c:val>
        </c:ser>
        <c:dLbls>
          <c:showLegendKey val="0"/>
          <c:showVal val="1"/>
          <c:showCatName val="0"/>
          <c:showSerName val="0"/>
          <c:showPercent val="0"/>
          <c:showBubbleSize val="0"/>
          <c:showLeaderLines val="1"/>
        </c:dLbls>
        <c:firstSliceAng val="120"/>
        <c:holeSize val="50"/>
      </c:doughnut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region</a:t>
            </a:r>
          </a:p>
        </c:rich>
      </c:tx>
      <c:layout>
        <c:manualLayout>
          <c:xMode val="edge"/>
          <c:yMode val="edge"/>
          <c:x val="0.38853589338432187"/>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87844058759671"/>
          <c:y val="9.4894492045412282E-2"/>
          <c:w val="0.84333349635643373"/>
          <c:h val="0.55474858103818014"/>
        </c:manualLayout>
      </c:layout>
      <c:barChart>
        <c:barDir val="col"/>
        <c:grouping val="clustered"/>
        <c:varyColors val="0"/>
        <c:ser>
          <c:idx val="0"/>
          <c:order val="0"/>
          <c:tx>
            <c:strRef>
              <c:f>Sheet1!$B$1</c:f>
              <c:strCache>
                <c:ptCount val="1"/>
                <c:pt idx="0">
                  <c:v>National Capital Region (NCR)</c:v>
                </c:pt>
              </c:strCache>
            </c:strRef>
          </c:tx>
          <c:spPr>
            <a:solidFill>
              <a:schemeClr val="accent2"/>
            </a:soli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3957784101821655E-3"/>
                  <c:y val="6.9966765786251533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8428632284838744E-3"/>
                  <c:y val="1.39933531572502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9.0458066355896209E-3"/>
                  <c:y val="1.04950148679377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0225570473313892E-3"/>
                  <c:y val="1.441508196992255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Sheet1!$B$2:$B$6</c:f>
              <c:numCache>
                <c:formatCode>0%</c:formatCode>
                <c:ptCount val="5"/>
                <c:pt idx="0">
                  <c:v>0.6</c:v>
                </c:pt>
                <c:pt idx="1">
                  <c:v>0.72</c:v>
                </c:pt>
                <c:pt idx="2">
                  <c:v>0.66</c:v>
                </c:pt>
                <c:pt idx="3">
                  <c:v>0.75</c:v>
                </c:pt>
                <c:pt idx="4">
                  <c:v>0.73</c:v>
                </c:pt>
              </c:numCache>
            </c:numRef>
          </c:val>
        </c:ser>
        <c:ser>
          <c:idx val="1"/>
          <c:order val="1"/>
          <c:tx>
            <c:strRef>
              <c:f>Sheet1!$C$1</c:f>
              <c:strCache>
                <c:ptCount val="1"/>
                <c:pt idx="0">
                  <c:v>Outside the National Capital Region (Non-NCR)</c:v>
                </c:pt>
              </c:strCache>
            </c:strRef>
          </c:tx>
          <c:spPr>
            <a:solidFill>
              <a:schemeClr val="accent1"/>
            </a:solidFill>
            <a:ln>
              <a:noFill/>
            </a:ln>
            <a:effectLst>
              <a:outerShdw blurRad="57150" dist="19050" dir="5400000" algn="ctr" rotWithShape="0">
                <a:srgbClr val="000000">
                  <a:alpha val="63000"/>
                </a:srgbClr>
              </a:outerShdw>
            </a:effectLst>
          </c:spPr>
          <c:invertIfNegative val="0"/>
          <c:dLbls>
            <c:dLbl>
              <c:idx val="0"/>
              <c:layout>
                <c:manualLayout>
                  <c:x val="1.1496761352724479E-2"/>
                  <c:y val="9.995881877368093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0881331075300664E-2"/>
                  <c:y val="1.133847249328222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2004236720964203E-2"/>
                  <c:y val="1.525853959526705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1086474501108648E-2"/>
                  <c:y val="1.525853959526705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4987109427286113E-2"/>
                  <c:y val="1.399335315725030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Sheet1!$C$2:$C$6</c:f>
              <c:numCache>
                <c:formatCode>0%</c:formatCode>
                <c:ptCount val="5"/>
                <c:pt idx="0">
                  <c:v>0.4</c:v>
                </c:pt>
                <c:pt idx="1">
                  <c:v>0.28000000000000003</c:v>
                </c:pt>
                <c:pt idx="2">
                  <c:v>0.34</c:v>
                </c:pt>
                <c:pt idx="3">
                  <c:v>0.25</c:v>
                </c:pt>
                <c:pt idx="4">
                  <c:v>0.27</c:v>
                </c:pt>
              </c:numCache>
            </c:numRef>
          </c:val>
        </c:ser>
        <c:dLbls>
          <c:showLegendKey val="0"/>
          <c:showVal val="0"/>
          <c:showCatName val="0"/>
          <c:showSerName val="0"/>
          <c:showPercent val="0"/>
          <c:showBubbleSize val="0"/>
        </c:dLbls>
        <c:gapWidth val="150"/>
        <c:axId val="371559952"/>
        <c:axId val="371565440"/>
      </c:barChart>
      <c:catAx>
        <c:axId val="3715599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186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1565440"/>
        <c:crosses val="autoZero"/>
        <c:auto val="1"/>
        <c:lblAlgn val="ctr"/>
        <c:lblOffset val="100"/>
        <c:noMultiLvlLbl val="0"/>
      </c:catAx>
      <c:valAx>
        <c:axId val="371565440"/>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1559952"/>
        <c:crosses val="autoZero"/>
        <c:crossBetween val="between"/>
      </c:valAx>
      <c:spPr>
        <a:noFill/>
        <a:ln>
          <a:noFill/>
        </a:ln>
        <a:effectLst/>
      </c:spPr>
    </c:plotArea>
    <c:legend>
      <c:legendPos val="b"/>
      <c:layout>
        <c:manualLayout>
          <c:xMode val="edge"/>
          <c:yMode val="edge"/>
          <c:x val="0.15808585179624168"/>
          <c:y val="0.7746207952797225"/>
          <c:w val="0.71052254831782391"/>
          <c:h val="0.1163205744987666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process type</a:t>
            </a:r>
          </a:p>
        </c:rich>
      </c:tx>
      <c:layout>
        <c:manualLayout>
          <c:xMode val="edge"/>
          <c:yMode val="edge"/>
          <c:x val="0.34581522859380798"/>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87844058759671"/>
          <c:y val="8.7897815466787141E-2"/>
          <c:w val="0.84333349635643373"/>
          <c:h val="0.56174525761680527"/>
        </c:manualLayout>
      </c:layout>
      <c:barChart>
        <c:barDir val="col"/>
        <c:grouping val="clustered"/>
        <c:varyColors val="0"/>
        <c:ser>
          <c:idx val="0"/>
          <c:order val="0"/>
          <c:tx>
            <c:strRef>
              <c:f>Sheet1!$B$1</c:f>
              <c:strCache>
                <c:ptCount val="1"/>
                <c:pt idx="0">
                  <c:v>Non-advertised (excludes unknowns)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1.5277777777777793E-2"/>
                  <c:y val="2.09900297358754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7507928696412947E-2"/>
                  <c:y val="2.09900297358754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5259459755030621E-2"/>
                  <c:y val="1.39933531572502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2518044619422573E-2"/>
                  <c:y val="1.399335315725030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3877405949257609E-3"/>
                  <c:y val="1.791342025923509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Sheet1!$B$2:$B$6</c:f>
              <c:numCache>
                <c:formatCode>#\ ###</c:formatCode>
                <c:ptCount val="5"/>
                <c:pt idx="0">
                  <c:v>17</c:v>
                </c:pt>
                <c:pt idx="1">
                  <c:v>17</c:v>
                </c:pt>
                <c:pt idx="2">
                  <c:v>14</c:v>
                </c:pt>
                <c:pt idx="3">
                  <c:v>37</c:v>
                </c:pt>
                <c:pt idx="4">
                  <c:v>59</c:v>
                </c:pt>
              </c:numCache>
            </c:numRef>
          </c:val>
        </c:ser>
        <c:ser>
          <c:idx val="1"/>
          <c:order val="1"/>
          <c:tx>
            <c:strRef>
              <c:f>Sheet1!$C$1</c:f>
              <c:strCache>
                <c:ptCount val="1"/>
                <c:pt idx="0">
                  <c:v>Advertised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5085848643919512E-3"/>
                  <c:y val="1.699255845599321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4541776027996502E-3"/>
                  <c:y val="1.483681078259480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548748815417E-3"/>
                  <c:y val="1.525853959526705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1.52585395952670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4902668416447943E-3"/>
                  <c:y val="1.0495014867937729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Sheet1!$C$2:$C$6</c:f>
              <c:numCache>
                <c:formatCode>#\ ###</c:formatCode>
                <c:ptCount val="5"/>
                <c:pt idx="0">
                  <c:v>33</c:v>
                </c:pt>
                <c:pt idx="1">
                  <c:v>34</c:v>
                </c:pt>
                <c:pt idx="2">
                  <c:v>77</c:v>
                </c:pt>
                <c:pt idx="3">
                  <c:v>56</c:v>
                </c:pt>
                <c:pt idx="4">
                  <c:v>59</c:v>
                </c:pt>
              </c:numCache>
            </c:numRef>
          </c:val>
        </c:ser>
        <c:dLbls>
          <c:showLegendKey val="0"/>
          <c:showVal val="0"/>
          <c:showCatName val="0"/>
          <c:showSerName val="0"/>
          <c:showPercent val="0"/>
          <c:showBubbleSize val="0"/>
        </c:dLbls>
        <c:gapWidth val="150"/>
        <c:axId val="371564656"/>
        <c:axId val="371562304"/>
      </c:barChart>
      <c:lineChart>
        <c:grouping val="standard"/>
        <c:varyColors val="0"/>
        <c:ser>
          <c:idx val="2"/>
          <c:order val="2"/>
          <c:tx>
            <c:strRef>
              <c:f>Sheet1!$D$1</c:f>
              <c:strCache>
                <c:ptCount val="1"/>
                <c:pt idx="0">
                  <c:v>% of Non- advertised</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9.9323326771653564E-2"/>
                  <c:y val="-9.7107638703936381E-3"/>
                </c:manualLayout>
              </c:layout>
              <c:showLegendKey val="0"/>
              <c:showVal val="1"/>
              <c:showCatName val="0"/>
              <c:showSerName val="0"/>
              <c:showPercent val="0"/>
              <c:showBubbleSize val="0"/>
              <c:extLst>
                <c:ext xmlns:c15="http://schemas.microsoft.com/office/drawing/2012/chart" uri="{CE6537A1-D6FC-4f65-9D91-7224C49458BB}">
                  <c15:layout>
                    <c:manualLayout>
                      <c:w val="8.1788331146106744E-2"/>
                      <c:h val="6.0862413089728687E-2"/>
                    </c:manualLayout>
                  </c15:layout>
                </c:ext>
              </c:extLst>
            </c:dLbl>
            <c:dLbl>
              <c:idx val="1"/>
              <c:layout>
                <c:manualLayout>
                  <c:x val="-4.8307633420822463E-2"/>
                  <c:y val="-2.394185596487341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8468941382327207E-2"/>
                  <c:y val="9.6468744275602942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9.1648348643919506E-2"/>
                  <c:y val="-1.719474588153305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8578302712160981E-2"/>
                  <c:y val="-1.9835853560110049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Sheet1!$D$2:$D$6</c:f>
              <c:numCache>
                <c:formatCode>0%</c:formatCode>
                <c:ptCount val="5"/>
                <c:pt idx="0">
                  <c:v>0.34</c:v>
                </c:pt>
                <c:pt idx="1">
                  <c:v>0.33</c:v>
                </c:pt>
                <c:pt idx="2">
                  <c:v>0.15</c:v>
                </c:pt>
                <c:pt idx="3">
                  <c:v>0.4</c:v>
                </c:pt>
                <c:pt idx="4">
                  <c:v>0.5</c:v>
                </c:pt>
              </c:numCache>
            </c:numRef>
          </c:val>
          <c:smooth val="0"/>
        </c:ser>
        <c:dLbls>
          <c:showLegendKey val="0"/>
          <c:showVal val="0"/>
          <c:showCatName val="0"/>
          <c:showSerName val="0"/>
          <c:showPercent val="0"/>
          <c:showBubbleSize val="0"/>
        </c:dLbls>
        <c:marker val="1"/>
        <c:smooth val="0"/>
        <c:axId val="371563088"/>
        <c:axId val="371562696"/>
      </c:lineChart>
      <c:catAx>
        <c:axId val="3715646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1562304"/>
        <c:crosses val="autoZero"/>
        <c:auto val="1"/>
        <c:lblAlgn val="ctr"/>
        <c:lblOffset val="100"/>
        <c:noMultiLvlLbl val="0"/>
      </c:catAx>
      <c:valAx>
        <c:axId val="371562304"/>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1564656"/>
        <c:crosses val="autoZero"/>
        <c:crossBetween val="between"/>
      </c:valAx>
      <c:valAx>
        <c:axId val="371562696"/>
        <c:scaling>
          <c:orientation val="minMax"/>
          <c:max val="0.5"/>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1563088"/>
        <c:crosses val="max"/>
        <c:crossBetween val="between"/>
      </c:valAx>
      <c:catAx>
        <c:axId val="371563088"/>
        <c:scaling>
          <c:orientation val="minMax"/>
        </c:scaling>
        <c:delete val="1"/>
        <c:axPos val="b"/>
        <c:numFmt formatCode="General" sourceLinked="1"/>
        <c:majorTickMark val="out"/>
        <c:minorTickMark val="none"/>
        <c:tickLblPos val="nextTo"/>
        <c:crossAx val="371562696"/>
        <c:crosses val="autoZero"/>
        <c:auto val="1"/>
        <c:lblAlgn val="ctr"/>
        <c:lblOffset val="100"/>
        <c:noMultiLvlLbl val="0"/>
      </c:catAx>
      <c:spPr>
        <a:noFill/>
        <a:ln>
          <a:noFill/>
        </a:ln>
        <a:effectLst/>
      </c:spPr>
    </c:plotArea>
    <c:legend>
      <c:legendPos val="b"/>
      <c:layout>
        <c:manualLayout>
          <c:xMode val="edge"/>
          <c:yMode val="edge"/>
          <c:x val="1.3961605584642234E-2"/>
          <c:y val="0.70815236778278368"/>
          <c:w val="0.98603839441535779"/>
          <c:h val="0.111629495674593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appointment type</a:t>
            </a:r>
          </a:p>
        </c:rich>
      </c:tx>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39700040434969"/>
          <c:w val="0.84333349635643373"/>
          <c:h val="0.5659525943872401"/>
        </c:manualLayout>
      </c:layout>
      <c:bar3DChart>
        <c:barDir val="col"/>
        <c:grouping val="clustered"/>
        <c:varyColors val="0"/>
        <c:ser>
          <c:idx val="0"/>
          <c:order val="0"/>
          <c:tx>
            <c:strRef>
              <c:f>Sheet1!$B$1</c:f>
              <c:strCache>
                <c:ptCount val="1"/>
                <c:pt idx="0">
                  <c:v>Promotions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9.6272965879265343E-3"/>
                  <c:y val="2.178526145770232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1111111111111112E-2"/>
                  <c:y val="2.37028063799716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1111111111111162E-2"/>
                  <c:y val="2.388532202705423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8.3333333333333332E-3"/>
                  <c:y val="2.35202907328891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5555555555556572E-3"/>
                  <c:y val="1.978275792449020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(N=156)</c:v>
                </c:pt>
                <c:pt idx="1">
                  <c:v>2015-16
(N=205)</c:v>
                </c:pt>
                <c:pt idx="2">
                  <c:v>2016-17 
(N=264)</c:v>
                </c:pt>
                <c:pt idx="3">
                  <c:v>2017-18
(N=206)</c:v>
                </c:pt>
                <c:pt idx="4">
                  <c:v>2018-19
(N=284)</c:v>
                </c:pt>
              </c:strCache>
            </c:strRef>
          </c:cat>
          <c:val>
            <c:numRef>
              <c:f>Sheet1!$B$3:$B$7</c:f>
              <c:numCache>
                <c:formatCode>#\ ###</c:formatCode>
                <c:ptCount val="5"/>
                <c:pt idx="0">
                  <c:v>19</c:v>
                </c:pt>
                <c:pt idx="1">
                  <c:v>30</c:v>
                </c:pt>
                <c:pt idx="2">
                  <c:v>47</c:v>
                </c:pt>
                <c:pt idx="3">
                  <c:v>49</c:v>
                </c:pt>
                <c:pt idx="4">
                  <c:v>64</c:v>
                </c:pt>
              </c:numCache>
            </c:numRef>
          </c:val>
        </c:ser>
        <c:ser>
          <c:idx val="1"/>
          <c:order val="1"/>
          <c:tx>
            <c:strRef>
              <c:f>Sheet1!$C$1</c:f>
              <c:strCache>
                <c:ptCount val="1"/>
                <c:pt idx="0">
                  <c:v>Lateral and downward movements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1.97827579244902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0925337632079971E-17"/>
                  <c:y val="2.352029073288908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7779E-3"/>
                  <c:y val="2.40678376741368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7779E-3"/>
                  <c:y val="1.996527357157278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7779E-3"/>
                  <c:y val="1.960024227740763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(N=156)</c:v>
                </c:pt>
                <c:pt idx="1">
                  <c:v>2015-16
(N=205)</c:v>
                </c:pt>
                <c:pt idx="2">
                  <c:v>2016-17 
(N=264)</c:v>
                </c:pt>
                <c:pt idx="3">
                  <c:v>2017-18
(N=206)</c:v>
                </c:pt>
                <c:pt idx="4">
                  <c:v>2018-19
(N=284)</c:v>
                </c:pt>
              </c:strCache>
            </c:strRef>
          </c:cat>
          <c:val>
            <c:numRef>
              <c:f>Sheet1!$C$3:$C$7</c:f>
              <c:numCache>
                <c:formatCode>#\ ###</c:formatCode>
                <c:ptCount val="5"/>
                <c:pt idx="0">
                  <c:v>35</c:v>
                </c:pt>
                <c:pt idx="1">
                  <c:v>37</c:v>
                </c:pt>
                <c:pt idx="2">
                  <c:v>57</c:v>
                </c:pt>
                <c:pt idx="3">
                  <c:v>45</c:v>
                </c:pt>
                <c:pt idx="4">
                  <c:v>52</c:v>
                </c:pt>
              </c:numCache>
            </c:numRef>
          </c:val>
        </c:ser>
        <c:ser>
          <c:idx val="2"/>
          <c:order val="2"/>
          <c:tx>
            <c:strRef>
              <c:f>Sheet1!$D$1</c:f>
              <c:strCache>
                <c:ptCount val="1"/>
                <c:pt idx="0">
                  <c:v>Appointments to the public service  (includes casuals and students)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01477892186553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9492563429571303E-3"/>
                  <c:y val="2.021013527155255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7779E-3"/>
                  <c:y val="1.97827579244902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6062992125984253E-3"/>
                  <c:y val="2.388532202705429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(N=156)</c:v>
                </c:pt>
                <c:pt idx="1">
                  <c:v>2015-16
(N=205)</c:v>
                </c:pt>
                <c:pt idx="2">
                  <c:v>2016-17 
(N=264)</c:v>
                </c:pt>
                <c:pt idx="3">
                  <c:v>2017-18
(N=206)</c:v>
                </c:pt>
                <c:pt idx="4">
                  <c:v>2018-19
(N=284)</c:v>
                </c:pt>
              </c:strCache>
            </c:strRef>
          </c:cat>
          <c:val>
            <c:numRef>
              <c:f>Sheet1!$D$3:$D$7</c:f>
              <c:numCache>
                <c:formatCode>#\ ###</c:formatCode>
                <c:ptCount val="5"/>
                <c:pt idx="0">
                  <c:v>73</c:v>
                </c:pt>
                <c:pt idx="1">
                  <c:v>104</c:v>
                </c:pt>
                <c:pt idx="2">
                  <c:v>123</c:v>
                </c:pt>
                <c:pt idx="3">
                  <c:v>88</c:v>
                </c:pt>
                <c:pt idx="4">
                  <c:v>136</c:v>
                </c:pt>
              </c:numCache>
            </c:numRef>
          </c:val>
        </c:ser>
        <c:ser>
          <c:idx val="3"/>
          <c:order val="3"/>
          <c:tx>
            <c:strRef>
              <c:f>Sheet1!$E$1</c:f>
              <c:strCache>
                <c:ptCount val="1"/>
                <c:pt idx="0">
                  <c:v>Acting appointments (excludes appointments of less than 4 months)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1.54976781748435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55555555555558E-3"/>
                  <c:y val="2.033030486573793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7779E-3"/>
                  <c:y val="2.069533615990308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6062992125984253E-3"/>
                  <c:y val="2.0392650918635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6062992125983234E-3"/>
                  <c:y val="2.388532202705431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(N=156)</c:v>
                </c:pt>
                <c:pt idx="1">
                  <c:v>2015-16
(N=205)</c:v>
                </c:pt>
                <c:pt idx="2">
                  <c:v>2016-17 
(N=264)</c:v>
                </c:pt>
                <c:pt idx="3">
                  <c:v>2017-18
(N=206)</c:v>
                </c:pt>
                <c:pt idx="4">
                  <c:v>2018-19
(N=284)</c:v>
                </c:pt>
              </c:strCache>
            </c:strRef>
          </c:cat>
          <c:val>
            <c:numRef>
              <c:f>Sheet1!$E$3:$E$7</c:f>
              <c:numCache>
                <c:formatCode>#\ ###</c:formatCode>
                <c:ptCount val="5"/>
                <c:pt idx="0">
                  <c:v>29</c:v>
                </c:pt>
                <c:pt idx="1">
                  <c:v>34</c:v>
                </c:pt>
                <c:pt idx="2">
                  <c:v>37</c:v>
                </c:pt>
                <c:pt idx="3">
                  <c:v>24</c:v>
                </c:pt>
                <c:pt idx="4">
                  <c:v>32</c:v>
                </c:pt>
              </c:numCache>
            </c:numRef>
          </c:val>
        </c:ser>
        <c:dLbls>
          <c:showLegendKey val="0"/>
          <c:showVal val="0"/>
          <c:showCatName val="0"/>
          <c:showSerName val="0"/>
          <c:showPercent val="0"/>
          <c:showBubbleSize val="0"/>
        </c:dLbls>
        <c:gapWidth val="150"/>
        <c:shape val="box"/>
        <c:axId val="371565048"/>
        <c:axId val="217637416"/>
        <c:axId val="0"/>
      </c:bar3DChart>
      <c:catAx>
        <c:axId val="3715650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7637416"/>
        <c:crosses val="autoZero"/>
        <c:auto val="0"/>
        <c:lblAlgn val="ctr"/>
        <c:lblOffset val="100"/>
        <c:noMultiLvlLbl val="0"/>
      </c:catAx>
      <c:valAx>
        <c:axId val="217637416"/>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1565048"/>
        <c:crosses val="autoZero"/>
        <c:crossBetween val="between"/>
      </c:valAx>
      <c:spPr>
        <a:noFill/>
        <a:ln>
          <a:noFill/>
        </a:ln>
        <a:effectLst/>
      </c:spPr>
    </c:plotArea>
    <c:legend>
      <c:legendPos val="r"/>
      <c:layout>
        <c:manualLayout>
          <c:xMode val="edge"/>
          <c:yMode val="edge"/>
          <c:x val="0"/>
          <c:y val="0.80998182919442763"/>
          <c:w val="1"/>
          <c:h val="0.190018170805572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tenure</a:t>
            </a:r>
          </a:p>
        </c:rich>
      </c:tx>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132759943468605"/>
          <c:w val="0.86277799650043729"/>
          <c:h val="0.57944227740763177"/>
        </c:manualLayout>
      </c:layout>
      <c:bar3DChart>
        <c:barDir val="col"/>
        <c:grouping val="clustered"/>
        <c:varyColors val="0"/>
        <c:ser>
          <c:idx val="0"/>
          <c:order val="0"/>
          <c:tx>
            <c:strRef>
              <c:f>Sheet1!$B$1</c:f>
              <c:strCache>
                <c:ptCount val="1"/>
                <c:pt idx="0">
                  <c:v>Indeterminate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803E-3"/>
                  <c:y val="1.960024227740763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96001568012544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8798E-3"/>
                  <c:y val="1.960015680125433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8798E-3"/>
                  <c:y val="1.97827579244901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8798E-3"/>
                  <c:y val="1.960024227740761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(N=156)</c:v>
                </c:pt>
                <c:pt idx="1">
                  <c:v>2015-16
 (N=205)</c:v>
                </c:pt>
                <c:pt idx="2">
                  <c:v>2016-17
 (N=264)</c:v>
                </c:pt>
                <c:pt idx="3">
                  <c:v>2017-18
 (N=206)</c:v>
                </c:pt>
                <c:pt idx="4">
                  <c:v>2018-19
 (N=284)</c:v>
                </c:pt>
              </c:strCache>
            </c:strRef>
          </c:cat>
          <c:val>
            <c:numRef>
              <c:f>Sheet1!$B$2:$B$6</c:f>
              <c:numCache>
                <c:formatCode>#\ ###</c:formatCode>
                <c:ptCount val="5"/>
                <c:pt idx="0">
                  <c:v>75</c:v>
                </c:pt>
                <c:pt idx="1">
                  <c:v>97</c:v>
                </c:pt>
                <c:pt idx="2">
                  <c:v>147</c:v>
                </c:pt>
                <c:pt idx="3">
                  <c:v>128</c:v>
                </c:pt>
                <c:pt idx="4">
                  <c:v>166</c:v>
                </c:pt>
              </c:numCache>
            </c:numRef>
          </c:val>
        </c:ser>
        <c:ser>
          <c:idx val="1"/>
          <c:order val="1"/>
          <c:tx>
            <c:strRef>
              <c:f>Sheet1!$C$1</c:f>
              <c:strCache>
                <c:ptCount val="1"/>
                <c:pt idx="0">
                  <c:v>Term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2.352029073288908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777777777777779E-3"/>
                  <c:y val="2.42503533212193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555555555556572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(N=156)</c:v>
                </c:pt>
                <c:pt idx="1">
                  <c:v>2015-16
 (N=205)</c:v>
                </c:pt>
                <c:pt idx="2">
                  <c:v>2016-17
 (N=264)</c:v>
                </c:pt>
                <c:pt idx="3">
                  <c:v>2017-18
 (N=206)</c:v>
                </c:pt>
                <c:pt idx="4">
                  <c:v>2018-19
 (N=284)</c:v>
                </c:pt>
              </c:strCache>
            </c:strRef>
          </c:cat>
          <c:val>
            <c:numRef>
              <c:f>Sheet1!$C$2:$C$6</c:f>
              <c:numCache>
                <c:formatCode>#\ ###</c:formatCode>
                <c:ptCount val="5"/>
                <c:pt idx="0">
                  <c:v>22</c:v>
                </c:pt>
                <c:pt idx="1">
                  <c:v>25</c:v>
                </c:pt>
                <c:pt idx="2">
                  <c:v>39</c:v>
                </c:pt>
                <c:pt idx="3">
                  <c:v>23</c:v>
                </c:pt>
                <c:pt idx="4">
                  <c:v>41</c:v>
                </c:pt>
              </c:numCache>
            </c:numRef>
          </c:val>
        </c:ser>
        <c:ser>
          <c:idx val="2"/>
          <c:order val="2"/>
          <c:tx>
            <c:strRef>
              <c:f>Sheet1!$D$1</c:f>
              <c:strCache>
                <c:ptCount val="1"/>
                <c:pt idx="0">
                  <c:v>Casual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8.3333333333333332E-3"/>
                  <c:y val="2.03303048657378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0925337632079971E-17"/>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5555555555555558E-3"/>
                  <c:y val="1.960024227740755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7779E-3"/>
                  <c:y val="2.37028063799716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7779E-3"/>
                  <c:y val="2.388532202705423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(N=156)</c:v>
                </c:pt>
                <c:pt idx="1">
                  <c:v>2015-16
 (N=205)</c:v>
                </c:pt>
                <c:pt idx="2">
                  <c:v>2016-17
 (N=264)</c:v>
                </c:pt>
                <c:pt idx="3">
                  <c:v>2017-18
 (N=206)</c:v>
                </c:pt>
                <c:pt idx="4">
                  <c:v>2018-19
 (N=284)</c:v>
                </c:pt>
              </c:strCache>
            </c:strRef>
          </c:cat>
          <c:val>
            <c:numRef>
              <c:f>Sheet1!$D$2:$D$6</c:f>
              <c:numCache>
                <c:formatCode>#\ ###</c:formatCode>
                <c:ptCount val="5"/>
                <c:pt idx="0">
                  <c:v>42</c:v>
                </c:pt>
                <c:pt idx="1">
                  <c:v>61</c:v>
                </c:pt>
                <c:pt idx="2">
                  <c:v>55</c:v>
                </c:pt>
                <c:pt idx="3">
                  <c:v>39</c:v>
                </c:pt>
                <c:pt idx="4">
                  <c:v>53</c:v>
                </c:pt>
              </c:numCache>
            </c:numRef>
          </c:val>
        </c:ser>
        <c:ser>
          <c:idx val="3"/>
          <c:order val="3"/>
          <c:tx>
            <c:strRef>
              <c:f>Sheet1!$E$1</c:f>
              <c:strCache>
                <c:ptCount val="1"/>
                <c:pt idx="0">
                  <c:v>Student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425035332121946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777777777777779E-3"/>
                  <c:y val="2.35202907328892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676E-3"/>
                  <c:y val="2.35202907328891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555555555554534E-3"/>
                  <c:y val="2.40678376741368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5555555555554534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(N=156)</c:v>
                </c:pt>
                <c:pt idx="1">
                  <c:v>2015-16
 (N=205)</c:v>
                </c:pt>
                <c:pt idx="2">
                  <c:v>2016-17
 (N=264)</c:v>
                </c:pt>
                <c:pt idx="3">
                  <c:v>2017-18
 (N=206)</c:v>
                </c:pt>
                <c:pt idx="4">
                  <c:v>2018-19
 (N=284)</c:v>
                </c:pt>
              </c:strCache>
            </c:strRef>
          </c:cat>
          <c:val>
            <c:numRef>
              <c:f>Sheet1!$E$2:$E$6</c:f>
              <c:numCache>
                <c:formatCode>#\ ###</c:formatCode>
                <c:ptCount val="5"/>
                <c:pt idx="0">
                  <c:v>17</c:v>
                </c:pt>
                <c:pt idx="1">
                  <c:v>22</c:v>
                </c:pt>
                <c:pt idx="2">
                  <c:v>23</c:v>
                </c:pt>
                <c:pt idx="3">
                  <c:v>16</c:v>
                </c:pt>
                <c:pt idx="4">
                  <c:v>24</c:v>
                </c:pt>
              </c:numCache>
            </c:numRef>
          </c:val>
        </c:ser>
        <c:dLbls>
          <c:showLegendKey val="0"/>
          <c:showVal val="1"/>
          <c:showCatName val="0"/>
          <c:showSerName val="0"/>
          <c:showPercent val="0"/>
          <c:showBubbleSize val="0"/>
        </c:dLbls>
        <c:gapWidth val="150"/>
        <c:shape val="box"/>
        <c:axId val="374174256"/>
        <c:axId val="374175824"/>
        <c:axId val="0"/>
      </c:bar3DChart>
      <c:catAx>
        <c:axId val="3741742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4175824"/>
        <c:crosses val="autoZero"/>
        <c:auto val="1"/>
        <c:lblAlgn val="ctr"/>
        <c:lblOffset val="100"/>
        <c:noMultiLvlLbl val="0"/>
      </c:catAx>
      <c:valAx>
        <c:axId val="374175824"/>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4174256"/>
        <c:crosses val="autoZero"/>
        <c:crossBetween val="between"/>
      </c:valAx>
      <c:spPr>
        <a:noFill/>
        <a:ln>
          <a:noFill/>
        </a:ln>
        <a:effectLst/>
      </c:spPr>
    </c:plotArea>
    <c:legend>
      <c:legendPos val="r"/>
      <c:layout>
        <c:manualLayout>
          <c:xMode val="edge"/>
          <c:yMode val="edge"/>
          <c:x val="8.3333333333333329E-2"/>
          <c:y val="0.81526638400969109"/>
          <c:w val="0.84867125984251957"/>
          <c:h val="0.1437079749646678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t>Unknowns= 68</a:t>
          </a:r>
        </a:p>
      </cdr:txBody>
    </cdr:sp>
  </cdr:relSizeAnchor>
</c:userShapes>
</file>

<file path=word/drawings/drawing2.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t>Unknowns= 2</a:t>
          </a:r>
        </a:p>
      </cdr:txBody>
    </cdr:sp>
  </cdr:relSizeAnchor>
</c:userShapes>
</file>

<file path=word/drawings/drawing3.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850"/>
            <a:t>-Regional distribution excludes unknowns</a:t>
          </a:r>
        </a:p>
      </cdr:txBody>
    </cdr:sp>
  </cdr:relSizeAnchor>
</c:userShapes>
</file>

<file path=word/drawings/drawing4.xml><?xml version="1.0" encoding="utf-8"?>
<c:userShapes xmlns:c="http://schemas.openxmlformats.org/drawingml/2006/chart">
  <cdr:relSizeAnchor xmlns:cdr="http://schemas.openxmlformats.org/drawingml/2006/chartDrawing">
    <cdr:from>
      <cdr:x>0.01772</cdr:x>
      <cdr:y>0.81861</cdr:y>
    </cdr:from>
    <cdr:to>
      <cdr:x>0.9823</cdr:x>
      <cdr:y>1</cdr:y>
    </cdr:to>
    <cdr:sp macro="" textlink="">
      <cdr:nvSpPr>
        <cdr:cNvPr id="2" name="Text Box 1"/>
        <cdr:cNvSpPr txBox="1"/>
      </cdr:nvSpPr>
      <cdr:spPr>
        <a:xfrm xmlns:a="http://schemas.openxmlformats.org/drawingml/2006/main">
          <a:off x="64475" y="2971800"/>
          <a:ext cx="3509673" cy="6584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700"/>
            <a:t>-</a:t>
          </a:r>
          <a:r>
            <a:rPr lang="en-CA" sz="700" baseline="0"/>
            <a:t>Includes indeterminate and specified term appointments</a:t>
          </a:r>
        </a:p>
        <a:p xmlns:a="http://schemas.openxmlformats.org/drawingml/2006/main">
          <a:pPr>
            <a:lnSpc>
              <a:spcPts val="900"/>
            </a:lnSpc>
          </a:pPr>
          <a:r>
            <a:rPr lang="en-CA" sz="700" baseline="0"/>
            <a:t>-Excludes lateral and downward movements, deployments and acting appointments  of less than 4 months</a:t>
          </a:r>
        </a:p>
        <a:p xmlns:a="http://schemas.openxmlformats.org/drawingml/2006/main">
          <a:pPr>
            <a:lnSpc>
              <a:spcPts val="900"/>
            </a:lnSpc>
          </a:pPr>
          <a:r>
            <a:rPr lang="en-CA" sz="700" baseline="0"/>
            <a:t>- Includes only appointments where the staffing process type is known </a:t>
          </a:r>
          <a:r>
            <a:rPr lang="en-CA" sz="700" baseline="0">
              <a:solidFill>
                <a:sysClr val="windowText" lastClr="000000"/>
              </a:solidFill>
            </a:rPr>
            <a:t>(60% to 88</a:t>
          </a:r>
          <a:r>
            <a:rPr lang="en-CA" sz="700" baseline="0"/>
            <a:t>% of appointments)</a:t>
          </a:r>
          <a:endParaRPr lang="en-CA" sz="700"/>
        </a:p>
      </cdr:txBody>
    </cdr:sp>
  </cdr:relSizeAnchor>
</c:userShapes>
</file>

<file path=word/drawings/drawing5.xml><?xml version="1.0" encoding="utf-8"?>
<c:userShapes xmlns:c="http://schemas.openxmlformats.org/drawingml/2006/chart">
  <cdr:relSizeAnchor xmlns:cdr="http://schemas.openxmlformats.org/drawingml/2006/chartDrawing">
    <cdr:from>
      <cdr:x>0.00086</cdr:x>
      <cdr:y>0.85764</cdr:y>
    </cdr:from>
    <cdr:to>
      <cdr:x>0.89136</cdr:x>
      <cdr:y>1</cdr:y>
    </cdr:to>
    <cdr:sp macro="" textlink="">
      <cdr:nvSpPr>
        <cdr:cNvPr id="2" name="Text Box 1" descr="* Indeterminate and term hires with experience in a federal student recruitment program within the last 10 years.&#10;"/>
        <cdr:cNvSpPr txBox="1"/>
      </cdr:nvSpPr>
      <cdr:spPr>
        <a:xfrm xmlns:a="http://schemas.openxmlformats.org/drawingml/2006/main">
          <a:off x="2941" y="2838450"/>
          <a:ext cx="3045042" cy="4711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CA" sz="1100"/>
            <a:t>* </a:t>
          </a:r>
          <a:r>
            <a:rPr lang="en-CA" sz="800"/>
            <a:t>Hires with experience in a federal student recruitment program within the last 10 years</a:t>
          </a:r>
        </a:p>
      </cdr:txBody>
    </cdr:sp>
  </cdr:relSizeAnchor>
</c:userShapes>
</file>

<file path=word/drawings/drawing6.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0.26312</cdr:x>
      <cdr:y>0.20322</cdr:y>
    </cdr:from>
    <cdr:to>
      <cdr:x>0.26451</cdr:x>
      <cdr:y>0.75324</cdr:y>
    </cdr:to>
    <cdr:cxnSp macro="">
      <cdr:nvCxnSpPr>
        <cdr:cNvPr id="5" name="Straight Connector 4" descr="Median line fof the specified organization's internal time to staff graphic"/>
        <cdr:cNvCxnSpPr/>
      </cdr:nvCxnSpPr>
      <cdr:spPr>
        <a:xfrm xmlns:a="http://schemas.openxmlformats.org/drawingml/2006/main" flipV="1">
          <a:off x="1157875" y="576818"/>
          <a:ext cx="6117" cy="1561204"/>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0.28693</cdr:x>
      <cdr:y>0.19986</cdr:y>
    </cdr:from>
    <cdr:to>
      <cdr:x>0.28832</cdr:x>
      <cdr:y>0.74988</cdr:y>
    </cdr:to>
    <cdr:cxnSp macro="">
      <cdr:nvCxnSpPr>
        <cdr:cNvPr id="5" name="Straight Connector 4" descr="Median line fof the specified organization's internal time to staff graphic"/>
        <cdr:cNvCxnSpPr/>
      </cdr:nvCxnSpPr>
      <cdr:spPr>
        <a:xfrm xmlns:a="http://schemas.openxmlformats.org/drawingml/2006/main" flipV="1">
          <a:off x="1262650" y="553968"/>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91415F76714C56899A8B2B595DF133"/>
        <w:category>
          <w:name w:val="General"/>
          <w:gallery w:val="placeholder"/>
        </w:category>
        <w:types>
          <w:type w:val="bbPlcHdr"/>
        </w:types>
        <w:behaviors>
          <w:behavior w:val="content"/>
        </w:behaviors>
        <w:guid w:val="{052FE03B-24EC-4DA5-AF38-01E6BB2B0E46}"/>
      </w:docPartPr>
      <w:docPartBody>
        <w:p w:rsidR="00AF1546" w:rsidRDefault="001075AA" w:rsidP="001075AA">
          <w:pPr>
            <w:pStyle w:val="5791415F76714C56899A8B2B595DF133"/>
          </w:pPr>
          <w:r w:rsidRPr="00275466">
            <w:rPr>
              <w:rFonts w:ascii="Arial" w:eastAsia="Arial" w:hAnsi="Arial" w:cs="Arial"/>
              <w:color w:val="A6A6A6" w:themeColor="background1" w:themeShade="A6"/>
              <w:kern w:val="2"/>
              <w:lang w:val="en-US" w:eastAsia="ja-JP"/>
              <w14:ligatures w14:val="standard"/>
            </w:rPr>
            <w:t>[insert text]</w:t>
          </w:r>
        </w:p>
      </w:docPartBody>
    </w:docPart>
    <w:docPart>
      <w:docPartPr>
        <w:name w:val="60E612E717474F15B478C76B0CB9FA78"/>
        <w:category>
          <w:name w:val="General"/>
          <w:gallery w:val="placeholder"/>
        </w:category>
        <w:types>
          <w:type w:val="bbPlcHdr"/>
        </w:types>
        <w:behaviors>
          <w:behavior w:val="content"/>
        </w:behaviors>
        <w:guid w:val="{D4B59554-0E18-48F6-BFD8-B8FBA29B0ECC}"/>
      </w:docPartPr>
      <w:docPartBody>
        <w:p w:rsidR="00AF1546" w:rsidRDefault="001075AA" w:rsidP="001075AA">
          <w:pPr>
            <w:pStyle w:val="60E612E717474F15B478C76B0CB9FA78"/>
          </w:pPr>
          <w:r w:rsidRPr="00275466">
            <w:rPr>
              <w:rFonts w:ascii="Arial" w:eastAsia="Arial" w:hAnsi="Arial" w:cs="Arial"/>
              <w:color w:val="A6A6A6" w:themeColor="background1" w:themeShade="A6"/>
              <w:kern w:val="2"/>
              <w:lang w:val="en-US" w:eastAsia="ja-JP"/>
              <w14:ligatures w14:val="standard"/>
            </w:rPr>
            <w:t>[insert text]</w:t>
          </w:r>
        </w:p>
      </w:docPartBody>
    </w:docPart>
    <w:docPart>
      <w:docPartPr>
        <w:name w:val="07AEF2D84F80453892C26A5C239900CD"/>
        <w:category>
          <w:name w:val="General"/>
          <w:gallery w:val="placeholder"/>
        </w:category>
        <w:types>
          <w:type w:val="bbPlcHdr"/>
        </w:types>
        <w:behaviors>
          <w:behavior w:val="content"/>
        </w:behaviors>
        <w:guid w:val="{E7AFB353-319D-4E67-87F8-81EDDB4003E5}"/>
      </w:docPartPr>
      <w:docPartBody>
        <w:p w:rsidR="00AF1546" w:rsidRDefault="001075AA" w:rsidP="001075AA">
          <w:pPr>
            <w:pStyle w:val="07AEF2D84F80453892C26A5C239900CD"/>
          </w:pPr>
          <w:r w:rsidRPr="00275466">
            <w:rPr>
              <w:rFonts w:ascii="Arial" w:eastAsia="Arial" w:hAnsi="Arial" w:cs="Arial"/>
              <w:color w:val="A6A6A6" w:themeColor="background1" w:themeShade="A6"/>
              <w:kern w:val="2"/>
              <w:lang w:val="en-US" w:eastAsia="ja-JP"/>
              <w14:ligatures w14:val="standard"/>
            </w:rPr>
            <w:t>[insert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5AA"/>
    <w:rsid w:val="001075AA"/>
    <w:rsid w:val="003C42C8"/>
    <w:rsid w:val="003D49AF"/>
    <w:rsid w:val="00475263"/>
    <w:rsid w:val="00613723"/>
    <w:rsid w:val="00AE6BB6"/>
    <w:rsid w:val="00AF1546"/>
    <w:rsid w:val="00B5453D"/>
    <w:rsid w:val="00D270DE"/>
    <w:rsid w:val="00DE10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791415F76714C56899A8B2B595DF133">
    <w:name w:val="5791415F76714C56899A8B2B595DF133"/>
    <w:rsid w:val="001075AA"/>
  </w:style>
  <w:style w:type="paragraph" w:customStyle="1" w:styleId="60E612E717474F15B478C76B0CB9FA78">
    <w:name w:val="60E612E717474F15B478C76B0CB9FA78"/>
    <w:rsid w:val="001075AA"/>
  </w:style>
  <w:style w:type="paragraph" w:customStyle="1" w:styleId="07AEF2D84F80453892C26A5C239900CD">
    <w:name w:val="07AEF2D84F80453892C26A5C239900CD"/>
    <w:rsid w:val="00107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CFP-PSC-Theme2019-fromWord">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6862B-BE44-4F29-BB55-E24A1D85B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CFP-Entete-Corpo2019.dotx</Template>
  <TotalTime>310</TotalTime>
  <Pages>26</Pages>
  <Words>4314</Words>
  <Characters>24596</Characters>
  <Application>Microsoft Office Word</Application>
  <DocSecurity>0</DocSecurity>
  <Lines>204</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CFP-PSC</Company>
  <LinksUpToDate>false</LinksUpToDate>
  <CharactersWithSpaces>28853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Lefebvre</dc:creator>
  <cp:keywords/>
  <dc:description/>
  <cp:lastModifiedBy>Nancy Ladouceur</cp:lastModifiedBy>
  <cp:revision>57</cp:revision>
  <dcterms:created xsi:type="dcterms:W3CDTF">2020-02-28T00:03:00Z</dcterms:created>
  <dcterms:modified xsi:type="dcterms:W3CDTF">2021-01-26T20:06:00Z</dcterms:modified>
</cp:coreProperties>
</file>