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1585A" w14:textId="77777777" w:rsidR="0085385F" w:rsidRPr="00726D70" w:rsidRDefault="009150A6" w:rsidP="00194F0E">
      <w:pPr>
        <w:pStyle w:val="Titre"/>
        <w:contextualSpacing w:val="0"/>
        <w:rPr>
          <w:lang w:val="en-CA"/>
        </w:rPr>
      </w:pPr>
      <w:r w:rsidRPr="00726D70">
        <w:rPr>
          <w:lang w:val="en-CA"/>
        </w:rPr>
        <w:t>P</w:t>
      </w:r>
      <w:r w:rsidR="00A367FE" w:rsidRPr="00726D70">
        <w:rPr>
          <w:lang w:val="en-CA"/>
        </w:rPr>
        <w:t>resident meeting with</w:t>
      </w:r>
      <w:r w:rsidRPr="00726D70">
        <w:rPr>
          <w:lang w:val="en-CA"/>
        </w:rPr>
        <w:t xml:space="preserve"> </w:t>
      </w:r>
      <w:r w:rsidR="0085385F" w:rsidRPr="00726D70">
        <w:rPr>
          <w:lang w:val="en-CA"/>
        </w:rPr>
        <w:t xml:space="preserve"> </w:t>
      </w:r>
    </w:p>
    <w:p w14:paraId="6AE340B3" w14:textId="02F72D92" w:rsidR="007F3B3C" w:rsidRPr="00726D70" w:rsidRDefault="00A367FE" w:rsidP="00194F0E">
      <w:pPr>
        <w:pStyle w:val="Titre"/>
        <w:contextualSpacing w:val="0"/>
        <w:rPr>
          <w:lang w:val="en-CA"/>
        </w:rPr>
      </w:pPr>
      <w:r w:rsidRPr="00726D70">
        <w:rPr>
          <w:lang w:val="en-CA"/>
        </w:rPr>
        <w:t>Ms. Leslie Weir</w:t>
      </w:r>
      <w:r w:rsidR="009150A6" w:rsidRPr="00726D70">
        <w:rPr>
          <w:lang w:val="en-CA"/>
        </w:rPr>
        <w:t>, L</w:t>
      </w:r>
      <w:r w:rsidRPr="00726D70">
        <w:rPr>
          <w:lang w:val="en-CA"/>
        </w:rPr>
        <w:t>ibrarian and</w:t>
      </w:r>
      <w:r w:rsidR="009150A6" w:rsidRPr="00726D70">
        <w:rPr>
          <w:lang w:val="en-CA"/>
        </w:rPr>
        <w:t xml:space="preserve"> A</w:t>
      </w:r>
      <w:r w:rsidRPr="00726D70">
        <w:rPr>
          <w:lang w:val="en-CA"/>
        </w:rPr>
        <w:t>rchivist of</w:t>
      </w:r>
      <w:r w:rsidR="009150A6" w:rsidRPr="00726D70">
        <w:rPr>
          <w:lang w:val="en-CA"/>
        </w:rPr>
        <w:t xml:space="preserve"> C</w:t>
      </w:r>
      <w:r w:rsidRPr="00726D70">
        <w:rPr>
          <w:lang w:val="en-CA"/>
        </w:rPr>
        <w:t>anada</w:t>
      </w:r>
      <w:r w:rsidR="009150A6" w:rsidRPr="00726D70">
        <w:rPr>
          <w:lang w:val="en-CA"/>
        </w:rPr>
        <w:t xml:space="preserve"> </w:t>
      </w:r>
      <w:r w:rsidRPr="00726D70">
        <w:rPr>
          <w:lang w:val="en-CA"/>
        </w:rPr>
        <w:t>of the Library and Archives of Canada</w:t>
      </w:r>
      <w:r w:rsidR="009150A6" w:rsidRPr="00726D70">
        <w:rPr>
          <w:lang w:val="en-CA"/>
        </w:rPr>
        <w:t xml:space="preserve"> </w:t>
      </w:r>
      <w:r w:rsidR="007F3B3C" w:rsidRPr="00726D70">
        <w:rPr>
          <w:smallCaps/>
          <w:lang w:val="en-CA"/>
        </w:rPr>
        <w:br/>
      </w:r>
      <w:r w:rsidR="007F3B3C" w:rsidRPr="00726D70">
        <w:rPr>
          <w:lang w:val="en-CA"/>
        </w:rPr>
        <w:t>October 21, 2019</w:t>
      </w:r>
    </w:p>
    <w:p w14:paraId="2B35F0B0" w14:textId="1C2F577E" w:rsidR="007F3B3C" w:rsidRPr="00726D70" w:rsidRDefault="00A8771D" w:rsidP="0085385F">
      <w:pPr>
        <w:pStyle w:val="Titre1"/>
        <w:rPr>
          <w:lang w:val="en-CA"/>
        </w:rPr>
      </w:pPr>
      <w:r w:rsidRPr="00726D70">
        <w:rPr>
          <w:lang w:val="en-CA"/>
        </w:rPr>
        <w:t>Introduction</w:t>
      </w:r>
    </w:p>
    <w:p w14:paraId="1ABA4559" w14:textId="77777777" w:rsidR="007F3B3C" w:rsidRPr="00726D70" w:rsidRDefault="007F3B3C" w:rsidP="00194F0E">
      <w:pPr>
        <w:pStyle w:val="Titre2"/>
        <w:spacing w:after="120"/>
        <w:rPr>
          <w:lang w:val="en-CA"/>
        </w:rPr>
      </w:pPr>
      <w:r w:rsidRPr="00726D70">
        <w:rPr>
          <w:lang w:val="en-CA"/>
        </w:rPr>
        <w:t>Deputy Head</w:t>
      </w:r>
    </w:p>
    <w:p w14:paraId="4EC0497E" w14:textId="1E21D4BE" w:rsidR="007F3B3C" w:rsidRPr="00726D70" w:rsidRDefault="007F3B3C" w:rsidP="00194F0E">
      <w:pPr>
        <w:pStyle w:val="Notedefin"/>
        <w:spacing w:after="120"/>
        <w:rPr>
          <w:rFonts w:asciiTheme="minorHAnsi" w:hAnsiTheme="minorHAnsi" w:cstheme="minorHAnsi"/>
          <w:sz w:val="22"/>
          <w:szCs w:val="22"/>
        </w:rPr>
      </w:pPr>
      <w:r w:rsidRPr="00726D70">
        <w:rPr>
          <w:rFonts w:asciiTheme="minorHAnsi" w:hAnsiTheme="minorHAnsi" w:cstheme="minorHAnsi"/>
          <w:sz w:val="22"/>
          <w:szCs w:val="22"/>
        </w:rPr>
        <w:t>Ms. Leslie Weir was appointed as the Librarian and Archivist of Canada of the Library and Archives of C</w:t>
      </w:r>
      <w:r w:rsidR="0037779E" w:rsidRPr="00726D70">
        <w:rPr>
          <w:rFonts w:asciiTheme="minorHAnsi" w:hAnsiTheme="minorHAnsi" w:cstheme="minorHAnsi"/>
          <w:sz w:val="22"/>
          <w:szCs w:val="22"/>
        </w:rPr>
        <w:t>anada (LAC) on August 30, 2019.</w:t>
      </w:r>
    </w:p>
    <w:p w14:paraId="36F30FE9" w14:textId="653FFE32" w:rsidR="007810F9" w:rsidRPr="00726D70" w:rsidRDefault="007F3B3C" w:rsidP="00194F0E">
      <w:pPr>
        <w:pStyle w:val="Notedefin"/>
        <w:spacing w:after="120"/>
        <w:rPr>
          <w:rFonts w:asciiTheme="minorHAnsi" w:hAnsiTheme="minorHAnsi" w:cstheme="minorHAnsi"/>
          <w:sz w:val="22"/>
          <w:szCs w:val="22"/>
        </w:rPr>
      </w:pPr>
      <w:r w:rsidRPr="00726D70">
        <w:rPr>
          <w:rFonts w:asciiTheme="minorHAnsi" w:hAnsiTheme="minorHAnsi" w:cstheme="minorHAnsi"/>
          <w:sz w:val="22"/>
          <w:szCs w:val="22"/>
        </w:rPr>
        <w:t>As Ms. Weir is appointed from outside the public service, please refer to the enclosed deck for important information to convey about roles and responsibilities as they relate to staffing.</w:t>
      </w:r>
    </w:p>
    <w:p w14:paraId="5C73218D" w14:textId="77777777" w:rsidR="000D5840" w:rsidRDefault="00726D70" w:rsidP="00726D70">
      <w:pPr>
        <w:pStyle w:val="Sansinterligne"/>
        <w:spacing w:after="120"/>
        <w:contextualSpacing/>
        <w:rPr>
          <w:rFonts w:asciiTheme="minorHAnsi" w:hAnsiTheme="minorHAnsi" w:cstheme="minorHAnsi"/>
          <w:sz w:val="22"/>
          <w:szCs w:val="22"/>
          <w:lang w:val="en-CA"/>
        </w:rPr>
      </w:pPr>
      <w:r w:rsidRPr="00726D70">
        <w:rPr>
          <w:rFonts w:asciiTheme="minorHAnsi" w:hAnsiTheme="minorHAnsi" w:cstheme="minorHAnsi"/>
          <w:sz w:val="22"/>
          <w:szCs w:val="22"/>
          <w:lang w:val="en-CA" w:eastAsia="en-CA"/>
        </w:rPr>
        <w:t xml:space="preserve">Ms. Weir </w:t>
      </w:r>
      <w:r w:rsidRPr="0076163B">
        <w:rPr>
          <w:rFonts w:asciiTheme="minorHAnsi" w:hAnsiTheme="minorHAnsi" w:cstheme="minorHAnsi"/>
          <w:sz w:val="22"/>
          <w:szCs w:val="22"/>
          <w:lang w:val="en-CA"/>
        </w:rPr>
        <w:t>is exercising the Public Service Commission’s (PSC) authority for the first time as D</w:t>
      </w:r>
      <w:r>
        <w:rPr>
          <w:rFonts w:asciiTheme="minorHAnsi" w:hAnsiTheme="minorHAnsi" w:cstheme="minorHAnsi"/>
          <w:sz w:val="22"/>
          <w:szCs w:val="22"/>
          <w:lang w:val="en-CA"/>
        </w:rPr>
        <w:t xml:space="preserve">eputy </w:t>
      </w:r>
      <w:r w:rsidRPr="0076163B">
        <w:rPr>
          <w:rFonts w:asciiTheme="minorHAnsi" w:hAnsiTheme="minorHAnsi" w:cstheme="minorHAnsi"/>
          <w:sz w:val="22"/>
          <w:szCs w:val="22"/>
          <w:lang w:val="en-CA"/>
        </w:rPr>
        <w:t>H</w:t>
      </w:r>
      <w:r>
        <w:rPr>
          <w:rFonts w:asciiTheme="minorHAnsi" w:hAnsiTheme="minorHAnsi" w:cstheme="minorHAnsi"/>
          <w:sz w:val="22"/>
          <w:szCs w:val="22"/>
          <w:lang w:val="en-CA"/>
        </w:rPr>
        <w:t xml:space="preserve">ead (DH). </w:t>
      </w:r>
      <w:r w:rsidRPr="0076163B">
        <w:rPr>
          <w:rFonts w:asciiTheme="minorHAnsi" w:hAnsiTheme="minorHAnsi" w:cstheme="minorHAnsi"/>
          <w:sz w:val="22"/>
          <w:szCs w:val="22"/>
          <w:lang w:val="en-CA"/>
        </w:rPr>
        <w:t xml:space="preserve">A copy of </w:t>
      </w:r>
      <w:r>
        <w:rPr>
          <w:rFonts w:asciiTheme="minorHAnsi" w:hAnsiTheme="minorHAnsi" w:cstheme="minorHAnsi"/>
          <w:sz w:val="22"/>
          <w:szCs w:val="22"/>
          <w:lang w:val="en-CA"/>
        </w:rPr>
        <w:t xml:space="preserve">the </w:t>
      </w:r>
      <w:r w:rsidRPr="0076163B">
        <w:rPr>
          <w:rFonts w:asciiTheme="minorHAnsi" w:hAnsiTheme="minorHAnsi" w:cstheme="minorHAnsi"/>
          <w:sz w:val="22"/>
          <w:szCs w:val="22"/>
          <w:lang w:val="en-CA"/>
        </w:rPr>
        <w:t xml:space="preserve">New Direction in Staffing (NDS) highlights for DHs </w:t>
      </w:r>
      <w:r>
        <w:rPr>
          <w:rFonts w:asciiTheme="minorHAnsi" w:hAnsiTheme="minorHAnsi" w:cstheme="minorHAnsi"/>
          <w:sz w:val="22"/>
          <w:szCs w:val="22"/>
          <w:lang w:val="en-CA"/>
        </w:rPr>
        <w:t xml:space="preserve">is attached as </w:t>
      </w:r>
    </w:p>
    <w:p w14:paraId="05769111" w14:textId="47DAFDE8" w:rsidR="00726D70" w:rsidRPr="0076163B" w:rsidRDefault="005932F7" w:rsidP="00726D70">
      <w:pPr>
        <w:pStyle w:val="Sansinterligne"/>
        <w:spacing w:after="120"/>
        <w:contextualSpacing/>
        <w:rPr>
          <w:rFonts w:asciiTheme="minorHAnsi" w:hAnsiTheme="minorHAnsi" w:cstheme="minorHAnsi"/>
          <w:sz w:val="22"/>
          <w:szCs w:val="22"/>
          <w:lang w:val="en-CA"/>
        </w:rPr>
      </w:pPr>
      <w:hyperlink w:anchor="AnnexA" w:history="1">
        <w:r w:rsidR="00726D70" w:rsidRPr="00A21EAE">
          <w:rPr>
            <w:rStyle w:val="Lienhypertexte"/>
            <w:rFonts w:asciiTheme="minorHAnsi" w:hAnsiTheme="minorHAnsi" w:cstheme="minorHAnsi"/>
            <w:sz w:val="22"/>
            <w:szCs w:val="22"/>
            <w:lang w:val="en-CA"/>
          </w:rPr>
          <w:t>Annex A</w:t>
        </w:r>
      </w:hyperlink>
      <w:r w:rsidR="00726D70" w:rsidRPr="0076163B">
        <w:rPr>
          <w:rFonts w:asciiTheme="minorHAnsi" w:hAnsiTheme="minorHAnsi" w:cstheme="minorHAnsi"/>
          <w:sz w:val="22"/>
          <w:szCs w:val="22"/>
          <w:lang w:val="en-CA"/>
        </w:rPr>
        <w:t>.</w:t>
      </w:r>
    </w:p>
    <w:p w14:paraId="39847319" w14:textId="77777777" w:rsidR="007F3B3C" w:rsidRPr="00726D70" w:rsidRDefault="007F3B3C" w:rsidP="00194F0E">
      <w:pPr>
        <w:pStyle w:val="Titre1"/>
        <w:spacing w:after="240"/>
        <w:rPr>
          <w:lang w:val="en-CA"/>
        </w:rPr>
      </w:pPr>
      <w:r w:rsidRPr="00726D70">
        <w:rPr>
          <w:lang w:val="en-CA"/>
        </w:rPr>
        <w:t>Organizational Context</w:t>
      </w:r>
    </w:p>
    <w:p w14:paraId="23344EDC" w14:textId="77777777" w:rsidR="007F3B3C" w:rsidRPr="00726D70" w:rsidRDefault="007F3B3C" w:rsidP="00194F0E">
      <w:pPr>
        <w:pStyle w:val="Titre2"/>
        <w:spacing w:after="120"/>
        <w:rPr>
          <w:u w:val="single"/>
          <w:lang w:val="en-CA"/>
        </w:rPr>
      </w:pPr>
      <w:r w:rsidRPr="00726D70">
        <w:rPr>
          <w:lang w:val="en-CA"/>
        </w:rPr>
        <w:t>Mandate</w:t>
      </w:r>
    </w:p>
    <w:p w14:paraId="15C17D32" w14:textId="6307A02D" w:rsidR="007F3B3C" w:rsidRPr="00726D70" w:rsidRDefault="007F3B3C" w:rsidP="00194F0E">
      <w:pPr>
        <w:spacing w:after="12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LAC combines the holdings, services and staff of both the former National Library of Canada and the National Archives of Canada. As outlined in the Preamble to </w:t>
      </w:r>
      <w:r w:rsidRPr="00B15DAE">
        <w:rPr>
          <w:rStyle w:val="Accentuation"/>
        </w:rPr>
        <w:t>the Library and Archives of Canada Act</w:t>
      </w:r>
      <w:r w:rsidRPr="00726D70">
        <w:rPr>
          <w:rFonts w:asciiTheme="minorHAnsi" w:hAnsiTheme="minorHAnsi" w:cstheme="minorHAnsi"/>
          <w:color w:val="000000"/>
          <w:sz w:val="22"/>
          <w:szCs w:val="22"/>
          <w:lang w:val="en-CA"/>
        </w:rPr>
        <w:t>, LAC’s mandate is as follows:</w:t>
      </w:r>
    </w:p>
    <w:p w14:paraId="3AEC9313" w14:textId="77777777" w:rsidR="007F3B3C" w:rsidRPr="00726D70" w:rsidRDefault="007F3B3C" w:rsidP="0012105C">
      <w:pPr>
        <w:pStyle w:val="Paragraphedeliste"/>
        <w:numPr>
          <w:ilvl w:val="0"/>
          <w:numId w:val="5"/>
        </w:numPr>
        <w:spacing w:after="160" w:line="259" w:lineRule="auto"/>
        <w:ind w:left="714" w:hanging="357"/>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to preserve the documentary heritage of Canada for the benefit of present and future generations;</w:t>
      </w:r>
    </w:p>
    <w:p w14:paraId="20D30450" w14:textId="77777777" w:rsidR="007F3B3C" w:rsidRPr="00726D70" w:rsidRDefault="007F3B3C" w:rsidP="0012105C">
      <w:pPr>
        <w:pStyle w:val="Paragraphedeliste"/>
        <w:numPr>
          <w:ilvl w:val="0"/>
          <w:numId w:val="5"/>
        </w:numPr>
        <w:spacing w:after="160" w:line="259" w:lineRule="auto"/>
        <w:ind w:left="714" w:hanging="357"/>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to be a source of enduring knowledge accessible to all, contributing to the cultural, social and economic advancement of Canada as a free and democratic society; </w:t>
      </w:r>
    </w:p>
    <w:p w14:paraId="5A5944AE" w14:textId="77777777" w:rsidR="007F3B3C" w:rsidRPr="00726D70" w:rsidRDefault="007F3B3C" w:rsidP="0012105C">
      <w:pPr>
        <w:pStyle w:val="Paragraphedeliste"/>
        <w:numPr>
          <w:ilvl w:val="0"/>
          <w:numId w:val="5"/>
        </w:numPr>
        <w:spacing w:after="160" w:line="259" w:lineRule="auto"/>
        <w:ind w:left="714" w:hanging="357"/>
        <w:rPr>
          <w:rFonts w:asciiTheme="minorHAnsi" w:hAnsiTheme="minorHAnsi" w:cstheme="minorHAnsi"/>
          <w:i/>
          <w:sz w:val="22"/>
          <w:szCs w:val="22"/>
          <w:lang w:val="en-CA"/>
        </w:rPr>
      </w:pPr>
      <w:r w:rsidRPr="00726D70">
        <w:rPr>
          <w:rFonts w:asciiTheme="minorHAnsi" w:hAnsiTheme="minorHAnsi" w:cstheme="minorHAnsi"/>
          <w:color w:val="000000"/>
          <w:sz w:val="22"/>
          <w:szCs w:val="22"/>
          <w:lang w:val="en-CA"/>
        </w:rPr>
        <w:t>to facilitate in Canada co-operation among communities involved in the acquisition, preservation and diffusion of knowledge; and</w:t>
      </w:r>
    </w:p>
    <w:p w14:paraId="2DACBC53" w14:textId="77777777" w:rsidR="007F3B3C" w:rsidRPr="00726D70" w:rsidRDefault="007F3B3C" w:rsidP="0012105C">
      <w:pPr>
        <w:pStyle w:val="Paragraphedeliste"/>
        <w:numPr>
          <w:ilvl w:val="0"/>
          <w:numId w:val="5"/>
        </w:numPr>
        <w:spacing w:after="160" w:line="259" w:lineRule="auto"/>
        <w:ind w:left="714" w:hanging="357"/>
        <w:rPr>
          <w:rFonts w:asciiTheme="minorHAnsi" w:hAnsiTheme="minorHAnsi" w:cstheme="minorHAnsi"/>
          <w:sz w:val="22"/>
          <w:szCs w:val="22"/>
          <w:lang w:val="en-CA"/>
        </w:rPr>
      </w:pPr>
      <w:proofErr w:type="gramStart"/>
      <w:r w:rsidRPr="00726D70">
        <w:rPr>
          <w:rFonts w:asciiTheme="minorHAnsi" w:hAnsiTheme="minorHAnsi" w:cstheme="minorHAnsi"/>
          <w:color w:val="000000"/>
          <w:sz w:val="22"/>
          <w:szCs w:val="22"/>
          <w:lang w:val="en-CA"/>
        </w:rPr>
        <w:t>to</w:t>
      </w:r>
      <w:proofErr w:type="gramEnd"/>
      <w:r w:rsidRPr="00726D70">
        <w:rPr>
          <w:rFonts w:asciiTheme="minorHAnsi" w:hAnsiTheme="minorHAnsi" w:cstheme="minorHAnsi"/>
          <w:color w:val="000000"/>
          <w:sz w:val="22"/>
          <w:szCs w:val="22"/>
          <w:lang w:val="en-CA"/>
        </w:rPr>
        <w:t xml:space="preserve"> serve as the continuing memory of the Government of Canada and its institutions.</w:t>
      </w:r>
    </w:p>
    <w:p w14:paraId="56C19252" w14:textId="77777777" w:rsidR="007F3B3C" w:rsidRPr="00726D70" w:rsidRDefault="007F3B3C" w:rsidP="00194F0E">
      <w:pPr>
        <w:pStyle w:val="Titre2"/>
        <w:spacing w:after="120"/>
        <w:rPr>
          <w:u w:val="single"/>
          <w:lang w:val="en-CA"/>
        </w:rPr>
      </w:pPr>
      <w:r w:rsidRPr="00726D70">
        <w:rPr>
          <w:lang w:val="en-CA"/>
        </w:rPr>
        <w:t>Challenges</w:t>
      </w:r>
    </w:p>
    <w:p w14:paraId="2BE23FA1" w14:textId="5F3C2F80" w:rsidR="007F3B3C" w:rsidRPr="00726D70" w:rsidRDefault="007F3B3C" w:rsidP="00194F0E">
      <w:pPr>
        <w:pStyle w:val="Notedefin"/>
        <w:spacing w:after="120"/>
        <w:rPr>
          <w:rFonts w:asciiTheme="minorHAnsi" w:hAnsiTheme="minorHAnsi" w:cstheme="minorHAnsi"/>
          <w:color w:val="000000"/>
          <w:sz w:val="22"/>
          <w:szCs w:val="22"/>
        </w:rPr>
      </w:pPr>
      <w:r w:rsidRPr="00726D70">
        <w:rPr>
          <w:rFonts w:asciiTheme="minorHAnsi" w:hAnsiTheme="minorHAnsi" w:cstheme="minorHAnsi"/>
          <w:color w:val="000000"/>
          <w:sz w:val="22"/>
          <w:szCs w:val="22"/>
        </w:rPr>
        <w:t xml:space="preserve">According to LAC’s Departmental Plan 2019-2020, the organization will continue to implement its digital strategy. There is a risk that this digital strategy will not be integrated seamlessly, potentially negatively impacting its efficiency. For this reason, LAC will take into account the </w:t>
      </w:r>
      <w:r w:rsidRPr="00726D70">
        <w:rPr>
          <w:rFonts w:asciiTheme="minorHAnsi" w:hAnsiTheme="minorHAnsi" w:cstheme="minorHAnsi"/>
          <w:color w:val="000000"/>
          <w:sz w:val="22"/>
          <w:szCs w:val="22"/>
        </w:rPr>
        <w:lastRenderedPageBreak/>
        <w:t>interdependencies of systems and processes and will also ensure that proposed new technological solutions are analyzed by their Project and Architecture Review Committee to ensure their compatibility with organizational architecture.</w:t>
      </w:r>
    </w:p>
    <w:p w14:paraId="21AFBBFD" w14:textId="77777777" w:rsidR="007F3B3C" w:rsidRPr="00726D70" w:rsidRDefault="007F3B3C" w:rsidP="00194F0E">
      <w:pPr>
        <w:pStyle w:val="Notedefin"/>
        <w:rPr>
          <w:rFonts w:asciiTheme="minorHAnsi" w:hAnsiTheme="minorHAnsi" w:cstheme="minorHAnsi"/>
          <w:color w:val="000000"/>
          <w:sz w:val="22"/>
          <w:szCs w:val="22"/>
        </w:rPr>
      </w:pPr>
      <w:r w:rsidRPr="00726D70">
        <w:rPr>
          <w:rFonts w:asciiTheme="minorHAnsi" w:hAnsiTheme="minorHAnsi" w:cstheme="minorHAnsi"/>
          <w:color w:val="000000"/>
          <w:sz w:val="22"/>
          <w:szCs w:val="22"/>
        </w:rPr>
        <w:t>In addition, based on its learning framework, LAC will offer its employees training and development opportunities related to organizational needs. In particular, it will put in place a new career development program for librarians. LAC will also work to promote risk-and results-based staffing to attract and retain a diverse, skilled and high-performing workforce. To this end, it will develop innovative strategies to improve the efficiency of its recruitment processes in collaboration with the PSC.</w:t>
      </w:r>
    </w:p>
    <w:p w14:paraId="6DCB8ABC" w14:textId="77777777" w:rsidR="007F3B3C" w:rsidRPr="00726D70" w:rsidRDefault="007F3B3C" w:rsidP="00194F0E">
      <w:pPr>
        <w:pStyle w:val="Titre1"/>
        <w:spacing w:after="240"/>
        <w:rPr>
          <w:lang w:val="en-CA"/>
        </w:rPr>
      </w:pPr>
      <w:r w:rsidRPr="00726D70">
        <w:rPr>
          <w:lang w:val="en-CA"/>
        </w:rPr>
        <w:t>Population and Staffing Activities</w:t>
      </w:r>
    </w:p>
    <w:p w14:paraId="041AC404" w14:textId="77777777" w:rsidR="007F3B3C" w:rsidRPr="00726D70" w:rsidRDefault="007F3B3C" w:rsidP="00194F0E">
      <w:pPr>
        <w:pStyle w:val="Titre2"/>
        <w:spacing w:after="120"/>
        <w:rPr>
          <w:u w:val="single"/>
          <w:lang w:val="en-CA"/>
        </w:rPr>
      </w:pPr>
      <w:r w:rsidRPr="00726D70">
        <w:rPr>
          <w:lang w:val="en-CA"/>
        </w:rPr>
        <w:t>Population</w:t>
      </w:r>
    </w:p>
    <w:p w14:paraId="5365E0B7" w14:textId="22F71A38" w:rsidR="007F3B3C" w:rsidRPr="00726D70" w:rsidRDefault="007F3B3C" w:rsidP="00194F0E">
      <w:pPr>
        <w:pStyle w:val="Notedefin"/>
        <w:spacing w:after="120"/>
        <w:rPr>
          <w:rFonts w:asciiTheme="minorHAnsi" w:hAnsiTheme="minorHAnsi" w:cstheme="minorHAnsi"/>
          <w:color w:val="000000"/>
          <w:sz w:val="22"/>
          <w:szCs w:val="22"/>
        </w:rPr>
      </w:pPr>
      <w:r w:rsidRPr="00726D70">
        <w:rPr>
          <w:rFonts w:asciiTheme="minorHAnsi" w:hAnsiTheme="minorHAnsi" w:cstheme="minorHAnsi"/>
          <w:color w:val="000000"/>
          <w:sz w:val="22"/>
          <w:szCs w:val="22"/>
        </w:rPr>
        <w:t>LAC is a medium organization that has a population of 986 em</w:t>
      </w:r>
      <w:r w:rsidR="007810F9" w:rsidRPr="00726D70">
        <w:rPr>
          <w:rFonts w:asciiTheme="minorHAnsi" w:hAnsiTheme="minorHAnsi" w:cstheme="minorHAnsi"/>
          <w:color w:val="000000"/>
          <w:sz w:val="22"/>
          <w:szCs w:val="22"/>
        </w:rPr>
        <w:t>ployees (as of March 31, 2019).</w:t>
      </w:r>
    </w:p>
    <w:p w14:paraId="6CF0D722" w14:textId="77777777" w:rsidR="007F3B3C" w:rsidRPr="00726D70" w:rsidRDefault="007F3B3C" w:rsidP="00194F0E">
      <w:pPr>
        <w:pStyle w:val="Titre2"/>
        <w:spacing w:after="120"/>
        <w:rPr>
          <w:u w:val="single"/>
          <w:lang w:val="en-CA"/>
        </w:rPr>
      </w:pPr>
      <w:r w:rsidRPr="00726D70">
        <w:rPr>
          <w:lang w:val="en-CA"/>
        </w:rPr>
        <w:t>Staffing Activities</w:t>
      </w:r>
    </w:p>
    <w:p w14:paraId="5CC0324E" w14:textId="77777777" w:rsidR="007F3B3C" w:rsidRPr="00726D70" w:rsidRDefault="007F3B3C" w:rsidP="00194F0E">
      <w:pP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In 2018-2019, LAC proceeded with a total of 694 staffing activities: </w:t>
      </w:r>
    </w:p>
    <w:p w14:paraId="5456C9C1" w14:textId="77777777" w:rsidR="007F3B3C" w:rsidRPr="00726D70" w:rsidRDefault="007F3B3C" w:rsidP="005B549F">
      <w:pPr>
        <w:numPr>
          <w:ilvl w:val="0"/>
          <w:numId w:val="3"/>
        </w:numP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120 appointments to the public service; </w:t>
      </w:r>
    </w:p>
    <w:p w14:paraId="2086CEC7" w14:textId="77777777" w:rsidR="007F3B3C" w:rsidRPr="00726D70" w:rsidRDefault="007F3B3C" w:rsidP="005B549F">
      <w:pPr>
        <w:numPr>
          <w:ilvl w:val="0"/>
          <w:numId w:val="3"/>
        </w:numP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122 promotions;</w:t>
      </w:r>
    </w:p>
    <w:p w14:paraId="6EB75DB7" w14:textId="77777777" w:rsidR="007F3B3C" w:rsidRPr="00726D70" w:rsidRDefault="007F3B3C" w:rsidP="005B549F">
      <w:pPr>
        <w:numPr>
          <w:ilvl w:val="0"/>
          <w:numId w:val="3"/>
        </w:numP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121 acting appointments; </w:t>
      </w:r>
    </w:p>
    <w:p w14:paraId="0B9322E1" w14:textId="77777777" w:rsidR="007F3B3C" w:rsidRPr="00726D70" w:rsidRDefault="007F3B3C" w:rsidP="005B549F">
      <w:pPr>
        <w:numPr>
          <w:ilvl w:val="0"/>
          <w:numId w:val="3"/>
        </w:numP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146 casuals;</w:t>
      </w:r>
    </w:p>
    <w:p w14:paraId="26ADCCB5" w14:textId="77777777" w:rsidR="007F3B3C" w:rsidRPr="00726D70" w:rsidRDefault="007F3B3C" w:rsidP="005B549F">
      <w:pPr>
        <w:numPr>
          <w:ilvl w:val="0"/>
          <w:numId w:val="3"/>
        </w:numP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40 students; and</w:t>
      </w:r>
    </w:p>
    <w:p w14:paraId="49685D20" w14:textId="180B852A" w:rsidR="007F3B3C" w:rsidRPr="00726D70" w:rsidRDefault="007F3B3C" w:rsidP="005B549F">
      <w:pPr>
        <w:numPr>
          <w:ilvl w:val="0"/>
          <w:numId w:val="3"/>
        </w:numPr>
        <w:spacing w:after="12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145 lateral and downward movements. </w:t>
      </w:r>
    </w:p>
    <w:p w14:paraId="43C96207" w14:textId="77777777" w:rsidR="007F3B3C" w:rsidRPr="00726D70" w:rsidRDefault="007F3B3C" w:rsidP="00194F0E">
      <w:pPr>
        <w:pStyle w:val="Notedefin"/>
        <w:rPr>
          <w:rFonts w:asciiTheme="minorHAnsi" w:hAnsiTheme="minorHAnsi" w:cstheme="minorHAnsi"/>
          <w:color w:val="000000"/>
          <w:sz w:val="22"/>
          <w:szCs w:val="22"/>
        </w:rPr>
      </w:pPr>
      <w:r w:rsidRPr="00726D70">
        <w:rPr>
          <w:rFonts w:asciiTheme="minorHAnsi" w:hAnsiTheme="minorHAnsi" w:cstheme="minorHAnsi"/>
          <w:color w:val="000000"/>
          <w:sz w:val="22"/>
          <w:szCs w:val="22"/>
        </w:rPr>
        <w:t>Regarding the use of PSC targeted programs:</w:t>
      </w:r>
    </w:p>
    <w:p w14:paraId="1FC2725F" w14:textId="77777777" w:rsidR="007F3B3C" w:rsidRPr="00726D70" w:rsidRDefault="007F3B3C" w:rsidP="005B549F">
      <w:pPr>
        <w:pStyle w:val="Notedefin"/>
        <w:numPr>
          <w:ilvl w:val="0"/>
          <w:numId w:val="3"/>
        </w:numPr>
        <w:rPr>
          <w:rFonts w:asciiTheme="minorHAnsi" w:hAnsiTheme="minorHAnsi" w:cstheme="minorHAnsi"/>
          <w:color w:val="000000"/>
          <w:sz w:val="22"/>
          <w:szCs w:val="22"/>
        </w:rPr>
      </w:pPr>
      <w:r w:rsidRPr="00726D70">
        <w:rPr>
          <w:rFonts w:asciiTheme="minorHAnsi" w:hAnsiTheme="minorHAnsi" w:cstheme="minorHAnsi"/>
          <w:color w:val="000000"/>
          <w:sz w:val="22"/>
          <w:szCs w:val="22"/>
        </w:rPr>
        <w:t>LAC did not identify positions for the Federal Internship Program for Canadians with Disabilities.</w:t>
      </w:r>
    </w:p>
    <w:p w14:paraId="01AA7976" w14:textId="77777777" w:rsidR="007F3B3C" w:rsidRPr="00726D70" w:rsidRDefault="007F3B3C" w:rsidP="005B549F">
      <w:pPr>
        <w:pStyle w:val="Notedefin"/>
        <w:numPr>
          <w:ilvl w:val="0"/>
          <w:numId w:val="3"/>
        </w:numPr>
        <w:rPr>
          <w:rFonts w:asciiTheme="minorHAnsi" w:hAnsiTheme="minorHAnsi" w:cstheme="minorHAnsi"/>
          <w:color w:val="000000"/>
          <w:sz w:val="22"/>
          <w:szCs w:val="22"/>
        </w:rPr>
      </w:pPr>
      <w:r w:rsidRPr="00726D70">
        <w:rPr>
          <w:rFonts w:asciiTheme="minorHAnsi" w:hAnsiTheme="minorHAnsi" w:cstheme="minorHAnsi"/>
          <w:color w:val="000000"/>
          <w:sz w:val="22"/>
          <w:szCs w:val="22"/>
        </w:rPr>
        <w:t>LAC submitted one request through the Employment Opportunity for Students with Disabilities in 2019, but no one was hired through this inventory.</w:t>
      </w:r>
    </w:p>
    <w:p w14:paraId="0B513589" w14:textId="0E87B5CB" w:rsidR="00727F0E" w:rsidRPr="00726D70" w:rsidRDefault="007F3B3C" w:rsidP="005B549F">
      <w:pPr>
        <w:pStyle w:val="Notedefin"/>
        <w:numPr>
          <w:ilvl w:val="0"/>
          <w:numId w:val="3"/>
        </w:numPr>
        <w:spacing w:after="120"/>
        <w:rPr>
          <w:rFonts w:asciiTheme="minorHAnsi" w:hAnsiTheme="minorHAnsi" w:cstheme="minorHAnsi"/>
          <w:color w:val="000000"/>
          <w:sz w:val="22"/>
          <w:szCs w:val="22"/>
        </w:rPr>
      </w:pPr>
      <w:r w:rsidRPr="00726D70">
        <w:rPr>
          <w:rFonts w:asciiTheme="minorHAnsi" w:hAnsiTheme="minorHAnsi" w:cstheme="minorHAnsi"/>
          <w:color w:val="000000"/>
          <w:sz w:val="22"/>
          <w:szCs w:val="22"/>
        </w:rPr>
        <w:t>LAC did not submit any request for the Indigenous Student Employment inventory in 2019.</w:t>
      </w:r>
    </w:p>
    <w:p w14:paraId="694DB799" w14:textId="44BD07A7" w:rsidR="007F3B3C" w:rsidRPr="00726D70" w:rsidRDefault="007F3B3C" w:rsidP="00194F0E">
      <w:pPr>
        <w:pStyle w:val="Notedefin"/>
        <w:rPr>
          <w:rFonts w:asciiTheme="minorHAnsi" w:hAnsiTheme="minorHAnsi" w:cstheme="minorHAnsi"/>
          <w:color w:val="000000"/>
          <w:sz w:val="22"/>
          <w:szCs w:val="22"/>
        </w:rPr>
      </w:pPr>
      <w:r w:rsidRPr="00726D70">
        <w:rPr>
          <w:rFonts w:asciiTheme="minorHAnsi" w:hAnsiTheme="minorHAnsi" w:cstheme="minorHAnsi"/>
          <w:sz w:val="22"/>
          <w:szCs w:val="22"/>
        </w:rPr>
        <w:t xml:space="preserve">Please refer to </w:t>
      </w:r>
      <w:hyperlink w:anchor="AnnexB" w:history="1">
        <w:r w:rsidR="007A3064" w:rsidRPr="00726D70">
          <w:rPr>
            <w:rStyle w:val="Lienhypertexte"/>
            <w:rFonts w:asciiTheme="minorHAnsi" w:hAnsiTheme="minorHAnsi" w:cstheme="minorHAnsi"/>
            <w:sz w:val="22"/>
            <w:szCs w:val="22"/>
          </w:rPr>
          <w:t>Annex B</w:t>
        </w:r>
      </w:hyperlink>
      <w:r w:rsidRPr="00726D70">
        <w:rPr>
          <w:rFonts w:asciiTheme="minorHAnsi" w:hAnsiTheme="minorHAnsi" w:cstheme="minorHAnsi"/>
          <w:sz w:val="22"/>
          <w:szCs w:val="22"/>
        </w:rPr>
        <w:t xml:space="preserve"> for additional details</w:t>
      </w:r>
      <w:r w:rsidR="00F01C23" w:rsidRPr="00726D70">
        <w:rPr>
          <w:rFonts w:asciiTheme="minorHAnsi" w:hAnsiTheme="minorHAnsi" w:cstheme="minorHAnsi"/>
          <w:sz w:val="22"/>
          <w:szCs w:val="22"/>
        </w:rPr>
        <w:t xml:space="preserve"> on staffing activit</w:t>
      </w:r>
      <w:r w:rsidR="003F23FE" w:rsidRPr="00726D70">
        <w:rPr>
          <w:rFonts w:asciiTheme="minorHAnsi" w:hAnsiTheme="minorHAnsi" w:cstheme="minorHAnsi"/>
          <w:sz w:val="22"/>
          <w:szCs w:val="22"/>
        </w:rPr>
        <w:t>i</w:t>
      </w:r>
      <w:r w:rsidR="00F01C23" w:rsidRPr="00726D70">
        <w:rPr>
          <w:rFonts w:asciiTheme="minorHAnsi" w:hAnsiTheme="minorHAnsi" w:cstheme="minorHAnsi"/>
          <w:sz w:val="22"/>
          <w:szCs w:val="22"/>
        </w:rPr>
        <w:t>es</w:t>
      </w:r>
      <w:r w:rsidRPr="00726D70">
        <w:rPr>
          <w:rFonts w:asciiTheme="minorHAnsi" w:hAnsiTheme="minorHAnsi" w:cstheme="minorHAnsi"/>
          <w:sz w:val="22"/>
          <w:szCs w:val="22"/>
        </w:rPr>
        <w:t>.</w:t>
      </w:r>
    </w:p>
    <w:p w14:paraId="658951B2" w14:textId="77777777" w:rsidR="007F3B3C" w:rsidRPr="00726D70" w:rsidRDefault="007F3B3C" w:rsidP="00194F0E">
      <w:pPr>
        <w:pStyle w:val="Titre1"/>
        <w:spacing w:after="240"/>
        <w:rPr>
          <w:lang w:val="en-CA"/>
        </w:rPr>
      </w:pPr>
      <w:r w:rsidRPr="00726D70">
        <w:rPr>
          <w:lang w:val="en-CA"/>
        </w:rPr>
        <w:t>Time to Staff</w:t>
      </w:r>
    </w:p>
    <w:p w14:paraId="03CFDF58" w14:textId="7C73896C" w:rsidR="007F3B3C" w:rsidRPr="00726D70" w:rsidRDefault="007F3B3C" w:rsidP="00194F0E">
      <w:pPr>
        <w:pStyle w:val="Notedefin"/>
        <w:spacing w:after="120"/>
        <w:rPr>
          <w:rFonts w:asciiTheme="minorHAnsi" w:hAnsiTheme="minorHAnsi" w:cstheme="minorHAnsi"/>
          <w:color w:val="222222"/>
          <w:sz w:val="22"/>
          <w:szCs w:val="22"/>
        </w:rPr>
      </w:pPr>
      <w:r w:rsidRPr="00726D70">
        <w:rPr>
          <w:rFonts w:asciiTheme="minorHAnsi" w:hAnsiTheme="minorHAnsi" w:cstheme="minorHAnsi"/>
          <w:color w:val="000000"/>
          <w:sz w:val="22"/>
          <w:szCs w:val="22"/>
        </w:rPr>
        <w:t>LAC</w:t>
      </w:r>
      <w:r w:rsidRPr="00726D70">
        <w:rPr>
          <w:rFonts w:asciiTheme="minorHAnsi" w:hAnsiTheme="minorHAnsi" w:cstheme="minorHAnsi"/>
          <w:color w:val="222222"/>
          <w:sz w:val="22"/>
          <w:szCs w:val="22"/>
        </w:rPr>
        <w:t xml:space="preserve"> has a median time of 145 days for internal advertised appointments, which is lower than the median of the public service, which is 176 days. </w:t>
      </w:r>
    </w:p>
    <w:p w14:paraId="2191FAC7" w14:textId="776BEC6B" w:rsidR="007F3B3C" w:rsidRPr="00726D70" w:rsidRDefault="007F3B3C" w:rsidP="00194F0E">
      <w:pPr>
        <w:pStyle w:val="Notedefin"/>
        <w:spacing w:after="120"/>
        <w:rPr>
          <w:rFonts w:asciiTheme="minorHAnsi" w:hAnsiTheme="minorHAnsi" w:cstheme="minorHAnsi"/>
          <w:color w:val="222222"/>
          <w:sz w:val="22"/>
          <w:szCs w:val="22"/>
        </w:rPr>
      </w:pPr>
      <w:r w:rsidRPr="00726D70">
        <w:rPr>
          <w:rFonts w:asciiTheme="minorHAnsi" w:hAnsiTheme="minorHAnsi" w:cstheme="minorHAnsi"/>
          <w:color w:val="222222"/>
          <w:sz w:val="22"/>
          <w:szCs w:val="22"/>
        </w:rPr>
        <w:t>Due to the limited amount of external advertised appointment processes conducted by LAC in 2018-2019, there is insufficient data to provide information about LAC’s time to staff.</w:t>
      </w:r>
    </w:p>
    <w:p w14:paraId="1FCA4B89" w14:textId="0BA5E626" w:rsidR="007F3B3C" w:rsidRPr="00726D70" w:rsidRDefault="007810F9" w:rsidP="00194F0E">
      <w:pPr>
        <w:pStyle w:val="Titre1"/>
        <w:spacing w:after="240"/>
        <w:rPr>
          <w:rFonts w:ascii="Arial" w:hAnsi="Arial" w:cs="Arial"/>
          <w:b/>
          <w:sz w:val="22"/>
          <w:szCs w:val="22"/>
          <w:lang w:val="en-CA"/>
        </w:rPr>
      </w:pPr>
      <w:r w:rsidRPr="00726D70">
        <w:rPr>
          <w:lang w:val="en-CA"/>
        </w:rPr>
        <w:lastRenderedPageBreak/>
        <w:t>S</w:t>
      </w:r>
      <w:r w:rsidR="007F3B3C" w:rsidRPr="00726D70">
        <w:rPr>
          <w:lang w:val="en-CA"/>
        </w:rPr>
        <w:t>taffing Framework</w:t>
      </w:r>
    </w:p>
    <w:p w14:paraId="2EC084BD" w14:textId="11A5F4E5" w:rsidR="007F3B3C" w:rsidRPr="00726D70" w:rsidRDefault="007F3B3C" w:rsidP="00194F0E">
      <w:pPr>
        <w:pStyle w:val="Titre2"/>
        <w:spacing w:after="120"/>
        <w:rPr>
          <w:lang w:val="en-CA"/>
        </w:rPr>
      </w:pPr>
      <w:r w:rsidRPr="00726D70">
        <w:rPr>
          <w:lang w:val="en-CA"/>
        </w:rPr>
        <w:t>New Direction in Staffing</w:t>
      </w:r>
      <w:r w:rsidR="00727F0E" w:rsidRPr="00726D70">
        <w:rPr>
          <w:lang w:val="en-CA"/>
        </w:rPr>
        <w:t xml:space="preserve"> (NDS)</w:t>
      </w:r>
      <w:r w:rsidRPr="00726D70">
        <w:rPr>
          <w:lang w:val="en-CA"/>
        </w:rPr>
        <w:t xml:space="preserve"> Implementation</w:t>
      </w:r>
    </w:p>
    <w:p w14:paraId="2319B338" w14:textId="0259AC34" w:rsidR="007F3B3C" w:rsidRPr="00726D70" w:rsidRDefault="007F3B3C" w:rsidP="00194F0E">
      <w:pPr>
        <w:pStyle w:val="NormalWeb"/>
        <w:spacing w:before="0" w:beforeAutospacing="0" w:after="120" w:afterAutospacing="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LAC worked collaboratively with the Staffing Support Advisor (SSA) during the development of their new staffing framework and has completed all of the mandatory requirements following the NDS. LAC is operating on a risk and results-based approach to staffing, consequently shaping their staffing framework according to their specific needs and taking advantage of the flexibility that the </w:t>
      </w:r>
      <w:r w:rsidRPr="00726D70">
        <w:rPr>
          <w:rStyle w:val="Accentuation"/>
          <w:rFonts w:cstheme="minorHAnsi"/>
          <w:szCs w:val="22"/>
          <w:lang w:val="en-CA"/>
        </w:rPr>
        <w:t>Public Service Employment Act</w:t>
      </w:r>
      <w:r w:rsidRPr="00726D70">
        <w:rPr>
          <w:rFonts w:asciiTheme="minorHAnsi" w:hAnsiTheme="minorHAnsi" w:cstheme="minorHAnsi"/>
          <w:color w:val="000000"/>
          <w:sz w:val="22"/>
          <w:szCs w:val="22"/>
          <w:lang w:val="en-CA"/>
        </w:rPr>
        <w:t xml:space="preserve"> was intended to provide. The organization implemented this new framework on January 31, 2017.</w:t>
      </w:r>
    </w:p>
    <w:p w14:paraId="2D11FC3B" w14:textId="452FE696" w:rsidR="007F3B3C" w:rsidRPr="00726D70" w:rsidRDefault="007F3B3C" w:rsidP="00194F0E">
      <w:pPr>
        <w:pStyle w:val="NormalWeb"/>
        <w:spacing w:before="0" w:beforeAutospacing="0" w:after="120" w:afterAutospacing="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As of April 1, 2016, all attestation forms had been signed by sub-delegated managers. They have updated their sub-delegation instrument to align it with new </w:t>
      </w:r>
      <w:r w:rsidRPr="00B15DAE">
        <w:rPr>
          <w:rStyle w:val="Accentuation"/>
        </w:rPr>
        <w:t>Appointment Delegation and Accountability Instrument</w:t>
      </w:r>
      <w:r w:rsidRPr="00726D70">
        <w:rPr>
          <w:rFonts w:asciiTheme="minorHAnsi" w:hAnsiTheme="minorHAnsi" w:cstheme="minorHAnsi"/>
          <w:color w:val="000000"/>
          <w:sz w:val="22"/>
          <w:szCs w:val="22"/>
          <w:lang w:val="en-CA"/>
        </w:rPr>
        <w:t xml:space="preserve"> and PSC Appointment Policy. It was approved </w:t>
      </w:r>
      <w:r w:rsidR="007810F9" w:rsidRPr="00726D70">
        <w:rPr>
          <w:rFonts w:asciiTheme="minorHAnsi" w:hAnsiTheme="minorHAnsi" w:cstheme="minorHAnsi"/>
          <w:color w:val="000000"/>
          <w:sz w:val="22"/>
          <w:szCs w:val="22"/>
          <w:lang w:val="en-CA"/>
        </w:rPr>
        <w:t>in March 2017.</w:t>
      </w:r>
    </w:p>
    <w:p w14:paraId="26063E06" w14:textId="77777777" w:rsidR="007F3B3C" w:rsidRPr="00726D70" w:rsidRDefault="007F3B3C" w:rsidP="00194F0E">
      <w:pPr>
        <w:pStyle w:val="NormalWeb"/>
        <w:spacing w:before="0" w:beforeAutospacing="0" w:after="0" w:afterAutospacing="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LAC has shared their appointment framework with the PSC.</w:t>
      </w:r>
    </w:p>
    <w:p w14:paraId="588636CF" w14:textId="2F4116A2" w:rsidR="007F3B3C" w:rsidRPr="00726D70" w:rsidRDefault="007F3B3C" w:rsidP="00194F0E">
      <w:pPr>
        <w:pStyle w:val="NormalWeb"/>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LAC Staffing Monitoring Framework has been approved by the Librarian and Archivist of Canada on April 29, 2018,</w:t>
      </w:r>
      <w:r w:rsidR="007810F9" w:rsidRPr="00726D70">
        <w:rPr>
          <w:rFonts w:asciiTheme="minorHAnsi" w:hAnsiTheme="minorHAnsi" w:cstheme="minorHAnsi"/>
          <w:color w:val="000000"/>
          <w:sz w:val="22"/>
          <w:szCs w:val="22"/>
          <w:lang w:val="en-CA"/>
        </w:rPr>
        <w:t xml:space="preserve"> and implementation is ongoing.</w:t>
      </w:r>
    </w:p>
    <w:p w14:paraId="2FF179BE" w14:textId="77777777" w:rsidR="007F3B3C" w:rsidRPr="00726D70" w:rsidRDefault="007F3B3C" w:rsidP="00194F0E">
      <w:pPr>
        <w:pStyle w:val="Titre1"/>
        <w:spacing w:after="240"/>
        <w:rPr>
          <w:lang w:val="en-CA"/>
        </w:rPr>
      </w:pPr>
      <w:r w:rsidRPr="00726D70">
        <w:rPr>
          <w:lang w:val="en-CA"/>
        </w:rPr>
        <w:t>Appointment Delegation and Accountability Instrument Annex D Reporting</w:t>
      </w:r>
    </w:p>
    <w:p w14:paraId="4C1BE889" w14:textId="77777777" w:rsidR="007F3B3C" w:rsidRPr="00726D70" w:rsidRDefault="007F3B3C" w:rsidP="00194F0E">
      <w:pPr>
        <w:pStyle w:val="Titre2"/>
        <w:spacing w:after="120"/>
        <w:rPr>
          <w:lang w:val="en-CA"/>
        </w:rPr>
      </w:pPr>
      <w:r w:rsidRPr="00726D70">
        <w:rPr>
          <w:lang w:val="en-CA"/>
        </w:rPr>
        <w:t>Use of the Public Service Official Languages Exclusion Approval Order and the Public Service Official Languages Appointment Regulations</w:t>
      </w:r>
    </w:p>
    <w:p w14:paraId="2CF88F61" w14:textId="6A9D100F" w:rsidR="007F3B3C" w:rsidRPr="00726D70" w:rsidRDefault="007F3B3C" w:rsidP="00194F0E">
      <w:pPr>
        <w:pStyle w:val="Notedefin"/>
        <w:rPr>
          <w:rFonts w:asciiTheme="minorHAnsi" w:hAnsiTheme="minorHAnsi" w:cstheme="minorHAnsi"/>
          <w:color w:val="222222"/>
          <w:sz w:val="22"/>
          <w:szCs w:val="22"/>
        </w:rPr>
      </w:pPr>
      <w:r w:rsidRPr="00726D70">
        <w:rPr>
          <w:rFonts w:asciiTheme="minorHAnsi" w:hAnsiTheme="minorHAnsi" w:cstheme="minorHAnsi"/>
          <w:color w:val="222222"/>
          <w:sz w:val="22"/>
          <w:szCs w:val="22"/>
        </w:rPr>
        <w:t xml:space="preserve">LAC reported that the organization has not approved any new exemption under the </w:t>
      </w:r>
      <w:r w:rsidRPr="00726D70">
        <w:rPr>
          <w:rStyle w:val="Accentuation"/>
          <w:rFonts w:cstheme="minorHAnsi"/>
          <w:szCs w:val="22"/>
        </w:rPr>
        <w:t>Public Service Official Languages Exclusion Approval Order</w:t>
      </w:r>
      <w:r w:rsidRPr="00726D70">
        <w:rPr>
          <w:rFonts w:asciiTheme="minorHAnsi" w:hAnsiTheme="minorHAnsi" w:cstheme="minorHAnsi"/>
          <w:i/>
          <w:color w:val="222222"/>
          <w:sz w:val="22"/>
          <w:szCs w:val="22"/>
        </w:rPr>
        <w:t xml:space="preserve"> </w:t>
      </w:r>
      <w:r w:rsidRPr="00726D70">
        <w:rPr>
          <w:rFonts w:asciiTheme="minorHAnsi" w:hAnsiTheme="minorHAnsi" w:cstheme="minorHAnsi"/>
          <w:color w:val="222222"/>
          <w:sz w:val="22"/>
          <w:szCs w:val="22"/>
        </w:rPr>
        <w:t xml:space="preserve">(PSOLEAO) but they extended one exemption under the </w:t>
      </w:r>
      <w:r w:rsidRPr="00726D70">
        <w:rPr>
          <w:rStyle w:val="Accentuation"/>
        </w:rPr>
        <w:t>Public Service Official Languages Appointment Regulations.</w:t>
      </w:r>
      <w:r w:rsidRPr="00726D70">
        <w:rPr>
          <w:rFonts w:asciiTheme="minorHAnsi" w:hAnsiTheme="minorHAnsi" w:cstheme="minorHAnsi"/>
          <w:color w:val="222222"/>
          <w:sz w:val="22"/>
          <w:szCs w:val="22"/>
        </w:rPr>
        <w:t xml:space="preserve"> </w:t>
      </w:r>
      <w:r w:rsidRPr="00726D70">
        <w:rPr>
          <w:rFonts w:asciiTheme="minorHAnsi" w:hAnsiTheme="minorHAnsi" w:cstheme="minorHAnsi"/>
          <w:sz w:val="22"/>
          <w:szCs w:val="22"/>
        </w:rPr>
        <w:t xml:space="preserve">This exemption had been originally approved from April 14, 2016 to April 13, 2018 and has subsequently been extended until April 13, 2020. </w:t>
      </w:r>
      <w:r w:rsidRPr="00726D70">
        <w:rPr>
          <w:rFonts w:asciiTheme="minorHAnsi" w:hAnsiTheme="minorHAnsi" w:cstheme="minorHAnsi"/>
          <w:color w:val="222222"/>
          <w:sz w:val="22"/>
          <w:szCs w:val="22"/>
        </w:rPr>
        <w:t xml:space="preserve">As the extension period is still within the </w:t>
      </w:r>
      <w:r w:rsidRPr="007B673E">
        <w:rPr>
          <w:rStyle w:val="Accentuation"/>
        </w:rPr>
        <w:t>PSOLEAO</w:t>
      </w:r>
      <w:r w:rsidRPr="00726D70">
        <w:rPr>
          <w:rFonts w:asciiTheme="minorHAnsi" w:hAnsiTheme="minorHAnsi" w:cstheme="minorHAnsi"/>
          <w:color w:val="222222"/>
          <w:sz w:val="22"/>
          <w:szCs w:val="22"/>
        </w:rPr>
        <w:t xml:space="preserve"> timelines, no action is requi</w:t>
      </w:r>
      <w:r w:rsidR="00AD7DDB" w:rsidRPr="00726D70">
        <w:rPr>
          <w:rFonts w:asciiTheme="minorHAnsi" w:hAnsiTheme="minorHAnsi" w:cstheme="minorHAnsi"/>
          <w:color w:val="222222"/>
          <w:sz w:val="22"/>
          <w:szCs w:val="22"/>
        </w:rPr>
        <w:t>red from the PSC at this point.</w:t>
      </w:r>
    </w:p>
    <w:p w14:paraId="56A1576D" w14:textId="77777777" w:rsidR="007F3B3C" w:rsidRPr="00726D70" w:rsidRDefault="007F3B3C" w:rsidP="00194F0E">
      <w:pPr>
        <w:pStyle w:val="Titre2"/>
        <w:spacing w:after="120"/>
        <w:rPr>
          <w:lang w:val="en-CA"/>
        </w:rPr>
      </w:pPr>
      <w:r w:rsidRPr="00726D70">
        <w:rPr>
          <w:lang w:val="en-CA"/>
        </w:rPr>
        <w:t>Approved Deputy Head Exceptions to the National Area of Selection Requirements for External Advertised Appointment Process</w:t>
      </w:r>
    </w:p>
    <w:p w14:paraId="306D2DA4" w14:textId="03320291" w:rsidR="007F3B3C" w:rsidRPr="00726D70" w:rsidRDefault="007F3B3C" w:rsidP="00194F0E">
      <w:pPr>
        <w:pStyle w:val="Notedefin"/>
        <w:spacing w:after="120"/>
        <w:rPr>
          <w:rFonts w:asciiTheme="minorHAnsi" w:hAnsiTheme="minorHAnsi" w:cstheme="minorHAnsi"/>
          <w:b/>
          <w:color w:val="222222"/>
          <w:sz w:val="22"/>
          <w:szCs w:val="22"/>
        </w:rPr>
      </w:pPr>
      <w:r w:rsidRPr="00726D70">
        <w:rPr>
          <w:rFonts w:asciiTheme="minorHAnsi" w:hAnsiTheme="minorHAnsi" w:cstheme="minorHAnsi"/>
          <w:color w:val="000000"/>
          <w:sz w:val="22"/>
          <w:szCs w:val="22"/>
        </w:rPr>
        <w:t>LAC</w:t>
      </w:r>
      <w:r w:rsidRPr="00726D70">
        <w:rPr>
          <w:rFonts w:asciiTheme="minorHAnsi" w:hAnsiTheme="minorHAnsi" w:cstheme="minorHAnsi"/>
          <w:color w:val="222222"/>
          <w:sz w:val="22"/>
          <w:szCs w:val="22"/>
        </w:rPr>
        <w:t xml:space="preserve"> has not approved exemptions to the National Area of Selection.</w:t>
      </w:r>
    </w:p>
    <w:p w14:paraId="677CC5AA" w14:textId="77777777" w:rsidR="007F3B3C" w:rsidRPr="00726D70" w:rsidRDefault="007F3B3C" w:rsidP="00194F0E">
      <w:pPr>
        <w:pStyle w:val="Titre2"/>
        <w:spacing w:after="120"/>
        <w:rPr>
          <w:lang w:val="en-CA"/>
        </w:rPr>
      </w:pPr>
      <w:r w:rsidRPr="00726D70">
        <w:rPr>
          <w:lang w:val="en-CA"/>
        </w:rPr>
        <w:t>Results of Organizational Cyclical Assessment</w:t>
      </w:r>
    </w:p>
    <w:p w14:paraId="43D691AA" w14:textId="7F4A0A78" w:rsidR="007F3B3C" w:rsidRPr="00726D70" w:rsidRDefault="007F3B3C" w:rsidP="00194F0E">
      <w:pPr>
        <w:pStyle w:val="Notedefin"/>
        <w:spacing w:after="120"/>
        <w:rPr>
          <w:rFonts w:asciiTheme="minorHAnsi" w:hAnsiTheme="minorHAnsi" w:cstheme="minorHAnsi"/>
          <w:color w:val="000000"/>
          <w:sz w:val="22"/>
          <w:szCs w:val="22"/>
        </w:rPr>
      </w:pPr>
      <w:r w:rsidRPr="00726D70">
        <w:rPr>
          <w:rFonts w:asciiTheme="minorHAnsi" w:hAnsiTheme="minorHAnsi" w:cstheme="minorHAnsi"/>
          <w:color w:val="000000"/>
          <w:sz w:val="22"/>
          <w:szCs w:val="22"/>
        </w:rPr>
        <w:t>LAC has not reported on their cyclical assessment</w:t>
      </w:r>
      <w:r w:rsidR="00FB5282" w:rsidRPr="00726D70">
        <w:rPr>
          <w:rFonts w:asciiTheme="minorHAnsi" w:hAnsiTheme="minorHAnsi" w:cstheme="minorHAnsi"/>
          <w:color w:val="000000"/>
          <w:sz w:val="22"/>
          <w:szCs w:val="22"/>
        </w:rPr>
        <w:t xml:space="preserve">, which is due by May 1, 2021. </w:t>
      </w:r>
    </w:p>
    <w:p w14:paraId="199EEF5E" w14:textId="77777777" w:rsidR="007F3B3C" w:rsidRPr="00726D70" w:rsidRDefault="007F3B3C" w:rsidP="00194F0E">
      <w:pPr>
        <w:pStyle w:val="Titre2"/>
        <w:spacing w:after="120"/>
        <w:rPr>
          <w:lang w:val="en-CA"/>
        </w:rPr>
      </w:pPr>
      <w:r w:rsidRPr="00726D70">
        <w:rPr>
          <w:lang w:val="en-CA"/>
        </w:rPr>
        <w:lastRenderedPageBreak/>
        <w:t>Inquiries and Trends</w:t>
      </w:r>
    </w:p>
    <w:p w14:paraId="3300D727" w14:textId="77777777" w:rsidR="007F3B3C" w:rsidRPr="00726D70" w:rsidRDefault="007F3B3C" w:rsidP="00194F0E">
      <w:pPr>
        <w:pStyle w:val="Notedefin"/>
        <w:rPr>
          <w:rFonts w:asciiTheme="minorHAnsi" w:hAnsiTheme="minorHAnsi" w:cstheme="minorHAnsi"/>
          <w:color w:val="000000"/>
          <w:sz w:val="22"/>
          <w:szCs w:val="22"/>
        </w:rPr>
      </w:pPr>
      <w:r w:rsidRPr="00726D70">
        <w:rPr>
          <w:rFonts w:asciiTheme="minorHAnsi" w:hAnsiTheme="minorHAnsi" w:cstheme="minorHAnsi"/>
          <w:color w:val="000000"/>
          <w:sz w:val="22"/>
          <w:szCs w:val="22"/>
        </w:rPr>
        <w:t xml:space="preserve">LAC consulted the SSA at many occasions in order to discuss various subject matters. Main questions were related to the </w:t>
      </w:r>
      <w:r w:rsidRPr="00726D70">
        <w:rPr>
          <w:rStyle w:val="Accentuation"/>
          <w:rFonts w:cstheme="minorHAnsi"/>
          <w:szCs w:val="22"/>
        </w:rPr>
        <w:t>Public Service Employment Regulations</w:t>
      </w:r>
      <w:r w:rsidRPr="00726D70">
        <w:rPr>
          <w:rFonts w:asciiTheme="minorHAnsi" w:hAnsiTheme="minorHAnsi" w:cstheme="minorHAnsi"/>
          <w:color w:val="000000"/>
          <w:sz w:val="22"/>
          <w:szCs w:val="22"/>
        </w:rPr>
        <w:t>, the assessment, the use of advertised and non-advertised, as well as questions on PSC website and systems (for example, the Public Service Resourcing System).</w:t>
      </w:r>
    </w:p>
    <w:p w14:paraId="424AB7F4" w14:textId="33CC1E06" w:rsidR="007F3B3C" w:rsidRPr="00726D70" w:rsidRDefault="007F3B3C" w:rsidP="00194F0E">
      <w:pPr>
        <w:pStyle w:val="Titre1"/>
        <w:spacing w:after="240"/>
        <w:rPr>
          <w:lang w:val="en-CA"/>
        </w:rPr>
      </w:pPr>
      <w:r w:rsidRPr="00726D70">
        <w:rPr>
          <w:lang w:val="en-CA"/>
        </w:rPr>
        <w:t xml:space="preserve">Oversight </w:t>
      </w:r>
    </w:p>
    <w:p w14:paraId="10D6FE5B" w14:textId="77777777" w:rsidR="007F3B3C" w:rsidRPr="00726D70" w:rsidRDefault="007F3B3C" w:rsidP="00194F0E">
      <w:pPr>
        <w:pStyle w:val="Titre2"/>
        <w:spacing w:after="120"/>
        <w:rPr>
          <w:u w:val="single"/>
          <w:lang w:val="en-CA"/>
        </w:rPr>
      </w:pPr>
      <w:r w:rsidRPr="00726D70">
        <w:rPr>
          <w:lang w:val="en-CA"/>
        </w:rPr>
        <w:t xml:space="preserve">Audits </w:t>
      </w:r>
    </w:p>
    <w:p w14:paraId="475D1263" w14:textId="43D0D5E9" w:rsidR="007F3B3C" w:rsidRPr="00726D70" w:rsidRDefault="007F3B3C" w:rsidP="00194F0E">
      <w:pPr>
        <w:pStyle w:val="Notedefin"/>
        <w:spacing w:after="120"/>
        <w:rPr>
          <w:rFonts w:asciiTheme="minorHAnsi" w:hAnsiTheme="minorHAnsi" w:cstheme="minorHAnsi"/>
          <w:color w:val="000000"/>
          <w:sz w:val="22"/>
          <w:szCs w:val="22"/>
        </w:rPr>
      </w:pPr>
      <w:r w:rsidRPr="00726D70">
        <w:rPr>
          <w:rFonts w:asciiTheme="minorHAnsi" w:hAnsiTheme="minorHAnsi" w:cstheme="minorHAnsi"/>
          <w:color w:val="000000"/>
          <w:sz w:val="22"/>
          <w:szCs w:val="22"/>
        </w:rPr>
        <w:t>The organization is among the 30 organizations selected for the Audit of Employment Equity Representation in Recruitm</w:t>
      </w:r>
      <w:r w:rsidR="00FB5282" w:rsidRPr="00726D70">
        <w:rPr>
          <w:rFonts w:asciiTheme="minorHAnsi" w:hAnsiTheme="minorHAnsi" w:cstheme="minorHAnsi"/>
          <w:color w:val="000000"/>
          <w:sz w:val="22"/>
          <w:szCs w:val="22"/>
        </w:rPr>
        <w:t>ent that is currently underway.</w:t>
      </w:r>
    </w:p>
    <w:p w14:paraId="58974BDC" w14:textId="77777777" w:rsidR="007F3B3C" w:rsidRPr="00726D70" w:rsidRDefault="007F3B3C" w:rsidP="00194F0E">
      <w:pPr>
        <w:pStyle w:val="Titre2"/>
        <w:spacing w:after="120"/>
        <w:rPr>
          <w:u w:val="single"/>
          <w:lang w:val="en-CA"/>
        </w:rPr>
      </w:pPr>
      <w:r w:rsidRPr="00726D70">
        <w:rPr>
          <w:lang w:val="en-CA"/>
        </w:rPr>
        <w:t>Investigations</w:t>
      </w:r>
    </w:p>
    <w:p w14:paraId="1DEBCD7E" w14:textId="690F001F" w:rsidR="007F3B3C" w:rsidRPr="00726D70" w:rsidRDefault="007F3B3C" w:rsidP="00194F0E">
      <w:pPr>
        <w:pStyle w:val="Notedefin"/>
        <w:spacing w:after="120"/>
        <w:rPr>
          <w:rFonts w:asciiTheme="minorHAnsi" w:hAnsiTheme="minorHAnsi" w:cstheme="minorHAnsi"/>
          <w:color w:val="000000"/>
          <w:sz w:val="22"/>
          <w:szCs w:val="22"/>
        </w:rPr>
      </w:pPr>
      <w:r w:rsidRPr="00726D70">
        <w:rPr>
          <w:rFonts w:asciiTheme="minorHAnsi" w:hAnsiTheme="minorHAnsi" w:cstheme="minorHAnsi"/>
          <w:color w:val="000000"/>
          <w:sz w:val="22"/>
          <w:szCs w:val="22"/>
        </w:rPr>
        <w:t xml:space="preserve">From April 1, 2017, to August 28, 2019, the PSC received one investigation case, at the LAC DH’s request. This investigation was </w:t>
      </w:r>
      <w:r w:rsidR="00FB5282" w:rsidRPr="00726D70">
        <w:rPr>
          <w:rFonts w:asciiTheme="minorHAnsi" w:hAnsiTheme="minorHAnsi" w:cstheme="minorHAnsi"/>
          <w:color w:val="000000"/>
          <w:sz w:val="22"/>
          <w:szCs w:val="22"/>
        </w:rPr>
        <w:t>founded.</w:t>
      </w:r>
    </w:p>
    <w:p w14:paraId="2A811AC6" w14:textId="244036B7" w:rsidR="00FB5282" w:rsidRPr="00726D70" w:rsidRDefault="00FB5282" w:rsidP="00194F0E">
      <w:pPr>
        <w:pStyle w:val="Lgende"/>
        <w:keepNext/>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1</w:t>
      </w:r>
      <w:r w:rsidRPr="00726D70">
        <w:rPr>
          <w:lang w:val="en-CA"/>
        </w:rPr>
        <w:fldChar w:fldCharType="end"/>
      </w:r>
      <w:r w:rsidRPr="00726D70">
        <w:rPr>
          <w:lang w:val="en-CA"/>
        </w:rPr>
        <w:t xml:space="preserve"> - Investigations</w:t>
      </w:r>
    </w:p>
    <w:tbl>
      <w:tblPr>
        <w:tblStyle w:val="Grilledutableau"/>
        <w:tblW w:w="0" w:type="auto"/>
        <w:jc w:val="center"/>
        <w:tblLook w:val="04A0" w:firstRow="1" w:lastRow="0" w:firstColumn="1" w:lastColumn="0" w:noHBand="0" w:noVBand="1"/>
        <w:tblDescription w:val="Investigations"/>
      </w:tblPr>
      <w:tblGrid>
        <w:gridCol w:w="1664"/>
        <w:gridCol w:w="1126"/>
        <w:gridCol w:w="1562"/>
        <w:gridCol w:w="1186"/>
        <w:gridCol w:w="1378"/>
        <w:gridCol w:w="1341"/>
        <w:gridCol w:w="1093"/>
      </w:tblGrid>
      <w:tr w:rsidR="00FB5282" w:rsidRPr="00726D70" w14:paraId="029C578A" w14:textId="77777777" w:rsidTr="005F2231">
        <w:trPr>
          <w:cantSplit/>
          <w:trHeight w:val="1200"/>
          <w:tblHeader/>
          <w:jc w:val="center"/>
        </w:trPr>
        <w:tc>
          <w:tcPr>
            <w:tcW w:w="0" w:type="auto"/>
            <w:shd w:val="clear" w:color="auto" w:fill="54575A" w:themeFill="text1"/>
            <w:hideMark/>
          </w:tcPr>
          <w:p w14:paraId="7D5C4C8C" w14:textId="77777777" w:rsidR="00FB5282" w:rsidRPr="00726D70" w:rsidRDefault="00FB5282" w:rsidP="00194F0E">
            <w:pPr>
              <w:pStyle w:val="TableTitle"/>
              <w:rPr>
                <w:b/>
                <w:bCs/>
                <w:color w:val="FFFFFF" w:themeColor="background1"/>
                <w:lang w:val="en-CA" w:eastAsia="en-CA"/>
              </w:rPr>
            </w:pPr>
            <w:r w:rsidRPr="00726D70">
              <w:rPr>
                <w:color w:val="FFFFFF" w:themeColor="background1"/>
                <w:lang w:val="en-CA" w:eastAsia="en-CA"/>
              </w:rPr>
              <w:t>Nature of Issue</w:t>
            </w:r>
          </w:p>
        </w:tc>
        <w:tc>
          <w:tcPr>
            <w:tcW w:w="0" w:type="auto"/>
            <w:shd w:val="clear" w:color="auto" w:fill="54575A" w:themeFill="text1"/>
            <w:hideMark/>
          </w:tcPr>
          <w:p w14:paraId="58F17F29" w14:textId="77777777" w:rsidR="00FB5282" w:rsidRPr="00726D70" w:rsidRDefault="00FB5282" w:rsidP="00194F0E">
            <w:pPr>
              <w:pStyle w:val="TableTitle"/>
              <w:rPr>
                <w:b/>
                <w:bCs/>
                <w:color w:val="FFFFFF" w:themeColor="background1"/>
                <w:lang w:val="en-CA" w:eastAsia="en-CA"/>
              </w:rPr>
            </w:pPr>
            <w:r w:rsidRPr="00726D70">
              <w:rPr>
                <w:color w:val="FFFFFF" w:themeColor="background1"/>
                <w:lang w:val="en-CA" w:eastAsia="en-CA"/>
              </w:rPr>
              <w:t>Cases Received</w:t>
            </w:r>
          </w:p>
        </w:tc>
        <w:tc>
          <w:tcPr>
            <w:tcW w:w="0" w:type="auto"/>
            <w:shd w:val="clear" w:color="auto" w:fill="54575A" w:themeFill="text1"/>
            <w:hideMark/>
          </w:tcPr>
          <w:p w14:paraId="43A81BBD" w14:textId="77777777" w:rsidR="00FB5282" w:rsidRPr="00726D70" w:rsidRDefault="00FB5282" w:rsidP="00194F0E">
            <w:pPr>
              <w:pStyle w:val="TableTitle"/>
              <w:rPr>
                <w:b/>
                <w:bCs/>
                <w:color w:val="FFFFFF" w:themeColor="background1"/>
                <w:lang w:val="en-CA" w:eastAsia="en-CA"/>
              </w:rPr>
            </w:pPr>
            <w:r w:rsidRPr="00726D70">
              <w:rPr>
                <w:color w:val="FFFFFF" w:themeColor="background1"/>
                <w:lang w:val="en-CA" w:eastAsia="en-CA"/>
              </w:rPr>
              <w:t>Cases Referred by Organization</w:t>
            </w:r>
          </w:p>
        </w:tc>
        <w:tc>
          <w:tcPr>
            <w:tcW w:w="0" w:type="auto"/>
            <w:shd w:val="clear" w:color="auto" w:fill="54575A" w:themeFill="text1"/>
            <w:hideMark/>
          </w:tcPr>
          <w:p w14:paraId="233D0551" w14:textId="77777777" w:rsidR="00FB5282" w:rsidRPr="00726D70" w:rsidRDefault="00FB5282" w:rsidP="00194F0E">
            <w:pPr>
              <w:pStyle w:val="TableTitle"/>
              <w:rPr>
                <w:b/>
                <w:bCs/>
                <w:color w:val="FFFFFF" w:themeColor="background1"/>
                <w:lang w:val="en-CA" w:eastAsia="en-CA"/>
              </w:rPr>
            </w:pPr>
            <w:r w:rsidRPr="00726D70">
              <w:rPr>
                <w:color w:val="FFFFFF" w:themeColor="background1"/>
                <w:lang w:val="en-CA" w:eastAsia="en-CA"/>
              </w:rPr>
              <w:t>Closed - Not Accepted</w:t>
            </w:r>
          </w:p>
        </w:tc>
        <w:tc>
          <w:tcPr>
            <w:tcW w:w="0" w:type="auto"/>
            <w:shd w:val="clear" w:color="auto" w:fill="54575A" w:themeFill="text1"/>
            <w:hideMark/>
          </w:tcPr>
          <w:p w14:paraId="7701BE3A" w14:textId="77777777" w:rsidR="00FB5282" w:rsidRPr="00726D70" w:rsidRDefault="00FB5282" w:rsidP="00194F0E">
            <w:pPr>
              <w:pStyle w:val="TableTitle"/>
              <w:rPr>
                <w:b/>
                <w:bCs/>
                <w:color w:val="FFFFFF" w:themeColor="background1"/>
                <w:lang w:val="en-CA" w:eastAsia="en-CA"/>
              </w:rPr>
            </w:pPr>
            <w:r w:rsidRPr="00726D70">
              <w:rPr>
                <w:color w:val="FFFFFF" w:themeColor="background1"/>
                <w:lang w:val="en-CA" w:eastAsia="en-CA"/>
              </w:rPr>
              <w:t>Completed Unfounded</w:t>
            </w:r>
          </w:p>
        </w:tc>
        <w:tc>
          <w:tcPr>
            <w:tcW w:w="0" w:type="auto"/>
            <w:shd w:val="clear" w:color="auto" w:fill="54575A" w:themeFill="text1"/>
            <w:hideMark/>
          </w:tcPr>
          <w:p w14:paraId="18EBB40E" w14:textId="77777777" w:rsidR="00FB5282" w:rsidRPr="00726D70" w:rsidRDefault="00FB5282" w:rsidP="00194F0E">
            <w:pPr>
              <w:pStyle w:val="TableTitle"/>
              <w:rPr>
                <w:b/>
                <w:bCs/>
                <w:color w:val="FFFFFF" w:themeColor="background1"/>
                <w:lang w:val="en-CA" w:eastAsia="en-CA"/>
              </w:rPr>
            </w:pPr>
            <w:r w:rsidRPr="00726D70">
              <w:rPr>
                <w:color w:val="FFFFFF" w:themeColor="background1"/>
                <w:lang w:val="en-CA" w:eastAsia="en-CA"/>
              </w:rPr>
              <w:t>Completed Founded</w:t>
            </w:r>
          </w:p>
        </w:tc>
        <w:tc>
          <w:tcPr>
            <w:tcW w:w="0" w:type="auto"/>
            <w:shd w:val="clear" w:color="auto" w:fill="54575A" w:themeFill="text1"/>
            <w:hideMark/>
          </w:tcPr>
          <w:p w14:paraId="25672FAA" w14:textId="77777777" w:rsidR="00FB5282" w:rsidRPr="00726D70" w:rsidRDefault="00FB5282" w:rsidP="00194F0E">
            <w:pPr>
              <w:pStyle w:val="TableTitle"/>
              <w:rPr>
                <w:b/>
                <w:bCs/>
                <w:color w:val="FFFFFF" w:themeColor="background1"/>
                <w:lang w:val="en-CA" w:eastAsia="en-CA"/>
              </w:rPr>
            </w:pPr>
            <w:r w:rsidRPr="00726D70">
              <w:rPr>
                <w:color w:val="FFFFFF" w:themeColor="background1"/>
                <w:lang w:val="en-CA" w:eastAsia="en-CA"/>
              </w:rPr>
              <w:t>Ongoing</w:t>
            </w:r>
          </w:p>
        </w:tc>
      </w:tr>
      <w:tr w:rsidR="00FB5282" w:rsidRPr="00726D70" w14:paraId="6CDB318F" w14:textId="77777777" w:rsidTr="005F2231">
        <w:trPr>
          <w:cantSplit/>
          <w:trHeight w:val="600"/>
          <w:tblHeader/>
          <w:jc w:val="center"/>
        </w:trPr>
        <w:tc>
          <w:tcPr>
            <w:tcW w:w="0" w:type="auto"/>
            <w:shd w:val="clear" w:color="auto" w:fill="54575A" w:themeFill="text1"/>
            <w:hideMark/>
          </w:tcPr>
          <w:p w14:paraId="42D70740" w14:textId="77777777" w:rsidR="00FB5282" w:rsidRPr="00726D70" w:rsidRDefault="00FB5282" w:rsidP="00194F0E">
            <w:pPr>
              <w:rPr>
                <w:rFonts w:asciiTheme="minorHAnsi" w:hAnsiTheme="minorHAnsi" w:cstheme="minorHAnsi"/>
                <w:color w:val="FFFFFF" w:themeColor="background1"/>
                <w:sz w:val="22"/>
                <w:szCs w:val="22"/>
                <w:lang w:val="en-CA" w:eastAsia="en-CA"/>
              </w:rPr>
            </w:pPr>
            <w:r w:rsidRPr="00726D70">
              <w:rPr>
                <w:rFonts w:asciiTheme="minorHAnsi" w:hAnsiTheme="minorHAnsi" w:cstheme="minorHAnsi"/>
                <w:color w:val="FFFFFF" w:themeColor="background1"/>
                <w:sz w:val="22"/>
                <w:szCs w:val="22"/>
                <w:lang w:val="en-CA" w:eastAsia="en-CA"/>
              </w:rPr>
              <w:t>s.67.2 Internal Appointments (at Deputy Head’s request)</w:t>
            </w:r>
          </w:p>
        </w:tc>
        <w:tc>
          <w:tcPr>
            <w:tcW w:w="0" w:type="auto"/>
            <w:noWrap/>
          </w:tcPr>
          <w:p w14:paraId="4E3DEBFB" w14:textId="77777777" w:rsidR="00FB5282" w:rsidRPr="00726D70" w:rsidRDefault="00FB5282" w:rsidP="00194F0E">
            <w:pPr>
              <w:jc w:val="center"/>
              <w:rPr>
                <w:rFonts w:asciiTheme="minorHAnsi" w:hAnsiTheme="minorHAnsi" w:cstheme="minorHAnsi"/>
                <w:color w:val="000000"/>
                <w:sz w:val="22"/>
                <w:szCs w:val="22"/>
                <w:lang w:val="en-CA" w:eastAsia="en-CA"/>
              </w:rPr>
            </w:pPr>
            <w:r w:rsidRPr="00726D70">
              <w:rPr>
                <w:rFonts w:asciiTheme="minorHAnsi" w:hAnsiTheme="minorHAnsi" w:cstheme="minorHAnsi"/>
                <w:color w:val="000000"/>
                <w:sz w:val="22"/>
                <w:szCs w:val="22"/>
                <w:lang w:val="en-CA" w:eastAsia="en-CA"/>
              </w:rPr>
              <w:t>1</w:t>
            </w:r>
          </w:p>
        </w:tc>
        <w:tc>
          <w:tcPr>
            <w:tcW w:w="0" w:type="auto"/>
            <w:noWrap/>
          </w:tcPr>
          <w:p w14:paraId="3892E2D6" w14:textId="77777777" w:rsidR="00FB5282" w:rsidRPr="00726D70" w:rsidRDefault="00FB5282" w:rsidP="00194F0E">
            <w:pPr>
              <w:jc w:val="center"/>
              <w:rPr>
                <w:rFonts w:asciiTheme="minorHAnsi" w:hAnsiTheme="minorHAnsi" w:cstheme="minorHAnsi"/>
                <w:color w:val="000000"/>
                <w:sz w:val="22"/>
                <w:szCs w:val="22"/>
                <w:lang w:val="en-CA" w:eastAsia="en-CA"/>
              </w:rPr>
            </w:pPr>
            <w:r w:rsidRPr="00726D70">
              <w:rPr>
                <w:rFonts w:asciiTheme="minorHAnsi" w:hAnsiTheme="minorHAnsi" w:cstheme="minorHAnsi"/>
                <w:color w:val="000000"/>
                <w:sz w:val="22"/>
                <w:szCs w:val="22"/>
                <w:lang w:val="en-CA" w:eastAsia="en-CA"/>
              </w:rPr>
              <w:t>1</w:t>
            </w:r>
          </w:p>
        </w:tc>
        <w:tc>
          <w:tcPr>
            <w:tcW w:w="0" w:type="auto"/>
            <w:noWrap/>
          </w:tcPr>
          <w:p w14:paraId="7614FFBC" w14:textId="77777777" w:rsidR="00FB5282" w:rsidRPr="00726D70" w:rsidRDefault="00FB5282" w:rsidP="00194F0E">
            <w:pPr>
              <w:jc w:val="center"/>
              <w:rPr>
                <w:rFonts w:asciiTheme="minorHAnsi" w:hAnsiTheme="minorHAnsi" w:cstheme="minorHAnsi"/>
                <w:color w:val="000000"/>
                <w:sz w:val="22"/>
                <w:szCs w:val="22"/>
                <w:lang w:val="en-CA" w:eastAsia="en-CA"/>
              </w:rPr>
            </w:pPr>
            <w:r w:rsidRPr="00726D70">
              <w:rPr>
                <w:rFonts w:asciiTheme="minorHAnsi" w:hAnsiTheme="minorHAnsi" w:cstheme="minorHAnsi"/>
                <w:color w:val="000000"/>
                <w:sz w:val="22"/>
                <w:szCs w:val="22"/>
                <w:lang w:val="en-CA" w:eastAsia="en-CA"/>
              </w:rPr>
              <w:t>0</w:t>
            </w:r>
          </w:p>
        </w:tc>
        <w:tc>
          <w:tcPr>
            <w:tcW w:w="0" w:type="auto"/>
            <w:noWrap/>
          </w:tcPr>
          <w:p w14:paraId="1EA3C0E4" w14:textId="77777777" w:rsidR="00FB5282" w:rsidRPr="00726D70" w:rsidRDefault="00FB5282" w:rsidP="00194F0E">
            <w:pPr>
              <w:jc w:val="center"/>
              <w:rPr>
                <w:rFonts w:asciiTheme="minorHAnsi" w:hAnsiTheme="minorHAnsi" w:cstheme="minorHAnsi"/>
                <w:color w:val="000000"/>
                <w:sz w:val="22"/>
                <w:szCs w:val="22"/>
                <w:lang w:val="en-CA" w:eastAsia="en-CA"/>
              </w:rPr>
            </w:pPr>
            <w:r w:rsidRPr="00726D70">
              <w:rPr>
                <w:rFonts w:asciiTheme="minorHAnsi" w:hAnsiTheme="minorHAnsi" w:cstheme="minorHAnsi"/>
                <w:color w:val="000000"/>
                <w:sz w:val="22"/>
                <w:szCs w:val="22"/>
                <w:lang w:val="en-CA" w:eastAsia="en-CA"/>
              </w:rPr>
              <w:t>0</w:t>
            </w:r>
          </w:p>
        </w:tc>
        <w:tc>
          <w:tcPr>
            <w:tcW w:w="0" w:type="auto"/>
            <w:noWrap/>
          </w:tcPr>
          <w:p w14:paraId="0B2BAC65" w14:textId="77777777" w:rsidR="00FB5282" w:rsidRPr="00726D70" w:rsidRDefault="00FB5282" w:rsidP="00194F0E">
            <w:pPr>
              <w:jc w:val="center"/>
              <w:rPr>
                <w:rFonts w:asciiTheme="minorHAnsi" w:hAnsiTheme="minorHAnsi" w:cstheme="minorHAnsi"/>
                <w:color w:val="000000"/>
                <w:sz w:val="22"/>
                <w:szCs w:val="22"/>
                <w:lang w:val="en-CA" w:eastAsia="en-CA"/>
              </w:rPr>
            </w:pPr>
            <w:r w:rsidRPr="00726D70">
              <w:rPr>
                <w:rFonts w:asciiTheme="minorHAnsi" w:hAnsiTheme="minorHAnsi" w:cstheme="minorHAnsi"/>
                <w:color w:val="000000"/>
                <w:sz w:val="22"/>
                <w:szCs w:val="22"/>
                <w:lang w:val="en-CA" w:eastAsia="en-CA"/>
              </w:rPr>
              <w:t>1</w:t>
            </w:r>
          </w:p>
        </w:tc>
        <w:tc>
          <w:tcPr>
            <w:tcW w:w="0" w:type="auto"/>
            <w:noWrap/>
          </w:tcPr>
          <w:p w14:paraId="25814FB2" w14:textId="204EDBA7" w:rsidR="00FB5282" w:rsidRPr="00726D70" w:rsidRDefault="003979EE" w:rsidP="00194F0E">
            <w:pPr>
              <w:jc w:val="center"/>
              <w:rPr>
                <w:rFonts w:asciiTheme="minorHAnsi" w:hAnsiTheme="minorHAnsi" w:cstheme="minorHAnsi"/>
                <w:color w:val="000000"/>
                <w:sz w:val="22"/>
                <w:szCs w:val="22"/>
                <w:lang w:val="en-CA" w:eastAsia="en-CA"/>
              </w:rPr>
            </w:pPr>
            <w:r>
              <w:rPr>
                <w:rFonts w:asciiTheme="minorHAnsi" w:hAnsiTheme="minorHAnsi" w:cstheme="minorHAnsi"/>
                <w:color w:val="000000"/>
                <w:sz w:val="22"/>
                <w:szCs w:val="22"/>
                <w:lang w:val="en-CA" w:eastAsia="en-CA"/>
              </w:rPr>
              <w:t>0</w:t>
            </w:r>
          </w:p>
        </w:tc>
      </w:tr>
      <w:tr w:rsidR="00FB5282" w:rsidRPr="00726D70" w14:paraId="62D37FDA" w14:textId="77777777" w:rsidTr="005F2231">
        <w:trPr>
          <w:cantSplit/>
          <w:trHeight w:val="300"/>
          <w:tblHeader/>
          <w:jc w:val="center"/>
        </w:trPr>
        <w:tc>
          <w:tcPr>
            <w:tcW w:w="0" w:type="auto"/>
            <w:shd w:val="clear" w:color="auto" w:fill="54575A" w:themeFill="text1"/>
            <w:hideMark/>
          </w:tcPr>
          <w:p w14:paraId="3009293F" w14:textId="77777777" w:rsidR="00FB5282" w:rsidRPr="00726D70" w:rsidRDefault="00FB5282" w:rsidP="00194F0E">
            <w:pPr>
              <w:rPr>
                <w:rFonts w:asciiTheme="minorHAnsi" w:hAnsiTheme="minorHAnsi" w:cstheme="minorHAnsi"/>
                <w:bCs/>
                <w:color w:val="FFFFFF" w:themeColor="background1"/>
                <w:sz w:val="22"/>
                <w:szCs w:val="22"/>
                <w:lang w:val="en-CA" w:eastAsia="en-CA"/>
              </w:rPr>
            </w:pPr>
            <w:r w:rsidRPr="00726D70">
              <w:rPr>
                <w:rFonts w:asciiTheme="minorHAnsi" w:hAnsiTheme="minorHAnsi" w:cstheme="minorHAnsi"/>
                <w:color w:val="FFFFFF" w:themeColor="background1"/>
                <w:sz w:val="22"/>
                <w:szCs w:val="22"/>
                <w:lang w:val="en-CA" w:eastAsia="en-CA"/>
              </w:rPr>
              <w:t>Total</w:t>
            </w:r>
          </w:p>
        </w:tc>
        <w:tc>
          <w:tcPr>
            <w:tcW w:w="0" w:type="auto"/>
            <w:noWrap/>
          </w:tcPr>
          <w:p w14:paraId="6A8017BF" w14:textId="77777777" w:rsidR="00FB5282" w:rsidRPr="00726D70" w:rsidRDefault="00FB5282" w:rsidP="00194F0E">
            <w:pPr>
              <w:jc w:val="center"/>
              <w:rPr>
                <w:rFonts w:asciiTheme="minorHAnsi" w:hAnsiTheme="minorHAnsi" w:cstheme="minorHAnsi"/>
                <w:bCs/>
                <w:color w:val="000000"/>
                <w:sz w:val="22"/>
                <w:szCs w:val="22"/>
                <w:lang w:val="en-CA" w:eastAsia="en-CA"/>
              </w:rPr>
            </w:pPr>
            <w:r w:rsidRPr="00726D70">
              <w:rPr>
                <w:rFonts w:asciiTheme="minorHAnsi" w:hAnsiTheme="minorHAnsi" w:cstheme="minorHAnsi"/>
                <w:bCs/>
                <w:color w:val="000000"/>
                <w:sz w:val="22"/>
                <w:szCs w:val="22"/>
                <w:lang w:val="en-CA" w:eastAsia="en-CA"/>
              </w:rPr>
              <w:t>1</w:t>
            </w:r>
          </w:p>
        </w:tc>
        <w:tc>
          <w:tcPr>
            <w:tcW w:w="0" w:type="auto"/>
            <w:noWrap/>
          </w:tcPr>
          <w:p w14:paraId="4F1BEDA0" w14:textId="77777777" w:rsidR="00FB5282" w:rsidRPr="00726D70" w:rsidRDefault="00FB5282" w:rsidP="00194F0E">
            <w:pPr>
              <w:jc w:val="center"/>
              <w:rPr>
                <w:rFonts w:asciiTheme="minorHAnsi" w:hAnsiTheme="minorHAnsi" w:cstheme="minorHAnsi"/>
                <w:bCs/>
                <w:color w:val="000000"/>
                <w:sz w:val="22"/>
                <w:szCs w:val="22"/>
                <w:lang w:val="en-CA" w:eastAsia="en-CA"/>
              </w:rPr>
            </w:pPr>
            <w:r w:rsidRPr="00726D70">
              <w:rPr>
                <w:rFonts w:asciiTheme="minorHAnsi" w:hAnsiTheme="minorHAnsi" w:cstheme="minorHAnsi"/>
                <w:bCs/>
                <w:color w:val="000000"/>
                <w:sz w:val="22"/>
                <w:szCs w:val="22"/>
                <w:lang w:val="en-CA" w:eastAsia="en-CA"/>
              </w:rPr>
              <w:t>1</w:t>
            </w:r>
          </w:p>
        </w:tc>
        <w:tc>
          <w:tcPr>
            <w:tcW w:w="0" w:type="auto"/>
            <w:noWrap/>
          </w:tcPr>
          <w:p w14:paraId="7D77FAE6" w14:textId="77777777" w:rsidR="00FB5282" w:rsidRPr="00726D70" w:rsidRDefault="00FB5282" w:rsidP="00194F0E">
            <w:pPr>
              <w:jc w:val="center"/>
              <w:rPr>
                <w:rFonts w:asciiTheme="minorHAnsi" w:hAnsiTheme="minorHAnsi" w:cstheme="minorHAnsi"/>
                <w:bCs/>
                <w:color w:val="000000"/>
                <w:sz w:val="22"/>
                <w:szCs w:val="22"/>
                <w:lang w:val="en-CA" w:eastAsia="en-CA"/>
              </w:rPr>
            </w:pPr>
            <w:r w:rsidRPr="00726D70">
              <w:rPr>
                <w:rFonts w:asciiTheme="minorHAnsi" w:hAnsiTheme="minorHAnsi" w:cstheme="minorHAnsi"/>
                <w:bCs/>
                <w:color w:val="000000"/>
                <w:sz w:val="22"/>
                <w:szCs w:val="22"/>
                <w:lang w:val="en-CA" w:eastAsia="en-CA"/>
              </w:rPr>
              <w:t>0</w:t>
            </w:r>
          </w:p>
        </w:tc>
        <w:tc>
          <w:tcPr>
            <w:tcW w:w="0" w:type="auto"/>
            <w:noWrap/>
          </w:tcPr>
          <w:p w14:paraId="7EE13958" w14:textId="77777777" w:rsidR="00FB5282" w:rsidRPr="00726D70" w:rsidRDefault="00FB5282" w:rsidP="00194F0E">
            <w:pPr>
              <w:jc w:val="center"/>
              <w:rPr>
                <w:rFonts w:asciiTheme="minorHAnsi" w:hAnsiTheme="minorHAnsi" w:cstheme="minorHAnsi"/>
                <w:bCs/>
                <w:color w:val="000000"/>
                <w:sz w:val="22"/>
                <w:szCs w:val="22"/>
                <w:lang w:val="en-CA" w:eastAsia="en-CA"/>
              </w:rPr>
            </w:pPr>
            <w:r w:rsidRPr="00726D70">
              <w:rPr>
                <w:rFonts w:asciiTheme="minorHAnsi" w:hAnsiTheme="minorHAnsi" w:cstheme="minorHAnsi"/>
                <w:bCs/>
                <w:color w:val="000000"/>
                <w:sz w:val="22"/>
                <w:szCs w:val="22"/>
                <w:lang w:val="en-CA" w:eastAsia="en-CA"/>
              </w:rPr>
              <w:t>0</w:t>
            </w:r>
          </w:p>
        </w:tc>
        <w:tc>
          <w:tcPr>
            <w:tcW w:w="0" w:type="auto"/>
            <w:noWrap/>
          </w:tcPr>
          <w:p w14:paraId="2161E579" w14:textId="77777777" w:rsidR="00FB5282" w:rsidRPr="00726D70" w:rsidRDefault="00FB5282" w:rsidP="00194F0E">
            <w:pPr>
              <w:jc w:val="center"/>
              <w:rPr>
                <w:rFonts w:asciiTheme="minorHAnsi" w:hAnsiTheme="minorHAnsi" w:cstheme="minorHAnsi"/>
                <w:bCs/>
                <w:color w:val="000000"/>
                <w:sz w:val="22"/>
                <w:szCs w:val="22"/>
                <w:lang w:val="en-CA" w:eastAsia="en-CA"/>
              </w:rPr>
            </w:pPr>
            <w:r w:rsidRPr="00726D70">
              <w:rPr>
                <w:rFonts w:asciiTheme="minorHAnsi" w:hAnsiTheme="minorHAnsi" w:cstheme="minorHAnsi"/>
                <w:bCs/>
                <w:color w:val="000000"/>
                <w:sz w:val="22"/>
                <w:szCs w:val="22"/>
                <w:lang w:val="en-CA" w:eastAsia="en-CA"/>
              </w:rPr>
              <w:t>1</w:t>
            </w:r>
          </w:p>
        </w:tc>
        <w:tc>
          <w:tcPr>
            <w:tcW w:w="0" w:type="auto"/>
            <w:noWrap/>
          </w:tcPr>
          <w:p w14:paraId="43AD1A37" w14:textId="0C4D5656" w:rsidR="00FB5282" w:rsidRPr="00726D70" w:rsidRDefault="003979EE" w:rsidP="00194F0E">
            <w:pPr>
              <w:jc w:val="center"/>
              <w:rPr>
                <w:rFonts w:asciiTheme="minorHAnsi" w:hAnsiTheme="minorHAnsi" w:cstheme="minorHAnsi"/>
                <w:bCs/>
                <w:color w:val="000000"/>
                <w:sz w:val="22"/>
                <w:szCs w:val="22"/>
                <w:lang w:val="en-CA" w:eastAsia="en-CA"/>
              </w:rPr>
            </w:pPr>
            <w:r>
              <w:rPr>
                <w:rFonts w:asciiTheme="minorHAnsi" w:hAnsiTheme="minorHAnsi" w:cstheme="minorHAnsi"/>
                <w:bCs/>
                <w:color w:val="000000"/>
                <w:sz w:val="22"/>
                <w:szCs w:val="22"/>
                <w:lang w:val="en-CA" w:eastAsia="en-CA"/>
              </w:rPr>
              <w:t>0</w:t>
            </w:r>
          </w:p>
        </w:tc>
      </w:tr>
    </w:tbl>
    <w:p w14:paraId="66DCC029" w14:textId="77777777" w:rsidR="00FB5282" w:rsidRPr="00726D70" w:rsidRDefault="00FB5282" w:rsidP="00194F0E">
      <w:pPr>
        <w:rPr>
          <w:rFonts w:asciiTheme="minorHAnsi" w:hAnsiTheme="minorHAnsi" w:cstheme="minorHAnsi"/>
          <w:color w:val="000000"/>
          <w:sz w:val="22"/>
          <w:szCs w:val="22"/>
          <w:lang w:val="en-CA" w:eastAsia="en-CA"/>
        </w:rPr>
      </w:pPr>
      <w:r w:rsidRPr="00726D70">
        <w:rPr>
          <w:rFonts w:asciiTheme="minorHAnsi" w:hAnsiTheme="minorHAnsi" w:cstheme="minorHAnsi"/>
          <w:color w:val="000000"/>
          <w:sz w:val="22"/>
          <w:szCs w:val="22"/>
          <w:lang w:val="en-CA" w:eastAsia="en-CA"/>
        </w:rPr>
        <w:t>Note: The numbers may not add up as discontinued cases, and cases resolved via early intervention are not included in this table.</w:t>
      </w:r>
    </w:p>
    <w:p w14:paraId="3018C8AC" w14:textId="416B51BC" w:rsidR="007F3B3C" w:rsidRPr="00726D70" w:rsidRDefault="007F3B3C" w:rsidP="00194F0E">
      <w:pPr>
        <w:pStyle w:val="Notedefin"/>
        <w:spacing w:after="120"/>
        <w:rPr>
          <w:rFonts w:asciiTheme="minorHAnsi" w:hAnsiTheme="minorHAnsi" w:cstheme="minorHAnsi"/>
          <w:sz w:val="22"/>
          <w:szCs w:val="22"/>
        </w:rPr>
      </w:pPr>
    </w:p>
    <w:p w14:paraId="47DCECC7" w14:textId="77777777" w:rsidR="00FB5282" w:rsidRPr="00726D70" w:rsidRDefault="00FB5282" w:rsidP="00194F0E">
      <w:pPr>
        <w:pStyle w:val="Titre2"/>
        <w:spacing w:after="120"/>
        <w:rPr>
          <w:lang w:val="en-CA"/>
        </w:rPr>
        <w:sectPr w:rsidR="00FB5282" w:rsidRPr="00726D70" w:rsidSect="00625C6F">
          <w:footerReference w:type="default" r:id="rId8"/>
          <w:footerReference w:type="first" r:id="rId9"/>
          <w:footnotePr>
            <w:numFmt w:val="lowerLetter"/>
          </w:footnotePr>
          <w:endnotePr>
            <w:numFmt w:val="lowerLetter"/>
          </w:endnotePr>
          <w:pgSz w:w="12240" w:h="15840" w:code="1"/>
          <w:pgMar w:top="1080" w:right="1440" w:bottom="1080" w:left="1440" w:header="284" w:footer="284" w:gutter="0"/>
          <w:cols w:space="720"/>
          <w:docGrid w:linePitch="326"/>
        </w:sectPr>
      </w:pPr>
    </w:p>
    <w:p w14:paraId="41D72ED9" w14:textId="376C1135" w:rsidR="007F3B3C" w:rsidRPr="00726D70" w:rsidRDefault="007F3B3C" w:rsidP="00194F0E">
      <w:pPr>
        <w:pStyle w:val="Titre2"/>
        <w:spacing w:after="120"/>
        <w:rPr>
          <w:u w:val="single"/>
          <w:lang w:val="en-CA"/>
        </w:rPr>
      </w:pPr>
      <w:r w:rsidRPr="00726D70">
        <w:rPr>
          <w:lang w:val="en-CA"/>
        </w:rPr>
        <w:lastRenderedPageBreak/>
        <w:t>Staffing and Non-Partisanship Survey Results</w:t>
      </w:r>
    </w:p>
    <w:p w14:paraId="6EF0F85A" w14:textId="184E05DC" w:rsidR="007F3B3C" w:rsidRPr="00726D70" w:rsidRDefault="007F3B3C" w:rsidP="00194F0E">
      <w:pPr>
        <w:pStyle w:val="Paragraphedeliste"/>
        <w:spacing w:after="120"/>
        <w:contextualSpacing w:val="0"/>
        <w:rPr>
          <w:rFonts w:asciiTheme="minorHAnsi" w:hAnsiTheme="minorHAnsi" w:cstheme="minorHAnsi"/>
          <w:sz w:val="22"/>
          <w:szCs w:val="22"/>
          <w:lang w:val="en-CA" w:eastAsia="en-CA"/>
        </w:rPr>
      </w:pPr>
      <w:r w:rsidRPr="00726D70">
        <w:rPr>
          <w:rFonts w:asciiTheme="minorHAnsi" w:hAnsiTheme="minorHAnsi" w:cstheme="minorHAnsi"/>
          <w:sz w:val="22"/>
          <w:szCs w:val="22"/>
          <w:lang w:val="en-CA" w:eastAsia="en-CA"/>
        </w:rPr>
        <w:t>Overall, LAC’s</w:t>
      </w:r>
      <w:r w:rsidRPr="00726D70">
        <w:rPr>
          <w:rFonts w:asciiTheme="minorHAnsi" w:hAnsiTheme="minorHAnsi" w:cstheme="minorHAnsi"/>
          <w:b/>
          <w:i/>
          <w:sz w:val="22"/>
          <w:szCs w:val="22"/>
          <w:lang w:val="en-CA" w:eastAsia="en-CA"/>
        </w:rPr>
        <w:t xml:space="preserve"> </w:t>
      </w:r>
      <w:r w:rsidRPr="00726D70">
        <w:rPr>
          <w:rFonts w:asciiTheme="minorHAnsi" w:hAnsiTheme="minorHAnsi" w:cstheme="minorHAnsi"/>
          <w:sz w:val="22"/>
          <w:szCs w:val="22"/>
          <w:lang w:val="en-CA" w:eastAsia="en-CA"/>
        </w:rPr>
        <w:t xml:space="preserve">Staffing and Non-Partisanship Survey (SNPS) results are similar in comparison with other medium organizations. </w:t>
      </w:r>
    </w:p>
    <w:p w14:paraId="2D7495E0" w14:textId="77777777" w:rsidR="007F3B3C" w:rsidRPr="00726D70" w:rsidRDefault="007F3B3C" w:rsidP="00194F0E">
      <w:pPr>
        <w:pStyle w:val="Paragraphedeliste"/>
        <w:spacing w:after="0"/>
        <w:contextualSpacing w:val="0"/>
        <w:rPr>
          <w:rFonts w:asciiTheme="minorHAnsi" w:hAnsiTheme="minorHAnsi" w:cstheme="minorHAnsi"/>
          <w:i/>
          <w:sz w:val="22"/>
          <w:szCs w:val="22"/>
          <w:lang w:val="en-CA"/>
        </w:rPr>
      </w:pPr>
      <w:r w:rsidRPr="00726D70">
        <w:rPr>
          <w:rFonts w:asciiTheme="minorHAnsi" w:hAnsiTheme="minorHAnsi" w:cstheme="minorHAnsi"/>
          <w:sz w:val="22"/>
          <w:szCs w:val="22"/>
          <w:lang w:val="en-CA"/>
        </w:rPr>
        <w:t xml:space="preserve">Below are key findings from LAC’s 2018 SNPS results: </w:t>
      </w:r>
    </w:p>
    <w:p w14:paraId="6CA66B8B" w14:textId="77777777" w:rsidR="007F3B3C" w:rsidRPr="00726D70" w:rsidRDefault="007F3B3C" w:rsidP="005B549F">
      <w:pPr>
        <w:pStyle w:val="Paragraphedeliste"/>
        <w:numPr>
          <w:ilvl w:val="0"/>
          <w:numId w:val="4"/>
        </w:numPr>
        <w:spacing w:after="0"/>
        <w:contextualSpacing w:val="0"/>
        <w:rPr>
          <w:rFonts w:asciiTheme="minorHAnsi" w:hAnsiTheme="minorHAnsi" w:cstheme="minorHAnsi"/>
          <w:sz w:val="22"/>
          <w:szCs w:val="22"/>
          <w:lang w:val="en-CA"/>
        </w:rPr>
      </w:pPr>
      <w:r w:rsidRPr="00726D70">
        <w:rPr>
          <w:rFonts w:asciiTheme="minorHAnsi" w:hAnsiTheme="minorHAnsi" w:cstheme="minorHAnsi"/>
          <w:sz w:val="22"/>
          <w:szCs w:val="22"/>
          <w:lang w:val="en-CA"/>
        </w:rPr>
        <w:t xml:space="preserve">66.8% of </w:t>
      </w:r>
      <w:r w:rsidRPr="00726D70">
        <w:rPr>
          <w:rStyle w:val="lev"/>
          <w:lang w:val="en-CA"/>
        </w:rPr>
        <w:t>employees</w:t>
      </w:r>
      <w:r w:rsidRPr="00726D70">
        <w:rPr>
          <w:rFonts w:asciiTheme="minorHAnsi" w:hAnsiTheme="minorHAnsi" w:cstheme="minorHAnsi"/>
          <w:sz w:val="22"/>
          <w:szCs w:val="22"/>
          <w:lang w:val="en-CA"/>
        </w:rPr>
        <w:t xml:space="preserve"> agreed that people hired can do the job, compared to 67.6% in organizations of similar size, and 53.8% in the federal public service.</w:t>
      </w:r>
    </w:p>
    <w:p w14:paraId="4778A40A" w14:textId="77777777" w:rsidR="007F3B3C" w:rsidRPr="00726D70" w:rsidRDefault="007F3B3C" w:rsidP="005B549F">
      <w:pPr>
        <w:pStyle w:val="Paragraphedeliste"/>
        <w:numPr>
          <w:ilvl w:val="0"/>
          <w:numId w:val="4"/>
        </w:numPr>
        <w:spacing w:after="0"/>
        <w:contextualSpacing w:val="0"/>
        <w:rPr>
          <w:rFonts w:asciiTheme="minorHAnsi" w:hAnsiTheme="minorHAnsi" w:cstheme="minorHAnsi"/>
          <w:sz w:val="22"/>
          <w:szCs w:val="22"/>
          <w:lang w:val="en-CA"/>
        </w:rPr>
      </w:pPr>
      <w:r w:rsidRPr="00726D70">
        <w:rPr>
          <w:rFonts w:asciiTheme="minorHAnsi" w:hAnsiTheme="minorHAnsi" w:cstheme="minorHAnsi"/>
          <w:sz w:val="22"/>
          <w:szCs w:val="22"/>
          <w:lang w:val="en-CA"/>
        </w:rPr>
        <w:t xml:space="preserve">65.9% of </w:t>
      </w:r>
      <w:r w:rsidRPr="00726D70">
        <w:rPr>
          <w:rStyle w:val="lev"/>
          <w:lang w:val="en-CA"/>
        </w:rPr>
        <w:t xml:space="preserve">managers </w:t>
      </w:r>
      <w:r w:rsidRPr="00726D70">
        <w:rPr>
          <w:rFonts w:asciiTheme="minorHAnsi" w:hAnsiTheme="minorHAnsi" w:cstheme="minorHAnsi"/>
          <w:sz w:val="22"/>
          <w:szCs w:val="22"/>
          <w:lang w:val="en-CA"/>
        </w:rPr>
        <w:t>agreed that the NDS has improved the way they hire and appoint persons to and within their organization, compared to 69.4% in organizations of similar size, and 56.1% in the federal public service.</w:t>
      </w:r>
    </w:p>
    <w:p w14:paraId="7A39E6E0" w14:textId="77777777" w:rsidR="007F3B3C" w:rsidRPr="00726D70" w:rsidRDefault="007F3B3C" w:rsidP="005B549F">
      <w:pPr>
        <w:pStyle w:val="Paragraphedeliste"/>
        <w:numPr>
          <w:ilvl w:val="0"/>
          <w:numId w:val="4"/>
        </w:numPr>
        <w:spacing w:after="0"/>
        <w:contextualSpacing w:val="0"/>
        <w:rPr>
          <w:rFonts w:asciiTheme="minorHAnsi" w:hAnsiTheme="minorHAnsi" w:cstheme="minorHAnsi"/>
          <w:sz w:val="22"/>
          <w:szCs w:val="22"/>
          <w:lang w:val="en-CA"/>
        </w:rPr>
      </w:pPr>
      <w:r w:rsidRPr="00726D70">
        <w:rPr>
          <w:rFonts w:asciiTheme="minorHAnsi" w:hAnsiTheme="minorHAnsi" w:cstheme="minorHAnsi"/>
          <w:sz w:val="22"/>
          <w:szCs w:val="22"/>
          <w:lang w:val="en-CA"/>
        </w:rPr>
        <w:t xml:space="preserve">85.3% of </w:t>
      </w:r>
      <w:r w:rsidRPr="00726D70">
        <w:rPr>
          <w:rStyle w:val="lev"/>
          <w:lang w:val="en-CA"/>
        </w:rPr>
        <w:t>managers</w:t>
      </w:r>
      <w:r w:rsidRPr="00726D70">
        <w:rPr>
          <w:rFonts w:asciiTheme="minorHAnsi" w:hAnsiTheme="minorHAnsi" w:cstheme="minorHAnsi"/>
          <w:sz w:val="22"/>
          <w:szCs w:val="22"/>
          <w:lang w:val="en-CA"/>
        </w:rPr>
        <w:t xml:space="preserve"> agreed that within their organization, the administrative process to staff a position is burdensome, compared to 84.0% in organizations of similar size, and 87.9% in the federal public service.</w:t>
      </w:r>
    </w:p>
    <w:p w14:paraId="02ADFE52" w14:textId="77777777" w:rsidR="00194F0E" w:rsidRPr="00726D70" w:rsidRDefault="00194F0E" w:rsidP="00194F0E">
      <w:pPr>
        <w:pStyle w:val="Titre1"/>
        <w:spacing w:after="240"/>
        <w:rPr>
          <w:lang w:val="en-CA"/>
        </w:rPr>
        <w:sectPr w:rsidR="00194F0E" w:rsidRPr="00726D70" w:rsidSect="0012105C">
          <w:footnotePr>
            <w:numFmt w:val="lowerLetter"/>
          </w:footnotePr>
          <w:endnotePr>
            <w:numFmt w:val="lowerLetter"/>
          </w:endnotePr>
          <w:pgSz w:w="12240" w:h="15840" w:code="1"/>
          <w:pgMar w:top="1440" w:right="1080" w:bottom="1440" w:left="1080" w:header="284" w:footer="284" w:gutter="0"/>
          <w:cols w:space="720"/>
          <w:docGrid w:linePitch="326"/>
        </w:sectPr>
      </w:pPr>
    </w:p>
    <w:p w14:paraId="1A5B1803" w14:textId="4D88583D" w:rsidR="007F3B3C" w:rsidRPr="00726D70" w:rsidRDefault="007F3B3C" w:rsidP="00194F0E">
      <w:pPr>
        <w:pStyle w:val="Titre1"/>
        <w:spacing w:after="240"/>
        <w:rPr>
          <w:lang w:val="en-CA"/>
        </w:rPr>
      </w:pPr>
      <w:r w:rsidRPr="00726D70">
        <w:rPr>
          <w:lang w:val="en-CA"/>
        </w:rPr>
        <w:lastRenderedPageBreak/>
        <w:t>Diversity Profile </w:t>
      </w:r>
    </w:p>
    <w:p w14:paraId="110DA8CC" w14:textId="1BCD9734" w:rsidR="007F3B3C" w:rsidRPr="00726D70" w:rsidRDefault="007F3B3C" w:rsidP="00194F0E">
      <w:pPr>
        <w:pStyle w:val="Notedefin"/>
        <w:spacing w:after="120"/>
        <w:rPr>
          <w:rFonts w:asciiTheme="minorHAnsi" w:hAnsiTheme="minorHAnsi" w:cstheme="minorHAnsi"/>
          <w:sz w:val="22"/>
          <w:szCs w:val="22"/>
        </w:rPr>
      </w:pPr>
      <w:r w:rsidRPr="00726D70">
        <w:rPr>
          <w:rFonts w:asciiTheme="minorHAnsi" w:hAnsiTheme="minorHAnsi" w:cstheme="minorHAnsi"/>
          <w:sz w:val="22"/>
          <w:szCs w:val="22"/>
        </w:rPr>
        <w:t>The workforce availability (WFA) estimates in the public service for 2019 have been updated in the Diversity Profile although new estimates for organizations will only be released in the coming month. Using data from 2017-2018, LAC is doing well beyond the workforce availability for women. It is also doing well with the representation of Aboriginal peoples and persons with disabilities. However, the organization is below workforce availability for members of visible minorities. These findings will be revised w</w:t>
      </w:r>
      <w:r w:rsidR="00194F0E" w:rsidRPr="00726D70">
        <w:rPr>
          <w:rFonts w:asciiTheme="minorHAnsi" w:hAnsiTheme="minorHAnsi" w:cstheme="minorHAnsi"/>
          <w:sz w:val="22"/>
          <w:szCs w:val="22"/>
        </w:rPr>
        <w:t>hen new estimates are released.</w:t>
      </w:r>
    </w:p>
    <w:p w14:paraId="132698F0" w14:textId="0080C18A" w:rsidR="00194F0E" w:rsidRPr="00726D70" w:rsidRDefault="00194F0E" w:rsidP="00194F0E">
      <w:pPr>
        <w:pStyle w:val="Lgende"/>
        <w:keepNext/>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2</w:t>
      </w:r>
      <w:r w:rsidRPr="00726D70">
        <w:rPr>
          <w:lang w:val="en-CA"/>
        </w:rPr>
        <w:fldChar w:fldCharType="end"/>
      </w:r>
      <w:r w:rsidRPr="00726D70">
        <w:rPr>
          <w:lang w:val="en-CA"/>
        </w:rPr>
        <w:t xml:space="preserve"> - Diversity Profile</w:t>
      </w:r>
    </w:p>
    <w:tbl>
      <w:tblPr>
        <w:tblStyle w:val="Grilledutableau"/>
        <w:tblW w:w="0" w:type="auto"/>
        <w:jc w:val="center"/>
        <w:tblLook w:val="04A0" w:firstRow="1" w:lastRow="0" w:firstColumn="1" w:lastColumn="0" w:noHBand="0" w:noVBand="1"/>
        <w:tblDescription w:val="Diversity Profile"/>
      </w:tblPr>
      <w:tblGrid>
        <w:gridCol w:w="1900"/>
        <w:gridCol w:w="2163"/>
        <w:gridCol w:w="1712"/>
        <w:gridCol w:w="2083"/>
        <w:gridCol w:w="2212"/>
      </w:tblGrid>
      <w:tr w:rsidR="00194F0E" w:rsidRPr="00726D70" w14:paraId="2AC90CF8" w14:textId="77777777" w:rsidTr="0085385F">
        <w:trPr>
          <w:cantSplit/>
          <w:trHeight w:val="759"/>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6ACC812D" w14:textId="77777777" w:rsidR="00194F0E" w:rsidRPr="00726D70" w:rsidRDefault="00194F0E" w:rsidP="00194F0E">
            <w:pPr>
              <w:pStyle w:val="TableTitle"/>
              <w:rPr>
                <w:color w:val="FFFFFF" w:themeColor="background1"/>
                <w:lang w:val="en-CA"/>
              </w:rPr>
            </w:pPr>
            <w:r w:rsidRPr="00726D70">
              <w:rPr>
                <w:color w:val="FFFFFF" w:themeColor="background1"/>
                <w:lang w:val="en-CA"/>
              </w:rPr>
              <w:t>Designated Group</w:t>
            </w:r>
          </w:p>
        </w:tc>
        <w:tc>
          <w:tcPr>
            <w:tcW w:w="0" w:type="auto"/>
            <w:tcBorders>
              <w:top w:val="single" w:sz="4" w:space="0" w:color="auto"/>
              <w:left w:val="single" w:sz="4" w:space="0" w:color="auto"/>
              <w:bottom w:val="single" w:sz="4" w:space="0" w:color="auto"/>
              <w:right w:val="single" w:sz="4" w:space="0" w:color="auto"/>
            </w:tcBorders>
            <w:shd w:val="clear" w:color="auto" w:fill="54575A" w:themeFill="text1"/>
            <w:vAlign w:val="center"/>
          </w:tcPr>
          <w:p w14:paraId="42848C1D" w14:textId="77777777" w:rsidR="00194F0E" w:rsidRPr="00726D70" w:rsidRDefault="00194F0E" w:rsidP="00194F0E">
            <w:pPr>
              <w:pStyle w:val="TableTitle"/>
              <w:rPr>
                <w:color w:val="FFFFFF" w:themeColor="background1"/>
                <w:lang w:val="en-CA"/>
              </w:rPr>
            </w:pPr>
            <w:r w:rsidRPr="00726D70">
              <w:rPr>
                <w:color w:val="FFFFFF" w:themeColor="background1"/>
                <w:lang w:val="en-CA"/>
              </w:rPr>
              <w:t>Public Service</w:t>
            </w:r>
          </w:p>
          <w:p w14:paraId="72001C9C" w14:textId="77777777" w:rsidR="00194F0E" w:rsidRPr="00726D70" w:rsidRDefault="00194F0E" w:rsidP="00194F0E">
            <w:pPr>
              <w:pStyle w:val="TableTitle"/>
              <w:rPr>
                <w:color w:val="FFFFFF" w:themeColor="background1"/>
                <w:lang w:val="en-CA"/>
              </w:rPr>
            </w:pPr>
            <w:r w:rsidRPr="00726D70">
              <w:rPr>
                <w:color w:val="FFFFFF" w:themeColor="background1"/>
                <w:lang w:val="en-CA"/>
              </w:rPr>
              <w:t>Work Force Availability (WFA) – 2018</w:t>
            </w:r>
          </w:p>
        </w:tc>
        <w:tc>
          <w:tcPr>
            <w:tcW w:w="0" w:type="auto"/>
            <w:tcBorders>
              <w:top w:val="single" w:sz="4" w:space="0" w:color="auto"/>
              <w:left w:val="single" w:sz="4" w:space="0" w:color="auto"/>
              <w:right w:val="single" w:sz="4" w:space="0" w:color="auto"/>
            </w:tcBorders>
            <w:shd w:val="clear" w:color="auto" w:fill="BF3C00" w:themeFill="accent4" w:themeFillShade="BF"/>
            <w:vAlign w:val="center"/>
            <w:hideMark/>
          </w:tcPr>
          <w:p w14:paraId="095671FB" w14:textId="77777777" w:rsidR="00194F0E" w:rsidRPr="00726D70" w:rsidRDefault="00194F0E" w:rsidP="00194F0E">
            <w:pPr>
              <w:pStyle w:val="TableTitle"/>
              <w:rPr>
                <w:color w:val="FFFFFF" w:themeColor="background1"/>
                <w:lang w:val="en-CA"/>
              </w:rPr>
            </w:pPr>
            <w:r w:rsidRPr="00726D70">
              <w:rPr>
                <w:color w:val="FFFFFF" w:themeColor="background1"/>
                <w:lang w:val="en-CA"/>
              </w:rPr>
              <w:t>Library and Archives Canada</w:t>
            </w:r>
          </w:p>
        </w:tc>
        <w:tc>
          <w:tcPr>
            <w:tcW w:w="0" w:type="auto"/>
            <w:tcBorders>
              <w:top w:val="single" w:sz="4" w:space="0" w:color="auto"/>
              <w:left w:val="single" w:sz="4" w:space="0" w:color="auto"/>
              <w:bottom w:val="single" w:sz="4" w:space="0" w:color="auto"/>
              <w:right w:val="single" w:sz="4" w:space="0" w:color="auto"/>
            </w:tcBorders>
            <w:shd w:val="clear" w:color="auto" w:fill="54575A" w:themeFill="text1"/>
            <w:hideMark/>
          </w:tcPr>
          <w:p w14:paraId="545F4D79" w14:textId="77777777" w:rsidR="00194F0E" w:rsidRPr="00726D70" w:rsidRDefault="00194F0E" w:rsidP="00194F0E">
            <w:pPr>
              <w:pStyle w:val="TableTitle"/>
              <w:rPr>
                <w:color w:val="FFFFFF" w:themeColor="background1"/>
                <w:lang w:val="en-CA"/>
              </w:rPr>
            </w:pPr>
            <w:r w:rsidRPr="00726D70">
              <w:rPr>
                <w:color w:val="FFFFFF" w:themeColor="background1"/>
                <w:lang w:val="en-CA"/>
              </w:rPr>
              <w:t xml:space="preserve">Representation across the </w:t>
            </w:r>
          </w:p>
          <w:p w14:paraId="672C0A00" w14:textId="77777777" w:rsidR="00194F0E" w:rsidRPr="00726D70" w:rsidRDefault="00194F0E" w:rsidP="00194F0E">
            <w:pPr>
              <w:pStyle w:val="TableTitle"/>
              <w:rPr>
                <w:color w:val="FFFFFF" w:themeColor="background1"/>
                <w:lang w:val="en-CA"/>
              </w:rPr>
            </w:pPr>
            <w:r w:rsidRPr="00726D70">
              <w:rPr>
                <w:color w:val="FFFFFF" w:themeColor="background1"/>
                <w:lang w:val="en-CA"/>
              </w:rPr>
              <w:t xml:space="preserve"> Public Service of Canada</w:t>
            </w:r>
          </w:p>
        </w:tc>
        <w:tc>
          <w:tcPr>
            <w:tcW w:w="0" w:type="auto"/>
            <w:tcBorders>
              <w:top w:val="single" w:sz="4" w:space="0" w:color="auto"/>
              <w:left w:val="single" w:sz="4" w:space="0" w:color="auto"/>
              <w:bottom w:val="single" w:sz="4" w:space="0" w:color="auto"/>
              <w:right w:val="single" w:sz="4" w:space="0" w:color="auto"/>
            </w:tcBorders>
            <w:shd w:val="clear" w:color="auto" w:fill="54575A" w:themeFill="text1"/>
            <w:vAlign w:val="center"/>
          </w:tcPr>
          <w:p w14:paraId="1F88832F" w14:textId="77777777" w:rsidR="00194F0E" w:rsidRPr="00726D70" w:rsidRDefault="00194F0E" w:rsidP="00194F0E">
            <w:pPr>
              <w:pStyle w:val="TableTitle"/>
              <w:rPr>
                <w:color w:val="FFFFFF" w:themeColor="background1"/>
                <w:lang w:val="en-CA"/>
              </w:rPr>
            </w:pPr>
            <w:r w:rsidRPr="00726D70">
              <w:rPr>
                <w:color w:val="FFFFFF" w:themeColor="background1"/>
                <w:lang w:val="en-CA"/>
              </w:rPr>
              <w:t>Public Service</w:t>
            </w:r>
          </w:p>
          <w:p w14:paraId="531D6C1A" w14:textId="77777777" w:rsidR="00194F0E" w:rsidRPr="00726D70" w:rsidRDefault="00194F0E" w:rsidP="00194F0E">
            <w:pPr>
              <w:pStyle w:val="TableTitle"/>
              <w:rPr>
                <w:color w:val="FFFFFF" w:themeColor="background1"/>
                <w:lang w:val="en-CA"/>
              </w:rPr>
            </w:pPr>
            <w:r w:rsidRPr="00726D70">
              <w:rPr>
                <w:color w:val="FFFFFF" w:themeColor="background1"/>
                <w:lang w:val="en-CA"/>
              </w:rPr>
              <w:t>Work Force Availability (WFA) – (2019)</w:t>
            </w:r>
          </w:p>
        </w:tc>
      </w:tr>
      <w:tr w:rsidR="00194F0E" w:rsidRPr="00726D70" w14:paraId="58F9571A" w14:textId="77777777" w:rsidTr="00194F0E">
        <w:trPr>
          <w:cantSplit/>
          <w:tblHeader/>
          <w:jc w:val="center"/>
        </w:trPr>
        <w:tc>
          <w:tcPr>
            <w:tcW w:w="0" w:type="auto"/>
            <w:tcBorders>
              <w:top w:val="single" w:sz="4" w:space="0" w:color="auto"/>
              <w:left w:val="single" w:sz="4" w:space="0" w:color="auto"/>
              <w:bottom w:val="single" w:sz="4" w:space="0" w:color="auto"/>
              <w:right w:val="single" w:sz="4" w:space="0" w:color="auto"/>
            </w:tcBorders>
            <w:hideMark/>
          </w:tcPr>
          <w:p w14:paraId="7E0352AB" w14:textId="77777777" w:rsidR="00194F0E" w:rsidRPr="00726D70" w:rsidRDefault="00194F0E" w:rsidP="00A367FE">
            <w:pPr>
              <w:rPr>
                <w:rFonts w:asciiTheme="minorHAnsi" w:hAnsiTheme="minorHAnsi" w:cstheme="minorHAnsi"/>
                <w:sz w:val="22"/>
                <w:szCs w:val="22"/>
                <w:lang w:val="en-CA"/>
              </w:rPr>
            </w:pPr>
            <w:r w:rsidRPr="00726D70">
              <w:rPr>
                <w:rFonts w:asciiTheme="minorHAnsi" w:hAnsiTheme="minorHAnsi" w:cstheme="minorHAnsi"/>
                <w:sz w:val="22"/>
                <w:szCs w:val="22"/>
                <w:lang w:val="en-CA"/>
              </w:rPr>
              <w:t>Women</w:t>
            </w:r>
          </w:p>
        </w:tc>
        <w:tc>
          <w:tcPr>
            <w:tcW w:w="0" w:type="auto"/>
            <w:tcBorders>
              <w:top w:val="single" w:sz="4" w:space="0" w:color="auto"/>
              <w:left w:val="single" w:sz="4" w:space="0" w:color="auto"/>
              <w:bottom w:val="single" w:sz="4" w:space="0" w:color="auto"/>
              <w:right w:val="single" w:sz="4" w:space="0" w:color="auto"/>
            </w:tcBorders>
            <w:vAlign w:val="center"/>
          </w:tcPr>
          <w:p w14:paraId="60875C63"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52.5%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F01BF4"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62.0%</w:t>
            </w:r>
          </w:p>
        </w:tc>
        <w:tc>
          <w:tcPr>
            <w:tcW w:w="0" w:type="auto"/>
            <w:tcBorders>
              <w:top w:val="single" w:sz="4" w:space="0" w:color="auto"/>
              <w:left w:val="single" w:sz="4" w:space="0" w:color="auto"/>
              <w:bottom w:val="single" w:sz="4" w:space="0" w:color="auto"/>
              <w:right w:val="single" w:sz="4" w:space="0" w:color="auto"/>
            </w:tcBorders>
            <w:hideMark/>
          </w:tcPr>
          <w:p w14:paraId="6D6D3F3F" w14:textId="77777777" w:rsidR="00194F0E" w:rsidRPr="00726D70" w:rsidRDefault="00194F0E" w:rsidP="00A367FE">
            <w:pPr>
              <w:autoSpaceDE w:val="0"/>
              <w:autoSpaceDN w:val="0"/>
              <w:adjustRightInd w:val="0"/>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54.8%</w:t>
            </w:r>
          </w:p>
        </w:tc>
        <w:tc>
          <w:tcPr>
            <w:tcW w:w="0" w:type="auto"/>
            <w:tcBorders>
              <w:top w:val="single" w:sz="4" w:space="0" w:color="auto"/>
              <w:left w:val="single" w:sz="4" w:space="0" w:color="auto"/>
              <w:bottom w:val="single" w:sz="4" w:space="0" w:color="auto"/>
              <w:right w:val="single" w:sz="4" w:space="0" w:color="auto"/>
            </w:tcBorders>
            <w:vAlign w:val="center"/>
          </w:tcPr>
          <w:p w14:paraId="13204B67"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52.5%</w:t>
            </w:r>
          </w:p>
        </w:tc>
      </w:tr>
      <w:tr w:rsidR="00194F0E" w:rsidRPr="00726D70" w14:paraId="1B50E193" w14:textId="77777777" w:rsidTr="00194F0E">
        <w:trPr>
          <w:cantSplit/>
          <w:tblHeader/>
          <w:jc w:val="center"/>
        </w:trPr>
        <w:tc>
          <w:tcPr>
            <w:tcW w:w="0" w:type="auto"/>
            <w:tcBorders>
              <w:top w:val="single" w:sz="4" w:space="0" w:color="auto"/>
              <w:left w:val="single" w:sz="4" w:space="0" w:color="auto"/>
              <w:bottom w:val="single" w:sz="4" w:space="0" w:color="auto"/>
              <w:right w:val="single" w:sz="4" w:space="0" w:color="auto"/>
            </w:tcBorders>
            <w:hideMark/>
          </w:tcPr>
          <w:p w14:paraId="708F727C" w14:textId="77777777" w:rsidR="00194F0E" w:rsidRPr="00726D70" w:rsidRDefault="00194F0E" w:rsidP="00A367FE">
            <w:pPr>
              <w:rPr>
                <w:rFonts w:asciiTheme="minorHAnsi" w:hAnsiTheme="minorHAnsi" w:cstheme="minorHAnsi"/>
                <w:sz w:val="22"/>
                <w:szCs w:val="22"/>
                <w:lang w:val="en-CA"/>
              </w:rPr>
            </w:pPr>
            <w:r w:rsidRPr="00726D70">
              <w:rPr>
                <w:rFonts w:asciiTheme="minorHAnsi" w:hAnsiTheme="minorHAnsi" w:cstheme="minorHAnsi"/>
                <w:sz w:val="22"/>
                <w:szCs w:val="22"/>
                <w:lang w:val="en-CA"/>
              </w:rPr>
              <w:t>Aboriginal Peoples</w:t>
            </w:r>
          </w:p>
        </w:tc>
        <w:tc>
          <w:tcPr>
            <w:tcW w:w="0" w:type="auto"/>
            <w:tcBorders>
              <w:top w:val="single" w:sz="4" w:space="0" w:color="auto"/>
              <w:left w:val="single" w:sz="4" w:space="0" w:color="auto"/>
              <w:bottom w:val="single" w:sz="4" w:space="0" w:color="auto"/>
              <w:right w:val="single" w:sz="4" w:space="0" w:color="auto"/>
            </w:tcBorders>
            <w:vAlign w:val="center"/>
          </w:tcPr>
          <w:p w14:paraId="4A27EA6B"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58EFF2"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3.9%</w:t>
            </w:r>
          </w:p>
        </w:tc>
        <w:tc>
          <w:tcPr>
            <w:tcW w:w="0" w:type="auto"/>
            <w:tcBorders>
              <w:top w:val="single" w:sz="4" w:space="0" w:color="auto"/>
              <w:left w:val="single" w:sz="4" w:space="0" w:color="auto"/>
              <w:bottom w:val="single" w:sz="4" w:space="0" w:color="auto"/>
              <w:right w:val="single" w:sz="4" w:space="0" w:color="auto"/>
            </w:tcBorders>
            <w:hideMark/>
          </w:tcPr>
          <w:p w14:paraId="06FA1865" w14:textId="77777777" w:rsidR="00194F0E" w:rsidRPr="00726D70" w:rsidRDefault="00194F0E" w:rsidP="00A367FE">
            <w:pPr>
              <w:autoSpaceDE w:val="0"/>
              <w:autoSpaceDN w:val="0"/>
              <w:adjustRightInd w:val="0"/>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5.1%</w:t>
            </w:r>
          </w:p>
        </w:tc>
        <w:tc>
          <w:tcPr>
            <w:tcW w:w="0" w:type="auto"/>
            <w:tcBorders>
              <w:top w:val="single" w:sz="4" w:space="0" w:color="auto"/>
              <w:left w:val="single" w:sz="4" w:space="0" w:color="auto"/>
              <w:bottom w:val="single" w:sz="4" w:space="0" w:color="auto"/>
              <w:right w:val="single" w:sz="4" w:space="0" w:color="auto"/>
            </w:tcBorders>
            <w:vAlign w:val="center"/>
          </w:tcPr>
          <w:p w14:paraId="4386895F"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4%</w:t>
            </w:r>
          </w:p>
        </w:tc>
      </w:tr>
      <w:tr w:rsidR="00194F0E" w:rsidRPr="00726D70" w14:paraId="1E6DE0DB" w14:textId="77777777" w:rsidTr="00194F0E">
        <w:trPr>
          <w:cantSplit/>
          <w:trHeight w:val="341"/>
          <w:tblHeader/>
          <w:jc w:val="center"/>
        </w:trPr>
        <w:tc>
          <w:tcPr>
            <w:tcW w:w="0" w:type="auto"/>
            <w:tcBorders>
              <w:top w:val="single" w:sz="4" w:space="0" w:color="auto"/>
              <w:left w:val="single" w:sz="4" w:space="0" w:color="auto"/>
              <w:bottom w:val="single" w:sz="4" w:space="0" w:color="auto"/>
              <w:right w:val="single" w:sz="4" w:space="0" w:color="auto"/>
            </w:tcBorders>
            <w:hideMark/>
          </w:tcPr>
          <w:p w14:paraId="08EA72A3" w14:textId="77777777" w:rsidR="00194F0E" w:rsidRPr="00726D70" w:rsidRDefault="00194F0E" w:rsidP="00A367FE">
            <w:pPr>
              <w:rPr>
                <w:rFonts w:asciiTheme="minorHAnsi" w:hAnsiTheme="minorHAnsi" w:cstheme="minorHAnsi"/>
                <w:sz w:val="22"/>
                <w:szCs w:val="22"/>
                <w:lang w:val="en-CA"/>
              </w:rPr>
            </w:pPr>
            <w:r w:rsidRPr="00726D70">
              <w:rPr>
                <w:rFonts w:asciiTheme="minorHAnsi" w:hAnsiTheme="minorHAnsi" w:cstheme="minorHAnsi"/>
                <w:sz w:val="22"/>
                <w:szCs w:val="22"/>
                <w:lang w:val="en-CA"/>
              </w:rPr>
              <w:t>Persons with Disabilities</w:t>
            </w:r>
          </w:p>
        </w:tc>
        <w:tc>
          <w:tcPr>
            <w:tcW w:w="0" w:type="auto"/>
            <w:tcBorders>
              <w:top w:val="single" w:sz="4" w:space="0" w:color="auto"/>
              <w:left w:val="single" w:sz="4" w:space="0" w:color="auto"/>
              <w:bottom w:val="single" w:sz="4" w:space="0" w:color="auto"/>
              <w:right w:val="single" w:sz="4" w:space="0" w:color="auto"/>
            </w:tcBorders>
            <w:vAlign w:val="center"/>
          </w:tcPr>
          <w:p w14:paraId="253C8D77"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0BD531"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4.5%</w:t>
            </w:r>
          </w:p>
        </w:tc>
        <w:tc>
          <w:tcPr>
            <w:tcW w:w="0" w:type="auto"/>
            <w:tcBorders>
              <w:top w:val="single" w:sz="4" w:space="0" w:color="auto"/>
              <w:left w:val="single" w:sz="4" w:space="0" w:color="auto"/>
              <w:bottom w:val="single" w:sz="4" w:space="0" w:color="auto"/>
              <w:right w:val="single" w:sz="4" w:space="0" w:color="auto"/>
            </w:tcBorders>
            <w:vAlign w:val="center"/>
            <w:hideMark/>
          </w:tcPr>
          <w:p w14:paraId="23FE6CCE" w14:textId="77777777" w:rsidR="00194F0E" w:rsidRPr="00726D70" w:rsidRDefault="00194F0E" w:rsidP="00A367FE">
            <w:pPr>
              <w:autoSpaceDE w:val="0"/>
              <w:autoSpaceDN w:val="0"/>
              <w:adjustRightInd w:val="0"/>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5.3%</w:t>
            </w:r>
          </w:p>
        </w:tc>
        <w:tc>
          <w:tcPr>
            <w:tcW w:w="0" w:type="auto"/>
            <w:tcBorders>
              <w:top w:val="single" w:sz="4" w:space="0" w:color="auto"/>
              <w:left w:val="single" w:sz="4" w:space="0" w:color="auto"/>
              <w:bottom w:val="single" w:sz="4" w:space="0" w:color="auto"/>
              <w:right w:val="single" w:sz="4" w:space="0" w:color="auto"/>
            </w:tcBorders>
            <w:vAlign w:val="center"/>
          </w:tcPr>
          <w:p w14:paraId="72A0D08F"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9%</w:t>
            </w:r>
          </w:p>
        </w:tc>
      </w:tr>
      <w:tr w:rsidR="00194F0E" w:rsidRPr="00726D70" w14:paraId="2B3AAE12" w14:textId="77777777" w:rsidTr="00194F0E">
        <w:trPr>
          <w:cantSplit/>
          <w:tblHeader/>
          <w:jc w:val="center"/>
        </w:trPr>
        <w:tc>
          <w:tcPr>
            <w:tcW w:w="0" w:type="auto"/>
            <w:tcBorders>
              <w:top w:val="single" w:sz="4" w:space="0" w:color="auto"/>
              <w:left w:val="single" w:sz="4" w:space="0" w:color="auto"/>
              <w:bottom w:val="single" w:sz="4" w:space="0" w:color="auto"/>
              <w:right w:val="single" w:sz="4" w:space="0" w:color="auto"/>
            </w:tcBorders>
            <w:hideMark/>
          </w:tcPr>
          <w:p w14:paraId="78580267" w14:textId="77777777" w:rsidR="00194F0E" w:rsidRPr="00726D70" w:rsidRDefault="00194F0E" w:rsidP="00A367FE">
            <w:pPr>
              <w:rPr>
                <w:rFonts w:asciiTheme="minorHAnsi" w:hAnsiTheme="minorHAnsi" w:cstheme="minorHAnsi"/>
                <w:sz w:val="22"/>
                <w:szCs w:val="22"/>
                <w:lang w:val="en-CA"/>
              </w:rPr>
            </w:pPr>
            <w:r w:rsidRPr="00726D70">
              <w:rPr>
                <w:rFonts w:asciiTheme="minorHAnsi" w:hAnsiTheme="minorHAnsi" w:cstheme="minorHAnsi"/>
                <w:sz w:val="22"/>
                <w:szCs w:val="22"/>
                <w:lang w:val="en-CA"/>
              </w:rPr>
              <w:t>Members of Visible Minorities</w:t>
            </w:r>
          </w:p>
        </w:tc>
        <w:tc>
          <w:tcPr>
            <w:tcW w:w="0" w:type="auto"/>
            <w:tcBorders>
              <w:top w:val="single" w:sz="4" w:space="0" w:color="auto"/>
              <w:left w:val="single" w:sz="4" w:space="0" w:color="auto"/>
              <w:bottom w:val="single" w:sz="4" w:space="0" w:color="auto"/>
              <w:right w:val="single" w:sz="4" w:space="0" w:color="auto"/>
            </w:tcBorders>
            <w:vAlign w:val="center"/>
          </w:tcPr>
          <w:p w14:paraId="6361293E"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13.0%</w:t>
            </w:r>
          </w:p>
        </w:tc>
        <w:tc>
          <w:tcPr>
            <w:tcW w:w="0" w:type="auto"/>
            <w:tcBorders>
              <w:top w:val="single" w:sz="4" w:space="0" w:color="auto"/>
              <w:left w:val="single" w:sz="4" w:space="0" w:color="auto"/>
              <w:bottom w:val="single" w:sz="4" w:space="0" w:color="auto"/>
              <w:right w:val="single" w:sz="4" w:space="0" w:color="auto"/>
            </w:tcBorders>
            <w:shd w:val="clear" w:color="auto" w:fill="FFB999" w:themeFill="accent4" w:themeFillTint="66"/>
            <w:vAlign w:val="center"/>
          </w:tcPr>
          <w:p w14:paraId="21782B3B"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8.6%</w:t>
            </w:r>
          </w:p>
        </w:tc>
        <w:tc>
          <w:tcPr>
            <w:tcW w:w="0" w:type="auto"/>
            <w:tcBorders>
              <w:top w:val="single" w:sz="4" w:space="0" w:color="auto"/>
              <w:left w:val="single" w:sz="4" w:space="0" w:color="auto"/>
              <w:bottom w:val="single" w:sz="4" w:space="0" w:color="auto"/>
              <w:right w:val="single" w:sz="4" w:space="0" w:color="auto"/>
            </w:tcBorders>
            <w:vAlign w:val="center"/>
            <w:hideMark/>
          </w:tcPr>
          <w:p w14:paraId="1A1F4C01" w14:textId="77777777" w:rsidR="00194F0E" w:rsidRPr="00726D70" w:rsidRDefault="00194F0E" w:rsidP="00A367FE">
            <w:pPr>
              <w:autoSpaceDE w:val="0"/>
              <w:autoSpaceDN w:val="0"/>
              <w:adjustRightInd w:val="0"/>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15.7%</w:t>
            </w:r>
          </w:p>
        </w:tc>
        <w:tc>
          <w:tcPr>
            <w:tcW w:w="0" w:type="auto"/>
            <w:tcBorders>
              <w:top w:val="single" w:sz="4" w:space="0" w:color="auto"/>
              <w:left w:val="single" w:sz="4" w:space="0" w:color="auto"/>
              <w:bottom w:val="single" w:sz="4" w:space="0" w:color="auto"/>
              <w:right w:val="single" w:sz="4" w:space="0" w:color="auto"/>
            </w:tcBorders>
            <w:vAlign w:val="center"/>
          </w:tcPr>
          <w:p w14:paraId="3DB38679" w14:textId="77777777" w:rsidR="00194F0E" w:rsidRPr="00726D70" w:rsidRDefault="00194F0E" w:rsidP="00A367FE">
            <w:pPr>
              <w:jc w:val="center"/>
              <w:rPr>
                <w:rFonts w:asciiTheme="minorHAnsi" w:hAnsiTheme="minorHAnsi" w:cstheme="minorHAnsi"/>
                <w:sz w:val="22"/>
                <w:szCs w:val="22"/>
                <w:lang w:val="en-CA"/>
              </w:rPr>
            </w:pPr>
            <w:r w:rsidRPr="00726D70">
              <w:rPr>
                <w:rFonts w:asciiTheme="minorHAnsi" w:hAnsiTheme="minorHAnsi" w:cstheme="minorHAnsi"/>
                <w:sz w:val="22"/>
                <w:szCs w:val="22"/>
                <w:lang w:val="en-CA"/>
              </w:rPr>
              <w:t>15.3%</w:t>
            </w:r>
          </w:p>
        </w:tc>
      </w:tr>
    </w:tbl>
    <w:p w14:paraId="4F210DD0" w14:textId="77777777" w:rsidR="00194F0E" w:rsidRPr="00726D70" w:rsidRDefault="00194F0E" w:rsidP="00194F0E">
      <w:pPr>
        <w:rPr>
          <w:rFonts w:asciiTheme="minorHAnsi" w:hAnsiTheme="minorHAnsi" w:cstheme="minorHAnsi"/>
          <w:sz w:val="22"/>
          <w:szCs w:val="22"/>
          <w:lang w:val="en-CA"/>
        </w:rPr>
      </w:pPr>
      <w:r w:rsidRPr="00726D70">
        <w:rPr>
          <w:rFonts w:asciiTheme="minorHAnsi" w:hAnsiTheme="minorHAnsi" w:cstheme="minorHAnsi"/>
          <w:sz w:val="22"/>
          <w:szCs w:val="22"/>
          <w:lang w:val="en-CA"/>
        </w:rPr>
        <w:t>Source:</w:t>
      </w:r>
      <w:r w:rsidRPr="00726D70">
        <w:rPr>
          <w:rStyle w:val="Lienhypertexte"/>
          <w:rFonts w:asciiTheme="minorHAnsi" w:hAnsiTheme="minorHAnsi" w:cstheme="minorHAnsi"/>
          <w:sz w:val="22"/>
          <w:szCs w:val="22"/>
          <w:lang w:val="en-CA"/>
        </w:rPr>
        <w:t xml:space="preserve"> </w:t>
      </w:r>
      <w:hyperlink r:id="rId10" w:history="1">
        <w:r w:rsidRPr="00726D70">
          <w:rPr>
            <w:rStyle w:val="Lienhypertexte"/>
            <w:rFonts w:asciiTheme="minorHAnsi" w:hAnsiTheme="minorHAnsi" w:cstheme="minorHAnsi"/>
            <w:sz w:val="22"/>
            <w:szCs w:val="22"/>
            <w:lang w:val="en-CA"/>
          </w:rPr>
          <w:t>Employment Equity in the Public Service of Canada 2017- 2018</w:t>
        </w:r>
      </w:hyperlink>
    </w:p>
    <w:p w14:paraId="421BC824" w14:textId="77777777" w:rsidR="00194F0E" w:rsidRPr="00726D70" w:rsidRDefault="00194F0E" w:rsidP="00194F0E">
      <w:pPr>
        <w:pStyle w:val="Level1"/>
        <w:tabs>
          <w:tab w:val="left" w:pos="-1440"/>
        </w:tabs>
        <w:autoSpaceDE w:val="0"/>
        <w:autoSpaceDN w:val="0"/>
        <w:adjustRightInd w:val="0"/>
        <w:spacing w:after="120" w:line="20" w:lineRule="atLeast"/>
        <w:rPr>
          <w:rFonts w:asciiTheme="minorHAnsi" w:hAnsiTheme="minorHAnsi" w:cstheme="minorHAnsi"/>
          <w:noProof/>
          <w:sz w:val="22"/>
          <w:szCs w:val="22"/>
          <w:lang w:val="en-CA" w:eastAsia="en-CA"/>
        </w:rPr>
      </w:pPr>
      <w:r w:rsidRPr="00726D70">
        <w:rPr>
          <w:rFonts w:asciiTheme="minorHAnsi" w:hAnsiTheme="minorHAnsi" w:cstheme="minorHAnsi"/>
          <w:sz w:val="22"/>
          <w:szCs w:val="22"/>
          <w:lang w:val="en-CA"/>
        </w:rPr>
        <w:t>Treasury Board of Canada Secretariat</w:t>
      </w:r>
    </w:p>
    <w:p w14:paraId="54114AA9" w14:textId="4AC9DC88" w:rsidR="007F3B3C" w:rsidRPr="00726D70" w:rsidRDefault="007F3B3C" w:rsidP="00194F0E">
      <w:pPr>
        <w:pStyle w:val="Notedefin"/>
        <w:rPr>
          <w:rFonts w:asciiTheme="minorHAnsi" w:hAnsiTheme="minorHAnsi" w:cstheme="minorHAnsi"/>
          <w:color w:val="000000"/>
          <w:sz w:val="22"/>
          <w:szCs w:val="22"/>
        </w:rPr>
      </w:pPr>
    </w:p>
    <w:p w14:paraId="39909CBE" w14:textId="77777777" w:rsidR="00194F0E" w:rsidRPr="00726D70" w:rsidRDefault="00194F0E" w:rsidP="00194F0E">
      <w:pPr>
        <w:pStyle w:val="Titre1"/>
        <w:spacing w:after="240"/>
        <w:rPr>
          <w:lang w:val="en-CA"/>
        </w:rPr>
        <w:sectPr w:rsidR="00194F0E" w:rsidRPr="00726D70" w:rsidSect="0012105C">
          <w:footnotePr>
            <w:numFmt w:val="lowerLetter"/>
          </w:footnotePr>
          <w:endnotePr>
            <w:numFmt w:val="lowerLetter"/>
          </w:endnotePr>
          <w:pgSz w:w="12240" w:h="15840" w:code="1"/>
          <w:pgMar w:top="1440" w:right="1080" w:bottom="1440" w:left="1080" w:header="284" w:footer="284" w:gutter="0"/>
          <w:cols w:space="720"/>
          <w:docGrid w:linePitch="326"/>
        </w:sectPr>
      </w:pPr>
    </w:p>
    <w:p w14:paraId="366A2A35" w14:textId="68024151" w:rsidR="007F3B3C" w:rsidRPr="00726D70" w:rsidRDefault="007F3B3C" w:rsidP="00194F0E">
      <w:pPr>
        <w:pStyle w:val="Titre1"/>
        <w:spacing w:after="240"/>
        <w:rPr>
          <w:lang w:val="en-CA"/>
        </w:rPr>
      </w:pPr>
      <w:r w:rsidRPr="00726D70">
        <w:rPr>
          <w:lang w:val="en-CA"/>
        </w:rPr>
        <w:lastRenderedPageBreak/>
        <w:t>Priority Entitlements and Veterans</w:t>
      </w:r>
    </w:p>
    <w:p w14:paraId="43EB30C5" w14:textId="22F5C6E9" w:rsidR="007F3B3C" w:rsidRPr="00726D70" w:rsidRDefault="007F3B3C" w:rsidP="00194F0E">
      <w:pPr>
        <w:pStyle w:val="Notedefin"/>
        <w:spacing w:after="120"/>
        <w:rPr>
          <w:rFonts w:asciiTheme="minorHAnsi" w:hAnsiTheme="minorHAnsi" w:cstheme="minorHAnsi"/>
          <w:color w:val="000000"/>
          <w:sz w:val="22"/>
          <w:szCs w:val="22"/>
        </w:rPr>
      </w:pPr>
      <w:r w:rsidRPr="00726D70">
        <w:rPr>
          <w:rFonts w:asciiTheme="minorHAnsi" w:hAnsiTheme="minorHAnsi" w:cstheme="minorHAnsi"/>
          <w:color w:val="000000"/>
          <w:sz w:val="22"/>
          <w:szCs w:val="22"/>
        </w:rPr>
        <w:t xml:space="preserve">As of August 15, 2019, there were 4 Persons with Priority Entitlements (PPE) in LAC. They all held Leave of Absence Returnee entitlements. From April 1, 2018, to August 22, 2019, LAC appointed 3 PPEs from the PSC Priority System. The 3 PPEs came from their own organization and held Leave of </w:t>
      </w:r>
      <w:r w:rsidR="00194F0E" w:rsidRPr="00726D70">
        <w:rPr>
          <w:rFonts w:asciiTheme="minorHAnsi" w:hAnsiTheme="minorHAnsi" w:cstheme="minorHAnsi"/>
          <w:color w:val="000000"/>
          <w:sz w:val="22"/>
          <w:szCs w:val="22"/>
        </w:rPr>
        <w:t xml:space="preserve">Absence Returnee entitlements. </w:t>
      </w:r>
    </w:p>
    <w:p w14:paraId="075235E0" w14:textId="49DC9869" w:rsidR="007F3B3C" w:rsidRPr="00726D70" w:rsidRDefault="007F3B3C" w:rsidP="00194F0E">
      <w:pPr>
        <w:pStyle w:val="Notedefin"/>
        <w:spacing w:after="120"/>
        <w:rPr>
          <w:rFonts w:asciiTheme="minorHAnsi" w:hAnsiTheme="minorHAnsi" w:cstheme="minorHAnsi"/>
          <w:sz w:val="22"/>
          <w:szCs w:val="22"/>
        </w:rPr>
      </w:pPr>
      <w:r w:rsidRPr="00726D70">
        <w:rPr>
          <w:rFonts w:asciiTheme="minorHAnsi" w:hAnsiTheme="minorHAnsi" w:cstheme="minorHAnsi"/>
          <w:color w:val="000000"/>
          <w:sz w:val="22"/>
          <w:szCs w:val="22"/>
        </w:rPr>
        <w:t xml:space="preserve">LAC has not appointed any Canadian Armed Forces (CAF) statutory PPEs (attributable to service) and CAF regulatory PPEs (not attributable to service) since the coming into force of the </w:t>
      </w:r>
      <w:r w:rsidRPr="00726D70">
        <w:rPr>
          <w:rStyle w:val="Accentuation"/>
        </w:rPr>
        <w:t>Veterans Hiring Act</w:t>
      </w:r>
      <w:r w:rsidRPr="00726D70">
        <w:rPr>
          <w:rFonts w:asciiTheme="minorHAnsi" w:hAnsiTheme="minorHAnsi" w:cstheme="minorHAnsi"/>
          <w:color w:val="000000"/>
          <w:sz w:val="22"/>
          <w:szCs w:val="22"/>
        </w:rPr>
        <w:t xml:space="preserve"> on July 1, 2015.</w:t>
      </w:r>
    </w:p>
    <w:p w14:paraId="53621DA5" w14:textId="72AE4A48" w:rsidR="007F3B3C" w:rsidRPr="00726D70" w:rsidRDefault="007F3B3C" w:rsidP="00194F0E">
      <w:pPr>
        <w:pStyle w:val="Notedefin"/>
        <w:spacing w:after="120"/>
        <w:rPr>
          <w:rFonts w:asciiTheme="minorHAnsi" w:hAnsiTheme="minorHAnsi" w:cstheme="minorHAnsi"/>
          <w:color w:val="000000"/>
          <w:sz w:val="22"/>
          <w:szCs w:val="22"/>
        </w:rPr>
      </w:pPr>
      <w:r w:rsidRPr="00726D70">
        <w:rPr>
          <w:rFonts w:asciiTheme="minorHAnsi" w:hAnsiTheme="minorHAnsi" w:cstheme="minorHAnsi"/>
          <w:color w:val="000000"/>
          <w:sz w:val="22"/>
          <w:szCs w:val="22"/>
        </w:rPr>
        <w:t>From April 1, 2018, to August 22, 2019, LAC submitted 41</w:t>
      </w:r>
      <w:r w:rsidR="00194F0E" w:rsidRPr="00726D70">
        <w:rPr>
          <w:rFonts w:asciiTheme="minorHAnsi" w:hAnsiTheme="minorHAnsi" w:cstheme="minorHAnsi"/>
          <w:color w:val="000000"/>
          <w:sz w:val="22"/>
          <w:szCs w:val="22"/>
        </w:rPr>
        <w:t xml:space="preserve">8 priority clearance requests. </w:t>
      </w:r>
    </w:p>
    <w:p w14:paraId="6A061B44" w14:textId="7FDF91D9" w:rsidR="00194F0E" w:rsidRPr="00726D70" w:rsidRDefault="00194F0E" w:rsidP="00194F0E">
      <w:pPr>
        <w:pStyle w:val="Lgende"/>
        <w:keepNext/>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3</w:t>
      </w:r>
      <w:r w:rsidRPr="00726D70">
        <w:rPr>
          <w:lang w:val="en-CA"/>
        </w:rPr>
        <w:fldChar w:fldCharType="end"/>
      </w:r>
      <w:r w:rsidRPr="00726D70">
        <w:rPr>
          <w:lang w:val="en-CA"/>
        </w:rPr>
        <w:t xml:space="preserve"> - Priority Entitlements and Veterans</w:t>
      </w:r>
    </w:p>
    <w:tbl>
      <w:tblPr>
        <w:tblStyle w:val="Grilledutableau"/>
        <w:tblW w:w="0" w:type="auto"/>
        <w:jc w:val="center"/>
        <w:tblLook w:val="04A0" w:firstRow="1" w:lastRow="0" w:firstColumn="1" w:lastColumn="0" w:noHBand="0" w:noVBand="1"/>
        <w:tblDescription w:val="Priority Entitlements and Veterans"/>
      </w:tblPr>
      <w:tblGrid>
        <w:gridCol w:w="2263"/>
        <w:gridCol w:w="3249"/>
        <w:gridCol w:w="4192"/>
      </w:tblGrid>
      <w:tr w:rsidR="00194F0E" w:rsidRPr="00726D70" w14:paraId="052E3A5F" w14:textId="77777777" w:rsidTr="0012105C">
        <w:trPr>
          <w:cantSplit/>
          <w:tblHeader/>
          <w:jc w:val="center"/>
        </w:trPr>
        <w:tc>
          <w:tcPr>
            <w:tcW w:w="2263" w:type="dxa"/>
            <w:shd w:val="clear" w:color="auto" w:fill="0070C0"/>
            <w:vAlign w:val="center"/>
          </w:tcPr>
          <w:p w14:paraId="156F35EF" w14:textId="77777777" w:rsidR="00194F0E" w:rsidRPr="00726D70" w:rsidRDefault="00194F0E" w:rsidP="0012105C">
            <w:pPr>
              <w:pStyle w:val="TableTitle"/>
              <w:jc w:val="center"/>
              <w:rPr>
                <w:color w:val="FFFFFF" w:themeColor="background1"/>
                <w:lang w:val="en-CA"/>
              </w:rPr>
            </w:pPr>
            <w:r w:rsidRPr="00726D70">
              <w:rPr>
                <w:color w:val="FFFFFF" w:themeColor="background1"/>
                <w:lang w:val="en-CA"/>
              </w:rPr>
              <w:t>Period</w:t>
            </w:r>
          </w:p>
        </w:tc>
        <w:tc>
          <w:tcPr>
            <w:tcW w:w="3249" w:type="dxa"/>
            <w:shd w:val="clear" w:color="auto" w:fill="0070C0"/>
            <w:vAlign w:val="center"/>
          </w:tcPr>
          <w:p w14:paraId="6674CB71" w14:textId="77777777" w:rsidR="00194F0E" w:rsidRPr="00726D70" w:rsidRDefault="00194F0E" w:rsidP="0012105C">
            <w:pPr>
              <w:pStyle w:val="TableTitle"/>
              <w:jc w:val="center"/>
              <w:rPr>
                <w:smallCaps/>
                <w:color w:val="FFFFFF" w:themeColor="background1"/>
                <w:lang w:val="en-CA"/>
              </w:rPr>
            </w:pPr>
            <w:r w:rsidRPr="00726D70">
              <w:rPr>
                <w:smallCaps/>
                <w:color w:val="FFFFFF" w:themeColor="background1"/>
                <w:lang w:val="en-CA"/>
              </w:rPr>
              <w:t>attributable to service (statutory)</w:t>
            </w:r>
          </w:p>
        </w:tc>
        <w:tc>
          <w:tcPr>
            <w:tcW w:w="0" w:type="auto"/>
            <w:shd w:val="clear" w:color="auto" w:fill="0070C0"/>
            <w:vAlign w:val="center"/>
          </w:tcPr>
          <w:p w14:paraId="29ADA20B" w14:textId="77777777" w:rsidR="00194F0E" w:rsidRPr="00726D70" w:rsidRDefault="00194F0E" w:rsidP="0012105C">
            <w:pPr>
              <w:pStyle w:val="TableTitle"/>
              <w:jc w:val="center"/>
              <w:rPr>
                <w:smallCaps/>
                <w:color w:val="FFFFFF" w:themeColor="background1"/>
                <w:lang w:val="en-CA"/>
              </w:rPr>
            </w:pPr>
            <w:r w:rsidRPr="00726D70">
              <w:rPr>
                <w:smallCaps/>
                <w:color w:val="FFFFFF" w:themeColor="background1"/>
                <w:lang w:val="en-CA"/>
              </w:rPr>
              <w:t>not attributable to service (regulatory)</w:t>
            </w:r>
          </w:p>
        </w:tc>
      </w:tr>
      <w:tr w:rsidR="00194F0E" w:rsidRPr="00726D70" w14:paraId="572F696E" w14:textId="77777777" w:rsidTr="0012105C">
        <w:trPr>
          <w:cantSplit/>
          <w:tblHeader/>
          <w:jc w:val="center"/>
        </w:trPr>
        <w:tc>
          <w:tcPr>
            <w:tcW w:w="2263" w:type="dxa"/>
            <w:shd w:val="clear" w:color="auto" w:fill="0070C0"/>
            <w:vAlign w:val="center"/>
          </w:tcPr>
          <w:p w14:paraId="5981EEBB" w14:textId="77777777" w:rsidR="00194F0E" w:rsidRPr="00726D70" w:rsidRDefault="00194F0E" w:rsidP="00A367FE">
            <w:pPr>
              <w:pStyle w:val="Level1"/>
              <w:tabs>
                <w:tab w:val="left" w:pos="-1440"/>
              </w:tabs>
              <w:autoSpaceDE w:val="0"/>
              <w:autoSpaceDN w:val="0"/>
              <w:adjustRightInd w:val="0"/>
              <w:spacing w:after="120" w:line="20" w:lineRule="atLeast"/>
              <w:jc w:val="right"/>
              <w:rPr>
                <w:rFonts w:asciiTheme="minorHAnsi" w:hAnsiTheme="minorHAnsi" w:cstheme="minorHAnsi"/>
                <w:color w:val="FFFFFF" w:themeColor="background1"/>
                <w:sz w:val="22"/>
                <w:lang w:val="en-CA"/>
              </w:rPr>
            </w:pPr>
            <w:r w:rsidRPr="00726D70">
              <w:rPr>
                <w:rFonts w:asciiTheme="minorHAnsi" w:hAnsiTheme="minorHAnsi" w:cstheme="minorHAnsi"/>
                <w:color w:val="FFFFFF" w:themeColor="background1"/>
                <w:sz w:val="22"/>
                <w:lang w:val="en-CA"/>
              </w:rPr>
              <w:t>2015 (July 1) - 2016</w:t>
            </w:r>
          </w:p>
        </w:tc>
        <w:tc>
          <w:tcPr>
            <w:tcW w:w="3249" w:type="dxa"/>
            <w:shd w:val="clear" w:color="auto" w:fill="auto"/>
            <w:vAlign w:val="center"/>
          </w:tcPr>
          <w:p w14:paraId="68B059D1"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c>
          <w:tcPr>
            <w:tcW w:w="0" w:type="auto"/>
            <w:shd w:val="clear" w:color="auto" w:fill="auto"/>
            <w:vAlign w:val="center"/>
          </w:tcPr>
          <w:p w14:paraId="5072979E"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r>
      <w:tr w:rsidR="00194F0E" w:rsidRPr="00726D70" w14:paraId="78FAD0EB" w14:textId="77777777" w:rsidTr="0012105C">
        <w:trPr>
          <w:cantSplit/>
          <w:tblHeader/>
          <w:jc w:val="center"/>
        </w:trPr>
        <w:tc>
          <w:tcPr>
            <w:tcW w:w="2263" w:type="dxa"/>
            <w:shd w:val="clear" w:color="auto" w:fill="0070C0"/>
            <w:vAlign w:val="center"/>
          </w:tcPr>
          <w:p w14:paraId="50EC836A" w14:textId="77777777" w:rsidR="00194F0E" w:rsidRPr="00726D70" w:rsidRDefault="00194F0E" w:rsidP="00A367FE">
            <w:pPr>
              <w:pStyle w:val="Level1"/>
              <w:tabs>
                <w:tab w:val="left" w:pos="-1440"/>
              </w:tabs>
              <w:autoSpaceDE w:val="0"/>
              <w:autoSpaceDN w:val="0"/>
              <w:adjustRightInd w:val="0"/>
              <w:spacing w:after="120" w:line="20" w:lineRule="atLeast"/>
              <w:jc w:val="right"/>
              <w:rPr>
                <w:rFonts w:asciiTheme="minorHAnsi" w:hAnsiTheme="minorHAnsi" w:cstheme="minorHAnsi"/>
                <w:color w:val="FFFFFF" w:themeColor="background1"/>
                <w:sz w:val="22"/>
                <w:lang w:val="en-CA"/>
              </w:rPr>
            </w:pPr>
            <w:r w:rsidRPr="00726D70">
              <w:rPr>
                <w:rFonts w:asciiTheme="minorHAnsi" w:hAnsiTheme="minorHAnsi" w:cstheme="minorHAnsi"/>
                <w:color w:val="FFFFFF" w:themeColor="background1"/>
                <w:sz w:val="22"/>
                <w:lang w:val="en-CA"/>
              </w:rPr>
              <w:t>2016 - 2017</w:t>
            </w:r>
          </w:p>
        </w:tc>
        <w:tc>
          <w:tcPr>
            <w:tcW w:w="3249" w:type="dxa"/>
            <w:shd w:val="clear" w:color="auto" w:fill="auto"/>
            <w:vAlign w:val="center"/>
          </w:tcPr>
          <w:p w14:paraId="1C7A6D46"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c>
          <w:tcPr>
            <w:tcW w:w="0" w:type="auto"/>
            <w:shd w:val="clear" w:color="auto" w:fill="auto"/>
            <w:vAlign w:val="center"/>
          </w:tcPr>
          <w:p w14:paraId="1FBEE242"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r>
      <w:tr w:rsidR="00194F0E" w:rsidRPr="00726D70" w14:paraId="4753054F" w14:textId="77777777" w:rsidTr="0012105C">
        <w:trPr>
          <w:cantSplit/>
          <w:tblHeader/>
          <w:jc w:val="center"/>
        </w:trPr>
        <w:tc>
          <w:tcPr>
            <w:tcW w:w="2263" w:type="dxa"/>
            <w:shd w:val="clear" w:color="auto" w:fill="0070C0"/>
            <w:vAlign w:val="center"/>
          </w:tcPr>
          <w:p w14:paraId="492DCA7F" w14:textId="77777777" w:rsidR="00194F0E" w:rsidRPr="00726D70" w:rsidRDefault="00194F0E" w:rsidP="00A367FE">
            <w:pPr>
              <w:pStyle w:val="Level1"/>
              <w:tabs>
                <w:tab w:val="left" w:pos="-1440"/>
              </w:tabs>
              <w:autoSpaceDE w:val="0"/>
              <w:autoSpaceDN w:val="0"/>
              <w:adjustRightInd w:val="0"/>
              <w:spacing w:after="120" w:line="20" w:lineRule="atLeast"/>
              <w:jc w:val="right"/>
              <w:rPr>
                <w:rFonts w:asciiTheme="minorHAnsi" w:hAnsiTheme="minorHAnsi" w:cstheme="minorHAnsi"/>
                <w:color w:val="FFFFFF" w:themeColor="background1"/>
                <w:sz w:val="22"/>
                <w:lang w:val="en-CA"/>
              </w:rPr>
            </w:pPr>
            <w:r w:rsidRPr="00726D70">
              <w:rPr>
                <w:rFonts w:asciiTheme="minorHAnsi" w:hAnsiTheme="minorHAnsi" w:cstheme="minorHAnsi"/>
                <w:color w:val="FFFFFF" w:themeColor="background1"/>
                <w:sz w:val="22"/>
                <w:lang w:val="en-CA"/>
              </w:rPr>
              <w:t>2017 - 2018</w:t>
            </w:r>
          </w:p>
        </w:tc>
        <w:tc>
          <w:tcPr>
            <w:tcW w:w="3249" w:type="dxa"/>
            <w:shd w:val="clear" w:color="auto" w:fill="auto"/>
            <w:vAlign w:val="center"/>
          </w:tcPr>
          <w:p w14:paraId="7CBE3F2D"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c>
          <w:tcPr>
            <w:tcW w:w="0" w:type="auto"/>
            <w:shd w:val="clear" w:color="auto" w:fill="auto"/>
            <w:vAlign w:val="center"/>
          </w:tcPr>
          <w:p w14:paraId="298AA7C5"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r>
      <w:tr w:rsidR="00194F0E" w:rsidRPr="00726D70" w14:paraId="42967083" w14:textId="77777777" w:rsidTr="0012105C">
        <w:trPr>
          <w:cantSplit/>
          <w:tblHeader/>
          <w:jc w:val="center"/>
        </w:trPr>
        <w:tc>
          <w:tcPr>
            <w:tcW w:w="2263" w:type="dxa"/>
            <w:shd w:val="clear" w:color="auto" w:fill="0070C0"/>
            <w:vAlign w:val="center"/>
          </w:tcPr>
          <w:p w14:paraId="56FF923F" w14:textId="77777777" w:rsidR="00194F0E" w:rsidRPr="00726D70" w:rsidRDefault="00194F0E" w:rsidP="00A367FE">
            <w:pPr>
              <w:pStyle w:val="Level1"/>
              <w:tabs>
                <w:tab w:val="left" w:pos="-1440"/>
              </w:tabs>
              <w:autoSpaceDE w:val="0"/>
              <w:autoSpaceDN w:val="0"/>
              <w:adjustRightInd w:val="0"/>
              <w:spacing w:after="120" w:line="20" w:lineRule="atLeast"/>
              <w:jc w:val="right"/>
              <w:rPr>
                <w:rFonts w:asciiTheme="minorHAnsi" w:hAnsiTheme="minorHAnsi" w:cstheme="minorHAnsi"/>
                <w:color w:val="FFFFFF" w:themeColor="background1"/>
                <w:sz w:val="22"/>
                <w:lang w:val="en-CA"/>
              </w:rPr>
            </w:pPr>
            <w:r w:rsidRPr="00726D70">
              <w:rPr>
                <w:rFonts w:asciiTheme="minorHAnsi" w:hAnsiTheme="minorHAnsi" w:cstheme="minorHAnsi"/>
                <w:color w:val="FFFFFF" w:themeColor="background1"/>
                <w:sz w:val="22"/>
                <w:lang w:val="en-CA"/>
              </w:rPr>
              <w:t>2018 – 2019</w:t>
            </w:r>
          </w:p>
        </w:tc>
        <w:tc>
          <w:tcPr>
            <w:tcW w:w="3249" w:type="dxa"/>
            <w:shd w:val="clear" w:color="auto" w:fill="auto"/>
            <w:vAlign w:val="center"/>
          </w:tcPr>
          <w:p w14:paraId="259A5FF8"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c>
          <w:tcPr>
            <w:tcW w:w="0" w:type="auto"/>
            <w:shd w:val="clear" w:color="auto" w:fill="auto"/>
            <w:vAlign w:val="center"/>
          </w:tcPr>
          <w:p w14:paraId="2E6061D8"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r>
      <w:tr w:rsidR="00194F0E" w:rsidRPr="00726D70" w14:paraId="17870595" w14:textId="77777777" w:rsidTr="0012105C">
        <w:trPr>
          <w:cantSplit/>
          <w:tblHeader/>
          <w:jc w:val="center"/>
        </w:trPr>
        <w:tc>
          <w:tcPr>
            <w:tcW w:w="2263" w:type="dxa"/>
            <w:shd w:val="clear" w:color="auto" w:fill="0070C0"/>
            <w:vAlign w:val="center"/>
          </w:tcPr>
          <w:p w14:paraId="206731A6" w14:textId="77777777" w:rsidR="00194F0E" w:rsidRPr="00726D70" w:rsidRDefault="00194F0E" w:rsidP="00A367FE">
            <w:pPr>
              <w:pStyle w:val="Level1"/>
              <w:tabs>
                <w:tab w:val="left" w:pos="-1440"/>
              </w:tabs>
              <w:autoSpaceDE w:val="0"/>
              <w:autoSpaceDN w:val="0"/>
              <w:adjustRightInd w:val="0"/>
              <w:spacing w:after="120" w:line="20" w:lineRule="atLeast"/>
              <w:jc w:val="right"/>
              <w:rPr>
                <w:rFonts w:asciiTheme="minorHAnsi" w:hAnsiTheme="minorHAnsi" w:cstheme="minorHAnsi"/>
                <w:color w:val="FFFFFF" w:themeColor="background1"/>
                <w:sz w:val="22"/>
                <w:lang w:val="en-CA"/>
              </w:rPr>
            </w:pPr>
            <w:r w:rsidRPr="00726D70">
              <w:rPr>
                <w:rFonts w:asciiTheme="minorHAnsi" w:hAnsiTheme="minorHAnsi" w:cstheme="minorHAnsi"/>
                <w:color w:val="FFFFFF" w:themeColor="background1"/>
                <w:sz w:val="22"/>
                <w:lang w:val="en-CA"/>
              </w:rPr>
              <w:t>August 2019</w:t>
            </w:r>
          </w:p>
        </w:tc>
        <w:tc>
          <w:tcPr>
            <w:tcW w:w="3249" w:type="dxa"/>
            <w:shd w:val="clear" w:color="auto" w:fill="auto"/>
            <w:vAlign w:val="center"/>
          </w:tcPr>
          <w:p w14:paraId="31E881E6"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c>
          <w:tcPr>
            <w:tcW w:w="0" w:type="auto"/>
            <w:shd w:val="clear" w:color="auto" w:fill="auto"/>
            <w:vAlign w:val="center"/>
          </w:tcPr>
          <w:p w14:paraId="3FCC312B"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r>
      <w:tr w:rsidR="00194F0E" w:rsidRPr="00726D70" w14:paraId="03E2C00D" w14:textId="77777777" w:rsidTr="0012105C">
        <w:trPr>
          <w:cantSplit/>
          <w:tblHeader/>
          <w:jc w:val="center"/>
        </w:trPr>
        <w:tc>
          <w:tcPr>
            <w:tcW w:w="2263" w:type="dxa"/>
            <w:shd w:val="clear" w:color="auto" w:fill="BAF8FF" w:themeFill="accent3" w:themeFillTint="33"/>
            <w:vAlign w:val="center"/>
          </w:tcPr>
          <w:p w14:paraId="31EDD921"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Total</w:t>
            </w:r>
          </w:p>
        </w:tc>
        <w:tc>
          <w:tcPr>
            <w:tcW w:w="3249" w:type="dxa"/>
            <w:shd w:val="clear" w:color="auto" w:fill="BAF8FF" w:themeFill="accent3" w:themeFillTint="33"/>
            <w:vAlign w:val="center"/>
          </w:tcPr>
          <w:p w14:paraId="0CAFA314"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c>
          <w:tcPr>
            <w:tcW w:w="0" w:type="auto"/>
            <w:shd w:val="clear" w:color="auto" w:fill="BAF8FF" w:themeFill="accent3" w:themeFillTint="33"/>
            <w:vAlign w:val="center"/>
          </w:tcPr>
          <w:p w14:paraId="490FF2CF" w14:textId="77777777" w:rsidR="00194F0E" w:rsidRPr="00726D70" w:rsidRDefault="00194F0E" w:rsidP="00A367FE">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726D70">
              <w:rPr>
                <w:rFonts w:asciiTheme="minorHAnsi" w:hAnsiTheme="minorHAnsi" w:cstheme="minorHAnsi"/>
                <w:sz w:val="22"/>
                <w:lang w:val="en-CA"/>
              </w:rPr>
              <w:t>0</w:t>
            </w:r>
          </w:p>
        </w:tc>
      </w:tr>
    </w:tbl>
    <w:p w14:paraId="76182060" w14:textId="06388196" w:rsidR="007F3B3C" w:rsidRPr="00726D70" w:rsidRDefault="00194F0E" w:rsidP="00194F0E">
      <w:pPr>
        <w:rPr>
          <w:rFonts w:asciiTheme="minorHAnsi" w:hAnsiTheme="minorHAnsi" w:cstheme="minorHAnsi"/>
          <w:sz w:val="22"/>
          <w:szCs w:val="22"/>
          <w:lang w:val="en-CA"/>
        </w:rPr>
      </w:pPr>
      <w:r w:rsidRPr="00726D70">
        <w:rPr>
          <w:rStyle w:val="lev"/>
          <w:b w:val="0"/>
          <w:lang w:val="en-CA"/>
        </w:rPr>
        <w:t>Source</w:t>
      </w:r>
      <w:r w:rsidRPr="00726D70">
        <w:rPr>
          <w:rFonts w:asciiTheme="minorHAnsi" w:hAnsiTheme="minorHAnsi" w:cstheme="minorHAnsi"/>
          <w:b/>
          <w:sz w:val="22"/>
          <w:szCs w:val="22"/>
          <w:lang w:val="en-CA"/>
        </w:rPr>
        <w:t>:</w:t>
      </w:r>
      <w:r w:rsidRPr="00726D70">
        <w:rPr>
          <w:rFonts w:asciiTheme="minorHAnsi" w:hAnsiTheme="minorHAnsi" w:cstheme="minorHAnsi"/>
          <w:sz w:val="22"/>
          <w:szCs w:val="22"/>
          <w:lang w:val="en-CA"/>
        </w:rPr>
        <w:t xml:space="preserve"> PSC Priority Information Management System</w:t>
      </w:r>
      <w:r w:rsidR="007F3B3C" w:rsidRPr="00726D70">
        <w:rPr>
          <w:rFonts w:asciiTheme="minorHAnsi" w:hAnsiTheme="minorHAnsi" w:cstheme="minorHAnsi"/>
          <w:sz w:val="22"/>
          <w:szCs w:val="22"/>
          <w:lang w:val="en-CA"/>
        </w:rPr>
        <w:t>.</w:t>
      </w:r>
    </w:p>
    <w:p w14:paraId="642D2585" w14:textId="77777777" w:rsidR="00194F0E" w:rsidRPr="00726D70" w:rsidRDefault="00194F0E" w:rsidP="00194F0E">
      <w:pPr>
        <w:pStyle w:val="Titre1"/>
        <w:spacing w:after="240"/>
        <w:rPr>
          <w:rFonts w:asciiTheme="minorHAnsi" w:hAnsiTheme="minorHAnsi" w:cstheme="minorHAnsi"/>
          <w:sz w:val="22"/>
          <w:szCs w:val="22"/>
          <w:lang w:val="en-CA"/>
        </w:rPr>
        <w:sectPr w:rsidR="00194F0E" w:rsidRPr="00726D70" w:rsidSect="0012105C">
          <w:footnotePr>
            <w:numFmt w:val="lowerLetter"/>
          </w:footnotePr>
          <w:endnotePr>
            <w:numFmt w:val="lowerLetter"/>
          </w:endnotePr>
          <w:pgSz w:w="12240" w:h="15840" w:code="1"/>
          <w:pgMar w:top="1440" w:right="1080" w:bottom="1440" w:left="1080" w:header="284" w:footer="284" w:gutter="0"/>
          <w:cols w:space="720"/>
          <w:docGrid w:linePitch="326"/>
        </w:sectPr>
      </w:pPr>
    </w:p>
    <w:p w14:paraId="169EF020" w14:textId="23649176" w:rsidR="007F3B3C" w:rsidRPr="00726D70" w:rsidRDefault="007F3B3C" w:rsidP="00194F0E">
      <w:pPr>
        <w:pStyle w:val="Titre1"/>
        <w:spacing w:after="240"/>
        <w:rPr>
          <w:lang w:val="en-CA"/>
        </w:rPr>
      </w:pPr>
      <w:r w:rsidRPr="00726D70">
        <w:rPr>
          <w:lang w:val="en-CA"/>
        </w:rPr>
        <w:lastRenderedPageBreak/>
        <w:t xml:space="preserve">Non-Partisanship in the Public Service </w:t>
      </w:r>
    </w:p>
    <w:p w14:paraId="154D7B7A" w14:textId="205787F6" w:rsidR="007F3B3C" w:rsidRPr="00726D70" w:rsidRDefault="007F3B3C" w:rsidP="004D58F2">
      <w:pPr>
        <w:pStyle w:val="Notedefin"/>
        <w:spacing w:after="120"/>
        <w:rPr>
          <w:rFonts w:asciiTheme="minorHAnsi" w:hAnsiTheme="minorHAnsi" w:cstheme="minorHAnsi"/>
          <w:color w:val="000000"/>
          <w:sz w:val="22"/>
          <w:szCs w:val="22"/>
        </w:rPr>
      </w:pPr>
      <w:r w:rsidRPr="00726D70">
        <w:rPr>
          <w:rFonts w:asciiTheme="minorHAnsi" w:hAnsiTheme="minorHAnsi" w:cstheme="minorHAnsi"/>
          <w:color w:val="000000"/>
          <w:sz w:val="22"/>
          <w:szCs w:val="22"/>
        </w:rPr>
        <w:t>Since April 1, 2015, the PSC has not processed any candidacy r</w:t>
      </w:r>
      <w:r w:rsidR="004D58F2" w:rsidRPr="00726D70">
        <w:rPr>
          <w:rFonts w:asciiTheme="minorHAnsi" w:hAnsiTheme="minorHAnsi" w:cstheme="minorHAnsi"/>
          <w:color w:val="000000"/>
          <w:sz w:val="22"/>
          <w:szCs w:val="22"/>
        </w:rPr>
        <w:t>equests from that organization.</w:t>
      </w:r>
    </w:p>
    <w:p w14:paraId="5886A613" w14:textId="77777777" w:rsidR="007F3B3C" w:rsidRPr="00726D70" w:rsidRDefault="007F3B3C" w:rsidP="00194F0E">
      <w:pPr>
        <w:pStyle w:val="Notedefin"/>
        <w:rPr>
          <w:rFonts w:asciiTheme="minorHAnsi" w:hAnsiTheme="minorHAnsi" w:cstheme="minorHAnsi"/>
          <w:i/>
          <w:color w:val="000000"/>
          <w:sz w:val="22"/>
          <w:szCs w:val="22"/>
        </w:rPr>
      </w:pPr>
      <w:r w:rsidRPr="00726D70">
        <w:rPr>
          <w:rFonts w:asciiTheme="minorHAnsi" w:hAnsiTheme="minorHAnsi" w:cstheme="minorHAnsi"/>
          <w:color w:val="000000"/>
          <w:sz w:val="22"/>
          <w:szCs w:val="22"/>
        </w:rPr>
        <w:t>The 2018 SNPS results indicate that LAC employees’ level of awareness regarding their legal rights and responsibilities for engaging in political activities is 81%, compared to 80.1% for the public service as a whole.</w:t>
      </w:r>
    </w:p>
    <w:p w14:paraId="409E0DEE" w14:textId="77777777" w:rsidR="007F3B3C" w:rsidRPr="00726D70" w:rsidRDefault="007F3B3C" w:rsidP="00194F0E">
      <w:pPr>
        <w:pStyle w:val="Titre1"/>
        <w:spacing w:after="240"/>
        <w:rPr>
          <w:lang w:val="en-CA"/>
        </w:rPr>
      </w:pPr>
      <w:r w:rsidRPr="00726D70">
        <w:rPr>
          <w:lang w:val="en-CA"/>
        </w:rPr>
        <w:t>Public Service Commission Initiatives</w:t>
      </w:r>
    </w:p>
    <w:p w14:paraId="4C9A34CF" w14:textId="77777777" w:rsidR="007F3B3C" w:rsidRPr="00726D70" w:rsidRDefault="007F3B3C" w:rsidP="00194F0E">
      <w:pPr>
        <w:pStyle w:val="Notedefin"/>
        <w:rPr>
          <w:rFonts w:asciiTheme="minorHAnsi" w:hAnsiTheme="minorHAnsi" w:cstheme="minorHAnsi"/>
          <w:color w:val="000000"/>
          <w:sz w:val="22"/>
          <w:szCs w:val="22"/>
        </w:rPr>
      </w:pPr>
      <w:r w:rsidRPr="00726D70">
        <w:rPr>
          <w:rFonts w:asciiTheme="minorHAnsi" w:hAnsiTheme="minorHAnsi" w:cstheme="minorHAnsi"/>
          <w:color w:val="000000"/>
          <w:sz w:val="22"/>
          <w:szCs w:val="22"/>
        </w:rPr>
        <w:t>LAC is not participating in any PSC initiatives.</w:t>
      </w:r>
    </w:p>
    <w:p w14:paraId="48F36CC2" w14:textId="77777777" w:rsidR="007F3B3C" w:rsidRPr="00726D70" w:rsidRDefault="007F3B3C" w:rsidP="00194F0E">
      <w:pPr>
        <w:pStyle w:val="Titre1"/>
        <w:spacing w:after="240"/>
        <w:rPr>
          <w:lang w:val="en-CA"/>
        </w:rPr>
      </w:pPr>
      <w:r w:rsidRPr="00726D70">
        <w:rPr>
          <w:lang w:val="en-CA"/>
        </w:rPr>
        <w:t>Staffing Support</w:t>
      </w:r>
    </w:p>
    <w:p w14:paraId="44D595FC" w14:textId="7C452BC2" w:rsidR="007F3B3C" w:rsidRPr="00726D70" w:rsidRDefault="005932F7" w:rsidP="00194F0E">
      <w:pPr>
        <w:pStyle w:val="Titre2"/>
        <w:spacing w:after="120"/>
        <w:rPr>
          <w:u w:val="single"/>
          <w:lang w:val="en-CA"/>
        </w:rPr>
      </w:pPr>
      <w:r>
        <w:rPr>
          <w:lang w:val="en-CA"/>
        </w:rPr>
        <w:t xml:space="preserve">Public Service </w:t>
      </w:r>
      <w:r w:rsidR="007F3B3C" w:rsidRPr="00726D70">
        <w:rPr>
          <w:lang w:val="en-CA"/>
        </w:rPr>
        <w:t xml:space="preserve">Commission Representatives and Organizational Contacts </w:t>
      </w:r>
    </w:p>
    <w:p w14:paraId="215C089C" w14:textId="6A16B77F" w:rsidR="00097B91" w:rsidRPr="00726D70" w:rsidRDefault="007F3B3C" w:rsidP="00194F0E">
      <w:pPr>
        <w:spacing w:after="600"/>
        <w:rPr>
          <w:rFonts w:asciiTheme="minorHAnsi" w:hAnsiTheme="minorHAnsi" w:cstheme="minorHAnsi"/>
          <w:sz w:val="22"/>
          <w:szCs w:val="22"/>
          <w:lang w:val="en-CA" w:eastAsia="en-CA"/>
        </w:rPr>
      </w:pPr>
      <w:r w:rsidRPr="00726D70">
        <w:rPr>
          <w:rFonts w:asciiTheme="minorHAnsi" w:hAnsiTheme="minorHAnsi" w:cstheme="minorHAnsi"/>
          <w:sz w:val="22"/>
          <w:szCs w:val="22"/>
          <w:lang w:val="en-CA" w:eastAsia="en-CA"/>
        </w:rPr>
        <w:t xml:space="preserve">The SSA assigned to this organization is Véronique Geoffroy, the primary organizational contact is Nathalie Des </w:t>
      </w:r>
      <w:proofErr w:type="spellStart"/>
      <w:r w:rsidRPr="00726D70">
        <w:rPr>
          <w:rFonts w:asciiTheme="minorHAnsi" w:hAnsiTheme="minorHAnsi" w:cstheme="minorHAnsi"/>
          <w:sz w:val="22"/>
          <w:szCs w:val="22"/>
          <w:lang w:val="en-CA" w:eastAsia="en-CA"/>
        </w:rPr>
        <w:t>Rosiers</w:t>
      </w:r>
      <w:proofErr w:type="spellEnd"/>
      <w:r w:rsidRPr="00726D70">
        <w:rPr>
          <w:rFonts w:asciiTheme="minorHAnsi" w:hAnsiTheme="minorHAnsi" w:cstheme="minorHAnsi"/>
          <w:sz w:val="22"/>
          <w:szCs w:val="22"/>
          <w:lang w:val="en-CA" w:eastAsia="en-CA"/>
        </w:rPr>
        <w:t>, Director, Human Resources (HR) Programs and Policies, and the Head of HR is Nancy Taillon, Director General and Chef Security Officer.</w:t>
      </w:r>
      <w:bookmarkStart w:id="0" w:name="_GoBack"/>
      <w:bookmarkEnd w:id="0"/>
      <w:r w:rsidR="00097B91" w:rsidRPr="00726D70">
        <w:rPr>
          <w:rFonts w:asciiTheme="minorHAnsi" w:hAnsiTheme="minorHAnsi" w:cstheme="minorHAnsi"/>
          <w:sz w:val="22"/>
          <w:szCs w:val="22"/>
          <w:lang w:val="en-CA" w:eastAsia="en-CA"/>
        </w:rPr>
        <w:br w:type="page"/>
      </w:r>
    </w:p>
    <w:p w14:paraId="0E4323DA" w14:textId="204A0651" w:rsidR="007F3B3C" w:rsidRPr="00726D70" w:rsidRDefault="007F3B3C" w:rsidP="00194F0E">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Style w:val="lev"/>
          <w:lang w:val="en-CA"/>
        </w:rPr>
      </w:pPr>
      <w:r w:rsidRPr="00726D70">
        <w:rPr>
          <w:rStyle w:val="lev"/>
          <w:lang w:val="en-CA"/>
        </w:rPr>
        <w:lastRenderedPageBreak/>
        <w:t>PREPARED BY:</w:t>
      </w:r>
    </w:p>
    <w:p w14:paraId="40C310A7" w14:textId="21F270A3" w:rsidR="007F3B3C" w:rsidRPr="00726D70" w:rsidRDefault="003D0B9D" w:rsidP="00194F0E">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rPr>
          <w:rFonts w:asciiTheme="minorHAnsi" w:hAnsiTheme="minorHAnsi" w:cstheme="minorHAnsi"/>
          <w:sz w:val="22"/>
          <w:szCs w:val="22"/>
          <w:lang w:val="en-CA"/>
        </w:rPr>
      </w:pPr>
      <w:r w:rsidRPr="00726D70">
        <w:rPr>
          <w:rFonts w:asciiTheme="minorHAnsi" w:hAnsiTheme="minorHAnsi" w:cstheme="minorHAnsi"/>
          <w:sz w:val="22"/>
          <w:szCs w:val="22"/>
          <w:lang w:val="en-CA"/>
        </w:rPr>
        <w:t>Véronique Geoffroy,</w:t>
      </w:r>
    </w:p>
    <w:p w14:paraId="3EEDB7D2" w14:textId="77777777" w:rsidR="003D0B9D" w:rsidRPr="00726D70" w:rsidRDefault="007F3B3C" w:rsidP="00194F0E">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Theme="minorHAnsi" w:hAnsiTheme="minorHAnsi" w:cstheme="minorHAnsi"/>
          <w:sz w:val="22"/>
          <w:szCs w:val="22"/>
          <w:lang w:val="en-CA"/>
        </w:rPr>
      </w:pPr>
      <w:r w:rsidRPr="00726D70">
        <w:rPr>
          <w:rFonts w:asciiTheme="minorHAnsi" w:hAnsiTheme="minorHAnsi" w:cstheme="minorHAnsi"/>
          <w:sz w:val="22"/>
          <w:szCs w:val="22"/>
          <w:lang w:val="en-CA"/>
        </w:rPr>
        <w:t>Staffing Support Advisor</w:t>
      </w:r>
    </w:p>
    <w:p w14:paraId="169FA704" w14:textId="5907A595" w:rsidR="007F3B3C" w:rsidRPr="00726D70" w:rsidRDefault="004D58F2" w:rsidP="00EA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heme="minorHAnsi" w:hAnsiTheme="minorHAnsi" w:cstheme="minorHAnsi"/>
          <w:sz w:val="22"/>
          <w:szCs w:val="22"/>
          <w:lang w:val="en-CA"/>
        </w:rPr>
      </w:pPr>
      <w:r w:rsidRPr="00726D70">
        <w:rPr>
          <w:rFonts w:asciiTheme="minorHAnsi" w:hAnsiTheme="minorHAnsi" w:cstheme="minorHAnsi"/>
          <w:sz w:val="22"/>
          <w:szCs w:val="22"/>
          <w:lang w:val="en-CA"/>
        </w:rPr>
        <w:t>Annexes:</w:t>
      </w:r>
    </w:p>
    <w:p w14:paraId="415909D9" w14:textId="17749634" w:rsidR="007F3B3C" w:rsidRPr="00726D70" w:rsidRDefault="007A3064" w:rsidP="005B549F">
      <w:pPr>
        <w:numPr>
          <w:ilvl w:val="0"/>
          <w:numId w:val="1"/>
        </w:numPr>
        <w:rPr>
          <w:rStyle w:val="Lienhypertexte"/>
          <w:rFonts w:asciiTheme="minorHAnsi" w:hAnsiTheme="minorHAnsi" w:cstheme="minorHAnsi"/>
          <w:bCs/>
          <w:sz w:val="22"/>
          <w:szCs w:val="22"/>
          <w:lang w:val="en-CA"/>
        </w:rPr>
      </w:pPr>
      <w:r w:rsidRPr="00726D70">
        <w:rPr>
          <w:rStyle w:val="Lienhypertexte"/>
          <w:rFonts w:asciiTheme="minorHAnsi" w:hAnsiTheme="minorHAnsi" w:cstheme="minorHAnsi"/>
          <w:sz w:val="22"/>
          <w:szCs w:val="22"/>
          <w:lang w:val="en-CA"/>
        </w:rPr>
        <w:fldChar w:fldCharType="begin"/>
      </w:r>
      <w:r w:rsidR="00F01C23" w:rsidRPr="00726D70">
        <w:rPr>
          <w:rStyle w:val="Lienhypertexte"/>
          <w:rFonts w:asciiTheme="minorHAnsi" w:hAnsiTheme="minorHAnsi" w:cstheme="minorHAnsi"/>
          <w:sz w:val="22"/>
          <w:szCs w:val="22"/>
          <w:lang w:val="en-CA"/>
        </w:rPr>
        <w:instrText>HYPERLINK  \l "AnnexA"</w:instrText>
      </w:r>
      <w:r w:rsidRPr="00726D70">
        <w:rPr>
          <w:rStyle w:val="Lienhypertexte"/>
          <w:rFonts w:asciiTheme="minorHAnsi" w:hAnsiTheme="minorHAnsi" w:cstheme="minorHAnsi"/>
          <w:sz w:val="22"/>
          <w:szCs w:val="22"/>
          <w:lang w:val="en-CA"/>
        </w:rPr>
        <w:fldChar w:fldCharType="separate"/>
      </w:r>
      <w:r w:rsidRPr="00726D70">
        <w:rPr>
          <w:rStyle w:val="Lienhypertexte"/>
          <w:rFonts w:asciiTheme="minorHAnsi" w:hAnsiTheme="minorHAnsi" w:cstheme="minorHAnsi"/>
          <w:sz w:val="22"/>
          <w:szCs w:val="22"/>
          <w:lang w:val="en-CA"/>
        </w:rPr>
        <w:t>Annex A</w:t>
      </w:r>
      <w:r w:rsidR="00C440E6">
        <w:rPr>
          <w:rStyle w:val="Lienhypertexte"/>
          <w:rFonts w:asciiTheme="minorHAnsi" w:hAnsiTheme="minorHAnsi" w:cstheme="minorHAnsi"/>
          <w:sz w:val="22"/>
          <w:szCs w:val="22"/>
          <w:lang w:val="en-CA"/>
        </w:rPr>
        <w:t xml:space="preserve"> – The </w:t>
      </w:r>
      <w:r w:rsidR="007F3B3C" w:rsidRPr="00726D70">
        <w:rPr>
          <w:rStyle w:val="Lienhypertexte"/>
          <w:rFonts w:asciiTheme="minorHAnsi" w:hAnsiTheme="minorHAnsi" w:cstheme="minorHAnsi"/>
          <w:sz w:val="22"/>
          <w:szCs w:val="22"/>
          <w:lang w:val="en-CA"/>
        </w:rPr>
        <w:t>New Direction in Staffing,</w:t>
      </w:r>
      <w:r w:rsidR="00C440E6">
        <w:rPr>
          <w:rStyle w:val="Lienhypertexte"/>
          <w:rFonts w:asciiTheme="minorHAnsi" w:hAnsiTheme="minorHAnsi" w:cstheme="minorHAnsi"/>
          <w:sz w:val="22"/>
          <w:szCs w:val="22"/>
          <w:lang w:val="en-CA"/>
        </w:rPr>
        <w:t>(NDS)</w:t>
      </w:r>
      <w:r w:rsidR="007F3B3C" w:rsidRPr="00726D70">
        <w:rPr>
          <w:rStyle w:val="Lienhypertexte"/>
          <w:rFonts w:asciiTheme="minorHAnsi" w:hAnsiTheme="minorHAnsi" w:cstheme="minorHAnsi"/>
          <w:sz w:val="22"/>
          <w:szCs w:val="22"/>
          <w:lang w:val="en-CA"/>
        </w:rPr>
        <w:t xml:space="preserve"> highlights for </w:t>
      </w:r>
      <w:r w:rsidR="00C440E6">
        <w:rPr>
          <w:rStyle w:val="Lienhypertexte"/>
          <w:rFonts w:asciiTheme="minorHAnsi" w:hAnsiTheme="minorHAnsi" w:cstheme="minorHAnsi"/>
          <w:sz w:val="22"/>
          <w:szCs w:val="22"/>
          <w:lang w:val="en-CA"/>
        </w:rPr>
        <w:t>DHs</w:t>
      </w:r>
    </w:p>
    <w:p w14:paraId="0FDBA612" w14:textId="26D0F065" w:rsidR="007F3B3C" w:rsidRPr="00726D70" w:rsidRDefault="007A3064" w:rsidP="00F01C23">
      <w:pPr>
        <w:ind w:firstLine="720"/>
        <w:rPr>
          <w:rStyle w:val="Lienhypertexte"/>
          <w:rFonts w:asciiTheme="minorHAnsi" w:hAnsiTheme="minorHAnsi" w:cstheme="minorHAnsi"/>
          <w:lang w:val="en-CA"/>
        </w:rPr>
      </w:pPr>
      <w:r w:rsidRPr="00726D70">
        <w:rPr>
          <w:rStyle w:val="Lienhypertexte"/>
          <w:rFonts w:asciiTheme="minorHAnsi" w:hAnsiTheme="minorHAnsi" w:cstheme="minorHAnsi"/>
          <w:sz w:val="22"/>
          <w:szCs w:val="22"/>
          <w:lang w:val="en-CA"/>
        </w:rPr>
        <w:fldChar w:fldCharType="end"/>
      </w:r>
      <w:r w:rsidRPr="00726D70">
        <w:rPr>
          <w:rStyle w:val="Lienhypertexte"/>
          <w:rFonts w:asciiTheme="minorHAnsi" w:hAnsiTheme="minorHAnsi" w:cstheme="minorHAnsi"/>
          <w:sz w:val="22"/>
          <w:szCs w:val="22"/>
          <w:lang w:val="en-CA"/>
        </w:rPr>
        <w:fldChar w:fldCharType="begin"/>
      </w:r>
      <w:r w:rsidR="00F01C23" w:rsidRPr="00726D70">
        <w:rPr>
          <w:rStyle w:val="Lienhypertexte"/>
          <w:rFonts w:asciiTheme="minorHAnsi" w:hAnsiTheme="minorHAnsi" w:cstheme="minorHAnsi"/>
          <w:sz w:val="22"/>
          <w:szCs w:val="22"/>
          <w:lang w:val="en-CA"/>
        </w:rPr>
        <w:instrText>HYPERLINK  \l "AnnexB"</w:instrText>
      </w:r>
      <w:r w:rsidRPr="00726D70">
        <w:rPr>
          <w:rStyle w:val="Lienhypertexte"/>
          <w:rFonts w:asciiTheme="minorHAnsi" w:hAnsiTheme="minorHAnsi" w:cstheme="minorHAnsi"/>
          <w:sz w:val="22"/>
          <w:szCs w:val="22"/>
          <w:lang w:val="en-CA"/>
        </w:rPr>
        <w:fldChar w:fldCharType="separate"/>
      </w:r>
      <w:r w:rsidRPr="00726D70">
        <w:rPr>
          <w:rStyle w:val="Lienhypertexte"/>
          <w:rFonts w:asciiTheme="minorHAnsi" w:hAnsiTheme="minorHAnsi" w:cstheme="minorHAnsi"/>
          <w:lang w:val="en-CA"/>
        </w:rPr>
        <w:t>Annex B</w:t>
      </w:r>
      <w:r w:rsidR="007F3B3C" w:rsidRPr="00726D70">
        <w:rPr>
          <w:rStyle w:val="Lienhypertexte"/>
          <w:rFonts w:asciiTheme="minorHAnsi" w:hAnsiTheme="minorHAnsi" w:cstheme="minorHAnsi"/>
          <w:lang w:val="en-CA"/>
        </w:rPr>
        <w:t xml:space="preserve"> – Data on Population and Staffing Activities</w:t>
      </w:r>
    </w:p>
    <w:p w14:paraId="677C0920" w14:textId="0DFEBA62" w:rsidR="007F3B3C" w:rsidRPr="00726D70" w:rsidRDefault="007A3064" w:rsidP="00F01C23">
      <w:pPr>
        <w:rPr>
          <w:rFonts w:asciiTheme="minorHAnsi" w:hAnsiTheme="minorHAnsi" w:cstheme="minorHAnsi"/>
          <w:lang w:val="en-CA"/>
        </w:rPr>
        <w:sectPr w:rsidR="007F3B3C" w:rsidRPr="00726D70" w:rsidSect="0012105C">
          <w:footnotePr>
            <w:numFmt w:val="lowerLetter"/>
          </w:footnotePr>
          <w:endnotePr>
            <w:numFmt w:val="lowerLetter"/>
          </w:endnotePr>
          <w:pgSz w:w="12240" w:h="15840" w:code="1"/>
          <w:pgMar w:top="1440" w:right="1080" w:bottom="1440" w:left="1080" w:header="284" w:footer="284" w:gutter="0"/>
          <w:cols w:space="720"/>
          <w:docGrid w:linePitch="326"/>
        </w:sectPr>
      </w:pPr>
      <w:r w:rsidRPr="00726D70">
        <w:rPr>
          <w:rStyle w:val="Lienhypertexte"/>
          <w:rFonts w:asciiTheme="minorHAnsi" w:hAnsiTheme="minorHAnsi" w:cstheme="minorHAnsi"/>
          <w:sz w:val="22"/>
          <w:szCs w:val="22"/>
          <w:lang w:val="en-CA"/>
        </w:rPr>
        <w:fldChar w:fldCharType="end"/>
      </w:r>
    </w:p>
    <w:p w14:paraId="231861BB" w14:textId="4090755C" w:rsidR="007F3B3C" w:rsidRPr="00726D70" w:rsidRDefault="007A3064" w:rsidP="00194F0E">
      <w:pPr>
        <w:pStyle w:val="Titre3"/>
        <w:jc w:val="right"/>
        <w:rPr>
          <w:lang w:val="en-CA"/>
        </w:rPr>
      </w:pPr>
      <w:bookmarkStart w:id="1" w:name="AnnexC"/>
      <w:bookmarkStart w:id="2" w:name="AnnexA"/>
      <w:r w:rsidRPr="00726D70">
        <w:rPr>
          <w:lang w:val="en-CA"/>
        </w:rPr>
        <w:lastRenderedPageBreak/>
        <w:t>Annex A</w:t>
      </w:r>
    </w:p>
    <w:bookmarkEnd w:id="1"/>
    <w:bookmarkEnd w:id="2"/>
    <w:p w14:paraId="18F03CC7" w14:textId="77777777" w:rsidR="005B549F" w:rsidRPr="00726D70" w:rsidRDefault="005B549F" w:rsidP="005B549F">
      <w:pPr>
        <w:keepNext/>
        <w:keepLines/>
        <w:spacing w:before="40" w:after="120" w:line="259" w:lineRule="auto"/>
        <w:jc w:val="center"/>
        <w:outlineLvl w:val="1"/>
        <w:rPr>
          <w:rFonts w:ascii="Segoe UI" w:eastAsiaTheme="majorEastAsia" w:hAnsi="Segoe UI" w:cs="Segoe UI"/>
          <w:b/>
          <w:color w:val="5B315E" w:themeColor="accent2"/>
          <w:sz w:val="32"/>
          <w:szCs w:val="32"/>
          <w:lang w:val="en-CA"/>
        </w:rPr>
      </w:pPr>
      <w:r w:rsidRPr="00726D70">
        <w:rPr>
          <w:rFonts w:ascii="Segoe UI" w:eastAsiaTheme="majorEastAsia" w:hAnsi="Segoe UI" w:cs="Segoe UI"/>
          <w:b/>
          <w:color w:val="5B315E" w:themeColor="accent2"/>
          <w:sz w:val="32"/>
          <w:szCs w:val="32"/>
          <w:lang w:val="en-CA"/>
        </w:rPr>
        <w:t>A New direction in Staffing – A merit-based system that is effective, efficient and fair</w:t>
      </w:r>
    </w:p>
    <w:p w14:paraId="53585357" w14:textId="7FADFB98" w:rsidR="005B549F" w:rsidRPr="00726D70" w:rsidRDefault="005B549F" w:rsidP="005B549F">
      <w:pPr>
        <w:pStyle w:val="Titre3"/>
        <w:tabs>
          <w:tab w:val="left" w:pos="4335"/>
        </w:tabs>
        <w:spacing w:after="120"/>
        <w:rPr>
          <w:lang w:val="en-CA"/>
        </w:rPr>
      </w:pPr>
      <w:r w:rsidRPr="00726D70">
        <w:rPr>
          <w:lang w:val="en-CA"/>
        </w:rPr>
        <w:t>Appointment Policy</w:t>
      </w:r>
    </w:p>
    <w:p w14:paraId="7E822185" w14:textId="77777777" w:rsidR="005B549F" w:rsidRPr="00726D70" w:rsidRDefault="005B549F" w:rsidP="005B549F">
      <w:pPr>
        <w:keepLines/>
        <w:tabs>
          <w:tab w:val="center" w:pos="4680"/>
          <w:tab w:val="right" w:pos="9360"/>
        </w:tabs>
        <w:rPr>
          <w:rFonts w:asciiTheme="minorHAnsi" w:eastAsiaTheme="minorHAnsi" w:hAnsiTheme="minorHAnsi" w:cstheme="minorHAnsi"/>
          <w:noProof/>
          <w:sz w:val="22"/>
          <w:szCs w:val="22"/>
          <w:lang w:val="en-CA" w:eastAsia="en-CA"/>
        </w:rPr>
      </w:pPr>
      <w:r w:rsidRPr="00726D70">
        <w:rPr>
          <w:rStyle w:val="lev"/>
          <w:rFonts w:eastAsiaTheme="minorHAnsi" w:cstheme="minorHAnsi"/>
          <w:szCs w:val="22"/>
          <w:lang w:val="en-CA"/>
        </w:rPr>
        <w:t>New focus on core requirements</w:t>
      </w:r>
      <w:r w:rsidRPr="00726D70">
        <w:rPr>
          <w:rFonts w:asciiTheme="minorHAnsi" w:eastAsiaTheme="minorHAnsi" w:hAnsiTheme="minorHAnsi" w:cstheme="minorHAnsi"/>
          <w:noProof/>
          <w:sz w:val="22"/>
          <w:szCs w:val="22"/>
          <w:lang w:val="en-CA" w:eastAsia="en-CA"/>
        </w:rPr>
        <w:t xml:space="preserve"> to provide sub-delegated persons greater discretion in making an appointment</w:t>
      </w:r>
    </w:p>
    <w:p w14:paraId="614CE140" w14:textId="77777777" w:rsidR="005B549F" w:rsidRPr="00726D70" w:rsidRDefault="005B549F" w:rsidP="005B549F">
      <w:pPr>
        <w:keepLines/>
        <w:numPr>
          <w:ilvl w:val="0"/>
          <w:numId w:val="9"/>
        </w:numPr>
        <w:tabs>
          <w:tab w:val="center" w:pos="4680"/>
          <w:tab w:val="right" w:pos="9360"/>
        </w:tabs>
        <w:rPr>
          <w:rFonts w:asciiTheme="minorHAnsi" w:eastAsiaTheme="minorHAnsi" w:hAnsiTheme="minorHAnsi" w:cstheme="minorHAnsi"/>
          <w:sz w:val="22"/>
          <w:szCs w:val="22"/>
          <w:lang w:val="en-CA"/>
        </w:rPr>
      </w:pPr>
      <w:r w:rsidRPr="00726D70">
        <w:rPr>
          <w:rStyle w:val="lev"/>
          <w:rFonts w:eastAsiaTheme="minorHAnsi" w:cstheme="minorHAnsi"/>
          <w:szCs w:val="22"/>
          <w:lang w:val="en-CA"/>
        </w:rPr>
        <w:t>One Appointment Policy</w:t>
      </w:r>
      <w:r w:rsidRPr="00726D70">
        <w:rPr>
          <w:rFonts w:asciiTheme="minorHAnsi" w:eastAsiaTheme="minorHAnsi" w:hAnsiTheme="minorHAnsi" w:cstheme="minorHAnsi"/>
          <w:sz w:val="22"/>
          <w:szCs w:val="22"/>
          <w:lang w:val="en-CA"/>
        </w:rPr>
        <w:t>, no duplication with legal requirements</w:t>
      </w:r>
    </w:p>
    <w:p w14:paraId="5D6A50DB" w14:textId="77777777" w:rsidR="005B549F" w:rsidRPr="00726D70" w:rsidRDefault="005B549F" w:rsidP="005B549F">
      <w:pPr>
        <w:keepLines/>
        <w:numPr>
          <w:ilvl w:val="0"/>
          <w:numId w:val="9"/>
        </w:numPr>
        <w:tabs>
          <w:tab w:val="center" w:pos="4680"/>
          <w:tab w:val="right" w:pos="9360"/>
        </w:tabs>
        <w:rPr>
          <w:rFonts w:asciiTheme="minorHAnsi" w:eastAsiaTheme="minorHAnsi" w:hAnsiTheme="minorHAnsi" w:cstheme="minorHAnsi"/>
          <w:sz w:val="22"/>
          <w:szCs w:val="22"/>
          <w:lang w:val="en-CA"/>
        </w:rPr>
      </w:pPr>
      <w:r w:rsidRPr="00726D70">
        <w:rPr>
          <w:rStyle w:val="lev"/>
          <w:rFonts w:eastAsiaTheme="minorHAnsi" w:cstheme="minorHAnsi"/>
          <w:szCs w:val="22"/>
          <w:lang w:val="en-CA"/>
        </w:rPr>
        <w:t>Broader focus on values-based system</w:t>
      </w:r>
      <w:r w:rsidRPr="00726D70">
        <w:rPr>
          <w:rFonts w:asciiTheme="minorHAnsi" w:eastAsiaTheme="minorHAnsi" w:hAnsiTheme="minorHAnsi" w:cstheme="minorBidi"/>
          <w:bCs/>
          <w:sz w:val="22"/>
          <w:szCs w:val="22"/>
          <w:lang w:val="en-CA"/>
        </w:rPr>
        <w:t>,</w:t>
      </w:r>
      <w:r w:rsidRPr="00726D70">
        <w:rPr>
          <w:rFonts w:asciiTheme="minorHAnsi" w:eastAsiaTheme="minorHAnsi" w:hAnsiTheme="minorHAnsi" w:cstheme="minorHAnsi"/>
          <w:sz w:val="22"/>
          <w:szCs w:val="22"/>
          <w:lang w:val="en-CA"/>
        </w:rPr>
        <w:t xml:space="preserve"> away from rules-based system</w:t>
      </w:r>
    </w:p>
    <w:p w14:paraId="52ACBE05" w14:textId="77777777" w:rsidR="005B549F" w:rsidRPr="00726D70" w:rsidRDefault="005B549F" w:rsidP="005B549F">
      <w:pPr>
        <w:keepLines/>
        <w:numPr>
          <w:ilvl w:val="0"/>
          <w:numId w:val="9"/>
        </w:numPr>
        <w:tabs>
          <w:tab w:val="center" w:pos="4680"/>
          <w:tab w:val="right" w:pos="9360"/>
        </w:tabs>
        <w:rPr>
          <w:rFonts w:asciiTheme="minorHAnsi" w:eastAsiaTheme="minorHAnsi" w:hAnsiTheme="minorHAnsi" w:cstheme="minorHAnsi"/>
          <w:sz w:val="22"/>
          <w:szCs w:val="22"/>
          <w:lang w:val="en-CA"/>
        </w:rPr>
      </w:pPr>
      <w:r w:rsidRPr="00726D70">
        <w:rPr>
          <w:rFonts w:asciiTheme="minorHAnsi" w:eastAsiaTheme="minorHAnsi" w:hAnsiTheme="minorHAnsi" w:cstheme="minorHAnsi"/>
          <w:sz w:val="22"/>
          <w:szCs w:val="22"/>
          <w:lang w:val="en-CA"/>
        </w:rPr>
        <w:t xml:space="preserve">Appointments Policy supported by </w:t>
      </w:r>
      <w:r w:rsidRPr="00726D70">
        <w:rPr>
          <w:rStyle w:val="lev"/>
          <w:rFonts w:eastAsiaTheme="minorHAnsi" w:cstheme="minorHAnsi"/>
          <w:szCs w:val="22"/>
          <w:lang w:val="en-CA"/>
        </w:rPr>
        <w:t>streamlined guidance:</w:t>
      </w:r>
    </w:p>
    <w:p w14:paraId="4802A533" w14:textId="77777777" w:rsidR="005B549F" w:rsidRPr="00726D70" w:rsidRDefault="005B549F" w:rsidP="005B549F">
      <w:pPr>
        <w:keepLines/>
        <w:numPr>
          <w:ilvl w:val="1"/>
          <w:numId w:val="16"/>
        </w:numPr>
        <w:tabs>
          <w:tab w:val="center" w:pos="4680"/>
          <w:tab w:val="right" w:pos="9360"/>
        </w:tabs>
        <w:rPr>
          <w:rFonts w:asciiTheme="minorHAnsi" w:eastAsiaTheme="minorHAnsi" w:hAnsiTheme="minorHAnsi" w:cstheme="minorHAnsi"/>
          <w:sz w:val="22"/>
          <w:szCs w:val="22"/>
          <w:lang w:val="en-CA"/>
        </w:rPr>
      </w:pPr>
      <w:r w:rsidRPr="00726D70">
        <w:rPr>
          <w:rFonts w:asciiTheme="minorHAnsi" w:eastAsiaTheme="minorHAnsi" w:hAnsiTheme="minorHAnsi" w:cstheme="minorHAnsi"/>
          <w:sz w:val="22"/>
          <w:szCs w:val="22"/>
          <w:lang w:val="en-CA"/>
        </w:rPr>
        <w:t>A roadmap to the requirements in legislation, regulations and policy</w:t>
      </w:r>
    </w:p>
    <w:p w14:paraId="28887822" w14:textId="77777777" w:rsidR="005B549F" w:rsidRPr="00726D70" w:rsidRDefault="005B549F" w:rsidP="005B549F">
      <w:pPr>
        <w:keepLines/>
        <w:numPr>
          <w:ilvl w:val="1"/>
          <w:numId w:val="16"/>
        </w:numPr>
        <w:tabs>
          <w:tab w:val="center" w:pos="4680"/>
          <w:tab w:val="right" w:pos="9360"/>
        </w:tabs>
        <w:rPr>
          <w:rFonts w:asciiTheme="minorHAnsi" w:eastAsiaTheme="minorHAnsi" w:hAnsiTheme="minorHAnsi" w:cstheme="minorHAnsi"/>
          <w:sz w:val="22"/>
          <w:szCs w:val="22"/>
          <w:lang w:val="en-CA"/>
        </w:rPr>
      </w:pPr>
      <w:r w:rsidRPr="00726D70">
        <w:rPr>
          <w:rFonts w:asciiTheme="minorHAnsi" w:eastAsiaTheme="minorHAnsi" w:hAnsiTheme="minorHAnsi" w:cstheme="minorHAnsi"/>
          <w:sz w:val="22"/>
          <w:szCs w:val="22"/>
          <w:lang w:val="en-CA"/>
        </w:rPr>
        <w:t>Options and considerations for decision-making where there is discretion</w:t>
      </w:r>
    </w:p>
    <w:p w14:paraId="16758BB1" w14:textId="77777777" w:rsidR="005B549F" w:rsidRPr="00726D70" w:rsidRDefault="005B549F" w:rsidP="005B549F">
      <w:pPr>
        <w:keepLines/>
        <w:numPr>
          <w:ilvl w:val="0"/>
          <w:numId w:val="10"/>
        </w:numPr>
        <w:tabs>
          <w:tab w:val="center" w:pos="4680"/>
          <w:tab w:val="right" w:pos="9360"/>
        </w:tabs>
        <w:rPr>
          <w:rFonts w:asciiTheme="minorHAnsi" w:eastAsiaTheme="minorHAnsi" w:hAnsiTheme="minorHAnsi" w:cstheme="minorHAnsi"/>
          <w:sz w:val="22"/>
          <w:szCs w:val="22"/>
          <w:lang w:val="en-CA"/>
        </w:rPr>
      </w:pPr>
      <w:r w:rsidRPr="00726D70">
        <w:rPr>
          <w:rStyle w:val="lev"/>
          <w:rFonts w:eastAsiaTheme="minorHAnsi" w:cstheme="minorHAnsi"/>
          <w:szCs w:val="22"/>
          <w:lang w:val="en-CA"/>
        </w:rPr>
        <w:t>Clear expectations</w:t>
      </w:r>
      <w:r w:rsidRPr="00726D70">
        <w:rPr>
          <w:rFonts w:asciiTheme="minorHAnsi" w:eastAsiaTheme="minorHAnsi" w:hAnsiTheme="minorHAnsi" w:cstheme="minorHAnsi"/>
          <w:sz w:val="22"/>
          <w:szCs w:val="22"/>
          <w:lang w:val="en-CA"/>
        </w:rPr>
        <w:t xml:space="preserve"> for priority entitlements</w:t>
      </w:r>
    </w:p>
    <w:p w14:paraId="367CC8E3" w14:textId="77777777" w:rsidR="005B549F" w:rsidRPr="00726D70" w:rsidRDefault="005B549F" w:rsidP="005B549F">
      <w:pPr>
        <w:keepLines/>
        <w:numPr>
          <w:ilvl w:val="0"/>
          <w:numId w:val="10"/>
        </w:numPr>
        <w:tabs>
          <w:tab w:val="center" w:pos="4680"/>
          <w:tab w:val="right" w:pos="9360"/>
        </w:tabs>
        <w:rPr>
          <w:rFonts w:asciiTheme="minorHAnsi" w:eastAsiaTheme="minorHAnsi" w:hAnsiTheme="minorHAnsi" w:cstheme="minorHAnsi"/>
          <w:sz w:val="22"/>
          <w:szCs w:val="22"/>
          <w:lang w:val="en-CA"/>
        </w:rPr>
      </w:pPr>
      <w:r w:rsidRPr="00726D70">
        <w:rPr>
          <w:rFonts w:asciiTheme="minorHAnsi" w:eastAsiaTheme="minorHAnsi" w:hAnsiTheme="minorHAnsi" w:cstheme="minorHAnsi"/>
          <w:sz w:val="22"/>
          <w:szCs w:val="22"/>
          <w:lang w:val="en-CA"/>
        </w:rPr>
        <w:t>No restrictions to assessment methods for EX appointments</w:t>
      </w:r>
    </w:p>
    <w:p w14:paraId="6C338028" w14:textId="77777777" w:rsidR="005B549F" w:rsidRPr="00726D70" w:rsidRDefault="005B549F" w:rsidP="005B549F">
      <w:pPr>
        <w:keepLines/>
        <w:numPr>
          <w:ilvl w:val="0"/>
          <w:numId w:val="10"/>
        </w:numPr>
        <w:tabs>
          <w:tab w:val="center" w:pos="4680"/>
          <w:tab w:val="right" w:pos="9360"/>
        </w:tabs>
        <w:spacing w:after="240"/>
        <w:ind w:left="714" w:hanging="357"/>
        <w:rPr>
          <w:rFonts w:asciiTheme="minorHAnsi" w:eastAsiaTheme="minorHAnsi" w:hAnsiTheme="minorHAnsi" w:cstheme="minorHAnsi"/>
          <w:sz w:val="22"/>
          <w:szCs w:val="22"/>
          <w:lang w:val="en-CA"/>
        </w:rPr>
      </w:pPr>
      <w:r w:rsidRPr="00726D70">
        <w:rPr>
          <w:rFonts w:asciiTheme="minorHAnsi" w:eastAsiaTheme="minorHAnsi" w:hAnsiTheme="minorHAnsi" w:cstheme="minorHAnsi"/>
          <w:sz w:val="22"/>
          <w:szCs w:val="22"/>
          <w:lang w:val="en-CA"/>
        </w:rPr>
        <w:t>Exceptions to National Area of Selection approved by deputy head</w:t>
      </w:r>
    </w:p>
    <w:p w14:paraId="0EC87A9E" w14:textId="77777777" w:rsidR="005B549F" w:rsidRPr="00726D70" w:rsidRDefault="005B549F" w:rsidP="005B549F">
      <w:pPr>
        <w:pStyle w:val="Titre3"/>
        <w:spacing w:after="120"/>
        <w:rPr>
          <w:lang w:val="en-CA"/>
        </w:rPr>
      </w:pPr>
      <w:r w:rsidRPr="00726D70">
        <w:rPr>
          <w:lang w:val="en-CA"/>
        </w:rPr>
        <w:t>Delegation</w:t>
      </w:r>
    </w:p>
    <w:p w14:paraId="3C14AB15" w14:textId="77777777" w:rsidR="005B549F" w:rsidRPr="00726D70" w:rsidRDefault="005B549F" w:rsidP="005B549F">
      <w:pPr>
        <w:keepLines/>
        <w:numPr>
          <w:ilvl w:val="0"/>
          <w:numId w:val="12"/>
        </w:numPr>
        <w:spacing w:after="320" w:line="259" w:lineRule="auto"/>
        <w:contextualSpacing/>
        <w:rPr>
          <w:rFonts w:asciiTheme="minorHAnsi" w:eastAsiaTheme="minorHAnsi" w:hAnsiTheme="minorHAnsi" w:cstheme="minorBidi"/>
          <w:sz w:val="22"/>
          <w:szCs w:val="22"/>
          <w:lang w:val="en-CA"/>
        </w:rPr>
      </w:pPr>
      <w:r w:rsidRPr="00726D70">
        <w:rPr>
          <w:rStyle w:val="lev"/>
          <w:rFonts w:eastAsiaTheme="minorHAnsi" w:cstheme="minorHAnsi"/>
          <w:lang w:val="en-CA"/>
        </w:rPr>
        <w:t>New ability to customize organizational staffing system</w:t>
      </w:r>
      <w:r w:rsidRPr="00726D70">
        <w:rPr>
          <w:rFonts w:asciiTheme="minorHAnsi" w:eastAsiaTheme="minorHAnsi" w:hAnsiTheme="minorHAnsi" w:cstheme="minorBidi"/>
          <w:sz w:val="22"/>
          <w:szCs w:val="22"/>
          <w:lang w:val="en-CA"/>
        </w:rPr>
        <w:t xml:space="preserve"> based on unique context and evolving business needs</w:t>
      </w:r>
    </w:p>
    <w:p w14:paraId="7FF41A7E" w14:textId="77777777" w:rsidR="005B549F" w:rsidRPr="00726D70" w:rsidRDefault="005B549F" w:rsidP="005B549F">
      <w:pPr>
        <w:keepLines/>
        <w:numPr>
          <w:ilvl w:val="0"/>
          <w:numId w:val="11"/>
        </w:numPr>
        <w:spacing w:after="320" w:line="259" w:lineRule="auto"/>
        <w:contextualSpacing/>
        <w:rPr>
          <w:rFonts w:asciiTheme="minorHAnsi" w:eastAsiaTheme="minorHAnsi" w:hAnsiTheme="minorHAnsi" w:cstheme="minorBidi"/>
          <w:sz w:val="22"/>
          <w:szCs w:val="22"/>
          <w:lang w:val="en-CA"/>
        </w:rPr>
      </w:pPr>
      <w:r w:rsidRPr="00726D70">
        <w:rPr>
          <w:rFonts w:asciiTheme="minorHAnsi" w:eastAsiaTheme="minorHAnsi" w:hAnsiTheme="minorHAnsi" w:cstheme="minorBidi"/>
          <w:sz w:val="22"/>
          <w:szCs w:val="22"/>
          <w:lang w:val="en-CA"/>
        </w:rPr>
        <w:t xml:space="preserve">Deputy head establish a direction on the </w:t>
      </w:r>
      <w:r w:rsidRPr="00726D70">
        <w:rPr>
          <w:rStyle w:val="lev"/>
          <w:rFonts w:eastAsiaTheme="minorHAnsi" w:cstheme="minorHAnsi"/>
          <w:lang w:val="en-CA"/>
        </w:rPr>
        <w:t>use of advertised and non-advertised</w:t>
      </w:r>
      <w:r w:rsidRPr="00726D70">
        <w:rPr>
          <w:rFonts w:asciiTheme="minorHAnsi" w:eastAsiaTheme="minorHAnsi" w:hAnsiTheme="minorHAnsi" w:cstheme="minorBidi"/>
          <w:sz w:val="20"/>
          <w:szCs w:val="22"/>
          <w:lang w:val="en-CA"/>
        </w:rPr>
        <w:t xml:space="preserve"> </w:t>
      </w:r>
      <w:r w:rsidRPr="00726D70">
        <w:rPr>
          <w:rFonts w:asciiTheme="minorHAnsi" w:eastAsiaTheme="minorHAnsi" w:hAnsiTheme="minorHAnsi" w:cstheme="minorBidi"/>
          <w:sz w:val="22"/>
          <w:szCs w:val="22"/>
          <w:lang w:val="en-CA"/>
        </w:rPr>
        <w:t>appointment processes</w:t>
      </w:r>
    </w:p>
    <w:p w14:paraId="52A95A1E" w14:textId="77777777" w:rsidR="005B549F" w:rsidRPr="00726D70" w:rsidRDefault="005B549F" w:rsidP="005B549F">
      <w:pPr>
        <w:keepLines/>
        <w:numPr>
          <w:ilvl w:val="0"/>
          <w:numId w:val="11"/>
        </w:numPr>
        <w:spacing w:after="320" w:line="259" w:lineRule="auto"/>
        <w:contextualSpacing/>
        <w:rPr>
          <w:rStyle w:val="lev"/>
          <w:rFonts w:eastAsiaTheme="minorHAnsi" w:cstheme="minorHAnsi"/>
          <w:lang w:val="en-CA"/>
        </w:rPr>
      </w:pPr>
      <w:r w:rsidRPr="00726D70">
        <w:rPr>
          <w:rFonts w:asciiTheme="minorHAnsi" w:eastAsiaTheme="minorHAnsi" w:hAnsiTheme="minorHAnsi" w:cstheme="minorBidi"/>
          <w:sz w:val="22"/>
          <w:szCs w:val="22"/>
          <w:lang w:val="en-CA"/>
        </w:rPr>
        <w:t xml:space="preserve">Deputy heads to establish requirement(s) for sub-delegated persons to </w:t>
      </w:r>
      <w:r w:rsidRPr="00726D70">
        <w:rPr>
          <w:rStyle w:val="lev"/>
          <w:rFonts w:eastAsiaTheme="minorHAnsi" w:cstheme="minorHAnsi"/>
          <w:lang w:val="en-CA"/>
        </w:rPr>
        <w:t>articulate, in writing, their selection decision</w:t>
      </w:r>
    </w:p>
    <w:p w14:paraId="45F324F6" w14:textId="77777777" w:rsidR="005B549F" w:rsidRPr="00726D70" w:rsidRDefault="005B549F" w:rsidP="005B549F">
      <w:pPr>
        <w:keepLines/>
        <w:numPr>
          <w:ilvl w:val="0"/>
          <w:numId w:val="11"/>
        </w:numPr>
        <w:spacing w:after="320" w:line="259" w:lineRule="auto"/>
        <w:contextualSpacing/>
        <w:rPr>
          <w:rFonts w:asciiTheme="minorHAnsi" w:eastAsiaTheme="minorHAnsi" w:hAnsiTheme="minorHAnsi" w:cstheme="minorBidi"/>
          <w:sz w:val="22"/>
          <w:szCs w:val="22"/>
          <w:lang w:val="en-CA"/>
        </w:rPr>
      </w:pPr>
      <w:r w:rsidRPr="00726D70">
        <w:rPr>
          <w:rFonts w:asciiTheme="minorHAnsi" w:eastAsiaTheme="minorHAnsi" w:hAnsiTheme="minorHAnsi" w:cstheme="minorBidi"/>
          <w:sz w:val="22"/>
          <w:szCs w:val="22"/>
          <w:lang w:val="en-CA"/>
        </w:rPr>
        <w:t>Clarity on requirements related to investigations</w:t>
      </w:r>
    </w:p>
    <w:p w14:paraId="1BDDD912" w14:textId="77777777" w:rsidR="005B549F" w:rsidRPr="00726D70" w:rsidRDefault="005B549F" w:rsidP="005B549F">
      <w:pPr>
        <w:keepLines/>
        <w:numPr>
          <w:ilvl w:val="0"/>
          <w:numId w:val="11"/>
        </w:numPr>
        <w:spacing w:after="320" w:line="259" w:lineRule="auto"/>
        <w:contextualSpacing/>
        <w:rPr>
          <w:rFonts w:asciiTheme="minorHAnsi" w:eastAsiaTheme="minorHAnsi" w:hAnsiTheme="minorHAnsi" w:cstheme="minorBidi"/>
          <w:sz w:val="22"/>
          <w:szCs w:val="22"/>
          <w:lang w:val="en-CA"/>
        </w:rPr>
      </w:pPr>
      <w:r w:rsidRPr="00726D70">
        <w:rPr>
          <w:rStyle w:val="lev"/>
          <w:rFonts w:eastAsiaTheme="minorHAnsi" w:cstheme="minorHAnsi"/>
          <w:lang w:val="en-CA"/>
        </w:rPr>
        <w:t>Attestation form</w:t>
      </w:r>
      <w:r w:rsidRPr="00726D70">
        <w:rPr>
          <w:rFonts w:asciiTheme="minorHAnsi" w:eastAsiaTheme="minorHAnsi" w:hAnsiTheme="minorHAnsi" w:cstheme="minorBidi"/>
          <w:sz w:val="20"/>
          <w:szCs w:val="22"/>
          <w:lang w:val="en-CA"/>
        </w:rPr>
        <w:t xml:space="preserve"> </w:t>
      </w:r>
      <w:r w:rsidRPr="00726D70">
        <w:rPr>
          <w:rFonts w:asciiTheme="minorHAnsi" w:eastAsiaTheme="minorHAnsi" w:hAnsiTheme="minorHAnsi" w:cstheme="minorBidi"/>
          <w:sz w:val="22"/>
          <w:szCs w:val="22"/>
          <w:lang w:val="en-CA"/>
        </w:rPr>
        <w:t>to reinforce the accountabilities of sub-delegated persons</w:t>
      </w:r>
    </w:p>
    <w:p w14:paraId="28DD4A01" w14:textId="77777777" w:rsidR="005B549F" w:rsidRPr="00726D70" w:rsidRDefault="005B549F" w:rsidP="005B549F">
      <w:pPr>
        <w:keepLines/>
        <w:spacing w:after="360" w:line="259" w:lineRule="auto"/>
        <w:rPr>
          <w:rFonts w:asciiTheme="minorHAnsi" w:eastAsiaTheme="minorHAnsi" w:hAnsiTheme="minorHAnsi" w:cstheme="minorBidi"/>
          <w:sz w:val="22"/>
          <w:szCs w:val="22"/>
          <w:lang w:val="en-CA"/>
        </w:rPr>
      </w:pPr>
      <w:r w:rsidRPr="00726D70">
        <w:rPr>
          <w:rFonts w:asciiTheme="minorHAnsi" w:eastAsiaTheme="minorHAnsi" w:hAnsiTheme="minorHAnsi" w:cstheme="minorBidi"/>
          <w:sz w:val="22"/>
          <w:szCs w:val="22"/>
          <w:lang w:val="en-CA"/>
        </w:rPr>
        <w:t>All PSC monitoring and reporting requirements now found in the Appointment Delegation and Accountability Instrument</w:t>
      </w:r>
    </w:p>
    <w:p w14:paraId="4C6CC042" w14:textId="77777777" w:rsidR="005B549F" w:rsidRPr="00726D70" w:rsidRDefault="005B549F" w:rsidP="005B549F">
      <w:pPr>
        <w:pStyle w:val="Titre3"/>
        <w:spacing w:after="120"/>
        <w:rPr>
          <w:lang w:val="en-CA"/>
        </w:rPr>
      </w:pPr>
      <w:r w:rsidRPr="00726D70">
        <w:rPr>
          <w:lang w:val="en-CA"/>
        </w:rPr>
        <w:t>Monitoring and Reporting</w:t>
      </w:r>
    </w:p>
    <w:p w14:paraId="03189127" w14:textId="77777777" w:rsidR="005B549F" w:rsidRPr="00726D70" w:rsidRDefault="005B549F" w:rsidP="005B549F">
      <w:pPr>
        <w:keepLines/>
        <w:spacing w:after="120" w:line="259" w:lineRule="auto"/>
        <w:rPr>
          <w:rFonts w:asciiTheme="minorHAnsi" w:eastAsiaTheme="minorHAnsi" w:hAnsiTheme="minorHAnsi" w:cstheme="minorBidi"/>
          <w:sz w:val="22"/>
          <w:szCs w:val="22"/>
          <w:lang w:val="en-CA"/>
        </w:rPr>
      </w:pPr>
      <w:r w:rsidRPr="00726D70">
        <w:rPr>
          <w:rStyle w:val="lev"/>
          <w:rFonts w:eastAsiaTheme="minorHAnsi" w:cstheme="minorHAnsi"/>
          <w:szCs w:val="22"/>
          <w:lang w:val="en-CA"/>
        </w:rPr>
        <w:t>Monitoring built by organizations</w:t>
      </w:r>
      <w:r w:rsidRPr="00726D70">
        <w:rPr>
          <w:rFonts w:asciiTheme="minorHAnsi" w:eastAsiaTheme="minorHAnsi" w:hAnsiTheme="minorHAnsi" w:cstheme="minorBidi"/>
          <w:sz w:val="22"/>
          <w:szCs w:val="22"/>
          <w:lang w:val="en-CA"/>
        </w:rPr>
        <w:t>, targeted to their needs</w:t>
      </w:r>
    </w:p>
    <w:p w14:paraId="60852B3B" w14:textId="77777777" w:rsidR="005B549F" w:rsidRPr="00726D70" w:rsidRDefault="005B549F" w:rsidP="005B549F">
      <w:pPr>
        <w:keepLines/>
        <w:numPr>
          <w:ilvl w:val="0"/>
          <w:numId w:val="13"/>
        </w:numPr>
        <w:spacing w:after="320" w:line="259" w:lineRule="auto"/>
        <w:contextualSpacing/>
        <w:rPr>
          <w:rFonts w:asciiTheme="minorHAnsi" w:eastAsiaTheme="minorHAnsi" w:hAnsiTheme="minorHAnsi" w:cstheme="minorBidi"/>
          <w:sz w:val="22"/>
          <w:szCs w:val="22"/>
          <w:lang w:val="en-CA"/>
        </w:rPr>
      </w:pPr>
      <w:r w:rsidRPr="00726D70">
        <w:rPr>
          <w:rFonts w:asciiTheme="minorHAnsi" w:eastAsiaTheme="minorHAnsi" w:hAnsiTheme="minorHAnsi" w:cstheme="minorBidi"/>
          <w:sz w:val="22"/>
          <w:szCs w:val="22"/>
          <w:lang w:val="en-CA"/>
        </w:rPr>
        <w:t>Annual Departmental Staffing Accountability Report no longer required</w:t>
      </w:r>
    </w:p>
    <w:p w14:paraId="6FD85AC3" w14:textId="77777777" w:rsidR="005B549F" w:rsidRPr="00726D70" w:rsidRDefault="005B549F" w:rsidP="005B549F">
      <w:pPr>
        <w:keepLines/>
        <w:numPr>
          <w:ilvl w:val="0"/>
          <w:numId w:val="13"/>
        </w:numPr>
        <w:spacing w:after="320" w:line="259" w:lineRule="auto"/>
        <w:contextualSpacing/>
        <w:rPr>
          <w:rFonts w:asciiTheme="minorHAnsi" w:eastAsiaTheme="minorHAnsi" w:hAnsiTheme="minorHAnsi" w:cstheme="minorBidi"/>
          <w:sz w:val="22"/>
          <w:szCs w:val="22"/>
          <w:lang w:val="en-CA"/>
        </w:rPr>
      </w:pPr>
      <w:r w:rsidRPr="00726D70">
        <w:rPr>
          <w:rStyle w:val="lev"/>
          <w:rFonts w:eastAsiaTheme="minorHAnsi" w:cstheme="minorHAnsi"/>
          <w:szCs w:val="22"/>
          <w:lang w:val="en-CA"/>
        </w:rPr>
        <w:t>Annual reporting to the PSC limited</w:t>
      </w:r>
      <w:r w:rsidRPr="00726D70">
        <w:rPr>
          <w:rFonts w:asciiTheme="minorHAnsi" w:eastAsiaTheme="minorHAnsi" w:hAnsiTheme="minorHAnsi" w:cstheme="minorBidi"/>
          <w:sz w:val="22"/>
          <w:szCs w:val="22"/>
          <w:lang w:val="en-CA"/>
        </w:rPr>
        <w:t xml:space="preserve"> to:</w:t>
      </w:r>
    </w:p>
    <w:p w14:paraId="5A1EE3FF" w14:textId="77777777" w:rsidR="005B549F" w:rsidRPr="00726D70" w:rsidRDefault="005B549F" w:rsidP="005B549F">
      <w:pPr>
        <w:keepLines/>
        <w:numPr>
          <w:ilvl w:val="1"/>
          <w:numId w:val="13"/>
        </w:numPr>
        <w:spacing w:after="320" w:line="259" w:lineRule="auto"/>
        <w:contextualSpacing/>
        <w:rPr>
          <w:rFonts w:asciiTheme="minorHAnsi" w:eastAsiaTheme="minorHAnsi" w:hAnsiTheme="minorHAnsi" w:cstheme="minorBidi"/>
          <w:sz w:val="22"/>
          <w:szCs w:val="22"/>
          <w:lang w:val="en-CA"/>
        </w:rPr>
      </w:pPr>
      <w:r w:rsidRPr="00726D70">
        <w:rPr>
          <w:rFonts w:asciiTheme="minorHAnsi" w:eastAsiaTheme="minorHAnsi" w:hAnsiTheme="minorHAnsi" w:cstheme="minorBidi"/>
          <w:sz w:val="22"/>
          <w:szCs w:val="22"/>
          <w:lang w:val="en-CA"/>
        </w:rPr>
        <w:t>Use of Public Service Official Language Exclusion Approval Order</w:t>
      </w:r>
    </w:p>
    <w:p w14:paraId="6E1DA2E6" w14:textId="77777777" w:rsidR="005B549F" w:rsidRPr="00726D70" w:rsidRDefault="005B549F" w:rsidP="005B549F">
      <w:pPr>
        <w:keepLines/>
        <w:numPr>
          <w:ilvl w:val="1"/>
          <w:numId w:val="13"/>
        </w:numPr>
        <w:spacing w:after="320" w:line="259" w:lineRule="auto"/>
        <w:contextualSpacing/>
        <w:rPr>
          <w:rFonts w:asciiTheme="minorHAnsi" w:eastAsiaTheme="minorHAnsi" w:hAnsiTheme="minorHAnsi" w:cstheme="minorBidi"/>
          <w:sz w:val="22"/>
          <w:szCs w:val="22"/>
          <w:lang w:val="en-CA"/>
        </w:rPr>
      </w:pPr>
      <w:r w:rsidRPr="00726D70">
        <w:rPr>
          <w:rFonts w:asciiTheme="minorHAnsi" w:eastAsiaTheme="minorHAnsi" w:hAnsiTheme="minorHAnsi" w:cstheme="minorBidi"/>
          <w:sz w:val="22"/>
          <w:szCs w:val="22"/>
          <w:lang w:val="en-CA"/>
        </w:rPr>
        <w:t>Exceptions to the National Area of Selection approved by the deputy head</w:t>
      </w:r>
    </w:p>
    <w:p w14:paraId="01FF35AA" w14:textId="77777777" w:rsidR="005B549F" w:rsidRPr="00726D70" w:rsidRDefault="005B549F" w:rsidP="005B549F">
      <w:pPr>
        <w:keepLines/>
        <w:numPr>
          <w:ilvl w:val="1"/>
          <w:numId w:val="13"/>
        </w:numPr>
        <w:spacing w:after="320" w:line="259" w:lineRule="auto"/>
        <w:contextualSpacing/>
        <w:rPr>
          <w:rFonts w:asciiTheme="minorHAnsi" w:eastAsiaTheme="minorHAnsi" w:hAnsiTheme="minorHAnsi" w:cstheme="minorBidi"/>
          <w:sz w:val="22"/>
          <w:szCs w:val="22"/>
          <w:lang w:val="en-CA"/>
        </w:rPr>
      </w:pPr>
      <w:r w:rsidRPr="00726D70">
        <w:rPr>
          <w:rFonts w:asciiTheme="minorHAnsi" w:eastAsiaTheme="minorHAnsi" w:hAnsiTheme="minorHAnsi" w:cstheme="minorBidi"/>
          <w:sz w:val="22"/>
          <w:szCs w:val="22"/>
          <w:lang w:val="en-CA"/>
        </w:rPr>
        <w:t>Results of any internal investigations</w:t>
      </w:r>
    </w:p>
    <w:p w14:paraId="36BA61A6" w14:textId="77777777" w:rsidR="005B549F" w:rsidRPr="00726D70" w:rsidRDefault="005B549F" w:rsidP="005B549F">
      <w:pPr>
        <w:keepLines/>
        <w:numPr>
          <w:ilvl w:val="1"/>
          <w:numId w:val="13"/>
        </w:numPr>
        <w:spacing w:after="320" w:line="259" w:lineRule="auto"/>
        <w:contextualSpacing/>
        <w:rPr>
          <w:rFonts w:asciiTheme="minorHAnsi" w:eastAsiaTheme="minorHAnsi" w:hAnsiTheme="minorHAnsi" w:cstheme="minorBidi"/>
          <w:sz w:val="22"/>
          <w:szCs w:val="22"/>
          <w:lang w:val="en-CA"/>
        </w:rPr>
      </w:pPr>
      <w:r w:rsidRPr="00726D70">
        <w:rPr>
          <w:rFonts w:asciiTheme="minorHAnsi" w:eastAsiaTheme="minorHAnsi" w:hAnsiTheme="minorHAnsi" w:cstheme="minorBidi"/>
          <w:sz w:val="22"/>
          <w:szCs w:val="22"/>
          <w:lang w:val="en-CA"/>
        </w:rPr>
        <w:t>Actions taken following any PSC investigations or audits.</w:t>
      </w:r>
    </w:p>
    <w:p w14:paraId="5518682E" w14:textId="77777777" w:rsidR="00F01C23" w:rsidRPr="00726D70" w:rsidRDefault="005B549F" w:rsidP="005B549F">
      <w:pPr>
        <w:keepLines/>
        <w:numPr>
          <w:ilvl w:val="0"/>
          <w:numId w:val="14"/>
        </w:numPr>
        <w:spacing w:after="320" w:line="259" w:lineRule="auto"/>
        <w:contextualSpacing/>
        <w:rPr>
          <w:rFonts w:asciiTheme="minorHAnsi" w:eastAsiaTheme="minorHAnsi" w:hAnsiTheme="minorHAnsi" w:cstheme="minorBidi"/>
          <w:sz w:val="22"/>
          <w:szCs w:val="22"/>
          <w:lang w:val="en-CA"/>
        </w:rPr>
        <w:sectPr w:rsidR="00F01C23" w:rsidRPr="00726D70" w:rsidSect="0012105C">
          <w:pgSz w:w="12240" w:h="15840"/>
          <w:pgMar w:top="1440" w:right="1080" w:bottom="1440" w:left="1080" w:header="708" w:footer="708" w:gutter="0"/>
          <w:cols w:space="708"/>
          <w:docGrid w:linePitch="360"/>
        </w:sectPr>
      </w:pPr>
      <w:r w:rsidRPr="00726D70">
        <w:rPr>
          <w:rFonts w:asciiTheme="minorHAnsi" w:eastAsiaTheme="minorHAnsi" w:hAnsiTheme="minorHAnsi" w:cstheme="minorBidi"/>
          <w:sz w:val="22"/>
          <w:szCs w:val="22"/>
          <w:lang w:val="en-CA"/>
        </w:rPr>
        <w:t xml:space="preserve">Deputy head responsible for </w:t>
      </w:r>
      <w:r w:rsidRPr="00726D70">
        <w:rPr>
          <w:rStyle w:val="lev"/>
          <w:rFonts w:eastAsiaTheme="minorHAnsi" w:cstheme="minorHAnsi"/>
          <w:szCs w:val="22"/>
          <w:lang w:val="en-CA"/>
        </w:rPr>
        <w:t>ongoing monitoring of organizational staffing system</w:t>
      </w:r>
      <w:r w:rsidRPr="00726D70">
        <w:rPr>
          <w:rFonts w:asciiTheme="minorHAnsi" w:eastAsiaTheme="minorHAnsi" w:hAnsiTheme="minorHAnsi" w:cstheme="minorBidi"/>
          <w:sz w:val="22"/>
          <w:szCs w:val="22"/>
          <w:lang w:val="en-CA"/>
        </w:rPr>
        <w:t xml:space="preserve"> based on the organization’s unique context</w:t>
      </w:r>
    </w:p>
    <w:p w14:paraId="7E25FF5A" w14:textId="77777777" w:rsidR="005B549F" w:rsidRPr="00726D70" w:rsidRDefault="005B549F" w:rsidP="005B549F">
      <w:pPr>
        <w:keepLines/>
        <w:numPr>
          <w:ilvl w:val="1"/>
          <w:numId w:val="14"/>
        </w:numPr>
        <w:spacing w:after="320" w:line="259" w:lineRule="auto"/>
        <w:contextualSpacing/>
        <w:rPr>
          <w:rFonts w:asciiTheme="minorHAnsi" w:eastAsiaTheme="minorHAnsi" w:hAnsiTheme="minorHAnsi" w:cstheme="minorBidi"/>
          <w:sz w:val="22"/>
          <w:szCs w:val="22"/>
          <w:lang w:val="en-CA"/>
        </w:rPr>
      </w:pPr>
      <w:r w:rsidRPr="00726D70">
        <w:rPr>
          <w:rStyle w:val="lev"/>
          <w:rFonts w:eastAsiaTheme="minorHAnsi" w:cstheme="minorHAnsi"/>
          <w:szCs w:val="22"/>
          <w:lang w:val="en-CA"/>
        </w:rPr>
        <w:lastRenderedPageBreak/>
        <w:t>Assessment of adherence to requirements</w:t>
      </w:r>
      <w:r w:rsidRPr="00726D70">
        <w:rPr>
          <w:rFonts w:asciiTheme="minorHAnsi" w:eastAsiaTheme="minorHAnsi" w:hAnsiTheme="minorHAnsi" w:cstheme="minorBidi"/>
          <w:sz w:val="22"/>
          <w:szCs w:val="22"/>
          <w:lang w:val="en-CA"/>
        </w:rPr>
        <w:t>, based on organization’s own risks, at the minimum every five years</w:t>
      </w:r>
    </w:p>
    <w:p w14:paraId="12C21902" w14:textId="77777777" w:rsidR="005B549F" w:rsidRPr="00726D70" w:rsidRDefault="005B549F" w:rsidP="005B549F">
      <w:pPr>
        <w:pStyle w:val="Titre3"/>
        <w:spacing w:after="120"/>
        <w:rPr>
          <w:lang w:val="en-CA"/>
        </w:rPr>
      </w:pPr>
      <w:r w:rsidRPr="00726D70">
        <w:rPr>
          <w:lang w:val="en-CA"/>
        </w:rPr>
        <w:t>PSC Oversight</w:t>
      </w:r>
    </w:p>
    <w:p w14:paraId="3B461833" w14:textId="77777777" w:rsidR="005B549F" w:rsidRPr="00726D70" w:rsidRDefault="005B549F" w:rsidP="005B549F">
      <w:pPr>
        <w:keepLines/>
        <w:spacing w:after="120" w:line="259" w:lineRule="auto"/>
        <w:rPr>
          <w:rFonts w:asciiTheme="minorHAnsi" w:eastAsiaTheme="minorHAnsi" w:hAnsiTheme="minorHAnsi" w:cstheme="minorBidi"/>
          <w:sz w:val="22"/>
          <w:szCs w:val="22"/>
          <w:lang w:val="en-CA"/>
        </w:rPr>
      </w:pPr>
      <w:r w:rsidRPr="00726D70">
        <w:rPr>
          <w:rFonts w:asciiTheme="minorHAnsi" w:eastAsiaTheme="minorHAnsi" w:hAnsiTheme="minorHAnsi" w:cstheme="minorBidi"/>
          <w:sz w:val="22"/>
          <w:szCs w:val="22"/>
          <w:lang w:val="en-CA"/>
        </w:rPr>
        <w:t>System wide-focus</w:t>
      </w:r>
    </w:p>
    <w:p w14:paraId="0B1B3865" w14:textId="77777777" w:rsidR="005B549F" w:rsidRPr="00726D70" w:rsidRDefault="005B549F" w:rsidP="005B549F">
      <w:pPr>
        <w:keepLines/>
        <w:numPr>
          <w:ilvl w:val="0"/>
          <w:numId w:val="15"/>
        </w:numPr>
        <w:spacing w:line="259" w:lineRule="auto"/>
        <w:rPr>
          <w:rStyle w:val="lev"/>
          <w:rFonts w:eastAsiaTheme="minorHAnsi" w:cstheme="minorHAnsi"/>
          <w:lang w:val="en-CA"/>
        </w:rPr>
      </w:pPr>
      <w:r w:rsidRPr="00726D70">
        <w:rPr>
          <w:rStyle w:val="lev"/>
          <w:rFonts w:eastAsiaTheme="minorHAnsi" w:cstheme="minorHAnsi"/>
          <w:lang w:val="en-CA"/>
        </w:rPr>
        <w:t>Government-wide compliance audit every two years</w:t>
      </w:r>
    </w:p>
    <w:p w14:paraId="2E4F2254" w14:textId="77777777" w:rsidR="005B549F" w:rsidRPr="00726D70" w:rsidRDefault="005B549F" w:rsidP="005B549F">
      <w:pPr>
        <w:keepLines/>
        <w:numPr>
          <w:ilvl w:val="0"/>
          <w:numId w:val="15"/>
        </w:numPr>
        <w:spacing w:line="259" w:lineRule="auto"/>
        <w:rPr>
          <w:rFonts w:asciiTheme="minorHAnsi" w:eastAsiaTheme="minorHAnsi" w:hAnsiTheme="minorHAnsi" w:cstheme="minorBidi"/>
          <w:sz w:val="22"/>
          <w:szCs w:val="22"/>
          <w:lang w:val="en-CA"/>
        </w:rPr>
      </w:pPr>
      <w:r w:rsidRPr="00726D70">
        <w:rPr>
          <w:rStyle w:val="lev"/>
          <w:rFonts w:eastAsiaTheme="minorHAnsi" w:cstheme="minorHAnsi"/>
          <w:lang w:val="en-CA"/>
        </w:rPr>
        <w:t>Renewed Survey of Staffing</w:t>
      </w:r>
      <w:r w:rsidRPr="00726D70">
        <w:rPr>
          <w:rFonts w:asciiTheme="minorHAnsi" w:eastAsiaTheme="minorHAnsi" w:hAnsiTheme="minorHAnsi" w:cstheme="minorBidi"/>
          <w:sz w:val="20"/>
          <w:szCs w:val="22"/>
          <w:lang w:val="en-CA"/>
        </w:rPr>
        <w:t xml:space="preserve"> </w:t>
      </w:r>
      <w:r w:rsidRPr="00726D70">
        <w:rPr>
          <w:rFonts w:asciiTheme="minorHAnsi" w:eastAsiaTheme="minorHAnsi" w:hAnsiTheme="minorHAnsi" w:cstheme="minorBidi"/>
          <w:sz w:val="22"/>
          <w:szCs w:val="22"/>
          <w:lang w:val="en-CA"/>
        </w:rPr>
        <w:t>administered in alternating years with government-wide audit</w:t>
      </w:r>
    </w:p>
    <w:p w14:paraId="2CE4CDBA" w14:textId="77777777" w:rsidR="005B549F" w:rsidRPr="00726D70" w:rsidRDefault="005B549F" w:rsidP="005B549F">
      <w:pPr>
        <w:keepLines/>
        <w:numPr>
          <w:ilvl w:val="0"/>
          <w:numId w:val="15"/>
        </w:numPr>
        <w:spacing w:line="259" w:lineRule="auto"/>
        <w:rPr>
          <w:rFonts w:asciiTheme="minorHAnsi" w:eastAsiaTheme="minorHAnsi" w:hAnsiTheme="minorHAnsi" w:cstheme="minorBidi"/>
          <w:sz w:val="22"/>
          <w:szCs w:val="22"/>
          <w:lang w:val="en-CA"/>
        </w:rPr>
      </w:pPr>
      <w:r w:rsidRPr="00726D70">
        <w:rPr>
          <w:rStyle w:val="lev"/>
          <w:rFonts w:eastAsiaTheme="minorHAnsi" w:cstheme="minorHAnsi"/>
          <w:lang w:val="en-CA"/>
        </w:rPr>
        <w:t>System-wide effectiveness and efficiency reviews</w:t>
      </w:r>
      <w:r w:rsidRPr="00726D70">
        <w:rPr>
          <w:rFonts w:asciiTheme="minorHAnsi" w:eastAsiaTheme="minorHAnsi" w:hAnsiTheme="minorHAnsi" w:cstheme="minorBidi"/>
          <w:sz w:val="20"/>
          <w:szCs w:val="22"/>
          <w:lang w:val="en-CA"/>
        </w:rPr>
        <w:t xml:space="preserve"> </w:t>
      </w:r>
      <w:r w:rsidRPr="00726D70">
        <w:rPr>
          <w:rFonts w:asciiTheme="minorHAnsi" w:eastAsiaTheme="minorHAnsi" w:hAnsiTheme="minorHAnsi" w:cstheme="minorBidi"/>
          <w:sz w:val="22"/>
          <w:szCs w:val="22"/>
          <w:lang w:val="en-CA"/>
        </w:rPr>
        <w:t>to support continuous improvement</w:t>
      </w:r>
    </w:p>
    <w:p w14:paraId="60B530E9" w14:textId="77777777" w:rsidR="005B549F" w:rsidRPr="00726D70" w:rsidRDefault="005B549F" w:rsidP="005B549F">
      <w:pPr>
        <w:keepLines/>
        <w:numPr>
          <w:ilvl w:val="0"/>
          <w:numId w:val="15"/>
        </w:numPr>
        <w:spacing w:line="259" w:lineRule="auto"/>
        <w:rPr>
          <w:rFonts w:asciiTheme="minorHAnsi" w:eastAsiaTheme="minorHAnsi" w:hAnsiTheme="minorHAnsi" w:cstheme="minorBidi"/>
          <w:sz w:val="22"/>
          <w:szCs w:val="22"/>
          <w:lang w:val="en-CA"/>
        </w:rPr>
      </w:pPr>
      <w:r w:rsidRPr="00726D70">
        <w:rPr>
          <w:rStyle w:val="lev"/>
          <w:rFonts w:eastAsiaTheme="minorHAnsi" w:cstheme="minorHAnsi"/>
          <w:lang w:val="en-CA"/>
        </w:rPr>
        <w:t>Targeted PSC audits</w:t>
      </w:r>
      <w:r w:rsidRPr="00726D70">
        <w:rPr>
          <w:rFonts w:asciiTheme="minorHAnsi" w:eastAsiaTheme="minorHAnsi" w:hAnsiTheme="minorHAnsi" w:cstheme="minorBidi"/>
          <w:sz w:val="20"/>
          <w:szCs w:val="22"/>
          <w:lang w:val="en-CA"/>
        </w:rPr>
        <w:t xml:space="preserve"> </w:t>
      </w:r>
      <w:r w:rsidRPr="00726D70">
        <w:rPr>
          <w:rFonts w:asciiTheme="minorHAnsi" w:eastAsiaTheme="minorHAnsi" w:hAnsiTheme="minorHAnsi" w:cstheme="minorBidi"/>
          <w:sz w:val="22"/>
          <w:szCs w:val="22"/>
          <w:lang w:val="en-CA"/>
        </w:rPr>
        <w:t>as a result of identified system-wide or organizational risks or at the deputy head request</w:t>
      </w:r>
    </w:p>
    <w:p w14:paraId="22223A68" w14:textId="77777777" w:rsidR="005B549F" w:rsidRPr="00726D70" w:rsidRDefault="005B549F" w:rsidP="005B549F">
      <w:pPr>
        <w:keepLines/>
        <w:numPr>
          <w:ilvl w:val="0"/>
          <w:numId w:val="15"/>
        </w:numPr>
        <w:spacing w:after="320" w:line="259" w:lineRule="auto"/>
        <w:rPr>
          <w:rFonts w:asciiTheme="minorHAnsi" w:eastAsiaTheme="minorHAnsi" w:hAnsiTheme="minorHAnsi" w:cstheme="minorBidi"/>
          <w:sz w:val="22"/>
          <w:szCs w:val="22"/>
          <w:lang w:val="en-CA"/>
        </w:rPr>
      </w:pPr>
      <w:r w:rsidRPr="00726D70">
        <w:rPr>
          <w:rStyle w:val="lev"/>
          <w:rFonts w:eastAsiaTheme="minorHAnsi" w:cstheme="minorHAnsi"/>
          <w:lang w:val="en-CA"/>
        </w:rPr>
        <w:t>Investigations conducted</w:t>
      </w:r>
      <w:r w:rsidRPr="00726D70">
        <w:rPr>
          <w:rFonts w:asciiTheme="minorHAnsi" w:eastAsiaTheme="minorHAnsi" w:hAnsiTheme="minorHAnsi" w:cstheme="minorBidi"/>
          <w:sz w:val="20"/>
          <w:szCs w:val="22"/>
          <w:lang w:val="en-CA"/>
        </w:rPr>
        <w:t xml:space="preserve"> </w:t>
      </w:r>
      <w:r w:rsidRPr="00726D70">
        <w:rPr>
          <w:rFonts w:asciiTheme="minorHAnsi" w:eastAsiaTheme="minorHAnsi" w:hAnsiTheme="minorHAnsi" w:cstheme="minorBidi"/>
          <w:sz w:val="22"/>
          <w:szCs w:val="22"/>
          <w:lang w:val="en-CA"/>
        </w:rPr>
        <w:t>when there is a reason to believe there was political influence, fraud or improper conduct in an appointment process</w:t>
      </w:r>
    </w:p>
    <w:p w14:paraId="3DC814CC" w14:textId="16276081" w:rsidR="007B5FFF" w:rsidRPr="00726D70" w:rsidRDefault="005B549F" w:rsidP="001B4E5C">
      <w:pPr>
        <w:pStyle w:val="Pieddepage"/>
        <w:ind w:left="720"/>
        <w:rPr>
          <w:rStyle w:val="lev"/>
          <w:b w:val="0"/>
          <w:color w:val="0070C0"/>
          <w:lang w:val="en-CA"/>
        </w:rPr>
      </w:pPr>
      <w:r w:rsidRPr="00726D70">
        <w:rPr>
          <w:rStyle w:val="lev"/>
          <w:rFonts w:eastAsiaTheme="minorHAnsi" w:cstheme="minorHAnsi"/>
          <w:b w:val="0"/>
          <w:lang w:val="en-CA"/>
        </w:rPr>
        <w:t xml:space="preserve">This document should be read in conjunction with the </w:t>
      </w:r>
      <w:r w:rsidRPr="008439F8">
        <w:rPr>
          <w:rStyle w:val="Accentuation"/>
          <w:rFonts w:eastAsiaTheme="minorHAnsi"/>
        </w:rPr>
        <w:t>Public Service Employment Act</w:t>
      </w:r>
      <w:r w:rsidRPr="00726D70">
        <w:rPr>
          <w:rStyle w:val="lev"/>
          <w:rFonts w:eastAsiaTheme="minorHAnsi" w:cstheme="minorHAnsi"/>
          <w:b w:val="0"/>
          <w:lang w:val="en-CA"/>
        </w:rPr>
        <w:t xml:space="preserve">, the </w:t>
      </w:r>
      <w:r w:rsidRPr="00726D70">
        <w:rPr>
          <w:rStyle w:val="Accentuation"/>
          <w:rFonts w:eastAsiaTheme="minorHAnsi"/>
          <w:lang w:val="en-CA"/>
        </w:rPr>
        <w:t>Public Service Employment Regulations</w:t>
      </w:r>
      <w:r w:rsidRPr="00726D70">
        <w:rPr>
          <w:rStyle w:val="lev"/>
          <w:rFonts w:eastAsiaTheme="minorHAnsi" w:cstheme="minorHAnsi"/>
          <w:b w:val="0"/>
          <w:lang w:val="en-CA"/>
        </w:rPr>
        <w:t xml:space="preserve">, the PSC Appointment Policy and the </w:t>
      </w:r>
      <w:r w:rsidRPr="00726D70">
        <w:rPr>
          <w:rStyle w:val="Accentuation"/>
          <w:rFonts w:eastAsiaTheme="minorHAnsi"/>
          <w:lang w:val="en-CA"/>
        </w:rPr>
        <w:t>PSC Appointment Delegation and Accountability Instrument</w:t>
      </w:r>
      <w:r w:rsidRPr="00726D70">
        <w:rPr>
          <w:rStyle w:val="lev"/>
          <w:rFonts w:eastAsiaTheme="minorHAnsi" w:cstheme="minorHAnsi"/>
          <w:b w:val="0"/>
          <w:lang w:val="en-CA"/>
        </w:rPr>
        <w:t>.</w:t>
      </w:r>
    </w:p>
    <w:p w14:paraId="3FD2A6A8" w14:textId="77777777" w:rsidR="007F3B3C" w:rsidRPr="00726D70" w:rsidRDefault="007F3B3C" w:rsidP="00194F0E">
      <w:pPr>
        <w:pStyle w:val="Paragraphedeliste"/>
        <w:contextualSpacing w:val="0"/>
        <w:rPr>
          <w:color w:val="54575A" w:themeColor="text1"/>
          <w:sz w:val="12"/>
          <w:szCs w:val="12"/>
          <w:lang w:val="en-CA"/>
        </w:rPr>
        <w:sectPr w:rsidR="007F3B3C" w:rsidRPr="00726D70" w:rsidSect="0012105C">
          <w:pgSz w:w="12240" w:h="15840"/>
          <w:pgMar w:top="1440" w:right="1080" w:bottom="1440" w:left="1080" w:header="708" w:footer="708" w:gutter="0"/>
          <w:cols w:space="708"/>
          <w:docGrid w:linePitch="360"/>
        </w:sectPr>
      </w:pPr>
    </w:p>
    <w:p w14:paraId="0F505EFD" w14:textId="7CF8DFB0" w:rsidR="007F3B3C" w:rsidRPr="00726D70" w:rsidRDefault="007A3064" w:rsidP="00194F0E">
      <w:pPr>
        <w:pStyle w:val="Titre3"/>
        <w:jc w:val="right"/>
        <w:rPr>
          <w:lang w:val="en-CA"/>
        </w:rPr>
      </w:pPr>
      <w:bookmarkStart w:id="3" w:name="AnnexB"/>
      <w:r w:rsidRPr="00726D70">
        <w:rPr>
          <w:lang w:val="en-CA"/>
        </w:rPr>
        <w:lastRenderedPageBreak/>
        <w:t>Annex B</w:t>
      </w:r>
    </w:p>
    <w:bookmarkEnd w:id="3"/>
    <w:p w14:paraId="287EC4FB" w14:textId="77777777" w:rsidR="003F23FE" w:rsidRPr="00726D70" w:rsidRDefault="003F23FE" w:rsidP="003F23FE">
      <w:pPr>
        <w:pStyle w:val="Titre1"/>
        <w:spacing w:before="120" w:after="120"/>
        <w:rPr>
          <w:sz w:val="40"/>
          <w:lang w:val="en-CA"/>
        </w:rPr>
      </w:pPr>
      <w:r w:rsidRPr="00726D70">
        <w:rPr>
          <w:rFonts w:eastAsia="Times New Roman"/>
          <w:sz w:val="40"/>
          <w:lang w:val="en-CA"/>
        </w:rPr>
        <w:t>Population by tenure as of March 31</w:t>
      </w:r>
    </w:p>
    <w:p w14:paraId="1FE210F5" w14:textId="77777777" w:rsidR="00D44485" w:rsidRPr="00726D70" w:rsidRDefault="007F3B3C" w:rsidP="00D44485">
      <w:pPr>
        <w:keepNext/>
        <w:tabs>
          <w:tab w:val="left" w:pos="7839"/>
        </w:tabs>
        <w:jc w:val="center"/>
        <w:rPr>
          <w:lang w:val="en-CA"/>
        </w:rPr>
      </w:pPr>
      <w:r w:rsidRPr="00726D70">
        <w:rPr>
          <w:rStyle w:val="lev"/>
          <w:noProof/>
          <w:lang w:val="en-CA" w:eastAsia="en-CA"/>
        </w:rPr>
        <w:drawing>
          <wp:inline distT="0" distB="0" distL="0" distR="0" wp14:anchorId="20AE8DF6" wp14:editId="38539EB4">
            <wp:extent cx="5648400" cy="3049200"/>
            <wp:effectExtent l="0" t="0" r="9525" b="18415"/>
            <wp:docPr id="13" name="Chart 13" descr="Population by tenure as of March 31 from 2014 to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B77FF0" w14:textId="3916632C" w:rsidR="00D44485" w:rsidRPr="00726D70" w:rsidRDefault="00D44485" w:rsidP="00F01C23">
      <w:pPr>
        <w:pStyle w:val="Lgende"/>
        <w:spacing w:after="120"/>
        <w:jc w:val="center"/>
        <w:rPr>
          <w:lang w:val="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1</w:t>
      </w:r>
      <w:r w:rsidRPr="00726D70">
        <w:rPr>
          <w:lang w:val="en-CA"/>
        </w:rPr>
        <w:fldChar w:fldCharType="end"/>
      </w:r>
      <w:r w:rsidRPr="00726D70">
        <w:rPr>
          <w:lang w:val="en-CA"/>
        </w:rPr>
        <w:t xml:space="preserve"> - Population by tenue as of March 31</w:t>
      </w:r>
    </w:p>
    <w:p w14:paraId="37F17337" w14:textId="14C47859" w:rsidR="00D44485" w:rsidRPr="00726D70" w:rsidRDefault="00D44485" w:rsidP="00D44485">
      <w:pPr>
        <w:pStyle w:val="Lgende"/>
        <w:keepNext/>
        <w:jc w:val="center"/>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4</w:t>
      </w:r>
      <w:r w:rsidRPr="00726D70">
        <w:rPr>
          <w:lang w:val="en-CA"/>
        </w:rPr>
        <w:fldChar w:fldCharType="end"/>
      </w:r>
      <w:r w:rsidRPr="00726D70">
        <w:rPr>
          <w:lang w:val="en-CA"/>
        </w:rPr>
        <w:t xml:space="preserve"> - Public Service Employment Act population by tenure as of March 31</w:t>
      </w:r>
    </w:p>
    <w:tbl>
      <w:tblPr>
        <w:tblStyle w:val="Grilledutableau"/>
        <w:tblW w:w="5000" w:type="pct"/>
        <w:jc w:val="center"/>
        <w:tblLook w:val="0000" w:firstRow="0" w:lastRow="0" w:firstColumn="0" w:lastColumn="0" w:noHBand="0" w:noVBand="0"/>
        <w:tblDescription w:val="Population by tenure as of March 31 from 2014 to 2019"/>
      </w:tblPr>
      <w:tblGrid>
        <w:gridCol w:w="2264"/>
        <w:gridCol w:w="2835"/>
        <w:gridCol w:w="1985"/>
        <w:gridCol w:w="2124"/>
        <w:gridCol w:w="2411"/>
        <w:gridCol w:w="2051"/>
      </w:tblGrid>
      <w:tr w:rsidR="00D44485" w:rsidRPr="00726D70" w14:paraId="7CCA8174" w14:textId="77777777" w:rsidTr="00F01C23">
        <w:trPr>
          <w:cantSplit/>
          <w:trHeight w:val="290"/>
          <w:tblHeader/>
          <w:jc w:val="center"/>
        </w:trPr>
        <w:tc>
          <w:tcPr>
            <w:tcW w:w="828" w:type="pct"/>
          </w:tcPr>
          <w:p w14:paraId="7EB3F1ED" w14:textId="5049B3DD" w:rsidR="00D44485" w:rsidRPr="00726D70" w:rsidRDefault="00D44485" w:rsidP="00D44485">
            <w:pPr>
              <w:pStyle w:val="TableTitle"/>
              <w:rPr>
                <w:lang w:val="en-CA"/>
              </w:rPr>
            </w:pPr>
            <w:r w:rsidRPr="00726D70">
              <w:rPr>
                <w:lang w:val="en-CA"/>
              </w:rPr>
              <w:t>Year</w:t>
            </w:r>
          </w:p>
        </w:tc>
        <w:tc>
          <w:tcPr>
            <w:tcW w:w="1037" w:type="pct"/>
          </w:tcPr>
          <w:p w14:paraId="50CDBC95" w14:textId="62451E03" w:rsidR="00D44485" w:rsidRPr="00726D70" w:rsidRDefault="00D44485" w:rsidP="00F01C23">
            <w:pPr>
              <w:pStyle w:val="TableTitle"/>
              <w:rPr>
                <w:lang w:val="en-CA"/>
              </w:rPr>
            </w:pPr>
            <w:r w:rsidRPr="00726D70">
              <w:rPr>
                <w:lang w:val="en-CA"/>
              </w:rPr>
              <w:t>Indeterminate</w:t>
            </w:r>
            <w:r w:rsidR="00F01C23" w:rsidRPr="00726D70">
              <w:rPr>
                <w:lang w:val="en-CA"/>
              </w:rPr>
              <w:t xml:space="preserve"> </w:t>
            </w:r>
            <w:r w:rsidRPr="00726D70">
              <w:rPr>
                <w:lang w:val="en-CA"/>
              </w:rPr>
              <w:t>population</w:t>
            </w:r>
          </w:p>
        </w:tc>
        <w:tc>
          <w:tcPr>
            <w:tcW w:w="726" w:type="pct"/>
          </w:tcPr>
          <w:p w14:paraId="47C29EDD" w14:textId="658633A7" w:rsidR="00D44485" w:rsidRPr="00726D70" w:rsidRDefault="00D44485" w:rsidP="00F01C23">
            <w:pPr>
              <w:pStyle w:val="TableTitle"/>
              <w:rPr>
                <w:lang w:val="en-CA"/>
              </w:rPr>
            </w:pPr>
            <w:r w:rsidRPr="00726D70">
              <w:rPr>
                <w:lang w:val="en-CA"/>
              </w:rPr>
              <w:t>Term</w:t>
            </w:r>
            <w:r w:rsidR="00F01C23" w:rsidRPr="00726D70">
              <w:rPr>
                <w:lang w:val="en-CA"/>
              </w:rPr>
              <w:t xml:space="preserve"> </w:t>
            </w:r>
            <w:r w:rsidRPr="00726D70">
              <w:rPr>
                <w:lang w:val="en-CA"/>
              </w:rPr>
              <w:t xml:space="preserve">population </w:t>
            </w:r>
          </w:p>
        </w:tc>
        <w:tc>
          <w:tcPr>
            <w:tcW w:w="777" w:type="pct"/>
          </w:tcPr>
          <w:p w14:paraId="344E1737" w14:textId="2EEDF947" w:rsidR="00D44485" w:rsidRPr="00726D70" w:rsidRDefault="00D44485" w:rsidP="00F01C23">
            <w:pPr>
              <w:pStyle w:val="TableTitle"/>
              <w:rPr>
                <w:lang w:val="en-CA"/>
              </w:rPr>
            </w:pPr>
            <w:r w:rsidRPr="00726D70">
              <w:rPr>
                <w:lang w:val="en-CA"/>
              </w:rPr>
              <w:t>Casual</w:t>
            </w:r>
            <w:r w:rsidR="00F01C23" w:rsidRPr="00726D70">
              <w:rPr>
                <w:lang w:val="en-CA"/>
              </w:rPr>
              <w:t xml:space="preserve"> </w:t>
            </w:r>
            <w:r w:rsidRPr="00726D70">
              <w:rPr>
                <w:lang w:val="en-CA"/>
              </w:rPr>
              <w:t>population</w:t>
            </w:r>
          </w:p>
        </w:tc>
        <w:tc>
          <w:tcPr>
            <w:tcW w:w="882" w:type="pct"/>
          </w:tcPr>
          <w:p w14:paraId="71D8D2FF" w14:textId="40E92C25" w:rsidR="00D44485" w:rsidRPr="00726D70" w:rsidRDefault="00D44485" w:rsidP="00F01C23">
            <w:pPr>
              <w:pStyle w:val="TableTitle"/>
              <w:rPr>
                <w:lang w:val="en-CA"/>
              </w:rPr>
            </w:pPr>
            <w:r w:rsidRPr="00726D70">
              <w:rPr>
                <w:lang w:val="en-CA"/>
              </w:rPr>
              <w:t>Student</w:t>
            </w:r>
            <w:r w:rsidR="00F01C23" w:rsidRPr="00726D70">
              <w:rPr>
                <w:lang w:val="en-CA"/>
              </w:rPr>
              <w:t xml:space="preserve"> </w:t>
            </w:r>
            <w:r w:rsidRPr="00726D70">
              <w:rPr>
                <w:lang w:val="en-CA"/>
              </w:rPr>
              <w:t>population</w:t>
            </w:r>
          </w:p>
        </w:tc>
        <w:tc>
          <w:tcPr>
            <w:tcW w:w="750" w:type="pct"/>
          </w:tcPr>
          <w:p w14:paraId="39BF591D" w14:textId="6426E984" w:rsidR="00D44485" w:rsidRPr="00726D70" w:rsidRDefault="00D44485" w:rsidP="00F01C23">
            <w:pPr>
              <w:pStyle w:val="TableTitle"/>
              <w:rPr>
                <w:lang w:val="en-CA"/>
              </w:rPr>
            </w:pPr>
            <w:r w:rsidRPr="00726D70">
              <w:rPr>
                <w:lang w:val="en-CA"/>
              </w:rPr>
              <w:t>Total</w:t>
            </w:r>
            <w:r w:rsidR="00F01C23" w:rsidRPr="00726D70">
              <w:rPr>
                <w:lang w:val="en-CA"/>
              </w:rPr>
              <w:t xml:space="preserve"> </w:t>
            </w:r>
            <w:r w:rsidRPr="00726D70">
              <w:rPr>
                <w:lang w:val="en-CA"/>
              </w:rPr>
              <w:t>population</w:t>
            </w:r>
          </w:p>
        </w:tc>
      </w:tr>
      <w:tr w:rsidR="00D44485" w:rsidRPr="00726D70" w14:paraId="4B878580" w14:textId="77777777" w:rsidTr="00F01C23">
        <w:trPr>
          <w:cantSplit/>
          <w:trHeight w:val="290"/>
          <w:tblHeader/>
          <w:jc w:val="center"/>
        </w:trPr>
        <w:tc>
          <w:tcPr>
            <w:tcW w:w="828" w:type="pct"/>
          </w:tcPr>
          <w:p w14:paraId="7FD529C3" w14:textId="77777777" w:rsidR="00D44485" w:rsidRPr="00726D70" w:rsidRDefault="00D44485" w:rsidP="00F01C23">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As of March 31, 2014</w:t>
            </w:r>
          </w:p>
        </w:tc>
        <w:tc>
          <w:tcPr>
            <w:tcW w:w="1037" w:type="pct"/>
          </w:tcPr>
          <w:p w14:paraId="2FB009F6"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776</w:t>
            </w:r>
          </w:p>
        </w:tc>
        <w:tc>
          <w:tcPr>
            <w:tcW w:w="726" w:type="pct"/>
          </w:tcPr>
          <w:p w14:paraId="0F7B0068"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113</w:t>
            </w:r>
          </w:p>
        </w:tc>
        <w:tc>
          <w:tcPr>
            <w:tcW w:w="777" w:type="pct"/>
          </w:tcPr>
          <w:p w14:paraId="7CCB47AE"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135</w:t>
            </w:r>
          </w:p>
        </w:tc>
        <w:tc>
          <w:tcPr>
            <w:tcW w:w="882" w:type="pct"/>
          </w:tcPr>
          <w:p w14:paraId="1D89DD5E"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18</w:t>
            </w:r>
          </w:p>
        </w:tc>
        <w:tc>
          <w:tcPr>
            <w:tcW w:w="750" w:type="pct"/>
          </w:tcPr>
          <w:p w14:paraId="4CFE1C11"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1 042</w:t>
            </w:r>
          </w:p>
        </w:tc>
      </w:tr>
      <w:tr w:rsidR="00D44485" w:rsidRPr="00726D70" w14:paraId="10E49594" w14:textId="77777777" w:rsidTr="00F01C23">
        <w:trPr>
          <w:cantSplit/>
          <w:trHeight w:val="290"/>
          <w:tblHeader/>
          <w:jc w:val="center"/>
        </w:trPr>
        <w:tc>
          <w:tcPr>
            <w:tcW w:w="828" w:type="pct"/>
          </w:tcPr>
          <w:p w14:paraId="29196AB9" w14:textId="77777777" w:rsidR="00D44485" w:rsidRPr="00726D70" w:rsidRDefault="00D44485" w:rsidP="00F01C23">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As of March 31, 2015</w:t>
            </w:r>
          </w:p>
        </w:tc>
        <w:tc>
          <w:tcPr>
            <w:tcW w:w="1037" w:type="pct"/>
          </w:tcPr>
          <w:p w14:paraId="4F201246"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776</w:t>
            </w:r>
          </w:p>
        </w:tc>
        <w:tc>
          <w:tcPr>
            <w:tcW w:w="726" w:type="pct"/>
          </w:tcPr>
          <w:p w14:paraId="1C69E3D2"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126</w:t>
            </w:r>
          </w:p>
        </w:tc>
        <w:tc>
          <w:tcPr>
            <w:tcW w:w="777" w:type="pct"/>
          </w:tcPr>
          <w:p w14:paraId="2555A158"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105</w:t>
            </w:r>
          </w:p>
        </w:tc>
        <w:tc>
          <w:tcPr>
            <w:tcW w:w="882" w:type="pct"/>
          </w:tcPr>
          <w:p w14:paraId="611B6D55"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18</w:t>
            </w:r>
          </w:p>
        </w:tc>
        <w:tc>
          <w:tcPr>
            <w:tcW w:w="750" w:type="pct"/>
          </w:tcPr>
          <w:p w14:paraId="743E30D7"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1 025</w:t>
            </w:r>
          </w:p>
        </w:tc>
      </w:tr>
      <w:tr w:rsidR="00D44485" w:rsidRPr="00726D70" w14:paraId="2575120C" w14:textId="77777777" w:rsidTr="00F01C23">
        <w:trPr>
          <w:cantSplit/>
          <w:trHeight w:val="290"/>
          <w:tblHeader/>
          <w:jc w:val="center"/>
        </w:trPr>
        <w:tc>
          <w:tcPr>
            <w:tcW w:w="828" w:type="pct"/>
          </w:tcPr>
          <w:p w14:paraId="2C4B10C7" w14:textId="77777777" w:rsidR="00D44485" w:rsidRPr="00726D70" w:rsidRDefault="00D44485" w:rsidP="00F01C23">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As of March 31, 2016</w:t>
            </w:r>
          </w:p>
        </w:tc>
        <w:tc>
          <w:tcPr>
            <w:tcW w:w="1037" w:type="pct"/>
          </w:tcPr>
          <w:p w14:paraId="56CF7D1B"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744</w:t>
            </w:r>
          </w:p>
        </w:tc>
        <w:tc>
          <w:tcPr>
            <w:tcW w:w="726" w:type="pct"/>
          </w:tcPr>
          <w:p w14:paraId="70FF5457"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111</w:t>
            </w:r>
          </w:p>
        </w:tc>
        <w:tc>
          <w:tcPr>
            <w:tcW w:w="777" w:type="pct"/>
          </w:tcPr>
          <w:p w14:paraId="0E537E27"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71</w:t>
            </w:r>
          </w:p>
        </w:tc>
        <w:tc>
          <w:tcPr>
            <w:tcW w:w="882" w:type="pct"/>
          </w:tcPr>
          <w:p w14:paraId="341B4B0D"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w:t>
            </w:r>
          </w:p>
        </w:tc>
        <w:tc>
          <w:tcPr>
            <w:tcW w:w="750" w:type="pct"/>
          </w:tcPr>
          <w:p w14:paraId="161B03FF"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935</w:t>
            </w:r>
          </w:p>
        </w:tc>
      </w:tr>
      <w:tr w:rsidR="00D44485" w:rsidRPr="00726D70" w14:paraId="7F37E067" w14:textId="77777777" w:rsidTr="00F01C23">
        <w:trPr>
          <w:cantSplit/>
          <w:trHeight w:val="290"/>
          <w:tblHeader/>
          <w:jc w:val="center"/>
        </w:trPr>
        <w:tc>
          <w:tcPr>
            <w:tcW w:w="828" w:type="pct"/>
          </w:tcPr>
          <w:p w14:paraId="174229FB" w14:textId="77777777" w:rsidR="00D44485" w:rsidRPr="00726D70" w:rsidRDefault="00D44485" w:rsidP="00F01C23">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As of March 31, 2017</w:t>
            </w:r>
          </w:p>
        </w:tc>
        <w:tc>
          <w:tcPr>
            <w:tcW w:w="1037" w:type="pct"/>
          </w:tcPr>
          <w:p w14:paraId="605150EE"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767</w:t>
            </w:r>
          </w:p>
        </w:tc>
        <w:tc>
          <w:tcPr>
            <w:tcW w:w="726" w:type="pct"/>
          </w:tcPr>
          <w:p w14:paraId="2A9AB6FE"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92</w:t>
            </w:r>
          </w:p>
        </w:tc>
        <w:tc>
          <w:tcPr>
            <w:tcW w:w="777" w:type="pct"/>
          </w:tcPr>
          <w:p w14:paraId="0C6B03C5"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91</w:t>
            </w:r>
          </w:p>
        </w:tc>
        <w:tc>
          <w:tcPr>
            <w:tcW w:w="882" w:type="pct"/>
          </w:tcPr>
          <w:p w14:paraId="007C59B6"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17</w:t>
            </w:r>
          </w:p>
        </w:tc>
        <w:tc>
          <w:tcPr>
            <w:tcW w:w="750" w:type="pct"/>
          </w:tcPr>
          <w:p w14:paraId="3D8A56FC"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967</w:t>
            </w:r>
          </w:p>
        </w:tc>
      </w:tr>
      <w:tr w:rsidR="00D44485" w:rsidRPr="00726D70" w14:paraId="5EA4B8F7" w14:textId="77777777" w:rsidTr="00F01C23">
        <w:trPr>
          <w:cantSplit/>
          <w:trHeight w:val="290"/>
          <w:tblHeader/>
          <w:jc w:val="center"/>
        </w:trPr>
        <w:tc>
          <w:tcPr>
            <w:tcW w:w="828" w:type="pct"/>
          </w:tcPr>
          <w:p w14:paraId="1DA8D970" w14:textId="77777777" w:rsidR="00D44485" w:rsidRPr="00726D70" w:rsidRDefault="00D44485" w:rsidP="00F01C23">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As of March 31, 2018</w:t>
            </w:r>
          </w:p>
        </w:tc>
        <w:tc>
          <w:tcPr>
            <w:tcW w:w="1037" w:type="pct"/>
          </w:tcPr>
          <w:p w14:paraId="71AA67A4"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780</w:t>
            </w:r>
          </w:p>
        </w:tc>
        <w:tc>
          <w:tcPr>
            <w:tcW w:w="726" w:type="pct"/>
          </w:tcPr>
          <w:p w14:paraId="3156E322"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104</w:t>
            </w:r>
          </w:p>
        </w:tc>
        <w:tc>
          <w:tcPr>
            <w:tcW w:w="777" w:type="pct"/>
          </w:tcPr>
          <w:p w14:paraId="6D546032"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48</w:t>
            </w:r>
          </w:p>
        </w:tc>
        <w:tc>
          <w:tcPr>
            <w:tcW w:w="882" w:type="pct"/>
          </w:tcPr>
          <w:p w14:paraId="58FB5DFE"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17</w:t>
            </w:r>
          </w:p>
        </w:tc>
        <w:tc>
          <w:tcPr>
            <w:tcW w:w="750" w:type="pct"/>
          </w:tcPr>
          <w:p w14:paraId="3E51AE9E"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949</w:t>
            </w:r>
          </w:p>
        </w:tc>
      </w:tr>
      <w:tr w:rsidR="00D44485" w:rsidRPr="00726D70" w14:paraId="7D68D9B8" w14:textId="77777777" w:rsidTr="00F01C23">
        <w:trPr>
          <w:cantSplit/>
          <w:trHeight w:val="290"/>
          <w:tblHeader/>
          <w:jc w:val="center"/>
        </w:trPr>
        <w:tc>
          <w:tcPr>
            <w:tcW w:w="828" w:type="pct"/>
          </w:tcPr>
          <w:p w14:paraId="7058C633" w14:textId="77777777" w:rsidR="00D44485" w:rsidRPr="00726D70" w:rsidRDefault="00D44485" w:rsidP="00F01C23">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As of March 31, 2019</w:t>
            </w:r>
          </w:p>
        </w:tc>
        <w:tc>
          <w:tcPr>
            <w:tcW w:w="1037" w:type="pct"/>
          </w:tcPr>
          <w:p w14:paraId="18B89701"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808</w:t>
            </w:r>
          </w:p>
        </w:tc>
        <w:tc>
          <w:tcPr>
            <w:tcW w:w="726" w:type="pct"/>
          </w:tcPr>
          <w:p w14:paraId="7C85BA3B"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92</w:t>
            </w:r>
          </w:p>
        </w:tc>
        <w:tc>
          <w:tcPr>
            <w:tcW w:w="777" w:type="pct"/>
          </w:tcPr>
          <w:p w14:paraId="31466478"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64</w:t>
            </w:r>
          </w:p>
        </w:tc>
        <w:tc>
          <w:tcPr>
            <w:tcW w:w="882" w:type="pct"/>
          </w:tcPr>
          <w:p w14:paraId="74890CF5"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22</w:t>
            </w:r>
          </w:p>
        </w:tc>
        <w:tc>
          <w:tcPr>
            <w:tcW w:w="750" w:type="pct"/>
          </w:tcPr>
          <w:p w14:paraId="48C30A24" w14:textId="77777777" w:rsidR="00D44485" w:rsidRPr="00726D70" w:rsidRDefault="00D444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986</w:t>
            </w:r>
          </w:p>
        </w:tc>
      </w:tr>
    </w:tbl>
    <w:p w14:paraId="14A2A0E3" w14:textId="670466C2" w:rsidR="003F23FE" w:rsidRPr="00726D70" w:rsidRDefault="003F23FE" w:rsidP="003F23FE">
      <w:pPr>
        <w:pStyle w:val="Titre1"/>
        <w:spacing w:before="120" w:after="120"/>
        <w:rPr>
          <w:sz w:val="40"/>
          <w:lang w:val="en-CA"/>
        </w:rPr>
      </w:pPr>
      <w:r w:rsidRPr="00726D70">
        <w:rPr>
          <w:sz w:val="40"/>
          <w:lang w:val="en-CA"/>
        </w:rPr>
        <w:lastRenderedPageBreak/>
        <w:t>Population by language requirements as of March 31, 2019</w:t>
      </w:r>
    </w:p>
    <w:p w14:paraId="37D5B27E" w14:textId="77777777" w:rsidR="001B3F48" w:rsidRPr="00726D70" w:rsidRDefault="007F3B3C" w:rsidP="001B3F48">
      <w:pPr>
        <w:keepNext/>
        <w:jc w:val="center"/>
        <w:rPr>
          <w:lang w:val="en-CA"/>
        </w:rPr>
      </w:pPr>
      <w:r w:rsidRPr="00726D70">
        <w:rPr>
          <w:rStyle w:val="lev"/>
          <w:noProof/>
          <w:lang w:val="en-CA" w:eastAsia="en-CA"/>
        </w:rPr>
        <w:drawing>
          <wp:inline distT="0" distB="0" distL="0" distR="0" wp14:anchorId="1271EC9C" wp14:editId="616F21EB">
            <wp:extent cx="1980000" cy="3020400"/>
            <wp:effectExtent l="0" t="0" r="1270" b="8890"/>
            <wp:docPr id="8" name="Chart 8" descr="Population by language requirements as of March 31,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8A08DD" w14:textId="4F2E2C57" w:rsidR="001B3F48" w:rsidRPr="00726D70" w:rsidRDefault="001B3F48" w:rsidP="001B3F48">
      <w:pPr>
        <w:pStyle w:val="Lgende"/>
        <w:spacing w:after="240"/>
        <w:jc w:val="center"/>
        <w:rPr>
          <w:noProof/>
          <w:lang w:val="en-CA" w:eastAsia="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2</w:t>
      </w:r>
      <w:r w:rsidRPr="00726D70">
        <w:rPr>
          <w:lang w:val="en-CA"/>
        </w:rPr>
        <w:fldChar w:fldCharType="end"/>
      </w:r>
      <w:r w:rsidRPr="00726D70">
        <w:rPr>
          <w:lang w:val="en-CA"/>
        </w:rPr>
        <w:t xml:space="preserve"> - Population by language requirements as of March 31, 2019</w:t>
      </w:r>
    </w:p>
    <w:p w14:paraId="2EC9FEA8" w14:textId="42180031" w:rsidR="001B3F48" w:rsidRPr="00726D70" w:rsidRDefault="001B3F48" w:rsidP="001B3F48">
      <w:pPr>
        <w:pStyle w:val="Lgende"/>
        <w:keepNext/>
        <w:jc w:val="center"/>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5</w:t>
      </w:r>
      <w:r w:rsidRPr="00726D70">
        <w:rPr>
          <w:lang w:val="en-CA"/>
        </w:rPr>
        <w:fldChar w:fldCharType="end"/>
      </w:r>
      <w:r w:rsidRPr="00726D70">
        <w:rPr>
          <w:lang w:val="en-CA"/>
        </w:rPr>
        <w:t xml:space="preserve"> - Public Service Employment Act population by language requirements of the position for fiscal year 2018 to 2019</w:t>
      </w:r>
    </w:p>
    <w:tbl>
      <w:tblPr>
        <w:tblStyle w:val="Grilledutableau"/>
        <w:tblW w:w="5000" w:type="pct"/>
        <w:jc w:val="center"/>
        <w:tblLook w:val="0000" w:firstRow="0" w:lastRow="0" w:firstColumn="0" w:lastColumn="0" w:noHBand="0" w:noVBand="0"/>
        <w:tblDescription w:val="Population by language requirements as of March 31, 2019"/>
      </w:tblPr>
      <w:tblGrid>
        <w:gridCol w:w="4539"/>
        <w:gridCol w:w="3759"/>
        <w:gridCol w:w="5372"/>
      </w:tblGrid>
      <w:tr w:rsidR="001B3F48" w:rsidRPr="00726D70" w14:paraId="0253CB1D" w14:textId="77777777" w:rsidTr="003F23FE">
        <w:trPr>
          <w:cantSplit/>
          <w:trHeight w:val="290"/>
          <w:tblHeader/>
          <w:jc w:val="center"/>
        </w:trPr>
        <w:tc>
          <w:tcPr>
            <w:tcW w:w="1660" w:type="pct"/>
          </w:tcPr>
          <w:p w14:paraId="0482C96D" w14:textId="77777777" w:rsidR="001B3F48" w:rsidRPr="00726D70" w:rsidRDefault="001B3F48" w:rsidP="001B3F48">
            <w:pPr>
              <w:pStyle w:val="TableTitle"/>
              <w:rPr>
                <w:lang w:val="en-CA"/>
              </w:rPr>
            </w:pPr>
            <w:r w:rsidRPr="00726D70">
              <w:rPr>
                <w:lang w:val="en-CA"/>
              </w:rPr>
              <w:t>Linguistic requirements of the position</w:t>
            </w:r>
          </w:p>
        </w:tc>
        <w:tc>
          <w:tcPr>
            <w:tcW w:w="1375" w:type="pct"/>
          </w:tcPr>
          <w:p w14:paraId="2876047D" w14:textId="77777777" w:rsidR="001B3F48" w:rsidRPr="00726D70" w:rsidRDefault="001B3F48" w:rsidP="001B3F48">
            <w:pPr>
              <w:pStyle w:val="TableTitle"/>
              <w:rPr>
                <w:lang w:val="en-CA"/>
              </w:rPr>
            </w:pPr>
            <w:r w:rsidRPr="00726D70">
              <w:rPr>
                <w:lang w:val="en-CA"/>
              </w:rPr>
              <w:t>Population as of March 31, 2019</w:t>
            </w:r>
          </w:p>
        </w:tc>
        <w:tc>
          <w:tcPr>
            <w:tcW w:w="1965" w:type="pct"/>
          </w:tcPr>
          <w:p w14:paraId="5296E81F" w14:textId="77777777" w:rsidR="001B3F48" w:rsidRPr="00726D70" w:rsidRDefault="001B3F48" w:rsidP="001B3F48">
            <w:pPr>
              <w:pStyle w:val="TableTitle"/>
              <w:rPr>
                <w:lang w:val="en-CA"/>
              </w:rPr>
            </w:pPr>
            <w:r w:rsidRPr="00726D70">
              <w:rPr>
                <w:lang w:val="en-CA"/>
              </w:rPr>
              <w:t>Percentage of population as of March 31, 2019</w:t>
            </w:r>
          </w:p>
        </w:tc>
      </w:tr>
      <w:tr w:rsidR="001B3F48" w:rsidRPr="00726D70" w14:paraId="43CAF390" w14:textId="77777777" w:rsidTr="003F23FE">
        <w:trPr>
          <w:cantSplit/>
          <w:trHeight w:val="290"/>
          <w:tblHeader/>
          <w:jc w:val="center"/>
        </w:trPr>
        <w:tc>
          <w:tcPr>
            <w:tcW w:w="1660" w:type="pct"/>
          </w:tcPr>
          <w:p w14:paraId="63A3CB3C" w14:textId="2DCC2461" w:rsidR="001B3F48" w:rsidRPr="00726D70" w:rsidRDefault="001B3F48" w:rsidP="001B3F48">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Bilingual</w:t>
            </w:r>
          </w:p>
        </w:tc>
        <w:tc>
          <w:tcPr>
            <w:tcW w:w="1375" w:type="pct"/>
          </w:tcPr>
          <w:p w14:paraId="1DB8A361" w14:textId="77777777" w:rsidR="001B3F48" w:rsidRPr="00726D70" w:rsidRDefault="001B3F48" w:rsidP="001B3F48">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580</w:t>
            </w:r>
          </w:p>
        </w:tc>
        <w:tc>
          <w:tcPr>
            <w:tcW w:w="1965" w:type="pct"/>
            <w:shd w:val="clear" w:color="auto" w:fill="auto"/>
          </w:tcPr>
          <w:p w14:paraId="4F607DE7" w14:textId="77777777" w:rsidR="001B3F48" w:rsidRPr="00726D70" w:rsidRDefault="001B3F48" w:rsidP="001B3F48">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72%</w:t>
            </w:r>
          </w:p>
        </w:tc>
      </w:tr>
      <w:tr w:rsidR="001B3F48" w:rsidRPr="00726D70" w14:paraId="425704C6" w14:textId="77777777" w:rsidTr="003F23FE">
        <w:trPr>
          <w:cantSplit/>
          <w:trHeight w:val="290"/>
          <w:tblHeader/>
          <w:jc w:val="center"/>
        </w:trPr>
        <w:tc>
          <w:tcPr>
            <w:tcW w:w="1660" w:type="pct"/>
          </w:tcPr>
          <w:p w14:paraId="5BEEC3B0" w14:textId="77777777" w:rsidR="001B3F48" w:rsidRPr="00726D70" w:rsidRDefault="001B3F48" w:rsidP="001B3F48">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Unilingual</w:t>
            </w:r>
          </w:p>
        </w:tc>
        <w:tc>
          <w:tcPr>
            <w:tcW w:w="1375" w:type="pct"/>
          </w:tcPr>
          <w:p w14:paraId="71D611BF" w14:textId="77777777" w:rsidR="001B3F48" w:rsidRPr="00726D70" w:rsidRDefault="001B3F48" w:rsidP="001B3F48">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230</w:t>
            </w:r>
          </w:p>
        </w:tc>
        <w:tc>
          <w:tcPr>
            <w:tcW w:w="1965" w:type="pct"/>
            <w:shd w:val="clear" w:color="auto" w:fill="auto"/>
          </w:tcPr>
          <w:p w14:paraId="3C73D249" w14:textId="77777777" w:rsidR="001B3F48" w:rsidRPr="00726D70" w:rsidRDefault="001B3F48" w:rsidP="001B3F48">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28%</w:t>
            </w:r>
          </w:p>
        </w:tc>
      </w:tr>
      <w:tr w:rsidR="001B3F48" w:rsidRPr="00726D70" w14:paraId="496DF50E" w14:textId="77777777" w:rsidTr="003F23FE">
        <w:trPr>
          <w:cantSplit/>
          <w:trHeight w:val="290"/>
          <w:tblHeader/>
          <w:jc w:val="center"/>
        </w:trPr>
        <w:tc>
          <w:tcPr>
            <w:tcW w:w="1660" w:type="pct"/>
          </w:tcPr>
          <w:p w14:paraId="1F5EF9FF" w14:textId="77777777" w:rsidR="001B3F48" w:rsidRPr="00726D70" w:rsidRDefault="001B3F48" w:rsidP="001B3F48">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Unknown</w:t>
            </w:r>
          </w:p>
        </w:tc>
        <w:tc>
          <w:tcPr>
            <w:tcW w:w="1375" w:type="pct"/>
          </w:tcPr>
          <w:p w14:paraId="19A96BDA" w14:textId="77777777" w:rsidR="001B3F48" w:rsidRPr="00726D70" w:rsidRDefault="001B3F48" w:rsidP="001B3F48">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176</w:t>
            </w:r>
          </w:p>
        </w:tc>
        <w:tc>
          <w:tcPr>
            <w:tcW w:w="1965" w:type="pct"/>
            <w:shd w:val="clear" w:color="auto" w:fill="auto"/>
          </w:tcPr>
          <w:p w14:paraId="139B573A" w14:textId="298718AF" w:rsidR="001B3F48" w:rsidRPr="00726D70" w:rsidRDefault="003979EE" w:rsidP="001B3F48">
            <w:pPr>
              <w:autoSpaceDE w:val="0"/>
              <w:autoSpaceDN w:val="0"/>
              <w:adjustRightInd w:val="0"/>
              <w:jc w:val="center"/>
              <w:rPr>
                <w:rFonts w:asciiTheme="minorHAnsi" w:hAnsiTheme="minorHAnsi" w:cstheme="minorHAnsi"/>
                <w:color w:val="000000"/>
                <w:sz w:val="22"/>
                <w:szCs w:val="22"/>
                <w:lang w:val="en-CA"/>
              </w:rPr>
            </w:pPr>
            <w:r>
              <w:rPr>
                <w:rFonts w:asciiTheme="minorHAnsi" w:hAnsiTheme="minorHAnsi" w:cstheme="minorHAnsi"/>
                <w:color w:val="000000"/>
                <w:sz w:val="22"/>
                <w:szCs w:val="22"/>
                <w:lang w:val="en-CA"/>
              </w:rPr>
              <w:t>0%</w:t>
            </w:r>
          </w:p>
        </w:tc>
      </w:tr>
    </w:tbl>
    <w:p w14:paraId="416A0501" w14:textId="77777777" w:rsidR="003F23FE" w:rsidRPr="00726D70" w:rsidRDefault="003F23FE" w:rsidP="003F23FE">
      <w:pPr>
        <w:pStyle w:val="Titre1"/>
        <w:spacing w:before="120" w:after="120"/>
        <w:rPr>
          <w:sz w:val="40"/>
          <w:lang w:val="en-CA"/>
        </w:rPr>
      </w:pPr>
      <w:r w:rsidRPr="00726D70">
        <w:rPr>
          <w:rFonts w:eastAsia="Times New Roman"/>
          <w:sz w:val="40"/>
          <w:lang w:val="en-CA"/>
        </w:rPr>
        <w:lastRenderedPageBreak/>
        <w:t>Population by occupational group as of March 31, 2019</w:t>
      </w:r>
    </w:p>
    <w:p w14:paraId="3B15FF2C" w14:textId="77777777" w:rsidR="001B3F48" w:rsidRPr="00726D70" w:rsidRDefault="001B3F48" w:rsidP="001B3F48">
      <w:pPr>
        <w:keepNext/>
        <w:tabs>
          <w:tab w:val="left" w:pos="7839"/>
        </w:tabs>
        <w:jc w:val="center"/>
        <w:rPr>
          <w:lang w:val="en-CA"/>
        </w:rPr>
      </w:pPr>
      <w:r w:rsidRPr="00726D70">
        <w:rPr>
          <w:rStyle w:val="lev"/>
          <w:noProof/>
          <w:lang w:val="en-CA" w:eastAsia="en-CA"/>
        </w:rPr>
        <w:drawing>
          <wp:inline distT="0" distB="0" distL="0" distR="0" wp14:anchorId="7C76E46B" wp14:editId="11B0E2C3">
            <wp:extent cx="1980000" cy="3020400"/>
            <wp:effectExtent l="0" t="0" r="1270" b="8890"/>
            <wp:docPr id="5" name="Chart 5" descr="Population by occupational group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0F4B49" w14:textId="6D455D93" w:rsidR="001B3F48" w:rsidRPr="00726D70" w:rsidRDefault="001B3F48" w:rsidP="001B3F48">
      <w:pPr>
        <w:pStyle w:val="Lgende"/>
        <w:spacing w:after="240"/>
        <w:jc w:val="center"/>
        <w:rPr>
          <w:lang w:val="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3</w:t>
      </w:r>
      <w:r w:rsidRPr="00726D70">
        <w:rPr>
          <w:lang w:val="en-CA"/>
        </w:rPr>
        <w:fldChar w:fldCharType="end"/>
      </w:r>
      <w:r w:rsidRPr="00726D70">
        <w:rPr>
          <w:lang w:val="en-CA"/>
        </w:rPr>
        <w:t xml:space="preserve"> - Population by occupational group as of March 31, 2019</w:t>
      </w:r>
    </w:p>
    <w:p w14:paraId="37436DF6" w14:textId="34834F75" w:rsidR="001B3F48" w:rsidRPr="00726D70" w:rsidRDefault="001B3F48" w:rsidP="001B3F48">
      <w:pPr>
        <w:pStyle w:val="Lgende"/>
        <w:keepNext/>
        <w:jc w:val="center"/>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6</w:t>
      </w:r>
      <w:r w:rsidRPr="00726D70">
        <w:rPr>
          <w:lang w:val="en-CA"/>
        </w:rPr>
        <w:fldChar w:fldCharType="end"/>
      </w:r>
      <w:r w:rsidRPr="00726D70">
        <w:rPr>
          <w:lang w:val="en-CA"/>
        </w:rPr>
        <w:t xml:space="preserve"> - Top occupational groups, as a percentage of the Public Service Employment Act population for fiscal year 2018 to 2019</w:t>
      </w:r>
    </w:p>
    <w:tbl>
      <w:tblPr>
        <w:tblStyle w:val="Grilledutableau"/>
        <w:tblW w:w="5000" w:type="pct"/>
        <w:jc w:val="center"/>
        <w:tblLook w:val="0000" w:firstRow="0" w:lastRow="0" w:firstColumn="0" w:lastColumn="0" w:noHBand="0" w:noVBand="0"/>
        <w:tblDescription w:val="Population by occupational group as of March 31, 2019"/>
      </w:tblPr>
      <w:tblGrid>
        <w:gridCol w:w="4708"/>
        <w:gridCol w:w="3688"/>
        <w:gridCol w:w="5274"/>
      </w:tblGrid>
      <w:tr w:rsidR="001B3F48" w:rsidRPr="00726D70" w14:paraId="55067A3B" w14:textId="77777777" w:rsidTr="003F23FE">
        <w:trPr>
          <w:cantSplit/>
          <w:trHeight w:val="290"/>
          <w:tblHeader/>
          <w:jc w:val="center"/>
        </w:trPr>
        <w:tc>
          <w:tcPr>
            <w:tcW w:w="1722" w:type="pct"/>
          </w:tcPr>
          <w:p w14:paraId="3BC8151F" w14:textId="77777777" w:rsidR="001B3F48" w:rsidRPr="00726D70" w:rsidRDefault="001B3F48" w:rsidP="001B3F48">
            <w:pPr>
              <w:pStyle w:val="TableTitle"/>
              <w:rPr>
                <w:color w:val="000000"/>
                <w:lang w:val="en-CA"/>
              </w:rPr>
            </w:pPr>
            <w:r w:rsidRPr="00726D70">
              <w:rPr>
                <w:lang w:val="en-CA"/>
              </w:rPr>
              <w:t>Occupational group</w:t>
            </w:r>
          </w:p>
        </w:tc>
        <w:tc>
          <w:tcPr>
            <w:tcW w:w="1349" w:type="pct"/>
          </w:tcPr>
          <w:p w14:paraId="05DF2BCB" w14:textId="77777777" w:rsidR="001B3F48" w:rsidRPr="00726D70" w:rsidRDefault="001B3F48" w:rsidP="001B3F48">
            <w:pPr>
              <w:pStyle w:val="TableTitle"/>
              <w:rPr>
                <w:color w:val="000000"/>
                <w:lang w:val="en-CA"/>
              </w:rPr>
            </w:pPr>
            <w:r w:rsidRPr="00726D70">
              <w:rPr>
                <w:lang w:val="en-CA"/>
              </w:rPr>
              <w:t>Population as of March 31, 2019</w:t>
            </w:r>
          </w:p>
        </w:tc>
        <w:tc>
          <w:tcPr>
            <w:tcW w:w="1929" w:type="pct"/>
          </w:tcPr>
          <w:p w14:paraId="5D9FC2F1" w14:textId="77777777" w:rsidR="001B3F48" w:rsidRPr="00726D70" w:rsidRDefault="001B3F48" w:rsidP="001B3F48">
            <w:pPr>
              <w:pStyle w:val="TableTitle"/>
              <w:rPr>
                <w:lang w:val="en-CA"/>
              </w:rPr>
            </w:pPr>
            <w:r w:rsidRPr="00726D70">
              <w:rPr>
                <w:lang w:val="en-CA"/>
              </w:rPr>
              <w:t>Percentage of population as of March 31, 2019</w:t>
            </w:r>
          </w:p>
        </w:tc>
      </w:tr>
      <w:tr w:rsidR="001B3F48" w:rsidRPr="00726D70" w14:paraId="6EDC42C0" w14:textId="77777777" w:rsidTr="003F23FE">
        <w:trPr>
          <w:cantSplit/>
          <w:trHeight w:val="290"/>
          <w:tblHeader/>
          <w:jc w:val="center"/>
        </w:trPr>
        <w:tc>
          <w:tcPr>
            <w:tcW w:w="1722" w:type="pct"/>
          </w:tcPr>
          <w:p w14:paraId="748C0BBD" w14:textId="77777777" w:rsidR="001B3F48" w:rsidRPr="00726D70" w:rsidRDefault="001B3F48"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EC – Economics and Social Science Services</w:t>
            </w:r>
          </w:p>
        </w:tc>
        <w:tc>
          <w:tcPr>
            <w:tcW w:w="1349" w:type="pct"/>
          </w:tcPr>
          <w:p w14:paraId="3BAB377D"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224</w:t>
            </w:r>
          </w:p>
        </w:tc>
        <w:tc>
          <w:tcPr>
            <w:tcW w:w="1929" w:type="pct"/>
          </w:tcPr>
          <w:p w14:paraId="327C8A8E"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23%</w:t>
            </w:r>
          </w:p>
        </w:tc>
      </w:tr>
      <w:tr w:rsidR="001B3F48" w:rsidRPr="00726D70" w14:paraId="50070D41" w14:textId="77777777" w:rsidTr="003F23FE">
        <w:trPr>
          <w:cantSplit/>
          <w:trHeight w:val="290"/>
          <w:tblHeader/>
          <w:jc w:val="center"/>
        </w:trPr>
        <w:tc>
          <w:tcPr>
            <w:tcW w:w="1722" w:type="pct"/>
          </w:tcPr>
          <w:p w14:paraId="12F99F70" w14:textId="77777777" w:rsidR="001B3F48" w:rsidRPr="00726D70" w:rsidRDefault="001B3F48"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AS – Administrative Services</w:t>
            </w:r>
          </w:p>
        </w:tc>
        <w:tc>
          <w:tcPr>
            <w:tcW w:w="1349" w:type="pct"/>
          </w:tcPr>
          <w:p w14:paraId="0D663D85"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135</w:t>
            </w:r>
          </w:p>
        </w:tc>
        <w:tc>
          <w:tcPr>
            <w:tcW w:w="1929" w:type="pct"/>
          </w:tcPr>
          <w:p w14:paraId="2652C2C7"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14%</w:t>
            </w:r>
          </w:p>
        </w:tc>
      </w:tr>
      <w:tr w:rsidR="001B3F48" w:rsidRPr="00726D70" w14:paraId="432ACFF3" w14:textId="77777777" w:rsidTr="003F23FE">
        <w:trPr>
          <w:cantSplit/>
          <w:trHeight w:val="290"/>
          <w:tblHeader/>
          <w:jc w:val="center"/>
        </w:trPr>
        <w:tc>
          <w:tcPr>
            <w:tcW w:w="1722" w:type="pct"/>
          </w:tcPr>
          <w:p w14:paraId="399462F6" w14:textId="77777777" w:rsidR="001B3F48" w:rsidRPr="00726D70" w:rsidRDefault="001B3F48"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HR – Historical Research</w:t>
            </w:r>
          </w:p>
        </w:tc>
        <w:tc>
          <w:tcPr>
            <w:tcW w:w="1349" w:type="pct"/>
          </w:tcPr>
          <w:p w14:paraId="0CA543DF"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135</w:t>
            </w:r>
          </w:p>
        </w:tc>
        <w:tc>
          <w:tcPr>
            <w:tcW w:w="1929" w:type="pct"/>
          </w:tcPr>
          <w:p w14:paraId="3B2986F2"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14%</w:t>
            </w:r>
          </w:p>
        </w:tc>
      </w:tr>
      <w:tr w:rsidR="001B3F48" w:rsidRPr="00726D70" w14:paraId="120E6AEE" w14:textId="77777777" w:rsidTr="003F23FE">
        <w:trPr>
          <w:cantSplit/>
          <w:trHeight w:val="290"/>
          <w:tblHeader/>
          <w:jc w:val="center"/>
        </w:trPr>
        <w:tc>
          <w:tcPr>
            <w:tcW w:w="1722" w:type="pct"/>
          </w:tcPr>
          <w:p w14:paraId="5C78758B" w14:textId="77777777" w:rsidR="001B3F48" w:rsidRPr="00726D70" w:rsidRDefault="001B3F48"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CR – Clerical and Regulatory</w:t>
            </w:r>
          </w:p>
        </w:tc>
        <w:tc>
          <w:tcPr>
            <w:tcW w:w="1349" w:type="pct"/>
          </w:tcPr>
          <w:p w14:paraId="14422E4A"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106</w:t>
            </w:r>
          </w:p>
        </w:tc>
        <w:tc>
          <w:tcPr>
            <w:tcW w:w="1929" w:type="pct"/>
          </w:tcPr>
          <w:p w14:paraId="49F689B9"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11%</w:t>
            </w:r>
          </w:p>
        </w:tc>
      </w:tr>
      <w:tr w:rsidR="001B3F48" w:rsidRPr="00726D70" w14:paraId="514B057B" w14:textId="77777777" w:rsidTr="003F23FE">
        <w:trPr>
          <w:cantSplit/>
          <w:trHeight w:val="290"/>
          <w:tblHeader/>
          <w:jc w:val="center"/>
        </w:trPr>
        <w:tc>
          <w:tcPr>
            <w:tcW w:w="1722" w:type="pct"/>
          </w:tcPr>
          <w:p w14:paraId="4E28F571" w14:textId="77777777" w:rsidR="001B3F48" w:rsidRPr="00726D70" w:rsidRDefault="001B3F48"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CS – Computer Systems</w:t>
            </w:r>
          </w:p>
        </w:tc>
        <w:tc>
          <w:tcPr>
            <w:tcW w:w="1349" w:type="pct"/>
          </w:tcPr>
          <w:p w14:paraId="145CC6BF"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90</w:t>
            </w:r>
          </w:p>
        </w:tc>
        <w:tc>
          <w:tcPr>
            <w:tcW w:w="1929" w:type="pct"/>
          </w:tcPr>
          <w:p w14:paraId="464146EE"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w:t>
            </w:r>
          </w:p>
        </w:tc>
      </w:tr>
      <w:tr w:rsidR="001B3F48" w:rsidRPr="00726D70" w14:paraId="6EF87905" w14:textId="77777777" w:rsidTr="003F23FE">
        <w:trPr>
          <w:cantSplit/>
          <w:trHeight w:val="290"/>
          <w:tblHeader/>
          <w:jc w:val="center"/>
        </w:trPr>
        <w:tc>
          <w:tcPr>
            <w:tcW w:w="1722" w:type="pct"/>
          </w:tcPr>
          <w:p w14:paraId="461E2489" w14:textId="77777777" w:rsidR="001B3F48" w:rsidRPr="00726D70" w:rsidRDefault="001B3F48"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Other</w:t>
            </w:r>
          </w:p>
        </w:tc>
        <w:tc>
          <w:tcPr>
            <w:tcW w:w="1349" w:type="pct"/>
          </w:tcPr>
          <w:p w14:paraId="0D6C8858"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274</w:t>
            </w:r>
          </w:p>
        </w:tc>
        <w:tc>
          <w:tcPr>
            <w:tcW w:w="1929" w:type="pct"/>
          </w:tcPr>
          <w:p w14:paraId="17B75304" w14:textId="77777777" w:rsidR="001B3F48" w:rsidRPr="00726D70" w:rsidRDefault="001B3F48"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28%</w:t>
            </w:r>
          </w:p>
        </w:tc>
      </w:tr>
    </w:tbl>
    <w:p w14:paraId="3A2404E8" w14:textId="662AB3E7" w:rsidR="003F23FE" w:rsidRPr="00726D70" w:rsidRDefault="003F23FE" w:rsidP="003F23FE">
      <w:pPr>
        <w:pStyle w:val="Titre1"/>
        <w:spacing w:before="120" w:after="120"/>
        <w:rPr>
          <w:sz w:val="40"/>
          <w:lang w:val="en-CA"/>
        </w:rPr>
      </w:pPr>
      <w:r w:rsidRPr="00726D70">
        <w:rPr>
          <w:sz w:val="40"/>
          <w:lang w:val="en-CA"/>
        </w:rPr>
        <w:lastRenderedPageBreak/>
        <w:t>Population by region as of March 31, 2019</w:t>
      </w:r>
    </w:p>
    <w:p w14:paraId="457340F1" w14:textId="77777777" w:rsidR="000D6C85" w:rsidRPr="00726D70" w:rsidRDefault="001B3F48" w:rsidP="000D6C85">
      <w:pPr>
        <w:keepNext/>
        <w:tabs>
          <w:tab w:val="left" w:pos="7839"/>
        </w:tabs>
        <w:jc w:val="center"/>
        <w:rPr>
          <w:lang w:val="en-CA"/>
        </w:rPr>
      </w:pPr>
      <w:r w:rsidRPr="00726D70">
        <w:rPr>
          <w:rStyle w:val="lev"/>
          <w:noProof/>
          <w:lang w:val="en-CA" w:eastAsia="en-CA"/>
        </w:rPr>
        <w:drawing>
          <wp:inline distT="0" distB="0" distL="0" distR="0" wp14:anchorId="42FA809D" wp14:editId="4A3372DC">
            <wp:extent cx="1980000" cy="3020400"/>
            <wp:effectExtent l="0" t="0" r="1270" b="8890"/>
            <wp:docPr id="12" name="Chart 12" descr="Population by region as of March 31,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AC0AEA" w14:textId="6C1D5676" w:rsidR="000D6C85" w:rsidRPr="00726D70" w:rsidRDefault="000D6C85" w:rsidP="000D6C85">
      <w:pPr>
        <w:pStyle w:val="Lgende"/>
        <w:spacing w:after="240"/>
        <w:jc w:val="center"/>
        <w:rPr>
          <w:noProof/>
          <w:lang w:val="en-CA" w:eastAsia="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4</w:t>
      </w:r>
      <w:r w:rsidRPr="00726D70">
        <w:rPr>
          <w:lang w:val="en-CA"/>
        </w:rPr>
        <w:fldChar w:fldCharType="end"/>
      </w:r>
      <w:r w:rsidRPr="00726D70">
        <w:rPr>
          <w:lang w:val="en-CA"/>
        </w:rPr>
        <w:t xml:space="preserve"> - Population by region as of March 31, 2019</w:t>
      </w:r>
    </w:p>
    <w:p w14:paraId="30F4C123" w14:textId="613FDFDE" w:rsidR="000D6C85" w:rsidRPr="00726D70" w:rsidRDefault="000D6C85" w:rsidP="000D6C85">
      <w:pPr>
        <w:pStyle w:val="Lgende"/>
        <w:keepNext/>
        <w:jc w:val="center"/>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7</w:t>
      </w:r>
      <w:r w:rsidRPr="00726D70">
        <w:rPr>
          <w:lang w:val="en-CA"/>
        </w:rPr>
        <w:fldChar w:fldCharType="end"/>
      </w:r>
      <w:r w:rsidRPr="00726D70">
        <w:rPr>
          <w:lang w:val="en-CA"/>
        </w:rPr>
        <w:t xml:space="preserve"> - Distribution by region, as a percentage of the Public Service Employment Act population for fiscal year 2018 to 2019</w:t>
      </w:r>
    </w:p>
    <w:tbl>
      <w:tblPr>
        <w:tblStyle w:val="Grilledutableau"/>
        <w:tblW w:w="5000" w:type="pct"/>
        <w:jc w:val="center"/>
        <w:tblLook w:val="0000" w:firstRow="0" w:lastRow="0" w:firstColumn="0" w:lastColumn="0" w:noHBand="0" w:noVBand="0"/>
        <w:tblDescription w:val="Population by region as of March 31, 2019"/>
      </w:tblPr>
      <w:tblGrid>
        <w:gridCol w:w="3713"/>
        <w:gridCol w:w="4098"/>
        <w:gridCol w:w="5859"/>
      </w:tblGrid>
      <w:tr w:rsidR="000D6C85" w:rsidRPr="00726D70" w14:paraId="028D226E" w14:textId="77777777" w:rsidTr="003F23FE">
        <w:trPr>
          <w:cantSplit/>
          <w:trHeight w:val="290"/>
          <w:tblHeader/>
          <w:jc w:val="center"/>
        </w:trPr>
        <w:tc>
          <w:tcPr>
            <w:tcW w:w="1358" w:type="pct"/>
          </w:tcPr>
          <w:p w14:paraId="6D2B5E64" w14:textId="77777777" w:rsidR="000D6C85" w:rsidRPr="00726D70" w:rsidRDefault="000D6C85" w:rsidP="000D6C85">
            <w:pPr>
              <w:pStyle w:val="TableTitle"/>
              <w:rPr>
                <w:lang w:val="en-CA"/>
              </w:rPr>
            </w:pPr>
            <w:r w:rsidRPr="00726D70">
              <w:rPr>
                <w:lang w:val="en-CA"/>
              </w:rPr>
              <w:t>Region</w:t>
            </w:r>
          </w:p>
        </w:tc>
        <w:tc>
          <w:tcPr>
            <w:tcW w:w="1499" w:type="pct"/>
          </w:tcPr>
          <w:p w14:paraId="33D119B1" w14:textId="77777777" w:rsidR="000D6C85" w:rsidRPr="00726D70" w:rsidRDefault="000D6C85" w:rsidP="000D6C85">
            <w:pPr>
              <w:pStyle w:val="TableTitle"/>
              <w:rPr>
                <w:lang w:val="en-CA"/>
              </w:rPr>
            </w:pPr>
            <w:r w:rsidRPr="00726D70">
              <w:rPr>
                <w:lang w:val="en-CA"/>
              </w:rPr>
              <w:t>Population as of March 31, 2019</w:t>
            </w:r>
          </w:p>
        </w:tc>
        <w:tc>
          <w:tcPr>
            <w:tcW w:w="2143" w:type="pct"/>
          </w:tcPr>
          <w:p w14:paraId="77D35C69" w14:textId="77777777" w:rsidR="000D6C85" w:rsidRPr="00726D70" w:rsidRDefault="000D6C85" w:rsidP="000D6C85">
            <w:pPr>
              <w:pStyle w:val="TableTitle"/>
              <w:rPr>
                <w:lang w:val="en-CA"/>
              </w:rPr>
            </w:pPr>
            <w:r w:rsidRPr="00726D70">
              <w:rPr>
                <w:lang w:val="en-CA"/>
              </w:rPr>
              <w:t>Percentage of population as of March 31, 2019</w:t>
            </w:r>
          </w:p>
        </w:tc>
      </w:tr>
      <w:tr w:rsidR="000D6C85" w:rsidRPr="00726D70" w14:paraId="0840F061" w14:textId="77777777" w:rsidTr="003F23FE">
        <w:trPr>
          <w:cantSplit/>
          <w:trHeight w:val="290"/>
          <w:tblHeader/>
          <w:jc w:val="center"/>
        </w:trPr>
        <w:tc>
          <w:tcPr>
            <w:tcW w:w="1358" w:type="pct"/>
          </w:tcPr>
          <w:p w14:paraId="7B6E9A38" w14:textId="77777777" w:rsidR="000D6C85" w:rsidRPr="00726D70" w:rsidRDefault="000D6C85"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National Capital Region (NCR)</w:t>
            </w:r>
          </w:p>
        </w:tc>
        <w:tc>
          <w:tcPr>
            <w:tcW w:w="1499" w:type="pct"/>
          </w:tcPr>
          <w:p w14:paraId="5D1F4264"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942</w:t>
            </w:r>
          </w:p>
        </w:tc>
        <w:tc>
          <w:tcPr>
            <w:tcW w:w="2143" w:type="pct"/>
          </w:tcPr>
          <w:p w14:paraId="1342E467"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96%</w:t>
            </w:r>
          </w:p>
        </w:tc>
      </w:tr>
      <w:tr w:rsidR="000D6C85" w:rsidRPr="00726D70" w14:paraId="072AD1A2" w14:textId="77777777" w:rsidTr="003F23FE">
        <w:trPr>
          <w:cantSplit/>
          <w:trHeight w:val="290"/>
          <w:tblHeader/>
          <w:jc w:val="center"/>
        </w:trPr>
        <w:tc>
          <w:tcPr>
            <w:tcW w:w="1358" w:type="pct"/>
          </w:tcPr>
          <w:p w14:paraId="3E526C1D" w14:textId="77777777" w:rsidR="000D6C85" w:rsidRPr="00726D70" w:rsidRDefault="000D6C85"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Non-NCR</w:t>
            </w:r>
          </w:p>
        </w:tc>
        <w:tc>
          <w:tcPr>
            <w:tcW w:w="1499" w:type="pct"/>
          </w:tcPr>
          <w:p w14:paraId="7B0A7B2F"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43</w:t>
            </w:r>
          </w:p>
        </w:tc>
        <w:tc>
          <w:tcPr>
            <w:tcW w:w="2143" w:type="pct"/>
          </w:tcPr>
          <w:p w14:paraId="5C24B46E"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w:t>
            </w:r>
          </w:p>
        </w:tc>
      </w:tr>
      <w:tr w:rsidR="000D6C85" w:rsidRPr="00726D70" w14:paraId="3EE30167" w14:textId="77777777" w:rsidTr="003F23FE">
        <w:trPr>
          <w:cantSplit/>
          <w:trHeight w:val="290"/>
          <w:tblHeader/>
          <w:jc w:val="center"/>
        </w:trPr>
        <w:tc>
          <w:tcPr>
            <w:tcW w:w="1358" w:type="pct"/>
          </w:tcPr>
          <w:p w14:paraId="10B8D606" w14:textId="77777777" w:rsidR="000D6C85" w:rsidRPr="00726D70" w:rsidRDefault="000D6C85"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Unknown</w:t>
            </w:r>
          </w:p>
        </w:tc>
        <w:tc>
          <w:tcPr>
            <w:tcW w:w="1499" w:type="pct"/>
          </w:tcPr>
          <w:p w14:paraId="1DF75110"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w:t>
            </w:r>
          </w:p>
        </w:tc>
        <w:tc>
          <w:tcPr>
            <w:tcW w:w="2143" w:type="pct"/>
          </w:tcPr>
          <w:p w14:paraId="33EDA516" w14:textId="018EF9DA" w:rsidR="000D6C85" w:rsidRPr="00726D70" w:rsidRDefault="003979EE" w:rsidP="00A367FE">
            <w:pPr>
              <w:autoSpaceDE w:val="0"/>
              <w:autoSpaceDN w:val="0"/>
              <w:adjustRightInd w:val="0"/>
              <w:jc w:val="center"/>
              <w:rPr>
                <w:rFonts w:asciiTheme="minorHAnsi" w:hAnsiTheme="minorHAnsi" w:cstheme="minorHAnsi"/>
                <w:color w:val="000000"/>
                <w:sz w:val="22"/>
                <w:szCs w:val="22"/>
                <w:lang w:val="en-CA"/>
              </w:rPr>
            </w:pPr>
            <w:r>
              <w:rPr>
                <w:rFonts w:asciiTheme="minorHAnsi" w:hAnsiTheme="minorHAnsi" w:cstheme="minorHAnsi"/>
                <w:color w:val="000000"/>
                <w:sz w:val="22"/>
                <w:szCs w:val="22"/>
                <w:lang w:val="en-CA"/>
              </w:rPr>
              <w:t>0%</w:t>
            </w:r>
          </w:p>
        </w:tc>
      </w:tr>
    </w:tbl>
    <w:p w14:paraId="52F61C2E" w14:textId="71652E51" w:rsidR="003F23FE" w:rsidRPr="00726D70" w:rsidRDefault="003F23FE" w:rsidP="003F23FE">
      <w:pPr>
        <w:pStyle w:val="Titre1"/>
        <w:spacing w:before="120" w:after="120"/>
        <w:rPr>
          <w:sz w:val="40"/>
          <w:lang w:val="en-CA"/>
        </w:rPr>
      </w:pPr>
      <w:r w:rsidRPr="00726D70">
        <w:rPr>
          <w:rFonts w:eastAsia="Times New Roman"/>
          <w:sz w:val="40"/>
          <w:lang w:val="en-CA"/>
        </w:rPr>
        <w:lastRenderedPageBreak/>
        <w:t>External indeterminate hires by occupational group, 2018-19</w:t>
      </w:r>
    </w:p>
    <w:p w14:paraId="2C6B992A" w14:textId="77777777" w:rsidR="000D6C85" w:rsidRPr="00726D70" w:rsidRDefault="001B3F48" w:rsidP="000D6C85">
      <w:pPr>
        <w:keepNext/>
        <w:tabs>
          <w:tab w:val="left" w:pos="7839"/>
        </w:tabs>
        <w:jc w:val="center"/>
        <w:rPr>
          <w:lang w:val="en-CA"/>
        </w:rPr>
      </w:pPr>
      <w:r w:rsidRPr="00726D70">
        <w:rPr>
          <w:rStyle w:val="lev"/>
          <w:noProof/>
          <w:lang w:val="en-CA" w:eastAsia="en-CA"/>
        </w:rPr>
        <w:drawing>
          <wp:inline distT="0" distB="0" distL="0" distR="0" wp14:anchorId="6DCD064F" wp14:editId="5618B48D">
            <wp:extent cx="1980000" cy="3020400"/>
            <wp:effectExtent l="0" t="0" r="1270" b="8890"/>
            <wp:docPr id="7" name="Chart 7" descr="External indeterminate hires by &#10;occupational group, 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24B4FA" w14:textId="735C60F6" w:rsidR="000D6C85" w:rsidRPr="00726D70" w:rsidRDefault="000D6C85" w:rsidP="000D6C85">
      <w:pPr>
        <w:pStyle w:val="Lgende"/>
        <w:spacing w:after="240"/>
        <w:jc w:val="center"/>
        <w:rPr>
          <w:lang w:val="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5</w:t>
      </w:r>
      <w:r w:rsidRPr="00726D70">
        <w:rPr>
          <w:lang w:val="en-CA"/>
        </w:rPr>
        <w:fldChar w:fldCharType="end"/>
      </w:r>
      <w:r w:rsidRPr="00726D70">
        <w:rPr>
          <w:lang w:val="en-CA"/>
        </w:rPr>
        <w:t xml:space="preserve"> - External indeterminate hires by occupational group 2018-19</w:t>
      </w:r>
    </w:p>
    <w:p w14:paraId="4F52B162" w14:textId="119E2E7E" w:rsidR="000D6C85" w:rsidRPr="00726D70" w:rsidRDefault="000D6C85" w:rsidP="000D6C85">
      <w:pPr>
        <w:pStyle w:val="Lgende"/>
        <w:keepNext/>
        <w:jc w:val="center"/>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8</w:t>
      </w:r>
      <w:r w:rsidRPr="00726D70">
        <w:rPr>
          <w:lang w:val="en-CA"/>
        </w:rPr>
        <w:fldChar w:fldCharType="end"/>
      </w:r>
      <w:r w:rsidRPr="00726D70">
        <w:rPr>
          <w:lang w:val="en-CA"/>
        </w:rPr>
        <w:t xml:space="preserve"> - External indeterminate hires by top occupational groups, for fiscal year 2018 to 2019</w:t>
      </w:r>
    </w:p>
    <w:tbl>
      <w:tblPr>
        <w:tblStyle w:val="Grilledutableau"/>
        <w:tblW w:w="5000" w:type="pct"/>
        <w:jc w:val="center"/>
        <w:tblLook w:val="0000" w:firstRow="0" w:lastRow="0" w:firstColumn="0" w:lastColumn="0" w:noHBand="0" w:noVBand="0"/>
        <w:tblDescription w:val="External indeterminate hires by occupational groups, 2018-19"/>
      </w:tblPr>
      <w:tblGrid>
        <w:gridCol w:w="3245"/>
        <w:gridCol w:w="4883"/>
        <w:gridCol w:w="5542"/>
      </w:tblGrid>
      <w:tr w:rsidR="000D6C85" w:rsidRPr="00726D70" w14:paraId="3E149D7B" w14:textId="77777777" w:rsidTr="003F23FE">
        <w:trPr>
          <w:cantSplit/>
          <w:trHeight w:val="290"/>
          <w:tblHeader/>
          <w:jc w:val="center"/>
        </w:trPr>
        <w:tc>
          <w:tcPr>
            <w:tcW w:w="1187" w:type="pct"/>
          </w:tcPr>
          <w:p w14:paraId="3D3FA3E0" w14:textId="77777777" w:rsidR="000D6C85" w:rsidRPr="00726D70" w:rsidRDefault="000D6C85" w:rsidP="000D6C85">
            <w:pPr>
              <w:pStyle w:val="TableTitle"/>
              <w:rPr>
                <w:color w:val="000000"/>
                <w:lang w:val="en-CA"/>
              </w:rPr>
            </w:pPr>
            <w:r w:rsidRPr="00726D70">
              <w:rPr>
                <w:lang w:val="en-CA"/>
              </w:rPr>
              <w:t>Occupational group</w:t>
            </w:r>
          </w:p>
        </w:tc>
        <w:tc>
          <w:tcPr>
            <w:tcW w:w="1786" w:type="pct"/>
          </w:tcPr>
          <w:p w14:paraId="4D7EA609" w14:textId="77777777" w:rsidR="000D6C85" w:rsidRPr="00726D70" w:rsidRDefault="000D6C85" w:rsidP="000D6C85">
            <w:pPr>
              <w:pStyle w:val="TableTitle"/>
              <w:rPr>
                <w:color w:val="000000"/>
                <w:lang w:val="en-CA"/>
              </w:rPr>
            </w:pPr>
            <w:r w:rsidRPr="00726D70">
              <w:rPr>
                <w:color w:val="000000"/>
                <w:lang w:val="en-CA"/>
              </w:rPr>
              <w:t xml:space="preserve">Number of indeterminate hiring activities </w:t>
            </w:r>
          </w:p>
        </w:tc>
        <w:tc>
          <w:tcPr>
            <w:tcW w:w="2027" w:type="pct"/>
          </w:tcPr>
          <w:p w14:paraId="0EB4830F" w14:textId="77777777" w:rsidR="000D6C85" w:rsidRPr="00726D70" w:rsidRDefault="000D6C85" w:rsidP="000D6C85">
            <w:pPr>
              <w:pStyle w:val="TableTitle"/>
              <w:rPr>
                <w:color w:val="000000"/>
                <w:lang w:val="en-CA"/>
              </w:rPr>
            </w:pPr>
            <w:r w:rsidRPr="00726D70">
              <w:rPr>
                <w:color w:val="000000"/>
                <w:lang w:val="en-CA"/>
              </w:rPr>
              <w:t>Percentage of all indeterminate hiring activities</w:t>
            </w:r>
          </w:p>
        </w:tc>
      </w:tr>
      <w:tr w:rsidR="000D6C85" w:rsidRPr="00726D70" w14:paraId="40B2D77F" w14:textId="77777777" w:rsidTr="003F23FE">
        <w:trPr>
          <w:cantSplit/>
          <w:trHeight w:val="290"/>
          <w:tblHeader/>
          <w:jc w:val="center"/>
        </w:trPr>
        <w:tc>
          <w:tcPr>
            <w:tcW w:w="1187" w:type="pct"/>
          </w:tcPr>
          <w:p w14:paraId="37EA5904" w14:textId="77777777" w:rsidR="000D6C85" w:rsidRPr="00726D70" w:rsidRDefault="000D6C85" w:rsidP="00A367FE">
            <w:pPr>
              <w:autoSpaceDE w:val="0"/>
              <w:autoSpaceDN w:val="0"/>
              <w:adjustRightInd w:val="0"/>
              <w:rPr>
                <w:rFonts w:asciiTheme="minorHAnsi" w:hAnsiTheme="minorHAnsi" w:cstheme="minorHAnsi"/>
                <w:color w:val="000000"/>
                <w:sz w:val="22"/>
                <w:szCs w:val="22"/>
                <w:highlight w:val="yellow"/>
                <w:lang w:val="en-CA"/>
              </w:rPr>
            </w:pPr>
            <w:r w:rsidRPr="00726D70">
              <w:rPr>
                <w:rFonts w:asciiTheme="minorHAnsi" w:hAnsiTheme="minorHAnsi" w:cstheme="minorHAnsi"/>
                <w:color w:val="000000"/>
                <w:sz w:val="22"/>
                <w:szCs w:val="22"/>
                <w:lang w:val="en-CA"/>
              </w:rPr>
              <w:t>CS – Computer Systems</w:t>
            </w:r>
          </w:p>
        </w:tc>
        <w:tc>
          <w:tcPr>
            <w:tcW w:w="1786" w:type="pct"/>
          </w:tcPr>
          <w:p w14:paraId="3465C66C"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w:t>
            </w:r>
          </w:p>
        </w:tc>
        <w:tc>
          <w:tcPr>
            <w:tcW w:w="2027" w:type="pct"/>
          </w:tcPr>
          <w:p w14:paraId="3F79DA27"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23%</w:t>
            </w:r>
          </w:p>
        </w:tc>
      </w:tr>
      <w:tr w:rsidR="000D6C85" w:rsidRPr="00726D70" w14:paraId="4A70C3C8" w14:textId="77777777" w:rsidTr="003F23FE">
        <w:trPr>
          <w:cantSplit/>
          <w:trHeight w:val="290"/>
          <w:tblHeader/>
          <w:jc w:val="center"/>
        </w:trPr>
        <w:tc>
          <w:tcPr>
            <w:tcW w:w="1187" w:type="pct"/>
          </w:tcPr>
          <w:p w14:paraId="2801E7FF" w14:textId="77777777" w:rsidR="000D6C85" w:rsidRPr="00726D70" w:rsidRDefault="000D6C85"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CR – Clerical and Regulatory</w:t>
            </w:r>
          </w:p>
        </w:tc>
        <w:tc>
          <w:tcPr>
            <w:tcW w:w="1786" w:type="pct"/>
          </w:tcPr>
          <w:p w14:paraId="6C2DF8B3"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w:t>
            </w:r>
          </w:p>
        </w:tc>
        <w:tc>
          <w:tcPr>
            <w:tcW w:w="2027" w:type="pct"/>
          </w:tcPr>
          <w:p w14:paraId="3AAAEDC7"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19%</w:t>
            </w:r>
          </w:p>
        </w:tc>
      </w:tr>
      <w:tr w:rsidR="000D6C85" w:rsidRPr="00726D70" w14:paraId="33A6C8D1" w14:textId="77777777" w:rsidTr="003F23FE">
        <w:trPr>
          <w:cantSplit/>
          <w:trHeight w:val="290"/>
          <w:tblHeader/>
          <w:jc w:val="center"/>
        </w:trPr>
        <w:tc>
          <w:tcPr>
            <w:tcW w:w="1187" w:type="pct"/>
          </w:tcPr>
          <w:p w14:paraId="6313BD59" w14:textId="77777777" w:rsidR="000D6C85" w:rsidRPr="00726D70" w:rsidRDefault="000D6C85"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AS – Administrative Services</w:t>
            </w:r>
          </w:p>
        </w:tc>
        <w:tc>
          <w:tcPr>
            <w:tcW w:w="1786" w:type="pct"/>
          </w:tcPr>
          <w:p w14:paraId="0753FC8A"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w:t>
            </w:r>
          </w:p>
        </w:tc>
        <w:tc>
          <w:tcPr>
            <w:tcW w:w="2027" w:type="pct"/>
          </w:tcPr>
          <w:p w14:paraId="3C0C019D"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15%</w:t>
            </w:r>
          </w:p>
        </w:tc>
      </w:tr>
      <w:tr w:rsidR="000D6C85" w:rsidRPr="00726D70" w14:paraId="55954698" w14:textId="77777777" w:rsidTr="003F23FE">
        <w:trPr>
          <w:cantSplit/>
          <w:trHeight w:val="290"/>
          <w:tblHeader/>
          <w:jc w:val="center"/>
        </w:trPr>
        <w:tc>
          <w:tcPr>
            <w:tcW w:w="1187" w:type="pct"/>
          </w:tcPr>
          <w:p w14:paraId="2072B92B" w14:textId="77777777" w:rsidR="000D6C85" w:rsidRPr="00726D70" w:rsidRDefault="000D6C85"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HR – Historical Research</w:t>
            </w:r>
          </w:p>
        </w:tc>
        <w:tc>
          <w:tcPr>
            <w:tcW w:w="1786" w:type="pct"/>
          </w:tcPr>
          <w:p w14:paraId="6C3665C9"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w:t>
            </w:r>
          </w:p>
        </w:tc>
        <w:tc>
          <w:tcPr>
            <w:tcW w:w="2027" w:type="pct"/>
          </w:tcPr>
          <w:p w14:paraId="7DEBAE93"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15%</w:t>
            </w:r>
          </w:p>
        </w:tc>
      </w:tr>
      <w:tr w:rsidR="000D6C85" w:rsidRPr="00726D70" w14:paraId="32863BB9" w14:textId="77777777" w:rsidTr="003F23FE">
        <w:trPr>
          <w:cantSplit/>
          <w:trHeight w:val="290"/>
          <w:tblHeader/>
          <w:jc w:val="center"/>
        </w:trPr>
        <w:tc>
          <w:tcPr>
            <w:tcW w:w="1187" w:type="pct"/>
          </w:tcPr>
          <w:p w14:paraId="5AC22589" w14:textId="77777777" w:rsidR="000D6C85" w:rsidRPr="00726D70" w:rsidRDefault="000D6C85"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Other</w:t>
            </w:r>
          </w:p>
        </w:tc>
        <w:tc>
          <w:tcPr>
            <w:tcW w:w="1786" w:type="pct"/>
          </w:tcPr>
          <w:p w14:paraId="6526DD52"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w:t>
            </w:r>
          </w:p>
        </w:tc>
        <w:tc>
          <w:tcPr>
            <w:tcW w:w="2027" w:type="pct"/>
          </w:tcPr>
          <w:p w14:paraId="1F0589DA"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27%</w:t>
            </w:r>
          </w:p>
        </w:tc>
      </w:tr>
      <w:tr w:rsidR="000D6C85" w:rsidRPr="00726D70" w14:paraId="135FAF92" w14:textId="77777777" w:rsidTr="003F23FE">
        <w:trPr>
          <w:cantSplit/>
          <w:trHeight w:val="290"/>
          <w:tblHeader/>
          <w:jc w:val="center"/>
        </w:trPr>
        <w:tc>
          <w:tcPr>
            <w:tcW w:w="1187" w:type="pct"/>
          </w:tcPr>
          <w:p w14:paraId="62AE05A4" w14:textId="77777777" w:rsidR="000D6C85" w:rsidRPr="00726D70" w:rsidRDefault="000D6C85"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Total</w:t>
            </w:r>
          </w:p>
        </w:tc>
        <w:tc>
          <w:tcPr>
            <w:tcW w:w="1786" w:type="pct"/>
          </w:tcPr>
          <w:p w14:paraId="491B51D3"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26</w:t>
            </w:r>
          </w:p>
        </w:tc>
        <w:tc>
          <w:tcPr>
            <w:tcW w:w="2027" w:type="pct"/>
          </w:tcPr>
          <w:p w14:paraId="381EDF0C" w14:textId="77777777" w:rsidR="000D6C85" w:rsidRPr="00726D70" w:rsidRDefault="000D6C85"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100%</w:t>
            </w:r>
          </w:p>
        </w:tc>
      </w:tr>
    </w:tbl>
    <w:p w14:paraId="508A007C" w14:textId="77777777" w:rsidR="003F23FE" w:rsidRPr="00726D70" w:rsidRDefault="003F23FE" w:rsidP="003F23FE">
      <w:pPr>
        <w:pStyle w:val="Titre1"/>
        <w:spacing w:before="120" w:after="120"/>
        <w:rPr>
          <w:sz w:val="40"/>
          <w:lang w:val="en-CA"/>
        </w:rPr>
      </w:pPr>
      <w:r w:rsidRPr="00726D70">
        <w:rPr>
          <w:rFonts w:eastAsia="Times New Roman"/>
          <w:sz w:val="40"/>
          <w:lang w:val="en-CA"/>
        </w:rPr>
        <w:lastRenderedPageBreak/>
        <w:t>Staffing by region</w:t>
      </w:r>
    </w:p>
    <w:p w14:paraId="5ED200CA" w14:textId="77777777" w:rsidR="006B5291" w:rsidRPr="00726D70" w:rsidRDefault="007F3B3C" w:rsidP="006B5291">
      <w:pPr>
        <w:keepNext/>
        <w:tabs>
          <w:tab w:val="left" w:pos="7839"/>
        </w:tabs>
        <w:jc w:val="center"/>
        <w:rPr>
          <w:lang w:val="en-CA"/>
        </w:rPr>
      </w:pPr>
      <w:r w:rsidRPr="00726D70">
        <w:rPr>
          <w:rStyle w:val="lev"/>
          <w:noProof/>
          <w:lang w:val="en-CA" w:eastAsia="en-CA"/>
        </w:rPr>
        <w:drawing>
          <wp:inline distT="0" distB="0" distL="0" distR="0" wp14:anchorId="6B54B1E3" wp14:editId="0C23901C">
            <wp:extent cx="5648400" cy="3049200"/>
            <wp:effectExtent l="0" t="0" r="9525" b="18415"/>
            <wp:docPr id="6" name="Chart 6" descr="Staffing by re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F00B4D" w14:textId="13C9D2AD" w:rsidR="006B5291" w:rsidRPr="00726D70" w:rsidRDefault="006B5291" w:rsidP="006B5291">
      <w:pPr>
        <w:pStyle w:val="Lgende"/>
        <w:spacing w:after="240"/>
        <w:jc w:val="center"/>
        <w:rPr>
          <w:lang w:val="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6</w:t>
      </w:r>
      <w:r w:rsidRPr="00726D70">
        <w:rPr>
          <w:lang w:val="en-CA"/>
        </w:rPr>
        <w:fldChar w:fldCharType="end"/>
      </w:r>
      <w:r w:rsidRPr="00726D70">
        <w:rPr>
          <w:lang w:val="en-CA"/>
        </w:rPr>
        <w:t xml:space="preserve"> - Staffing by region</w:t>
      </w:r>
    </w:p>
    <w:p w14:paraId="541766B7" w14:textId="04BD2F3B" w:rsidR="006B5291" w:rsidRPr="00726D70" w:rsidRDefault="006B5291" w:rsidP="006B5291">
      <w:pPr>
        <w:pStyle w:val="Lgende"/>
        <w:keepNext/>
        <w:jc w:val="center"/>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9</w:t>
      </w:r>
      <w:r w:rsidRPr="00726D70">
        <w:rPr>
          <w:lang w:val="en-CA"/>
        </w:rPr>
        <w:fldChar w:fldCharType="end"/>
      </w:r>
      <w:r w:rsidRPr="00726D70">
        <w:rPr>
          <w:lang w:val="en-CA"/>
        </w:rPr>
        <w:t xml:space="preserve"> - Percentage of staffing activities in the National Capital Region compared with all other regions by fiscal year</w:t>
      </w:r>
    </w:p>
    <w:tbl>
      <w:tblPr>
        <w:tblStyle w:val="Grilledutableau"/>
        <w:tblW w:w="5000" w:type="pct"/>
        <w:jc w:val="center"/>
        <w:tblLook w:val="0000" w:firstRow="0" w:lastRow="0" w:firstColumn="0" w:lastColumn="0" w:noHBand="0" w:noVBand="0"/>
        <w:tblDescription w:val="Staffing by region from 2014 to 2019"/>
      </w:tblPr>
      <w:tblGrid>
        <w:gridCol w:w="2080"/>
        <w:gridCol w:w="6480"/>
        <w:gridCol w:w="5110"/>
      </w:tblGrid>
      <w:tr w:rsidR="006B5291" w:rsidRPr="00726D70" w14:paraId="112AC460" w14:textId="77777777" w:rsidTr="0012105C">
        <w:trPr>
          <w:cantSplit/>
          <w:trHeight w:val="290"/>
          <w:tblHeader/>
          <w:jc w:val="center"/>
        </w:trPr>
        <w:tc>
          <w:tcPr>
            <w:tcW w:w="761" w:type="pct"/>
          </w:tcPr>
          <w:p w14:paraId="3AEE5AF2" w14:textId="77777777" w:rsidR="006B5291" w:rsidRPr="00726D70" w:rsidRDefault="006B5291" w:rsidP="006B5291">
            <w:pPr>
              <w:pStyle w:val="TableTitle"/>
              <w:rPr>
                <w:lang w:val="en-CA"/>
              </w:rPr>
            </w:pPr>
            <w:r w:rsidRPr="00726D70">
              <w:rPr>
                <w:lang w:val="en-CA"/>
              </w:rPr>
              <w:t>Fiscal year</w:t>
            </w:r>
          </w:p>
        </w:tc>
        <w:tc>
          <w:tcPr>
            <w:tcW w:w="2370" w:type="pct"/>
          </w:tcPr>
          <w:p w14:paraId="6523C4D0" w14:textId="77777777" w:rsidR="006B5291" w:rsidRPr="00726D70" w:rsidRDefault="006B5291" w:rsidP="006B5291">
            <w:pPr>
              <w:pStyle w:val="TableTitle"/>
              <w:rPr>
                <w:lang w:val="en-CA"/>
              </w:rPr>
            </w:pPr>
            <w:r w:rsidRPr="00726D70">
              <w:rPr>
                <w:lang w:val="en-CA"/>
              </w:rPr>
              <w:t>Percentage of staffing activities in the National Capital Region (NCR)</w:t>
            </w:r>
          </w:p>
        </w:tc>
        <w:tc>
          <w:tcPr>
            <w:tcW w:w="1869" w:type="pct"/>
          </w:tcPr>
          <w:p w14:paraId="284243AB" w14:textId="77777777" w:rsidR="006B5291" w:rsidRPr="00726D70" w:rsidRDefault="006B5291" w:rsidP="006B5291">
            <w:pPr>
              <w:pStyle w:val="TableTitle"/>
              <w:rPr>
                <w:lang w:val="en-CA"/>
              </w:rPr>
            </w:pPr>
            <w:r w:rsidRPr="00726D70">
              <w:rPr>
                <w:lang w:val="en-CA"/>
              </w:rPr>
              <w:t>Percentage of staffing activities in all other regions (Non-NCR)</w:t>
            </w:r>
          </w:p>
        </w:tc>
      </w:tr>
      <w:tr w:rsidR="006B5291" w:rsidRPr="00726D70" w14:paraId="2E8E8B8B" w14:textId="77777777" w:rsidTr="0012105C">
        <w:trPr>
          <w:cantSplit/>
          <w:trHeight w:val="290"/>
          <w:tblHeader/>
          <w:jc w:val="center"/>
        </w:trPr>
        <w:tc>
          <w:tcPr>
            <w:tcW w:w="761" w:type="pct"/>
          </w:tcPr>
          <w:p w14:paraId="30BC54C4" w14:textId="77777777" w:rsidR="006B5291" w:rsidRPr="00726D70" w:rsidRDefault="006B529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2014 to 2015</w:t>
            </w:r>
          </w:p>
        </w:tc>
        <w:tc>
          <w:tcPr>
            <w:tcW w:w="2370" w:type="pct"/>
          </w:tcPr>
          <w:p w14:paraId="440CBE64"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93%</w:t>
            </w:r>
          </w:p>
        </w:tc>
        <w:tc>
          <w:tcPr>
            <w:tcW w:w="1869" w:type="pct"/>
          </w:tcPr>
          <w:p w14:paraId="37F0DE57"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w:t>
            </w:r>
          </w:p>
        </w:tc>
      </w:tr>
      <w:tr w:rsidR="006B5291" w:rsidRPr="00726D70" w14:paraId="4CD6F119" w14:textId="77777777" w:rsidTr="0012105C">
        <w:trPr>
          <w:cantSplit/>
          <w:trHeight w:val="290"/>
          <w:tblHeader/>
          <w:jc w:val="center"/>
        </w:trPr>
        <w:tc>
          <w:tcPr>
            <w:tcW w:w="761" w:type="pct"/>
          </w:tcPr>
          <w:p w14:paraId="2D8C2877" w14:textId="77777777" w:rsidR="006B5291" w:rsidRPr="00726D70" w:rsidRDefault="006B529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2015 to 2016</w:t>
            </w:r>
          </w:p>
        </w:tc>
        <w:tc>
          <w:tcPr>
            <w:tcW w:w="2370" w:type="pct"/>
          </w:tcPr>
          <w:p w14:paraId="74F93651"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93%</w:t>
            </w:r>
          </w:p>
        </w:tc>
        <w:tc>
          <w:tcPr>
            <w:tcW w:w="1869" w:type="pct"/>
          </w:tcPr>
          <w:p w14:paraId="17A5C082"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w:t>
            </w:r>
          </w:p>
        </w:tc>
      </w:tr>
      <w:tr w:rsidR="006B5291" w:rsidRPr="00726D70" w14:paraId="3A756755" w14:textId="77777777" w:rsidTr="0012105C">
        <w:trPr>
          <w:cantSplit/>
          <w:trHeight w:val="290"/>
          <w:tblHeader/>
          <w:jc w:val="center"/>
        </w:trPr>
        <w:tc>
          <w:tcPr>
            <w:tcW w:w="761" w:type="pct"/>
          </w:tcPr>
          <w:p w14:paraId="6CEC3CEC" w14:textId="77777777" w:rsidR="006B5291" w:rsidRPr="00726D70" w:rsidRDefault="006B529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2016 to 2017</w:t>
            </w:r>
          </w:p>
        </w:tc>
        <w:tc>
          <w:tcPr>
            <w:tcW w:w="2370" w:type="pct"/>
          </w:tcPr>
          <w:p w14:paraId="3DEA18B4"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93%</w:t>
            </w:r>
          </w:p>
        </w:tc>
        <w:tc>
          <w:tcPr>
            <w:tcW w:w="1869" w:type="pct"/>
          </w:tcPr>
          <w:p w14:paraId="58C28BAE"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w:t>
            </w:r>
          </w:p>
        </w:tc>
      </w:tr>
      <w:tr w:rsidR="006B5291" w:rsidRPr="00726D70" w14:paraId="3735C011" w14:textId="77777777" w:rsidTr="0012105C">
        <w:trPr>
          <w:cantSplit/>
          <w:trHeight w:val="290"/>
          <w:tblHeader/>
          <w:jc w:val="center"/>
        </w:trPr>
        <w:tc>
          <w:tcPr>
            <w:tcW w:w="761" w:type="pct"/>
          </w:tcPr>
          <w:p w14:paraId="4509E88B" w14:textId="77777777" w:rsidR="006B5291" w:rsidRPr="00726D70" w:rsidRDefault="006B529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2017 to 2018</w:t>
            </w:r>
          </w:p>
        </w:tc>
        <w:tc>
          <w:tcPr>
            <w:tcW w:w="2370" w:type="pct"/>
          </w:tcPr>
          <w:p w14:paraId="282AECF9"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98%</w:t>
            </w:r>
          </w:p>
        </w:tc>
        <w:tc>
          <w:tcPr>
            <w:tcW w:w="1869" w:type="pct"/>
          </w:tcPr>
          <w:p w14:paraId="11D1C315"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w:t>
            </w:r>
          </w:p>
        </w:tc>
      </w:tr>
      <w:tr w:rsidR="006B5291" w:rsidRPr="00726D70" w14:paraId="69B72369" w14:textId="77777777" w:rsidTr="0012105C">
        <w:trPr>
          <w:cantSplit/>
          <w:trHeight w:val="290"/>
          <w:tblHeader/>
          <w:jc w:val="center"/>
        </w:trPr>
        <w:tc>
          <w:tcPr>
            <w:tcW w:w="761" w:type="pct"/>
          </w:tcPr>
          <w:p w14:paraId="241611F0" w14:textId="77777777" w:rsidR="006B5291" w:rsidRPr="00726D70" w:rsidRDefault="006B529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2018 to 2019</w:t>
            </w:r>
          </w:p>
        </w:tc>
        <w:tc>
          <w:tcPr>
            <w:tcW w:w="2370" w:type="pct"/>
          </w:tcPr>
          <w:p w14:paraId="7DBADBC8"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96%</w:t>
            </w:r>
          </w:p>
        </w:tc>
        <w:tc>
          <w:tcPr>
            <w:tcW w:w="1869" w:type="pct"/>
          </w:tcPr>
          <w:p w14:paraId="048E7F52"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w:t>
            </w:r>
          </w:p>
        </w:tc>
      </w:tr>
    </w:tbl>
    <w:p w14:paraId="3CF6BF56" w14:textId="77777777" w:rsidR="003F23FE" w:rsidRPr="00726D70" w:rsidRDefault="003F23FE" w:rsidP="003F23FE">
      <w:pPr>
        <w:pStyle w:val="Titre1"/>
        <w:spacing w:before="120" w:after="120"/>
        <w:rPr>
          <w:sz w:val="40"/>
          <w:lang w:val="en-CA"/>
        </w:rPr>
      </w:pPr>
      <w:r w:rsidRPr="00726D70">
        <w:rPr>
          <w:rFonts w:eastAsia="Times New Roman"/>
          <w:sz w:val="40"/>
          <w:lang w:val="en-CA"/>
        </w:rPr>
        <w:lastRenderedPageBreak/>
        <w:t>Staffing by process type</w:t>
      </w:r>
    </w:p>
    <w:p w14:paraId="39DCE41A" w14:textId="77777777" w:rsidR="006B5291" w:rsidRPr="00726D70" w:rsidRDefault="006B5291" w:rsidP="006B5291">
      <w:pPr>
        <w:keepNext/>
        <w:tabs>
          <w:tab w:val="left" w:pos="7839"/>
        </w:tabs>
        <w:jc w:val="center"/>
        <w:rPr>
          <w:lang w:val="en-CA"/>
        </w:rPr>
      </w:pPr>
      <w:r w:rsidRPr="00726D70">
        <w:rPr>
          <w:rStyle w:val="lev"/>
          <w:noProof/>
          <w:lang w:val="en-CA" w:eastAsia="en-CA"/>
        </w:rPr>
        <w:drawing>
          <wp:inline distT="0" distB="0" distL="0" distR="0" wp14:anchorId="1D9BA4EB" wp14:editId="4690E03C">
            <wp:extent cx="5648400" cy="3049200"/>
            <wp:effectExtent l="0" t="0" r="9525" b="18415"/>
            <wp:docPr id="3" name="Chart 1" descr="Staffing by Process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286D30" w14:textId="43668174" w:rsidR="006B5291" w:rsidRPr="00726D70" w:rsidRDefault="006B5291" w:rsidP="00A75ACF">
      <w:pPr>
        <w:pStyle w:val="Lgende"/>
        <w:spacing w:after="240"/>
        <w:jc w:val="center"/>
        <w:rPr>
          <w:lang w:val="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7</w:t>
      </w:r>
      <w:r w:rsidRPr="00726D70">
        <w:rPr>
          <w:lang w:val="en-CA"/>
        </w:rPr>
        <w:fldChar w:fldCharType="end"/>
      </w:r>
      <w:r w:rsidRPr="00726D70">
        <w:rPr>
          <w:lang w:val="en-CA"/>
        </w:rPr>
        <w:t xml:space="preserve"> - Staffing by process type</w:t>
      </w:r>
    </w:p>
    <w:p w14:paraId="696A0625" w14:textId="5063D4BA" w:rsidR="00A75ACF" w:rsidRPr="00726D70" w:rsidRDefault="00A75ACF" w:rsidP="00A75ACF">
      <w:pPr>
        <w:pStyle w:val="Lgende"/>
        <w:keepNext/>
        <w:jc w:val="center"/>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10</w:t>
      </w:r>
      <w:r w:rsidRPr="00726D70">
        <w:rPr>
          <w:lang w:val="en-CA"/>
        </w:rPr>
        <w:fldChar w:fldCharType="end"/>
      </w:r>
      <w:r w:rsidRPr="00726D70">
        <w:rPr>
          <w:lang w:val="en-CA"/>
        </w:rPr>
        <w:t xml:space="preserve"> - Number and percentage of staffing activities by type of process and fiscal year</w:t>
      </w:r>
    </w:p>
    <w:tbl>
      <w:tblPr>
        <w:tblStyle w:val="Grilledutableau"/>
        <w:tblW w:w="5000" w:type="pct"/>
        <w:jc w:val="center"/>
        <w:tblLook w:val="0000" w:firstRow="0" w:lastRow="0" w:firstColumn="0" w:lastColumn="0" w:noHBand="0" w:noVBand="0"/>
        <w:tblDescription w:val="Staffing by process type from 2014 to 2019"/>
      </w:tblPr>
      <w:tblGrid>
        <w:gridCol w:w="1589"/>
        <w:gridCol w:w="5621"/>
        <w:gridCol w:w="2630"/>
        <w:gridCol w:w="3830"/>
      </w:tblGrid>
      <w:tr w:rsidR="006B5291" w:rsidRPr="00726D70" w14:paraId="0DB901E7" w14:textId="77777777" w:rsidTr="003675EB">
        <w:trPr>
          <w:cantSplit/>
          <w:trHeight w:val="290"/>
          <w:tblHeader/>
          <w:jc w:val="center"/>
        </w:trPr>
        <w:tc>
          <w:tcPr>
            <w:tcW w:w="581" w:type="pct"/>
          </w:tcPr>
          <w:p w14:paraId="47F1A793" w14:textId="77777777" w:rsidR="006B5291" w:rsidRPr="00726D70" w:rsidRDefault="006B5291" w:rsidP="00A75ACF">
            <w:pPr>
              <w:pStyle w:val="TableTitle"/>
              <w:rPr>
                <w:lang w:val="en-CA"/>
              </w:rPr>
            </w:pPr>
            <w:r w:rsidRPr="00726D70">
              <w:rPr>
                <w:lang w:val="en-CA"/>
              </w:rPr>
              <w:t>Fiscal year</w:t>
            </w:r>
          </w:p>
        </w:tc>
        <w:tc>
          <w:tcPr>
            <w:tcW w:w="2056" w:type="pct"/>
          </w:tcPr>
          <w:p w14:paraId="1CB683C7" w14:textId="77777777" w:rsidR="006B5291" w:rsidRPr="00726D70" w:rsidRDefault="006B5291" w:rsidP="00A75ACF">
            <w:pPr>
              <w:pStyle w:val="TableTitle"/>
              <w:rPr>
                <w:lang w:val="en-CA"/>
              </w:rPr>
            </w:pPr>
            <w:r w:rsidRPr="00726D70">
              <w:rPr>
                <w:lang w:val="en-CA"/>
              </w:rPr>
              <w:t>Non-advertised processes (excludes unknowns)</w:t>
            </w:r>
          </w:p>
        </w:tc>
        <w:tc>
          <w:tcPr>
            <w:tcW w:w="962" w:type="pct"/>
          </w:tcPr>
          <w:p w14:paraId="20EA26D0" w14:textId="77777777" w:rsidR="006B5291" w:rsidRPr="00726D70" w:rsidRDefault="006B5291" w:rsidP="00A75ACF">
            <w:pPr>
              <w:pStyle w:val="TableTitle"/>
              <w:rPr>
                <w:lang w:val="en-CA"/>
              </w:rPr>
            </w:pPr>
            <w:r w:rsidRPr="00726D70">
              <w:rPr>
                <w:lang w:val="en-CA"/>
              </w:rPr>
              <w:t>Advertised processes</w:t>
            </w:r>
          </w:p>
        </w:tc>
        <w:tc>
          <w:tcPr>
            <w:tcW w:w="1401" w:type="pct"/>
          </w:tcPr>
          <w:p w14:paraId="51DFB1E8" w14:textId="77777777" w:rsidR="006B5291" w:rsidRPr="00726D70" w:rsidRDefault="006B5291" w:rsidP="00A75ACF">
            <w:pPr>
              <w:pStyle w:val="TableTitle"/>
              <w:rPr>
                <w:lang w:val="en-CA"/>
              </w:rPr>
            </w:pPr>
            <w:r w:rsidRPr="00726D70">
              <w:rPr>
                <w:lang w:val="en-CA"/>
              </w:rPr>
              <w:t>% of Non- advertised processes</w:t>
            </w:r>
          </w:p>
        </w:tc>
      </w:tr>
      <w:tr w:rsidR="006B5291" w:rsidRPr="00726D70" w14:paraId="05B9D844" w14:textId="77777777" w:rsidTr="003675EB">
        <w:trPr>
          <w:cantSplit/>
          <w:trHeight w:val="290"/>
          <w:tblHeader/>
          <w:jc w:val="center"/>
        </w:trPr>
        <w:tc>
          <w:tcPr>
            <w:tcW w:w="581" w:type="pct"/>
          </w:tcPr>
          <w:p w14:paraId="0D8AAE9F" w14:textId="77777777" w:rsidR="006B5291" w:rsidRPr="00726D70" w:rsidRDefault="006B529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2014 to 2015 </w:t>
            </w:r>
          </w:p>
        </w:tc>
        <w:tc>
          <w:tcPr>
            <w:tcW w:w="2056" w:type="pct"/>
          </w:tcPr>
          <w:p w14:paraId="1C59C9FA"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35</w:t>
            </w:r>
          </w:p>
        </w:tc>
        <w:tc>
          <w:tcPr>
            <w:tcW w:w="962" w:type="pct"/>
          </w:tcPr>
          <w:p w14:paraId="3BA648D9"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171</w:t>
            </w:r>
          </w:p>
        </w:tc>
        <w:tc>
          <w:tcPr>
            <w:tcW w:w="1401" w:type="pct"/>
          </w:tcPr>
          <w:p w14:paraId="75457C2E"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17%</w:t>
            </w:r>
          </w:p>
        </w:tc>
      </w:tr>
      <w:tr w:rsidR="006B5291" w:rsidRPr="00726D70" w14:paraId="624D8828" w14:textId="77777777" w:rsidTr="003675EB">
        <w:trPr>
          <w:cantSplit/>
          <w:trHeight w:val="290"/>
          <w:tblHeader/>
          <w:jc w:val="center"/>
        </w:trPr>
        <w:tc>
          <w:tcPr>
            <w:tcW w:w="581" w:type="pct"/>
          </w:tcPr>
          <w:p w14:paraId="45AA5D61" w14:textId="77777777" w:rsidR="006B5291" w:rsidRPr="00726D70" w:rsidRDefault="006B529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2015 to 2016 </w:t>
            </w:r>
          </w:p>
        </w:tc>
        <w:tc>
          <w:tcPr>
            <w:tcW w:w="2056" w:type="pct"/>
          </w:tcPr>
          <w:p w14:paraId="33CD2051"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29</w:t>
            </w:r>
          </w:p>
        </w:tc>
        <w:tc>
          <w:tcPr>
            <w:tcW w:w="962" w:type="pct"/>
          </w:tcPr>
          <w:p w14:paraId="5F5D813D"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102</w:t>
            </w:r>
          </w:p>
        </w:tc>
        <w:tc>
          <w:tcPr>
            <w:tcW w:w="1401" w:type="pct"/>
          </w:tcPr>
          <w:p w14:paraId="2133FBBF"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22%</w:t>
            </w:r>
          </w:p>
        </w:tc>
      </w:tr>
      <w:tr w:rsidR="006B5291" w:rsidRPr="00726D70" w14:paraId="6D3F6EBE" w14:textId="77777777" w:rsidTr="003675EB">
        <w:trPr>
          <w:cantSplit/>
          <w:trHeight w:val="290"/>
          <w:tblHeader/>
          <w:jc w:val="center"/>
        </w:trPr>
        <w:tc>
          <w:tcPr>
            <w:tcW w:w="581" w:type="pct"/>
          </w:tcPr>
          <w:p w14:paraId="536D4218" w14:textId="77777777" w:rsidR="006B5291" w:rsidRPr="00726D70" w:rsidRDefault="006B529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2016 to 2017</w:t>
            </w:r>
          </w:p>
        </w:tc>
        <w:tc>
          <w:tcPr>
            <w:tcW w:w="2056" w:type="pct"/>
          </w:tcPr>
          <w:p w14:paraId="218D6B36"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36</w:t>
            </w:r>
          </w:p>
        </w:tc>
        <w:tc>
          <w:tcPr>
            <w:tcW w:w="962" w:type="pct"/>
          </w:tcPr>
          <w:p w14:paraId="4956BDF3"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98</w:t>
            </w:r>
          </w:p>
        </w:tc>
        <w:tc>
          <w:tcPr>
            <w:tcW w:w="1401" w:type="pct"/>
          </w:tcPr>
          <w:p w14:paraId="1FC1EA1F"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27%</w:t>
            </w:r>
          </w:p>
        </w:tc>
      </w:tr>
      <w:tr w:rsidR="006B5291" w:rsidRPr="00726D70" w14:paraId="370FDA33" w14:textId="77777777" w:rsidTr="003675EB">
        <w:trPr>
          <w:cantSplit/>
          <w:trHeight w:val="290"/>
          <w:tblHeader/>
          <w:jc w:val="center"/>
        </w:trPr>
        <w:tc>
          <w:tcPr>
            <w:tcW w:w="581" w:type="pct"/>
          </w:tcPr>
          <w:p w14:paraId="358853CE" w14:textId="77777777" w:rsidR="006B5291" w:rsidRPr="00726D70" w:rsidRDefault="006B529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2017 to 2018</w:t>
            </w:r>
          </w:p>
        </w:tc>
        <w:tc>
          <w:tcPr>
            <w:tcW w:w="2056" w:type="pct"/>
          </w:tcPr>
          <w:p w14:paraId="4A03C526"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45</w:t>
            </w:r>
          </w:p>
        </w:tc>
        <w:tc>
          <w:tcPr>
            <w:tcW w:w="962" w:type="pct"/>
          </w:tcPr>
          <w:p w14:paraId="0DAF2F4E"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117</w:t>
            </w:r>
          </w:p>
        </w:tc>
        <w:tc>
          <w:tcPr>
            <w:tcW w:w="1401" w:type="pct"/>
          </w:tcPr>
          <w:p w14:paraId="14B6776A"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28%</w:t>
            </w:r>
          </w:p>
        </w:tc>
      </w:tr>
      <w:tr w:rsidR="006B5291" w:rsidRPr="00726D70" w14:paraId="44E3A3CB" w14:textId="77777777" w:rsidTr="003675EB">
        <w:trPr>
          <w:cantSplit/>
          <w:trHeight w:val="290"/>
          <w:tblHeader/>
          <w:jc w:val="center"/>
        </w:trPr>
        <w:tc>
          <w:tcPr>
            <w:tcW w:w="581" w:type="pct"/>
          </w:tcPr>
          <w:p w14:paraId="7632B54F" w14:textId="77777777" w:rsidR="006B5291" w:rsidRPr="00726D70" w:rsidRDefault="006B529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2018 to 2019</w:t>
            </w:r>
          </w:p>
        </w:tc>
        <w:tc>
          <w:tcPr>
            <w:tcW w:w="2056" w:type="pct"/>
          </w:tcPr>
          <w:p w14:paraId="12628F4A"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95</w:t>
            </w:r>
          </w:p>
        </w:tc>
        <w:tc>
          <w:tcPr>
            <w:tcW w:w="962" w:type="pct"/>
          </w:tcPr>
          <w:p w14:paraId="6A1FB976"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158</w:t>
            </w:r>
          </w:p>
        </w:tc>
        <w:tc>
          <w:tcPr>
            <w:tcW w:w="1401" w:type="pct"/>
          </w:tcPr>
          <w:p w14:paraId="5E1ACAD1" w14:textId="77777777" w:rsidR="006B5291" w:rsidRPr="00726D70" w:rsidRDefault="006B529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38%</w:t>
            </w:r>
          </w:p>
        </w:tc>
      </w:tr>
    </w:tbl>
    <w:p w14:paraId="02BEF9C0" w14:textId="77777777" w:rsidR="003F23FE" w:rsidRPr="00726D70" w:rsidRDefault="003F23FE" w:rsidP="003F23FE">
      <w:pPr>
        <w:pStyle w:val="Titre1"/>
        <w:spacing w:before="120" w:after="120"/>
        <w:rPr>
          <w:sz w:val="40"/>
          <w:lang w:val="en-CA"/>
        </w:rPr>
      </w:pPr>
      <w:r w:rsidRPr="00726D70">
        <w:rPr>
          <w:rFonts w:eastAsia="Times New Roman"/>
          <w:sz w:val="40"/>
          <w:lang w:val="en-CA"/>
        </w:rPr>
        <w:lastRenderedPageBreak/>
        <w:t>Staffing by appointment type</w:t>
      </w:r>
    </w:p>
    <w:p w14:paraId="1D117C2B" w14:textId="77777777" w:rsidR="00396E2A" w:rsidRPr="00726D70" w:rsidRDefault="007F3B3C" w:rsidP="00396E2A">
      <w:pPr>
        <w:keepNext/>
        <w:jc w:val="center"/>
        <w:rPr>
          <w:lang w:val="en-CA"/>
        </w:rPr>
      </w:pPr>
      <w:r w:rsidRPr="00726D70">
        <w:rPr>
          <w:rStyle w:val="lev"/>
          <w:noProof/>
          <w:lang w:val="en-CA" w:eastAsia="en-CA"/>
        </w:rPr>
        <w:drawing>
          <wp:inline distT="0" distB="0" distL="0" distR="0" wp14:anchorId="4D56BC24" wp14:editId="25E6E541">
            <wp:extent cx="5648400" cy="3049200"/>
            <wp:effectExtent l="0" t="0" r="9525" b="18415"/>
            <wp:docPr id="9" name="Chart 9" descr="Staffing by appointment typ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157DCC" w14:textId="7C130AD1" w:rsidR="00396E2A" w:rsidRPr="00726D70" w:rsidRDefault="00396E2A" w:rsidP="00396E2A">
      <w:pPr>
        <w:pStyle w:val="Lgende"/>
        <w:spacing w:after="240"/>
        <w:jc w:val="center"/>
        <w:rPr>
          <w:lang w:val="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8</w:t>
      </w:r>
      <w:r w:rsidRPr="00726D70">
        <w:rPr>
          <w:lang w:val="en-CA"/>
        </w:rPr>
        <w:fldChar w:fldCharType="end"/>
      </w:r>
      <w:r w:rsidRPr="00726D70">
        <w:rPr>
          <w:lang w:val="en-CA"/>
        </w:rPr>
        <w:t xml:space="preserve"> - Staffing by appointment type</w:t>
      </w:r>
    </w:p>
    <w:p w14:paraId="3A553AEC" w14:textId="1D0E2A79" w:rsidR="00396E2A" w:rsidRPr="00726D70" w:rsidRDefault="00396E2A" w:rsidP="00396E2A">
      <w:pPr>
        <w:pStyle w:val="Lgende"/>
        <w:keepNext/>
        <w:jc w:val="center"/>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11</w:t>
      </w:r>
      <w:r w:rsidRPr="00726D70">
        <w:rPr>
          <w:lang w:val="en-CA"/>
        </w:rPr>
        <w:fldChar w:fldCharType="end"/>
      </w:r>
      <w:r w:rsidRPr="00726D70">
        <w:rPr>
          <w:lang w:val="en-CA"/>
        </w:rPr>
        <w:t xml:space="preserve"> - Staffing activities by appointment type and fiscal year</w:t>
      </w:r>
    </w:p>
    <w:tbl>
      <w:tblPr>
        <w:tblStyle w:val="Grilledutableau"/>
        <w:tblW w:w="5000" w:type="pct"/>
        <w:jc w:val="center"/>
        <w:tblLook w:val="0000" w:firstRow="0" w:lastRow="0" w:firstColumn="0" w:lastColumn="0" w:noHBand="0" w:noVBand="0"/>
        <w:tblDescription w:val="Staffing by appointment type from 2014 to 2019"/>
      </w:tblPr>
      <w:tblGrid>
        <w:gridCol w:w="2130"/>
        <w:gridCol w:w="1804"/>
        <w:gridCol w:w="2346"/>
        <w:gridCol w:w="3226"/>
        <w:gridCol w:w="2893"/>
        <w:gridCol w:w="1271"/>
      </w:tblGrid>
      <w:tr w:rsidR="00396E2A" w:rsidRPr="00726D70" w14:paraId="5BEDE4C4" w14:textId="77777777" w:rsidTr="0012105C">
        <w:trPr>
          <w:cantSplit/>
          <w:tblHeader/>
          <w:jc w:val="center"/>
        </w:trPr>
        <w:tc>
          <w:tcPr>
            <w:tcW w:w="779" w:type="pct"/>
          </w:tcPr>
          <w:p w14:paraId="6D87D984" w14:textId="77777777" w:rsidR="00396E2A" w:rsidRPr="00726D70" w:rsidRDefault="00396E2A" w:rsidP="00396E2A">
            <w:pPr>
              <w:pStyle w:val="TableTitle"/>
              <w:rPr>
                <w:lang w:val="en-CA"/>
              </w:rPr>
            </w:pPr>
            <w:r w:rsidRPr="00726D70">
              <w:rPr>
                <w:lang w:val="en-CA"/>
              </w:rPr>
              <w:t>Fiscal year</w:t>
            </w:r>
          </w:p>
        </w:tc>
        <w:tc>
          <w:tcPr>
            <w:tcW w:w="660" w:type="pct"/>
          </w:tcPr>
          <w:p w14:paraId="0FB09810" w14:textId="77777777" w:rsidR="00396E2A" w:rsidRPr="00726D70" w:rsidRDefault="00396E2A" w:rsidP="00396E2A">
            <w:pPr>
              <w:pStyle w:val="TableTitle"/>
              <w:rPr>
                <w:lang w:val="en-CA"/>
              </w:rPr>
            </w:pPr>
            <w:r w:rsidRPr="00726D70">
              <w:rPr>
                <w:lang w:val="en-CA"/>
              </w:rPr>
              <w:t>Promotions</w:t>
            </w:r>
          </w:p>
        </w:tc>
        <w:tc>
          <w:tcPr>
            <w:tcW w:w="858" w:type="pct"/>
          </w:tcPr>
          <w:p w14:paraId="04C66213" w14:textId="77777777" w:rsidR="00396E2A" w:rsidRPr="00726D70" w:rsidRDefault="00396E2A" w:rsidP="00396E2A">
            <w:pPr>
              <w:pStyle w:val="TableTitle"/>
              <w:rPr>
                <w:lang w:val="en-CA"/>
              </w:rPr>
            </w:pPr>
            <w:r w:rsidRPr="00726D70">
              <w:rPr>
                <w:lang w:val="en-CA"/>
              </w:rPr>
              <w:t>Lateral and downward movements</w:t>
            </w:r>
          </w:p>
        </w:tc>
        <w:tc>
          <w:tcPr>
            <w:tcW w:w="1180" w:type="pct"/>
          </w:tcPr>
          <w:p w14:paraId="49AD3896" w14:textId="77777777" w:rsidR="00396E2A" w:rsidRPr="00726D70" w:rsidRDefault="00396E2A" w:rsidP="00396E2A">
            <w:pPr>
              <w:pStyle w:val="TableTitle"/>
              <w:rPr>
                <w:lang w:val="en-CA"/>
              </w:rPr>
            </w:pPr>
            <w:r w:rsidRPr="00726D70">
              <w:rPr>
                <w:lang w:val="en-CA"/>
              </w:rPr>
              <w:t>Appointments to the public service (includes casuals and students)</w:t>
            </w:r>
          </w:p>
        </w:tc>
        <w:tc>
          <w:tcPr>
            <w:tcW w:w="1058" w:type="pct"/>
          </w:tcPr>
          <w:p w14:paraId="1560A97D" w14:textId="77777777" w:rsidR="00396E2A" w:rsidRPr="00726D70" w:rsidRDefault="00396E2A" w:rsidP="00396E2A">
            <w:pPr>
              <w:pStyle w:val="TableTitle"/>
              <w:rPr>
                <w:lang w:val="en-CA"/>
              </w:rPr>
            </w:pPr>
            <w:r w:rsidRPr="00726D70">
              <w:rPr>
                <w:lang w:val="en-CA"/>
              </w:rPr>
              <w:t>Acting appointments (excludes appointments of less than 4 months)</w:t>
            </w:r>
          </w:p>
        </w:tc>
        <w:tc>
          <w:tcPr>
            <w:tcW w:w="465" w:type="pct"/>
          </w:tcPr>
          <w:p w14:paraId="3852CF77" w14:textId="77777777" w:rsidR="00396E2A" w:rsidRPr="00726D70" w:rsidRDefault="00396E2A" w:rsidP="00396E2A">
            <w:pPr>
              <w:pStyle w:val="TableTitle"/>
              <w:rPr>
                <w:lang w:val="en-CA"/>
              </w:rPr>
            </w:pPr>
            <w:r w:rsidRPr="00726D70">
              <w:rPr>
                <w:lang w:val="en-CA"/>
              </w:rPr>
              <w:t>Total</w:t>
            </w:r>
          </w:p>
        </w:tc>
      </w:tr>
      <w:tr w:rsidR="00396E2A" w:rsidRPr="00726D70" w14:paraId="466B981D" w14:textId="77777777" w:rsidTr="0012105C">
        <w:trPr>
          <w:cantSplit/>
          <w:tblHeader/>
          <w:jc w:val="center"/>
        </w:trPr>
        <w:tc>
          <w:tcPr>
            <w:tcW w:w="779" w:type="pct"/>
          </w:tcPr>
          <w:p w14:paraId="506E198E" w14:textId="77777777" w:rsidR="00396E2A" w:rsidRPr="00726D70" w:rsidRDefault="00396E2A"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2014 to 2015 </w:t>
            </w:r>
          </w:p>
        </w:tc>
        <w:tc>
          <w:tcPr>
            <w:tcW w:w="660" w:type="pct"/>
          </w:tcPr>
          <w:p w14:paraId="2AD73B12"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70</w:t>
            </w:r>
          </w:p>
        </w:tc>
        <w:tc>
          <w:tcPr>
            <w:tcW w:w="858" w:type="pct"/>
          </w:tcPr>
          <w:p w14:paraId="1E01FD41"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111</w:t>
            </w:r>
          </w:p>
        </w:tc>
        <w:tc>
          <w:tcPr>
            <w:tcW w:w="1180" w:type="pct"/>
          </w:tcPr>
          <w:p w14:paraId="4D5D66AD"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396</w:t>
            </w:r>
          </w:p>
        </w:tc>
        <w:tc>
          <w:tcPr>
            <w:tcW w:w="1058" w:type="pct"/>
          </w:tcPr>
          <w:p w14:paraId="1338E04E"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123</w:t>
            </w:r>
          </w:p>
        </w:tc>
        <w:tc>
          <w:tcPr>
            <w:tcW w:w="465" w:type="pct"/>
          </w:tcPr>
          <w:p w14:paraId="0801C191"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700</w:t>
            </w:r>
          </w:p>
        </w:tc>
      </w:tr>
      <w:tr w:rsidR="00396E2A" w:rsidRPr="00726D70" w14:paraId="5CCE5C3F" w14:textId="77777777" w:rsidTr="0012105C">
        <w:trPr>
          <w:cantSplit/>
          <w:tblHeader/>
          <w:jc w:val="center"/>
        </w:trPr>
        <w:tc>
          <w:tcPr>
            <w:tcW w:w="779" w:type="pct"/>
          </w:tcPr>
          <w:p w14:paraId="28B77278" w14:textId="77777777" w:rsidR="00396E2A" w:rsidRPr="00726D70" w:rsidRDefault="00396E2A"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2015 to 2016</w:t>
            </w:r>
          </w:p>
        </w:tc>
        <w:tc>
          <w:tcPr>
            <w:tcW w:w="660" w:type="pct"/>
          </w:tcPr>
          <w:p w14:paraId="20AF2895"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48</w:t>
            </w:r>
          </w:p>
        </w:tc>
        <w:tc>
          <w:tcPr>
            <w:tcW w:w="858" w:type="pct"/>
          </w:tcPr>
          <w:p w14:paraId="7AB49E70"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68</w:t>
            </w:r>
          </w:p>
        </w:tc>
        <w:tc>
          <w:tcPr>
            <w:tcW w:w="1180" w:type="pct"/>
          </w:tcPr>
          <w:p w14:paraId="7E2F255F"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240</w:t>
            </w:r>
          </w:p>
        </w:tc>
        <w:tc>
          <w:tcPr>
            <w:tcW w:w="1058" w:type="pct"/>
          </w:tcPr>
          <w:p w14:paraId="71B9A2EC"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105</w:t>
            </w:r>
          </w:p>
        </w:tc>
        <w:tc>
          <w:tcPr>
            <w:tcW w:w="465" w:type="pct"/>
          </w:tcPr>
          <w:p w14:paraId="79AC29D9"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461</w:t>
            </w:r>
          </w:p>
        </w:tc>
      </w:tr>
      <w:tr w:rsidR="00396E2A" w:rsidRPr="00726D70" w14:paraId="3429CC30" w14:textId="77777777" w:rsidTr="0012105C">
        <w:trPr>
          <w:cantSplit/>
          <w:tblHeader/>
          <w:jc w:val="center"/>
        </w:trPr>
        <w:tc>
          <w:tcPr>
            <w:tcW w:w="779" w:type="pct"/>
          </w:tcPr>
          <w:p w14:paraId="73B5C4CF" w14:textId="77777777" w:rsidR="00396E2A" w:rsidRPr="00726D70" w:rsidRDefault="00396E2A"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 xml:space="preserve">2016 to 2017 </w:t>
            </w:r>
          </w:p>
        </w:tc>
        <w:tc>
          <w:tcPr>
            <w:tcW w:w="660" w:type="pct"/>
          </w:tcPr>
          <w:p w14:paraId="1F4C36EE"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95</w:t>
            </w:r>
          </w:p>
        </w:tc>
        <w:tc>
          <w:tcPr>
            <w:tcW w:w="858" w:type="pct"/>
          </w:tcPr>
          <w:p w14:paraId="49E41A82"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128</w:t>
            </w:r>
          </w:p>
        </w:tc>
        <w:tc>
          <w:tcPr>
            <w:tcW w:w="1180" w:type="pct"/>
          </w:tcPr>
          <w:p w14:paraId="4ED9C318"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297</w:t>
            </w:r>
          </w:p>
        </w:tc>
        <w:tc>
          <w:tcPr>
            <w:tcW w:w="1058" w:type="pct"/>
          </w:tcPr>
          <w:p w14:paraId="131E4FB4"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39</w:t>
            </w:r>
          </w:p>
        </w:tc>
        <w:tc>
          <w:tcPr>
            <w:tcW w:w="465" w:type="pct"/>
          </w:tcPr>
          <w:p w14:paraId="0CE47A05"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559</w:t>
            </w:r>
          </w:p>
        </w:tc>
      </w:tr>
      <w:tr w:rsidR="00396E2A" w:rsidRPr="00726D70" w14:paraId="2761A68F" w14:textId="77777777" w:rsidTr="0012105C">
        <w:trPr>
          <w:cantSplit/>
          <w:tblHeader/>
          <w:jc w:val="center"/>
        </w:trPr>
        <w:tc>
          <w:tcPr>
            <w:tcW w:w="779" w:type="pct"/>
          </w:tcPr>
          <w:p w14:paraId="428B1405" w14:textId="77777777" w:rsidR="00396E2A" w:rsidRPr="00726D70" w:rsidRDefault="00396E2A"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2017 to 2018</w:t>
            </w:r>
          </w:p>
        </w:tc>
        <w:tc>
          <w:tcPr>
            <w:tcW w:w="660" w:type="pct"/>
          </w:tcPr>
          <w:p w14:paraId="6C8BE1B3"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75</w:t>
            </w:r>
          </w:p>
        </w:tc>
        <w:tc>
          <w:tcPr>
            <w:tcW w:w="858" w:type="pct"/>
          </w:tcPr>
          <w:p w14:paraId="4D5E80B8"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77</w:t>
            </w:r>
          </w:p>
        </w:tc>
        <w:tc>
          <w:tcPr>
            <w:tcW w:w="1180" w:type="pct"/>
          </w:tcPr>
          <w:p w14:paraId="3D7CF3E0"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255</w:t>
            </w:r>
          </w:p>
        </w:tc>
        <w:tc>
          <w:tcPr>
            <w:tcW w:w="1058" w:type="pct"/>
          </w:tcPr>
          <w:p w14:paraId="7DA4BAD4"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35</w:t>
            </w:r>
          </w:p>
        </w:tc>
        <w:tc>
          <w:tcPr>
            <w:tcW w:w="465" w:type="pct"/>
          </w:tcPr>
          <w:p w14:paraId="33A04AC8"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442</w:t>
            </w:r>
          </w:p>
        </w:tc>
      </w:tr>
      <w:tr w:rsidR="00396E2A" w:rsidRPr="00726D70" w14:paraId="48C38920" w14:textId="77777777" w:rsidTr="0012105C">
        <w:trPr>
          <w:cantSplit/>
          <w:tblHeader/>
          <w:jc w:val="center"/>
        </w:trPr>
        <w:tc>
          <w:tcPr>
            <w:tcW w:w="779" w:type="pct"/>
          </w:tcPr>
          <w:p w14:paraId="683F95DC" w14:textId="77777777" w:rsidR="00396E2A" w:rsidRPr="00726D70" w:rsidRDefault="00396E2A"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2018 to 2019</w:t>
            </w:r>
          </w:p>
        </w:tc>
        <w:tc>
          <w:tcPr>
            <w:tcW w:w="660" w:type="pct"/>
          </w:tcPr>
          <w:p w14:paraId="6A6517EC"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122</w:t>
            </w:r>
          </w:p>
        </w:tc>
        <w:tc>
          <w:tcPr>
            <w:tcW w:w="858" w:type="pct"/>
          </w:tcPr>
          <w:p w14:paraId="4353B45E"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145</w:t>
            </w:r>
          </w:p>
        </w:tc>
        <w:tc>
          <w:tcPr>
            <w:tcW w:w="1180" w:type="pct"/>
          </w:tcPr>
          <w:p w14:paraId="7D3B48BF"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306</w:t>
            </w:r>
          </w:p>
        </w:tc>
        <w:tc>
          <w:tcPr>
            <w:tcW w:w="1058" w:type="pct"/>
          </w:tcPr>
          <w:p w14:paraId="6662B5FB"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121</w:t>
            </w:r>
          </w:p>
        </w:tc>
        <w:tc>
          <w:tcPr>
            <w:tcW w:w="465" w:type="pct"/>
          </w:tcPr>
          <w:p w14:paraId="73EC3BEB"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694</w:t>
            </w:r>
          </w:p>
        </w:tc>
      </w:tr>
    </w:tbl>
    <w:p w14:paraId="6C63BFCF" w14:textId="77777777" w:rsidR="003F23FE" w:rsidRPr="00726D70" w:rsidRDefault="003F23FE" w:rsidP="003F23FE">
      <w:pPr>
        <w:pStyle w:val="Titre1"/>
        <w:spacing w:before="120" w:after="120"/>
        <w:rPr>
          <w:sz w:val="40"/>
          <w:lang w:val="en-CA"/>
        </w:rPr>
      </w:pPr>
      <w:r w:rsidRPr="00726D70">
        <w:rPr>
          <w:rFonts w:eastAsia="Times New Roman"/>
          <w:sz w:val="40"/>
          <w:lang w:val="en-CA"/>
        </w:rPr>
        <w:lastRenderedPageBreak/>
        <w:t>Staffing by tenure</w:t>
      </w:r>
    </w:p>
    <w:p w14:paraId="7EB809DA" w14:textId="77777777" w:rsidR="00396E2A" w:rsidRPr="00726D70" w:rsidRDefault="00396E2A" w:rsidP="00396E2A">
      <w:pPr>
        <w:keepNext/>
        <w:jc w:val="center"/>
        <w:rPr>
          <w:lang w:val="en-CA"/>
        </w:rPr>
      </w:pPr>
      <w:r w:rsidRPr="00726D70">
        <w:rPr>
          <w:rStyle w:val="lev"/>
          <w:noProof/>
          <w:lang w:val="en-CA" w:eastAsia="en-CA"/>
        </w:rPr>
        <w:drawing>
          <wp:inline distT="0" distB="0" distL="0" distR="0" wp14:anchorId="090CBEAE" wp14:editId="69FFEC2E">
            <wp:extent cx="5648400" cy="3049200"/>
            <wp:effectExtent l="0" t="0" r="9525" b="18415"/>
            <wp:docPr id="4" name="Chart 3" descr="Staffing by tenur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CAE640" w14:textId="6595AD33" w:rsidR="00396E2A" w:rsidRPr="00726D70" w:rsidRDefault="00396E2A" w:rsidP="003675EB">
      <w:pPr>
        <w:pStyle w:val="Lgende"/>
        <w:spacing w:after="120"/>
        <w:jc w:val="center"/>
        <w:rPr>
          <w:lang w:val="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9</w:t>
      </w:r>
      <w:r w:rsidRPr="00726D70">
        <w:rPr>
          <w:lang w:val="en-CA"/>
        </w:rPr>
        <w:fldChar w:fldCharType="end"/>
      </w:r>
      <w:r w:rsidRPr="00726D70">
        <w:rPr>
          <w:lang w:val="en-CA"/>
        </w:rPr>
        <w:t xml:space="preserve"> - Staffing by tenure</w:t>
      </w:r>
    </w:p>
    <w:p w14:paraId="0DE0E2BC" w14:textId="5BA28AA6" w:rsidR="00396E2A" w:rsidRPr="00726D70" w:rsidRDefault="00396E2A" w:rsidP="00396E2A">
      <w:pPr>
        <w:pStyle w:val="Lgende"/>
        <w:keepNext/>
        <w:jc w:val="center"/>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12</w:t>
      </w:r>
      <w:r w:rsidRPr="00726D70">
        <w:rPr>
          <w:lang w:val="en-CA"/>
        </w:rPr>
        <w:fldChar w:fldCharType="end"/>
      </w:r>
      <w:r w:rsidRPr="00726D70">
        <w:rPr>
          <w:lang w:val="en-CA"/>
        </w:rPr>
        <w:t xml:space="preserve"> - Staffing activities by tenure and fiscal year</w:t>
      </w:r>
    </w:p>
    <w:tbl>
      <w:tblPr>
        <w:tblStyle w:val="Grilledutableau"/>
        <w:tblW w:w="5000" w:type="pct"/>
        <w:jc w:val="center"/>
        <w:tblLook w:val="0000" w:firstRow="0" w:lastRow="0" w:firstColumn="0" w:lastColumn="0" w:noHBand="0" w:noVBand="0"/>
        <w:tblDescription w:val="Staffing by tenure from 2014 to 2019"/>
      </w:tblPr>
      <w:tblGrid>
        <w:gridCol w:w="1555"/>
        <w:gridCol w:w="2693"/>
        <w:gridCol w:w="2409"/>
        <w:gridCol w:w="2551"/>
        <w:gridCol w:w="2411"/>
        <w:gridCol w:w="2051"/>
      </w:tblGrid>
      <w:tr w:rsidR="00396E2A" w:rsidRPr="00726D70" w14:paraId="70CF32D5" w14:textId="77777777" w:rsidTr="003675EB">
        <w:trPr>
          <w:cantSplit/>
          <w:tblHeader/>
          <w:jc w:val="center"/>
        </w:trPr>
        <w:tc>
          <w:tcPr>
            <w:tcW w:w="569" w:type="pct"/>
          </w:tcPr>
          <w:p w14:paraId="6CF00BC0" w14:textId="77777777" w:rsidR="00396E2A" w:rsidRPr="00726D70" w:rsidRDefault="00396E2A" w:rsidP="00396E2A">
            <w:pPr>
              <w:pStyle w:val="TableTitle"/>
              <w:rPr>
                <w:lang w:val="en-CA"/>
              </w:rPr>
            </w:pPr>
            <w:r w:rsidRPr="00726D70">
              <w:rPr>
                <w:lang w:val="en-CA"/>
              </w:rPr>
              <w:t>Fiscal year</w:t>
            </w:r>
          </w:p>
        </w:tc>
        <w:tc>
          <w:tcPr>
            <w:tcW w:w="985" w:type="pct"/>
          </w:tcPr>
          <w:p w14:paraId="4FFFB12C" w14:textId="77777777" w:rsidR="00396E2A" w:rsidRPr="00726D70" w:rsidRDefault="00396E2A" w:rsidP="00396E2A">
            <w:pPr>
              <w:pStyle w:val="TableTitle"/>
              <w:rPr>
                <w:lang w:val="en-CA"/>
              </w:rPr>
            </w:pPr>
            <w:r w:rsidRPr="00726D70">
              <w:rPr>
                <w:lang w:val="en-CA"/>
              </w:rPr>
              <w:t>Indeterminate staffing activities</w:t>
            </w:r>
          </w:p>
        </w:tc>
        <w:tc>
          <w:tcPr>
            <w:tcW w:w="881" w:type="pct"/>
          </w:tcPr>
          <w:p w14:paraId="1F3CB888" w14:textId="77777777" w:rsidR="00396E2A" w:rsidRPr="00726D70" w:rsidRDefault="00396E2A" w:rsidP="00396E2A">
            <w:pPr>
              <w:pStyle w:val="TableTitle"/>
              <w:rPr>
                <w:lang w:val="en-CA"/>
              </w:rPr>
            </w:pPr>
            <w:r w:rsidRPr="00726D70">
              <w:rPr>
                <w:lang w:val="en-CA"/>
              </w:rPr>
              <w:t>Term staffing activities</w:t>
            </w:r>
          </w:p>
        </w:tc>
        <w:tc>
          <w:tcPr>
            <w:tcW w:w="933" w:type="pct"/>
          </w:tcPr>
          <w:p w14:paraId="7780012F" w14:textId="77777777" w:rsidR="00396E2A" w:rsidRPr="00726D70" w:rsidRDefault="00396E2A" w:rsidP="00396E2A">
            <w:pPr>
              <w:pStyle w:val="TableTitle"/>
              <w:rPr>
                <w:lang w:val="en-CA"/>
              </w:rPr>
            </w:pPr>
            <w:r w:rsidRPr="00726D70">
              <w:rPr>
                <w:lang w:val="en-CA"/>
              </w:rPr>
              <w:t>Casual staffing activities</w:t>
            </w:r>
          </w:p>
        </w:tc>
        <w:tc>
          <w:tcPr>
            <w:tcW w:w="882" w:type="pct"/>
          </w:tcPr>
          <w:p w14:paraId="04BA68BB" w14:textId="77777777" w:rsidR="00396E2A" w:rsidRPr="00726D70" w:rsidRDefault="00396E2A" w:rsidP="00396E2A">
            <w:pPr>
              <w:pStyle w:val="TableTitle"/>
              <w:rPr>
                <w:lang w:val="en-CA"/>
              </w:rPr>
            </w:pPr>
            <w:r w:rsidRPr="00726D70">
              <w:rPr>
                <w:lang w:val="en-CA"/>
              </w:rPr>
              <w:t>Student staffing activities</w:t>
            </w:r>
          </w:p>
        </w:tc>
        <w:tc>
          <w:tcPr>
            <w:tcW w:w="750" w:type="pct"/>
          </w:tcPr>
          <w:p w14:paraId="7E507CC3" w14:textId="77777777" w:rsidR="00396E2A" w:rsidRPr="00726D70" w:rsidRDefault="00396E2A" w:rsidP="00396E2A">
            <w:pPr>
              <w:pStyle w:val="TableTitle"/>
              <w:rPr>
                <w:lang w:val="en-CA"/>
              </w:rPr>
            </w:pPr>
            <w:r w:rsidRPr="00726D70">
              <w:rPr>
                <w:lang w:val="en-CA"/>
              </w:rPr>
              <w:t>Total staffing activities</w:t>
            </w:r>
          </w:p>
        </w:tc>
      </w:tr>
      <w:tr w:rsidR="00396E2A" w:rsidRPr="00726D70" w14:paraId="68E2BB0C" w14:textId="77777777" w:rsidTr="003675EB">
        <w:trPr>
          <w:cantSplit/>
          <w:tblHeader/>
          <w:jc w:val="center"/>
        </w:trPr>
        <w:tc>
          <w:tcPr>
            <w:tcW w:w="569" w:type="pct"/>
          </w:tcPr>
          <w:p w14:paraId="57DE0818" w14:textId="77777777" w:rsidR="00396E2A" w:rsidRPr="00726D70" w:rsidRDefault="00396E2A"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2014 to 2015</w:t>
            </w:r>
          </w:p>
        </w:tc>
        <w:tc>
          <w:tcPr>
            <w:tcW w:w="985" w:type="pct"/>
          </w:tcPr>
          <w:p w14:paraId="7BE95E27"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284</w:t>
            </w:r>
          </w:p>
        </w:tc>
        <w:tc>
          <w:tcPr>
            <w:tcW w:w="881" w:type="pct"/>
          </w:tcPr>
          <w:p w14:paraId="42CDEB6A"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144</w:t>
            </w:r>
          </w:p>
        </w:tc>
        <w:tc>
          <w:tcPr>
            <w:tcW w:w="933" w:type="pct"/>
          </w:tcPr>
          <w:p w14:paraId="70CD150D"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221</w:t>
            </w:r>
          </w:p>
        </w:tc>
        <w:tc>
          <w:tcPr>
            <w:tcW w:w="882" w:type="pct"/>
          </w:tcPr>
          <w:p w14:paraId="06AD81DF"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51</w:t>
            </w:r>
          </w:p>
        </w:tc>
        <w:tc>
          <w:tcPr>
            <w:tcW w:w="750" w:type="pct"/>
          </w:tcPr>
          <w:p w14:paraId="495BFC16"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700</w:t>
            </w:r>
          </w:p>
        </w:tc>
      </w:tr>
      <w:tr w:rsidR="00396E2A" w:rsidRPr="00726D70" w14:paraId="0171946D" w14:textId="77777777" w:rsidTr="003675EB">
        <w:trPr>
          <w:cantSplit/>
          <w:tblHeader/>
          <w:jc w:val="center"/>
        </w:trPr>
        <w:tc>
          <w:tcPr>
            <w:tcW w:w="569" w:type="pct"/>
          </w:tcPr>
          <w:p w14:paraId="5D2E9A24" w14:textId="77777777" w:rsidR="00396E2A" w:rsidRPr="00726D70" w:rsidRDefault="00396E2A"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2015 to 2016</w:t>
            </w:r>
          </w:p>
        </w:tc>
        <w:tc>
          <w:tcPr>
            <w:tcW w:w="985" w:type="pct"/>
          </w:tcPr>
          <w:p w14:paraId="5FDC4EA9"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193</w:t>
            </w:r>
          </w:p>
        </w:tc>
        <w:tc>
          <w:tcPr>
            <w:tcW w:w="881" w:type="pct"/>
          </w:tcPr>
          <w:p w14:paraId="21C2A5B4"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105</w:t>
            </w:r>
          </w:p>
        </w:tc>
        <w:tc>
          <w:tcPr>
            <w:tcW w:w="933" w:type="pct"/>
          </w:tcPr>
          <w:p w14:paraId="435BAAFB"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140</w:t>
            </w:r>
          </w:p>
        </w:tc>
        <w:tc>
          <w:tcPr>
            <w:tcW w:w="882" w:type="pct"/>
          </w:tcPr>
          <w:p w14:paraId="2EBB28B1"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23</w:t>
            </w:r>
          </w:p>
        </w:tc>
        <w:tc>
          <w:tcPr>
            <w:tcW w:w="750" w:type="pct"/>
          </w:tcPr>
          <w:p w14:paraId="5D14C90B"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461</w:t>
            </w:r>
          </w:p>
        </w:tc>
      </w:tr>
      <w:tr w:rsidR="00396E2A" w:rsidRPr="00726D70" w14:paraId="315FE308" w14:textId="77777777" w:rsidTr="003675EB">
        <w:trPr>
          <w:cantSplit/>
          <w:tblHeader/>
          <w:jc w:val="center"/>
        </w:trPr>
        <w:tc>
          <w:tcPr>
            <w:tcW w:w="569" w:type="pct"/>
          </w:tcPr>
          <w:p w14:paraId="7D57BC83" w14:textId="77777777" w:rsidR="00396E2A" w:rsidRPr="00726D70" w:rsidRDefault="00396E2A"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2016 to 2017</w:t>
            </w:r>
          </w:p>
        </w:tc>
        <w:tc>
          <w:tcPr>
            <w:tcW w:w="985" w:type="pct"/>
          </w:tcPr>
          <w:p w14:paraId="29E7E028"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253</w:t>
            </w:r>
          </w:p>
        </w:tc>
        <w:tc>
          <w:tcPr>
            <w:tcW w:w="881" w:type="pct"/>
          </w:tcPr>
          <w:p w14:paraId="3F8F3992"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78</w:t>
            </w:r>
          </w:p>
        </w:tc>
        <w:tc>
          <w:tcPr>
            <w:tcW w:w="933" w:type="pct"/>
          </w:tcPr>
          <w:p w14:paraId="74A0641D"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177</w:t>
            </w:r>
          </w:p>
        </w:tc>
        <w:tc>
          <w:tcPr>
            <w:tcW w:w="882" w:type="pct"/>
          </w:tcPr>
          <w:p w14:paraId="482D90B7"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51</w:t>
            </w:r>
          </w:p>
        </w:tc>
        <w:tc>
          <w:tcPr>
            <w:tcW w:w="750" w:type="pct"/>
          </w:tcPr>
          <w:p w14:paraId="171590C7"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559</w:t>
            </w:r>
          </w:p>
        </w:tc>
      </w:tr>
      <w:tr w:rsidR="00396E2A" w:rsidRPr="00726D70" w14:paraId="52676128" w14:textId="77777777" w:rsidTr="003675EB">
        <w:trPr>
          <w:cantSplit/>
          <w:tblHeader/>
          <w:jc w:val="center"/>
        </w:trPr>
        <w:tc>
          <w:tcPr>
            <w:tcW w:w="569" w:type="pct"/>
          </w:tcPr>
          <w:p w14:paraId="46958159" w14:textId="77777777" w:rsidR="00396E2A" w:rsidRPr="00726D70" w:rsidRDefault="00396E2A"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2017 to 2018</w:t>
            </w:r>
          </w:p>
        </w:tc>
        <w:tc>
          <w:tcPr>
            <w:tcW w:w="985" w:type="pct"/>
          </w:tcPr>
          <w:p w14:paraId="70900C32"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178</w:t>
            </w:r>
          </w:p>
        </w:tc>
        <w:tc>
          <w:tcPr>
            <w:tcW w:w="881" w:type="pct"/>
          </w:tcPr>
          <w:p w14:paraId="6130C456"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98</w:t>
            </w:r>
          </w:p>
        </w:tc>
        <w:tc>
          <w:tcPr>
            <w:tcW w:w="933" w:type="pct"/>
          </w:tcPr>
          <w:p w14:paraId="26E8FFEB"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122</w:t>
            </w:r>
          </w:p>
        </w:tc>
        <w:tc>
          <w:tcPr>
            <w:tcW w:w="882" w:type="pct"/>
          </w:tcPr>
          <w:p w14:paraId="53AEAAB1"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44</w:t>
            </w:r>
          </w:p>
        </w:tc>
        <w:tc>
          <w:tcPr>
            <w:tcW w:w="750" w:type="pct"/>
          </w:tcPr>
          <w:p w14:paraId="6ED73DB6"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442</w:t>
            </w:r>
          </w:p>
        </w:tc>
      </w:tr>
      <w:tr w:rsidR="00396E2A" w:rsidRPr="00726D70" w14:paraId="5E5D72F9" w14:textId="77777777" w:rsidTr="003675EB">
        <w:trPr>
          <w:cantSplit/>
          <w:tblHeader/>
          <w:jc w:val="center"/>
        </w:trPr>
        <w:tc>
          <w:tcPr>
            <w:tcW w:w="569" w:type="pct"/>
          </w:tcPr>
          <w:p w14:paraId="6307270D" w14:textId="77777777" w:rsidR="00396E2A" w:rsidRPr="00726D70" w:rsidRDefault="00396E2A"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2018 to 2019</w:t>
            </w:r>
          </w:p>
        </w:tc>
        <w:tc>
          <w:tcPr>
            <w:tcW w:w="985" w:type="pct"/>
          </w:tcPr>
          <w:p w14:paraId="247210AA"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389</w:t>
            </w:r>
          </w:p>
        </w:tc>
        <w:tc>
          <w:tcPr>
            <w:tcW w:w="881" w:type="pct"/>
          </w:tcPr>
          <w:p w14:paraId="46F615A9"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119</w:t>
            </w:r>
          </w:p>
        </w:tc>
        <w:tc>
          <w:tcPr>
            <w:tcW w:w="933" w:type="pct"/>
          </w:tcPr>
          <w:p w14:paraId="69A9CE4E"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146</w:t>
            </w:r>
          </w:p>
        </w:tc>
        <w:tc>
          <w:tcPr>
            <w:tcW w:w="882" w:type="pct"/>
          </w:tcPr>
          <w:p w14:paraId="325C8557"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40</w:t>
            </w:r>
          </w:p>
        </w:tc>
        <w:tc>
          <w:tcPr>
            <w:tcW w:w="750" w:type="pct"/>
          </w:tcPr>
          <w:p w14:paraId="22742FE0" w14:textId="77777777" w:rsidR="00396E2A" w:rsidRPr="00726D70" w:rsidRDefault="00396E2A"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694</w:t>
            </w:r>
          </w:p>
        </w:tc>
      </w:tr>
    </w:tbl>
    <w:p w14:paraId="4D73CBC0" w14:textId="77777777" w:rsidR="001B56E1" w:rsidRDefault="001B56E1">
      <w:pPr>
        <w:spacing w:after="160" w:line="259" w:lineRule="auto"/>
        <w:rPr>
          <w:rStyle w:val="lev"/>
          <w:lang w:val="en-CA"/>
        </w:rPr>
      </w:pPr>
      <w:r>
        <w:rPr>
          <w:rStyle w:val="lev"/>
          <w:lang w:val="en-CA"/>
        </w:rPr>
        <w:br w:type="page"/>
      </w:r>
    </w:p>
    <w:p w14:paraId="14323576" w14:textId="7C75C782" w:rsidR="00396E2A" w:rsidRPr="00726D70" w:rsidRDefault="00396E2A" w:rsidP="003675EB">
      <w:pPr>
        <w:spacing w:before="120"/>
        <w:rPr>
          <w:rStyle w:val="lev"/>
          <w:lang w:val="en-CA"/>
        </w:rPr>
      </w:pPr>
      <w:r w:rsidRPr="00726D70">
        <w:rPr>
          <w:rStyle w:val="lev"/>
          <w:lang w:val="en-CA"/>
        </w:rPr>
        <w:lastRenderedPageBreak/>
        <w:t>Key findings - Staffing and non-partisanship survey (2018)</w:t>
      </w:r>
    </w:p>
    <w:p w14:paraId="6539AC42" w14:textId="77777777" w:rsidR="00396E2A" w:rsidRPr="00726D70" w:rsidRDefault="00396E2A" w:rsidP="003675EB">
      <w:pPr>
        <w:pStyle w:val="Paragraphedeliste"/>
        <w:numPr>
          <w:ilvl w:val="0"/>
          <w:numId w:val="8"/>
        </w:numPr>
        <w:spacing w:after="100" w:afterAutospacing="1"/>
        <w:contextualSpacing w:val="0"/>
        <w:rPr>
          <w:rFonts w:asciiTheme="minorHAnsi" w:hAnsiTheme="minorHAnsi" w:cstheme="minorHAnsi"/>
          <w:sz w:val="22"/>
          <w:szCs w:val="22"/>
          <w:lang w:val="en-CA"/>
        </w:rPr>
      </w:pPr>
      <w:r w:rsidRPr="00726D70">
        <w:rPr>
          <w:rFonts w:asciiTheme="minorHAnsi" w:hAnsiTheme="minorHAnsi" w:cstheme="minorHAnsi"/>
          <w:sz w:val="22"/>
          <w:szCs w:val="22"/>
          <w:lang w:val="en-CA"/>
        </w:rPr>
        <w:t xml:space="preserve">66.8% of </w:t>
      </w:r>
      <w:r w:rsidRPr="00726D70">
        <w:rPr>
          <w:rStyle w:val="lev"/>
          <w:lang w:val="en-CA"/>
        </w:rPr>
        <w:t>employees</w:t>
      </w:r>
      <w:r w:rsidRPr="00726D70">
        <w:rPr>
          <w:rFonts w:asciiTheme="minorHAnsi" w:hAnsiTheme="minorHAnsi" w:cstheme="minorHAnsi"/>
          <w:sz w:val="22"/>
          <w:szCs w:val="22"/>
          <w:lang w:val="en-CA"/>
        </w:rPr>
        <w:t xml:space="preserve"> agreed that people hired can do the job, compared to 67.6% in organizations of similar size, and 53.8% in the federal public service</w:t>
      </w:r>
    </w:p>
    <w:p w14:paraId="70924940" w14:textId="77777777" w:rsidR="00396E2A" w:rsidRPr="00726D70" w:rsidRDefault="00396E2A" w:rsidP="005B549F">
      <w:pPr>
        <w:pStyle w:val="Paragraphedeliste"/>
        <w:numPr>
          <w:ilvl w:val="0"/>
          <w:numId w:val="8"/>
        </w:numPr>
        <w:spacing w:after="100" w:afterAutospacing="1"/>
        <w:contextualSpacing w:val="0"/>
        <w:rPr>
          <w:rFonts w:asciiTheme="minorHAnsi" w:hAnsiTheme="minorHAnsi" w:cstheme="minorHAnsi"/>
          <w:sz w:val="22"/>
          <w:szCs w:val="22"/>
          <w:lang w:val="en-CA"/>
        </w:rPr>
      </w:pPr>
      <w:r w:rsidRPr="00726D70">
        <w:rPr>
          <w:rFonts w:asciiTheme="minorHAnsi" w:hAnsiTheme="minorHAnsi" w:cstheme="minorHAnsi"/>
          <w:sz w:val="22"/>
          <w:szCs w:val="22"/>
          <w:lang w:val="en-CA"/>
        </w:rPr>
        <w:t xml:space="preserve">65.9% of </w:t>
      </w:r>
      <w:r w:rsidRPr="00726D70">
        <w:rPr>
          <w:rStyle w:val="lev"/>
          <w:lang w:val="en-CA"/>
        </w:rPr>
        <w:t>managers</w:t>
      </w:r>
      <w:r w:rsidRPr="00726D70">
        <w:rPr>
          <w:rFonts w:asciiTheme="minorHAnsi" w:hAnsiTheme="minorHAnsi" w:cstheme="minorHAnsi"/>
          <w:sz w:val="22"/>
          <w:szCs w:val="22"/>
          <w:lang w:val="en-CA"/>
        </w:rPr>
        <w:t xml:space="preserve"> agreed that the New Direction in Staffing has improved the way they hire and appoint persons to and within their organization, compared to 69.4% in organizations of similar size, and 56.1% in the federal public service</w:t>
      </w:r>
    </w:p>
    <w:p w14:paraId="32761E99" w14:textId="77777777" w:rsidR="00F945B0" w:rsidRPr="00726D70" w:rsidRDefault="00396E2A" w:rsidP="005B549F">
      <w:pPr>
        <w:pStyle w:val="Paragraphedeliste"/>
        <w:numPr>
          <w:ilvl w:val="0"/>
          <w:numId w:val="8"/>
        </w:numPr>
        <w:spacing w:after="100" w:afterAutospacing="1"/>
        <w:contextualSpacing w:val="0"/>
        <w:rPr>
          <w:rFonts w:asciiTheme="minorHAnsi" w:hAnsiTheme="minorHAnsi" w:cstheme="minorHAnsi"/>
          <w:sz w:val="22"/>
          <w:szCs w:val="22"/>
          <w:lang w:val="en-CA"/>
        </w:rPr>
        <w:sectPr w:rsidR="00F945B0" w:rsidRPr="00726D70" w:rsidSect="0012105C">
          <w:footnotePr>
            <w:numFmt w:val="lowerLetter"/>
          </w:footnotePr>
          <w:endnotePr>
            <w:numFmt w:val="lowerLetter"/>
          </w:endnotePr>
          <w:pgSz w:w="15840" w:h="12240" w:orient="landscape" w:code="1"/>
          <w:pgMar w:top="1440" w:right="1080" w:bottom="1440" w:left="1080" w:header="284" w:footer="284" w:gutter="0"/>
          <w:cols w:space="720"/>
          <w:docGrid w:linePitch="326"/>
        </w:sectPr>
      </w:pPr>
      <w:r w:rsidRPr="00726D70">
        <w:rPr>
          <w:rFonts w:asciiTheme="minorHAnsi" w:hAnsiTheme="minorHAnsi" w:cstheme="minorHAnsi"/>
          <w:sz w:val="22"/>
          <w:szCs w:val="22"/>
          <w:lang w:val="en-CA"/>
        </w:rPr>
        <w:t xml:space="preserve">85.3% of </w:t>
      </w:r>
      <w:r w:rsidRPr="00726D70">
        <w:rPr>
          <w:rStyle w:val="lev"/>
          <w:lang w:val="en-CA"/>
        </w:rPr>
        <w:t>managers</w:t>
      </w:r>
      <w:r w:rsidRPr="00726D70">
        <w:rPr>
          <w:rFonts w:asciiTheme="minorHAnsi" w:hAnsiTheme="minorHAnsi" w:cstheme="minorHAnsi"/>
          <w:sz w:val="22"/>
          <w:szCs w:val="22"/>
          <w:lang w:val="en-CA"/>
        </w:rPr>
        <w:t xml:space="preserve"> agreed that within their organization, the administrative to staff a position is </w:t>
      </w:r>
      <w:r w:rsidRPr="00726D70">
        <w:rPr>
          <w:rStyle w:val="lev"/>
          <w:lang w:val="en-CA"/>
        </w:rPr>
        <w:t>burdensome</w:t>
      </w:r>
      <w:r w:rsidRPr="00726D70">
        <w:rPr>
          <w:rFonts w:asciiTheme="minorHAnsi" w:hAnsiTheme="minorHAnsi" w:cstheme="minorHAnsi"/>
          <w:sz w:val="22"/>
          <w:szCs w:val="22"/>
          <w:lang w:val="en-CA"/>
        </w:rPr>
        <w:t>, compared to 84.0% in organizations of similar size, and 87.9% in the federal public service</w:t>
      </w:r>
    </w:p>
    <w:p w14:paraId="131FCF21" w14:textId="77777777" w:rsidR="003F23FE" w:rsidRPr="00726D70" w:rsidRDefault="003F23FE" w:rsidP="003F23FE">
      <w:pPr>
        <w:pStyle w:val="Titre1"/>
        <w:spacing w:before="120" w:after="120"/>
        <w:rPr>
          <w:sz w:val="40"/>
          <w:lang w:val="en-CA"/>
        </w:rPr>
      </w:pPr>
      <w:r w:rsidRPr="00726D70">
        <w:rPr>
          <w:rFonts w:eastAsia="Times New Roman"/>
          <w:sz w:val="40"/>
          <w:lang w:val="en-CA"/>
        </w:rPr>
        <w:lastRenderedPageBreak/>
        <w:t>Student program hires</w:t>
      </w:r>
    </w:p>
    <w:p w14:paraId="1D3357AB" w14:textId="77777777" w:rsidR="00E25C01" w:rsidRPr="00726D70" w:rsidRDefault="007F3B3C" w:rsidP="00E25C01">
      <w:pPr>
        <w:keepNext/>
        <w:jc w:val="center"/>
        <w:rPr>
          <w:lang w:val="en-CA"/>
        </w:rPr>
      </w:pPr>
      <w:r w:rsidRPr="00726D70">
        <w:rPr>
          <w:rStyle w:val="lev"/>
          <w:noProof/>
          <w:lang w:val="en-CA" w:eastAsia="en-CA"/>
        </w:rPr>
        <w:drawing>
          <wp:inline distT="0" distB="0" distL="0" distR="0" wp14:anchorId="4B0D89A6" wp14:editId="4856613F">
            <wp:extent cx="5648400" cy="3049200"/>
            <wp:effectExtent l="0" t="0" r="9525" b="18415"/>
            <wp:docPr id="17" name="Chart 17" descr="Student Program Hi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994526" w14:textId="01D77CBB" w:rsidR="00E25C01" w:rsidRPr="00726D70" w:rsidRDefault="00E25C01" w:rsidP="00E25C01">
      <w:pPr>
        <w:pStyle w:val="Lgende"/>
        <w:spacing w:after="240"/>
        <w:jc w:val="center"/>
        <w:rPr>
          <w:lang w:val="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10</w:t>
      </w:r>
      <w:r w:rsidRPr="00726D70">
        <w:rPr>
          <w:lang w:val="en-CA"/>
        </w:rPr>
        <w:fldChar w:fldCharType="end"/>
      </w:r>
      <w:r w:rsidRPr="00726D70">
        <w:rPr>
          <w:lang w:val="en-CA"/>
        </w:rPr>
        <w:t xml:space="preserve"> - Student program hires</w:t>
      </w:r>
    </w:p>
    <w:p w14:paraId="2D4781E9" w14:textId="0A789389" w:rsidR="00E25C01" w:rsidRPr="00726D70" w:rsidRDefault="00E25C01" w:rsidP="00E25C01">
      <w:pPr>
        <w:pStyle w:val="Lgende"/>
        <w:keepNext/>
        <w:jc w:val="center"/>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13</w:t>
      </w:r>
      <w:r w:rsidRPr="00726D70">
        <w:rPr>
          <w:lang w:val="en-CA"/>
        </w:rPr>
        <w:fldChar w:fldCharType="end"/>
      </w:r>
      <w:r w:rsidRPr="00726D70">
        <w:rPr>
          <w:lang w:val="en-CA"/>
        </w:rPr>
        <w:t xml:space="preserve"> - Student staffing activities by recruitment program and fiscal year</w:t>
      </w:r>
    </w:p>
    <w:tbl>
      <w:tblPr>
        <w:tblStyle w:val="Grilledutableau"/>
        <w:tblW w:w="0" w:type="auto"/>
        <w:jc w:val="center"/>
        <w:tblLook w:val="0000" w:firstRow="0" w:lastRow="0" w:firstColumn="0" w:lastColumn="0" w:noHBand="0" w:noVBand="0"/>
        <w:tblDescription w:val="Student program hires from 2014 to 2019"/>
      </w:tblPr>
      <w:tblGrid>
        <w:gridCol w:w="2122"/>
        <w:gridCol w:w="3610"/>
        <w:gridCol w:w="4186"/>
        <w:gridCol w:w="2410"/>
        <w:gridCol w:w="1342"/>
      </w:tblGrid>
      <w:tr w:rsidR="00E25C01" w:rsidRPr="00726D70" w14:paraId="6C8BCEEA" w14:textId="77777777" w:rsidTr="00EC3553">
        <w:trPr>
          <w:cantSplit/>
          <w:tblHeader/>
          <w:jc w:val="center"/>
        </w:trPr>
        <w:tc>
          <w:tcPr>
            <w:tcW w:w="2122" w:type="dxa"/>
          </w:tcPr>
          <w:p w14:paraId="0CFE9082" w14:textId="77777777" w:rsidR="00E25C01" w:rsidRPr="00726D70" w:rsidRDefault="00E25C01" w:rsidP="00E25C01">
            <w:pPr>
              <w:pStyle w:val="TableTitle"/>
              <w:contextualSpacing/>
              <w:rPr>
                <w:lang w:val="en-CA"/>
              </w:rPr>
            </w:pPr>
            <w:r w:rsidRPr="00726D70">
              <w:rPr>
                <w:lang w:val="en-CA"/>
              </w:rPr>
              <w:t>Fiscal year</w:t>
            </w:r>
          </w:p>
        </w:tc>
        <w:tc>
          <w:tcPr>
            <w:tcW w:w="3610" w:type="dxa"/>
          </w:tcPr>
          <w:p w14:paraId="1CFA8C91" w14:textId="77777777" w:rsidR="00E25C01" w:rsidRPr="00726D70" w:rsidRDefault="00E25C01" w:rsidP="00E25C01">
            <w:pPr>
              <w:pStyle w:val="TableTitle"/>
              <w:contextualSpacing/>
              <w:rPr>
                <w:lang w:val="en-CA"/>
              </w:rPr>
            </w:pPr>
            <w:r w:rsidRPr="00726D70">
              <w:rPr>
                <w:lang w:val="en-CA"/>
              </w:rPr>
              <w:t>Federal Student Work Experience Program</w:t>
            </w:r>
          </w:p>
        </w:tc>
        <w:tc>
          <w:tcPr>
            <w:tcW w:w="4186" w:type="dxa"/>
          </w:tcPr>
          <w:p w14:paraId="52EF5923" w14:textId="77777777" w:rsidR="00E25C01" w:rsidRPr="00726D70" w:rsidRDefault="00E25C01" w:rsidP="00E25C01">
            <w:pPr>
              <w:pStyle w:val="TableTitle"/>
              <w:contextualSpacing/>
              <w:rPr>
                <w:lang w:val="en-CA"/>
              </w:rPr>
            </w:pPr>
            <w:r w:rsidRPr="00726D70">
              <w:rPr>
                <w:lang w:val="en-CA"/>
              </w:rPr>
              <w:t>Post-Secondary Co-op/Internship Program</w:t>
            </w:r>
          </w:p>
        </w:tc>
        <w:tc>
          <w:tcPr>
            <w:tcW w:w="2410" w:type="dxa"/>
          </w:tcPr>
          <w:p w14:paraId="433B71FA" w14:textId="77777777" w:rsidR="00E25C01" w:rsidRPr="00726D70" w:rsidRDefault="00E25C01" w:rsidP="00E25C01">
            <w:pPr>
              <w:pStyle w:val="TableTitle"/>
              <w:contextualSpacing/>
              <w:rPr>
                <w:lang w:val="en-CA"/>
              </w:rPr>
            </w:pPr>
            <w:r w:rsidRPr="00726D70">
              <w:rPr>
                <w:lang w:val="en-CA"/>
              </w:rPr>
              <w:t>Research Affiliate Program</w:t>
            </w:r>
          </w:p>
        </w:tc>
        <w:tc>
          <w:tcPr>
            <w:tcW w:w="1342" w:type="dxa"/>
          </w:tcPr>
          <w:p w14:paraId="5A904AA0" w14:textId="77777777" w:rsidR="00E25C01" w:rsidRPr="00726D70" w:rsidRDefault="00E25C01" w:rsidP="00E25C01">
            <w:pPr>
              <w:pStyle w:val="TableTitle"/>
              <w:contextualSpacing/>
              <w:rPr>
                <w:lang w:val="en-CA"/>
              </w:rPr>
            </w:pPr>
            <w:r w:rsidRPr="00726D70">
              <w:rPr>
                <w:lang w:val="en-CA"/>
              </w:rPr>
              <w:t>Total</w:t>
            </w:r>
          </w:p>
        </w:tc>
      </w:tr>
      <w:tr w:rsidR="00E25C01" w:rsidRPr="00726D70" w14:paraId="4745280A" w14:textId="77777777" w:rsidTr="00EC3553">
        <w:trPr>
          <w:cantSplit/>
          <w:tblHeader/>
          <w:jc w:val="center"/>
        </w:trPr>
        <w:tc>
          <w:tcPr>
            <w:tcW w:w="2122" w:type="dxa"/>
          </w:tcPr>
          <w:p w14:paraId="4A8DCB56" w14:textId="77777777" w:rsidR="00E25C01" w:rsidRPr="00726D70" w:rsidRDefault="00E25C01" w:rsidP="00A367FE">
            <w:pPr>
              <w:autoSpaceDE w:val="0"/>
              <w:autoSpaceDN w:val="0"/>
              <w:adjustRightInd w:val="0"/>
              <w:contextualSpacing/>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2014 to 2015</w:t>
            </w:r>
          </w:p>
        </w:tc>
        <w:tc>
          <w:tcPr>
            <w:tcW w:w="3610" w:type="dxa"/>
          </w:tcPr>
          <w:p w14:paraId="3CBE8479"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29</w:t>
            </w:r>
          </w:p>
        </w:tc>
        <w:tc>
          <w:tcPr>
            <w:tcW w:w="4186" w:type="dxa"/>
          </w:tcPr>
          <w:p w14:paraId="73ECF4D0"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22</w:t>
            </w:r>
          </w:p>
        </w:tc>
        <w:tc>
          <w:tcPr>
            <w:tcW w:w="2410" w:type="dxa"/>
          </w:tcPr>
          <w:p w14:paraId="6478CE1D"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2" w:type="dxa"/>
          </w:tcPr>
          <w:p w14:paraId="098826CC"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51</w:t>
            </w:r>
          </w:p>
        </w:tc>
      </w:tr>
      <w:tr w:rsidR="00E25C01" w:rsidRPr="00726D70" w14:paraId="25D125F4" w14:textId="77777777" w:rsidTr="00EC3553">
        <w:trPr>
          <w:cantSplit/>
          <w:tblHeader/>
          <w:jc w:val="center"/>
        </w:trPr>
        <w:tc>
          <w:tcPr>
            <w:tcW w:w="2122" w:type="dxa"/>
          </w:tcPr>
          <w:p w14:paraId="431DEFDC" w14:textId="77777777" w:rsidR="00E25C01" w:rsidRPr="00726D70" w:rsidRDefault="00E25C01" w:rsidP="00A367FE">
            <w:pPr>
              <w:autoSpaceDE w:val="0"/>
              <w:autoSpaceDN w:val="0"/>
              <w:adjustRightInd w:val="0"/>
              <w:contextualSpacing/>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2015 to 2016</w:t>
            </w:r>
          </w:p>
        </w:tc>
        <w:tc>
          <w:tcPr>
            <w:tcW w:w="3610" w:type="dxa"/>
          </w:tcPr>
          <w:p w14:paraId="6E8797CC"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19</w:t>
            </w:r>
          </w:p>
        </w:tc>
        <w:tc>
          <w:tcPr>
            <w:tcW w:w="4186" w:type="dxa"/>
          </w:tcPr>
          <w:p w14:paraId="62D754E2"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w:t>
            </w:r>
          </w:p>
        </w:tc>
        <w:tc>
          <w:tcPr>
            <w:tcW w:w="2410" w:type="dxa"/>
          </w:tcPr>
          <w:p w14:paraId="79E051F7"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2" w:type="dxa"/>
          </w:tcPr>
          <w:p w14:paraId="2DB57834"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23</w:t>
            </w:r>
          </w:p>
        </w:tc>
      </w:tr>
      <w:tr w:rsidR="00E25C01" w:rsidRPr="00726D70" w14:paraId="471F976C" w14:textId="77777777" w:rsidTr="00EC3553">
        <w:trPr>
          <w:cantSplit/>
          <w:tblHeader/>
          <w:jc w:val="center"/>
        </w:trPr>
        <w:tc>
          <w:tcPr>
            <w:tcW w:w="2122" w:type="dxa"/>
          </w:tcPr>
          <w:p w14:paraId="63A9CAEB" w14:textId="77777777" w:rsidR="00E25C01" w:rsidRPr="00726D70" w:rsidRDefault="00E25C01" w:rsidP="00A367FE">
            <w:pPr>
              <w:autoSpaceDE w:val="0"/>
              <w:autoSpaceDN w:val="0"/>
              <w:adjustRightInd w:val="0"/>
              <w:contextualSpacing/>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2016 to 2017</w:t>
            </w:r>
          </w:p>
        </w:tc>
        <w:tc>
          <w:tcPr>
            <w:tcW w:w="3610" w:type="dxa"/>
          </w:tcPr>
          <w:p w14:paraId="03DA8BF1"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30</w:t>
            </w:r>
          </w:p>
        </w:tc>
        <w:tc>
          <w:tcPr>
            <w:tcW w:w="4186" w:type="dxa"/>
          </w:tcPr>
          <w:p w14:paraId="7237459C"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21</w:t>
            </w:r>
          </w:p>
        </w:tc>
        <w:tc>
          <w:tcPr>
            <w:tcW w:w="2410" w:type="dxa"/>
          </w:tcPr>
          <w:p w14:paraId="4D766031"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2" w:type="dxa"/>
          </w:tcPr>
          <w:p w14:paraId="51550EA4"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51</w:t>
            </w:r>
          </w:p>
        </w:tc>
      </w:tr>
      <w:tr w:rsidR="00E25C01" w:rsidRPr="00726D70" w14:paraId="21E93703" w14:textId="77777777" w:rsidTr="00EC3553">
        <w:trPr>
          <w:cantSplit/>
          <w:tblHeader/>
          <w:jc w:val="center"/>
        </w:trPr>
        <w:tc>
          <w:tcPr>
            <w:tcW w:w="2122" w:type="dxa"/>
          </w:tcPr>
          <w:p w14:paraId="2200EF04" w14:textId="77777777" w:rsidR="00E25C01" w:rsidRPr="00726D70" w:rsidRDefault="00E25C01" w:rsidP="00A367FE">
            <w:pPr>
              <w:autoSpaceDE w:val="0"/>
              <w:autoSpaceDN w:val="0"/>
              <w:adjustRightInd w:val="0"/>
              <w:contextualSpacing/>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2017 to 2018</w:t>
            </w:r>
          </w:p>
        </w:tc>
        <w:tc>
          <w:tcPr>
            <w:tcW w:w="3610" w:type="dxa"/>
          </w:tcPr>
          <w:p w14:paraId="18DE2BB2"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28</w:t>
            </w:r>
          </w:p>
        </w:tc>
        <w:tc>
          <w:tcPr>
            <w:tcW w:w="4186" w:type="dxa"/>
          </w:tcPr>
          <w:p w14:paraId="1E3F0AD5"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16</w:t>
            </w:r>
          </w:p>
        </w:tc>
        <w:tc>
          <w:tcPr>
            <w:tcW w:w="2410" w:type="dxa"/>
          </w:tcPr>
          <w:p w14:paraId="738F4593"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2" w:type="dxa"/>
          </w:tcPr>
          <w:p w14:paraId="5A6CFB15"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44</w:t>
            </w:r>
          </w:p>
        </w:tc>
      </w:tr>
      <w:tr w:rsidR="00E25C01" w:rsidRPr="00726D70" w14:paraId="04EFA394" w14:textId="77777777" w:rsidTr="00EC3553">
        <w:trPr>
          <w:cantSplit/>
          <w:tblHeader/>
          <w:jc w:val="center"/>
        </w:trPr>
        <w:tc>
          <w:tcPr>
            <w:tcW w:w="2122" w:type="dxa"/>
          </w:tcPr>
          <w:p w14:paraId="0AF03487" w14:textId="77777777" w:rsidR="00E25C01" w:rsidRPr="00726D70" w:rsidRDefault="00E25C01" w:rsidP="00A367FE">
            <w:pPr>
              <w:autoSpaceDE w:val="0"/>
              <w:autoSpaceDN w:val="0"/>
              <w:adjustRightInd w:val="0"/>
              <w:contextualSpacing/>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2018 to 2019</w:t>
            </w:r>
          </w:p>
        </w:tc>
        <w:tc>
          <w:tcPr>
            <w:tcW w:w="3610" w:type="dxa"/>
          </w:tcPr>
          <w:p w14:paraId="3C1BC8A1"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29</w:t>
            </w:r>
          </w:p>
        </w:tc>
        <w:tc>
          <w:tcPr>
            <w:tcW w:w="4186" w:type="dxa"/>
          </w:tcPr>
          <w:p w14:paraId="10EC9B10"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11</w:t>
            </w:r>
          </w:p>
        </w:tc>
        <w:tc>
          <w:tcPr>
            <w:tcW w:w="2410" w:type="dxa"/>
          </w:tcPr>
          <w:p w14:paraId="60056EBB"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2" w:type="dxa"/>
          </w:tcPr>
          <w:p w14:paraId="4B75E56F" w14:textId="77777777" w:rsidR="00E25C01" w:rsidRPr="00726D70" w:rsidRDefault="00E25C01" w:rsidP="00A367FE">
            <w:pPr>
              <w:autoSpaceDE w:val="0"/>
              <w:autoSpaceDN w:val="0"/>
              <w:adjustRightInd w:val="0"/>
              <w:contextualSpacing/>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40</w:t>
            </w:r>
          </w:p>
        </w:tc>
      </w:tr>
    </w:tbl>
    <w:p w14:paraId="1481A0C3" w14:textId="77777777" w:rsidR="003F23FE" w:rsidRPr="00726D70" w:rsidRDefault="003F23FE" w:rsidP="003F23FE">
      <w:pPr>
        <w:pStyle w:val="Titre1"/>
        <w:spacing w:before="120" w:after="120"/>
        <w:rPr>
          <w:sz w:val="28"/>
          <w:lang w:val="en-CA"/>
        </w:rPr>
      </w:pPr>
      <w:r w:rsidRPr="00726D70">
        <w:rPr>
          <w:rFonts w:eastAsia="Times New Roman"/>
          <w:sz w:val="28"/>
          <w:lang w:val="en-CA"/>
        </w:rPr>
        <w:lastRenderedPageBreak/>
        <w:t>External indeterminate and term hiring activities: Post-Secondary Recruitment Program and former student hires</w:t>
      </w:r>
    </w:p>
    <w:p w14:paraId="10EA8390" w14:textId="77777777" w:rsidR="00E25C01" w:rsidRPr="00726D70" w:rsidRDefault="00E25C01" w:rsidP="00E25C01">
      <w:pPr>
        <w:keepNext/>
        <w:jc w:val="center"/>
        <w:rPr>
          <w:lang w:val="en-CA"/>
        </w:rPr>
      </w:pPr>
      <w:r w:rsidRPr="00726D70">
        <w:rPr>
          <w:rStyle w:val="lev"/>
          <w:noProof/>
          <w:lang w:val="en-CA" w:eastAsia="en-CA"/>
        </w:rPr>
        <w:drawing>
          <wp:inline distT="0" distB="0" distL="0" distR="0" wp14:anchorId="4F0DD132" wp14:editId="0FC5B6A3">
            <wp:extent cx="5648400" cy="3049200"/>
            <wp:effectExtent l="0" t="0" r="9525" b="18415"/>
            <wp:docPr id="2" name="Chart 2" descr="External indeterminate and term hiring activities: Post-Secondary Recruitment Program and former student hire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52FDAE" w14:textId="6DDD8310" w:rsidR="00E25C01" w:rsidRPr="00726D70" w:rsidRDefault="00E25C01" w:rsidP="00E25C01">
      <w:pPr>
        <w:pStyle w:val="Lgende"/>
        <w:spacing w:after="240"/>
        <w:jc w:val="center"/>
        <w:rPr>
          <w:lang w:val="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11</w:t>
      </w:r>
      <w:r w:rsidRPr="00726D70">
        <w:rPr>
          <w:lang w:val="en-CA"/>
        </w:rPr>
        <w:fldChar w:fldCharType="end"/>
      </w:r>
      <w:r w:rsidRPr="00726D70">
        <w:rPr>
          <w:lang w:val="en-CA"/>
        </w:rPr>
        <w:t xml:space="preserve"> - External indeterminate and term hiring activities: Post-Secondary Recruitment Program and former student hires</w:t>
      </w:r>
    </w:p>
    <w:p w14:paraId="72DC4DC9" w14:textId="63B76DEF" w:rsidR="00E25C01" w:rsidRPr="00726D70" w:rsidRDefault="00E25C01" w:rsidP="00E25C01">
      <w:pPr>
        <w:pStyle w:val="Lgende"/>
        <w:keepNext/>
        <w:jc w:val="center"/>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14</w:t>
      </w:r>
      <w:r w:rsidRPr="00726D70">
        <w:rPr>
          <w:lang w:val="en-CA"/>
        </w:rPr>
        <w:fldChar w:fldCharType="end"/>
      </w:r>
      <w:r w:rsidRPr="00726D70">
        <w:rPr>
          <w:lang w:val="en-CA"/>
        </w:rPr>
        <w:t xml:space="preserve"> - External indeterminate and term hiring activities: Post-Secondary Recruitment Program and former student hires by fiscal year</w:t>
      </w:r>
    </w:p>
    <w:tbl>
      <w:tblPr>
        <w:tblStyle w:val="Grilledutableau"/>
        <w:tblW w:w="5000" w:type="pct"/>
        <w:jc w:val="center"/>
        <w:tblLook w:val="0000" w:firstRow="0" w:lastRow="0" w:firstColumn="0" w:lastColumn="0" w:noHBand="0" w:noVBand="0"/>
        <w:tblDescription w:val="External indeterminate and term hiring activities"/>
      </w:tblPr>
      <w:tblGrid>
        <w:gridCol w:w="2201"/>
        <w:gridCol w:w="7125"/>
        <w:gridCol w:w="4344"/>
      </w:tblGrid>
      <w:tr w:rsidR="00E25C01" w:rsidRPr="00726D70" w14:paraId="10621C00" w14:textId="77777777" w:rsidTr="0085385F">
        <w:trPr>
          <w:cantSplit/>
          <w:tblHeader/>
          <w:jc w:val="center"/>
        </w:trPr>
        <w:tc>
          <w:tcPr>
            <w:tcW w:w="805" w:type="pct"/>
          </w:tcPr>
          <w:p w14:paraId="2DDAF00D" w14:textId="77777777" w:rsidR="00E25C01" w:rsidRPr="00726D70" w:rsidRDefault="00E25C01" w:rsidP="00E25C01">
            <w:pPr>
              <w:pStyle w:val="TableTitle"/>
              <w:rPr>
                <w:lang w:val="en-CA"/>
              </w:rPr>
            </w:pPr>
            <w:r w:rsidRPr="00726D70">
              <w:rPr>
                <w:lang w:val="en-CA"/>
              </w:rPr>
              <w:t>Fiscal year</w:t>
            </w:r>
          </w:p>
        </w:tc>
        <w:tc>
          <w:tcPr>
            <w:tcW w:w="2606" w:type="pct"/>
          </w:tcPr>
          <w:p w14:paraId="4337F5AB" w14:textId="77777777" w:rsidR="00E25C01" w:rsidRPr="00726D70" w:rsidRDefault="00E25C01" w:rsidP="00E25C01">
            <w:pPr>
              <w:pStyle w:val="TableTitle"/>
              <w:rPr>
                <w:lang w:val="en-CA"/>
              </w:rPr>
            </w:pPr>
            <w:r w:rsidRPr="00726D70">
              <w:rPr>
                <w:lang w:val="en-CA"/>
              </w:rPr>
              <w:t>Post-Secondary Recruitment Program hires</w:t>
            </w:r>
          </w:p>
        </w:tc>
        <w:tc>
          <w:tcPr>
            <w:tcW w:w="1589" w:type="pct"/>
          </w:tcPr>
          <w:p w14:paraId="54D87DE2" w14:textId="77777777" w:rsidR="00E25C01" w:rsidRPr="00726D70" w:rsidRDefault="00E25C01" w:rsidP="00E25C01">
            <w:pPr>
              <w:pStyle w:val="TableTitle"/>
              <w:rPr>
                <w:lang w:val="en-CA"/>
              </w:rPr>
            </w:pPr>
            <w:r w:rsidRPr="00726D70">
              <w:rPr>
                <w:lang w:val="en-CA"/>
              </w:rPr>
              <w:t>Hiring of former students</w:t>
            </w:r>
          </w:p>
        </w:tc>
      </w:tr>
      <w:tr w:rsidR="00E25C01" w:rsidRPr="00726D70" w14:paraId="74DAA43F" w14:textId="77777777" w:rsidTr="0085385F">
        <w:trPr>
          <w:cantSplit/>
          <w:tblHeader/>
          <w:jc w:val="center"/>
        </w:trPr>
        <w:tc>
          <w:tcPr>
            <w:tcW w:w="805" w:type="pct"/>
          </w:tcPr>
          <w:p w14:paraId="1ED8D7C3" w14:textId="77777777" w:rsidR="00E25C01" w:rsidRPr="00726D70" w:rsidRDefault="00E25C0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2014 to 2015</w:t>
            </w:r>
          </w:p>
        </w:tc>
        <w:tc>
          <w:tcPr>
            <w:tcW w:w="2606" w:type="pct"/>
          </w:tcPr>
          <w:p w14:paraId="7FDA0A4F" w14:textId="77777777" w:rsidR="00E25C01" w:rsidRPr="00726D70" w:rsidRDefault="00E25C0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w:t>
            </w:r>
          </w:p>
        </w:tc>
        <w:tc>
          <w:tcPr>
            <w:tcW w:w="1589" w:type="pct"/>
          </w:tcPr>
          <w:p w14:paraId="6ACA7AEC" w14:textId="77777777" w:rsidR="00E25C01" w:rsidRPr="00726D70" w:rsidRDefault="00E25C0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28</w:t>
            </w:r>
          </w:p>
        </w:tc>
      </w:tr>
      <w:tr w:rsidR="00E25C01" w:rsidRPr="00726D70" w14:paraId="6137152B" w14:textId="77777777" w:rsidTr="0085385F">
        <w:trPr>
          <w:cantSplit/>
          <w:tblHeader/>
          <w:jc w:val="center"/>
        </w:trPr>
        <w:tc>
          <w:tcPr>
            <w:tcW w:w="805" w:type="pct"/>
          </w:tcPr>
          <w:p w14:paraId="02DBF01D" w14:textId="77777777" w:rsidR="00E25C01" w:rsidRPr="00726D70" w:rsidRDefault="00E25C0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2015 to 2016</w:t>
            </w:r>
          </w:p>
        </w:tc>
        <w:tc>
          <w:tcPr>
            <w:tcW w:w="2606" w:type="pct"/>
          </w:tcPr>
          <w:p w14:paraId="4A973950" w14:textId="77777777" w:rsidR="00E25C01" w:rsidRPr="00726D70" w:rsidRDefault="00E25C0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589" w:type="pct"/>
          </w:tcPr>
          <w:p w14:paraId="267E956C" w14:textId="77777777" w:rsidR="00E25C01" w:rsidRPr="00726D70" w:rsidRDefault="00E25C0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w:t>
            </w:r>
          </w:p>
        </w:tc>
      </w:tr>
      <w:tr w:rsidR="00E25C01" w:rsidRPr="00726D70" w14:paraId="0AE09557" w14:textId="77777777" w:rsidTr="0085385F">
        <w:trPr>
          <w:cantSplit/>
          <w:tblHeader/>
          <w:jc w:val="center"/>
        </w:trPr>
        <w:tc>
          <w:tcPr>
            <w:tcW w:w="805" w:type="pct"/>
          </w:tcPr>
          <w:p w14:paraId="1933F0A9" w14:textId="77777777" w:rsidR="00E25C01" w:rsidRPr="00726D70" w:rsidRDefault="00E25C0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2016 to 2017</w:t>
            </w:r>
          </w:p>
        </w:tc>
        <w:tc>
          <w:tcPr>
            <w:tcW w:w="2606" w:type="pct"/>
          </w:tcPr>
          <w:p w14:paraId="78A4354B" w14:textId="77777777" w:rsidR="00E25C01" w:rsidRPr="00726D70" w:rsidRDefault="00E25C0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w:t>
            </w:r>
          </w:p>
        </w:tc>
        <w:tc>
          <w:tcPr>
            <w:tcW w:w="1589" w:type="pct"/>
          </w:tcPr>
          <w:p w14:paraId="4E9D7D66" w14:textId="77777777" w:rsidR="00E25C01" w:rsidRPr="00726D70" w:rsidRDefault="00E25C0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15</w:t>
            </w:r>
          </w:p>
        </w:tc>
      </w:tr>
      <w:tr w:rsidR="00E25C01" w:rsidRPr="00726D70" w14:paraId="0439A827" w14:textId="77777777" w:rsidTr="0085385F">
        <w:trPr>
          <w:cantSplit/>
          <w:tblHeader/>
          <w:jc w:val="center"/>
        </w:trPr>
        <w:tc>
          <w:tcPr>
            <w:tcW w:w="805" w:type="pct"/>
          </w:tcPr>
          <w:p w14:paraId="64CDD191" w14:textId="77777777" w:rsidR="00E25C01" w:rsidRPr="00726D70" w:rsidRDefault="00E25C0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2017 to 2018</w:t>
            </w:r>
          </w:p>
        </w:tc>
        <w:tc>
          <w:tcPr>
            <w:tcW w:w="2606" w:type="pct"/>
          </w:tcPr>
          <w:p w14:paraId="46ED92E6" w14:textId="77777777" w:rsidR="00E25C01" w:rsidRPr="00726D70" w:rsidRDefault="00E25C0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w:t>
            </w:r>
          </w:p>
        </w:tc>
        <w:tc>
          <w:tcPr>
            <w:tcW w:w="1589" w:type="pct"/>
          </w:tcPr>
          <w:p w14:paraId="232958A0" w14:textId="77777777" w:rsidR="00E25C01" w:rsidRPr="00726D70" w:rsidRDefault="00E25C0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w:t>
            </w:r>
          </w:p>
        </w:tc>
      </w:tr>
      <w:tr w:rsidR="00E25C01" w:rsidRPr="00726D70" w14:paraId="16A2121F" w14:textId="77777777" w:rsidTr="0085385F">
        <w:trPr>
          <w:cantSplit/>
          <w:tblHeader/>
          <w:jc w:val="center"/>
        </w:trPr>
        <w:tc>
          <w:tcPr>
            <w:tcW w:w="805" w:type="pct"/>
          </w:tcPr>
          <w:p w14:paraId="32F49239" w14:textId="77777777" w:rsidR="00E25C01" w:rsidRPr="00726D70" w:rsidRDefault="00E25C01"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2018 to 2019</w:t>
            </w:r>
          </w:p>
        </w:tc>
        <w:tc>
          <w:tcPr>
            <w:tcW w:w="2606" w:type="pct"/>
          </w:tcPr>
          <w:p w14:paraId="6B9A5511" w14:textId="77777777" w:rsidR="00E25C01" w:rsidRPr="00726D70" w:rsidRDefault="00E25C0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12</w:t>
            </w:r>
          </w:p>
        </w:tc>
        <w:tc>
          <w:tcPr>
            <w:tcW w:w="1589" w:type="pct"/>
          </w:tcPr>
          <w:p w14:paraId="1ABE6E81" w14:textId="77777777" w:rsidR="00E25C01" w:rsidRPr="00726D70" w:rsidRDefault="00E25C01"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22</w:t>
            </w:r>
          </w:p>
        </w:tc>
      </w:tr>
    </w:tbl>
    <w:p w14:paraId="2A03CA19" w14:textId="77777777" w:rsidR="00A0071D" w:rsidRPr="00726D70" w:rsidRDefault="00E25C01" w:rsidP="00E25C01">
      <w:pPr>
        <w:spacing w:before="120"/>
        <w:rPr>
          <w:rFonts w:asciiTheme="minorHAnsi" w:hAnsiTheme="minorHAnsi" w:cstheme="minorHAnsi"/>
          <w:sz w:val="22"/>
          <w:szCs w:val="22"/>
          <w:lang w:val="en-CA"/>
        </w:rPr>
        <w:sectPr w:rsidR="00A0071D" w:rsidRPr="00726D70" w:rsidSect="0012105C">
          <w:footnotePr>
            <w:numFmt w:val="lowerLetter"/>
          </w:footnotePr>
          <w:endnotePr>
            <w:numFmt w:val="lowerLetter"/>
          </w:endnotePr>
          <w:pgSz w:w="15840" w:h="12240" w:orient="landscape" w:code="1"/>
          <w:pgMar w:top="1440" w:right="1080" w:bottom="1440" w:left="1080" w:header="284" w:footer="284" w:gutter="0"/>
          <w:cols w:space="720"/>
          <w:docGrid w:linePitch="326"/>
        </w:sectPr>
      </w:pPr>
      <w:r w:rsidRPr="00726D70">
        <w:rPr>
          <w:rFonts w:asciiTheme="minorHAnsi" w:hAnsiTheme="minorHAnsi" w:cstheme="minorHAnsi"/>
          <w:sz w:val="22"/>
          <w:szCs w:val="22"/>
          <w:lang w:val="en-CA"/>
        </w:rPr>
        <w:t>Hiring of former students includes indeterminate and term hires with experience in a federal student recruitment program within the last 10 years.</w:t>
      </w:r>
    </w:p>
    <w:p w14:paraId="2D46AAAE" w14:textId="0345DB89" w:rsidR="00E25C01" w:rsidRPr="00726D70" w:rsidRDefault="00E25C01" w:rsidP="00E25C01">
      <w:pPr>
        <w:spacing w:before="120"/>
        <w:rPr>
          <w:rFonts w:asciiTheme="minorHAnsi" w:hAnsiTheme="minorHAnsi" w:cstheme="minorHAnsi"/>
          <w:sz w:val="22"/>
          <w:szCs w:val="22"/>
          <w:lang w:val="en-CA"/>
        </w:rPr>
      </w:pPr>
    </w:p>
    <w:p w14:paraId="5EF4B496" w14:textId="22F84255" w:rsidR="003F23FE" w:rsidRPr="00726D70" w:rsidRDefault="003F23FE" w:rsidP="003F23FE">
      <w:pPr>
        <w:pStyle w:val="Titre1"/>
        <w:spacing w:before="120" w:after="120"/>
        <w:rPr>
          <w:sz w:val="40"/>
          <w:lang w:val="en-CA"/>
        </w:rPr>
      </w:pPr>
      <w:r w:rsidRPr="00726D70">
        <w:rPr>
          <w:sz w:val="40"/>
          <w:lang w:val="en-CA"/>
        </w:rPr>
        <w:t>Internal Time to Staff</w:t>
      </w:r>
    </w:p>
    <w:p w14:paraId="4E583B12" w14:textId="04EBC8BE" w:rsidR="00A0071D" w:rsidRPr="00726D70" w:rsidRDefault="007F3B3C" w:rsidP="00A0071D">
      <w:pPr>
        <w:keepNext/>
        <w:tabs>
          <w:tab w:val="left" w:pos="7839"/>
        </w:tabs>
        <w:rPr>
          <w:lang w:val="en-CA"/>
        </w:rPr>
      </w:pPr>
      <w:r w:rsidRPr="00726D70">
        <w:rPr>
          <w:rStyle w:val="lev"/>
          <w:noProof/>
          <w:lang w:val="en-CA" w:eastAsia="en-CA"/>
        </w:rPr>
        <w:drawing>
          <wp:inline distT="0" distB="0" distL="0" distR="0" wp14:anchorId="6C96F11C" wp14:editId="0E63B473">
            <wp:extent cx="5648400" cy="3049200"/>
            <wp:effectExtent l="0" t="0" r="9525" b="18415"/>
            <wp:docPr id="22" name="Chart 22" descr="Internal time to staff, Public service median=176 days, 2018-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A0071D" w:rsidRPr="00726D70">
        <w:rPr>
          <w:rStyle w:val="lev"/>
          <w:noProof/>
          <w:lang w:val="en-CA" w:eastAsia="en-CA"/>
        </w:rPr>
        <w:drawing>
          <wp:inline distT="0" distB="0" distL="0" distR="0" wp14:anchorId="6480DBD7" wp14:editId="61C51DBF">
            <wp:extent cx="5648400" cy="3049200"/>
            <wp:effectExtent l="0" t="0" r="9525" b="18415"/>
            <wp:docPr id="23" name="Chart 23" descr="Internal time to staff. for LAC=145 days, 2018-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C87586" w14:textId="71FC50DB" w:rsidR="007F3B3C" w:rsidRPr="00726D70" w:rsidRDefault="00A0071D" w:rsidP="00A0071D">
      <w:pPr>
        <w:pStyle w:val="Lgende"/>
        <w:tabs>
          <w:tab w:val="left" w:pos="8931"/>
        </w:tabs>
        <w:spacing w:after="240"/>
        <w:rPr>
          <w:lang w:val="en-CA"/>
        </w:rPr>
      </w:pPr>
      <w:r w:rsidRPr="00726D70">
        <w:rPr>
          <w:lang w:val="en-CA"/>
        </w:rPr>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12</w:t>
      </w:r>
      <w:r w:rsidRPr="00726D70">
        <w:rPr>
          <w:lang w:val="en-CA"/>
        </w:rPr>
        <w:fldChar w:fldCharType="end"/>
      </w:r>
      <w:r w:rsidRPr="00726D70">
        <w:rPr>
          <w:lang w:val="en-CA"/>
        </w:rPr>
        <w:t xml:space="preserve"> - Internal time to staff Public service median = 176 days 2018-19</w:t>
      </w:r>
      <w:r w:rsidRPr="00726D70">
        <w:rPr>
          <w:lang w:val="en-CA"/>
        </w:rPr>
        <w:tab/>
        <w:t xml:space="preserve">Figure </w:t>
      </w:r>
      <w:r w:rsidRPr="00726D70">
        <w:rPr>
          <w:lang w:val="en-CA"/>
        </w:rPr>
        <w:fldChar w:fldCharType="begin"/>
      </w:r>
      <w:r w:rsidRPr="00726D70">
        <w:rPr>
          <w:lang w:val="en-CA"/>
        </w:rPr>
        <w:instrText xml:space="preserve"> SEQ Figure \* ARABIC </w:instrText>
      </w:r>
      <w:r w:rsidRPr="00726D70">
        <w:rPr>
          <w:lang w:val="en-CA"/>
        </w:rPr>
        <w:fldChar w:fldCharType="separate"/>
      </w:r>
      <w:r w:rsidR="003675EB" w:rsidRPr="00726D70">
        <w:rPr>
          <w:noProof/>
          <w:lang w:val="en-CA"/>
        </w:rPr>
        <w:t>13</w:t>
      </w:r>
      <w:r w:rsidRPr="00726D70">
        <w:rPr>
          <w:lang w:val="en-CA"/>
        </w:rPr>
        <w:fldChar w:fldCharType="end"/>
      </w:r>
      <w:r w:rsidRPr="00726D70">
        <w:rPr>
          <w:lang w:val="en-CA"/>
        </w:rPr>
        <w:t xml:space="preserve"> - Internal time to staff Library Archives Canada = 145 days 2018-19</w:t>
      </w:r>
    </w:p>
    <w:p w14:paraId="655DC98A" w14:textId="77777777" w:rsidR="00F917F7" w:rsidRPr="00726D70" w:rsidRDefault="00F917F7" w:rsidP="00F917F7">
      <w:pPr>
        <w:rPr>
          <w:rFonts w:asciiTheme="minorHAnsi" w:hAnsiTheme="minorHAnsi" w:cstheme="minorHAnsi"/>
          <w:sz w:val="22"/>
          <w:szCs w:val="22"/>
          <w:lang w:val="en-CA" w:eastAsia="en-CA"/>
        </w:rPr>
        <w:sectPr w:rsidR="00F917F7" w:rsidRPr="00726D70" w:rsidSect="0012105C">
          <w:footnotePr>
            <w:numFmt w:val="lowerLetter"/>
          </w:footnotePr>
          <w:endnotePr>
            <w:numFmt w:val="lowerLetter"/>
          </w:endnotePr>
          <w:pgSz w:w="20160" w:h="12240" w:orient="landscape" w:code="5"/>
          <w:pgMar w:top="1440" w:right="1080" w:bottom="1440" w:left="1080" w:header="284" w:footer="284" w:gutter="0"/>
          <w:cols w:space="720"/>
          <w:docGrid w:linePitch="326"/>
        </w:sectPr>
      </w:pPr>
    </w:p>
    <w:p w14:paraId="1D05A1DD" w14:textId="77777777" w:rsidR="00EC3553" w:rsidRPr="002F57A9" w:rsidRDefault="00EC3553" w:rsidP="00EC3553">
      <w:pPr>
        <w:spacing w:before="120" w:after="120"/>
        <w:rPr>
          <w:rStyle w:val="Lienhypertexte"/>
          <w:rFonts w:ascii="Segoe UI Semilight" w:hAnsi="Segoe UI Semilight" w:cs="Segoe UI Semilight"/>
          <w:b/>
          <w:bCs/>
          <w:sz w:val="22"/>
          <w:lang w:val="en-CA"/>
        </w:rPr>
        <w:sectPr w:rsidR="00EC3553" w:rsidRPr="002F57A9" w:rsidSect="0012105C">
          <w:footnotePr>
            <w:numFmt w:val="lowerLetter"/>
          </w:footnotePr>
          <w:endnotePr>
            <w:numFmt w:val="lowerLetter"/>
          </w:endnotePr>
          <w:type w:val="continuous"/>
          <w:pgSz w:w="20160" w:h="12240" w:orient="landscape" w:code="5"/>
          <w:pgMar w:top="1440" w:right="1080" w:bottom="1440" w:left="1080" w:header="284" w:footer="284" w:gutter="0"/>
          <w:cols w:num="2" w:space="720"/>
          <w:docGrid w:linePitch="326"/>
        </w:sectPr>
      </w:pPr>
      <w:r w:rsidRPr="002F57A9">
        <w:rPr>
          <w:rStyle w:val="Lienhypertexte"/>
          <w:rFonts w:ascii="Segoe UI Semilight" w:hAnsi="Segoe UI Semilight" w:cs="Segoe UI Semilight"/>
          <w:b/>
          <w:bCs/>
          <w:sz w:val="22"/>
          <w:lang w:val="en-CA"/>
        </w:rPr>
        <w:t>External time to staff data table available here</w:t>
      </w:r>
    </w:p>
    <w:p w14:paraId="395152BF" w14:textId="18B05F3B" w:rsidR="00410EFF" w:rsidRPr="00726D70" w:rsidRDefault="007F3B3C" w:rsidP="00EC3553">
      <w:pPr>
        <w:rPr>
          <w:rFonts w:asciiTheme="minorHAnsi" w:hAnsiTheme="minorHAnsi" w:cstheme="minorHAnsi"/>
          <w:sz w:val="22"/>
          <w:szCs w:val="22"/>
          <w:lang w:val="en-CA" w:eastAsia="en-CA"/>
        </w:rPr>
      </w:pPr>
      <w:r w:rsidRPr="00726D70">
        <w:rPr>
          <w:rFonts w:asciiTheme="minorHAnsi" w:hAnsiTheme="minorHAnsi" w:cstheme="minorHAnsi"/>
          <w:sz w:val="22"/>
          <w:szCs w:val="22"/>
          <w:lang w:val="en-CA" w:eastAsia="en-CA"/>
        </w:rPr>
        <w:t>Internal time to staff is calculated as the number of calendar days between the opening date of the advertisement and the date of the first notification</w:t>
      </w:r>
    </w:p>
    <w:p w14:paraId="4351E3FF" w14:textId="12B430BB" w:rsidR="00EC3553" w:rsidRPr="00726D70" w:rsidRDefault="00EC3553" w:rsidP="00EC3553">
      <w:pPr>
        <w:rPr>
          <w:rFonts w:asciiTheme="minorHAnsi" w:hAnsiTheme="minorHAnsi" w:cstheme="minorHAnsi"/>
          <w:sz w:val="22"/>
          <w:szCs w:val="22"/>
          <w:lang w:val="en-CA"/>
        </w:rPr>
      </w:pPr>
      <w:r w:rsidRPr="00726D70">
        <w:rPr>
          <w:rFonts w:asciiTheme="minorHAnsi" w:hAnsiTheme="minorHAnsi" w:cstheme="minorHAnsi"/>
          <w:sz w:val="22"/>
          <w:szCs w:val="22"/>
          <w:lang w:val="en-CA"/>
        </w:rPr>
        <w:t xml:space="preserve">The median internal time to staff for the public service (organizations subject to the </w:t>
      </w:r>
      <w:r w:rsidRPr="002F57A9">
        <w:rPr>
          <w:rStyle w:val="Accentuation"/>
        </w:rPr>
        <w:t>Public Service Employment Act</w:t>
      </w:r>
      <w:r w:rsidRPr="00726D70">
        <w:rPr>
          <w:rFonts w:asciiTheme="minorHAnsi" w:hAnsiTheme="minorHAnsi" w:cstheme="minorHAnsi"/>
          <w:sz w:val="22"/>
          <w:szCs w:val="22"/>
          <w:lang w:val="en-CA"/>
        </w:rPr>
        <w:t>) for fiscal year 2018 to 2019 is 176 days</w:t>
      </w:r>
    </w:p>
    <w:p w14:paraId="475443B4" w14:textId="592845A7" w:rsidR="00F917F7" w:rsidRPr="00726D70" w:rsidRDefault="00EC3553" w:rsidP="00EC3553">
      <w:pPr>
        <w:rPr>
          <w:rStyle w:val="lev"/>
          <w:rFonts w:cstheme="minorHAnsi"/>
          <w:b w:val="0"/>
          <w:bCs w:val="0"/>
          <w:szCs w:val="22"/>
          <w:lang w:val="en-CA"/>
        </w:rPr>
      </w:pPr>
      <w:r w:rsidRPr="00726D70">
        <w:rPr>
          <w:rStyle w:val="lev"/>
          <w:lang w:val="en-CA"/>
        </w:rPr>
        <w:br w:type="column"/>
      </w:r>
      <w:r w:rsidR="00F917F7" w:rsidRPr="00726D70">
        <w:rPr>
          <w:rStyle w:val="lev"/>
          <w:lang w:val="en-CA"/>
        </w:rPr>
        <w:t>Internal time to staff for fiscal year 2018 to 2019</w:t>
      </w:r>
    </w:p>
    <w:p w14:paraId="35B76EF4" w14:textId="77777777" w:rsidR="00EC3553" w:rsidRPr="00726D70" w:rsidRDefault="00F917F7" w:rsidP="00A367FE">
      <w:pPr>
        <w:rPr>
          <w:rFonts w:asciiTheme="minorHAnsi" w:hAnsiTheme="minorHAnsi" w:cstheme="minorHAnsi"/>
          <w:sz w:val="22"/>
          <w:szCs w:val="22"/>
          <w:lang w:val="en-CA"/>
        </w:rPr>
        <w:sectPr w:rsidR="00EC3553" w:rsidRPr="00726D70" w:rsidSect="00EC3553">
          <w:footnotePr>
            <w:numFmt w:val="lowerLetter"/>
          </w:footnotePr>
          <w:endnotePr>
            <w:numFmt w:val="lowerLetter"/>
          </w:endnotePr>
          <w:type w:val="continuous"/>
          <w:pgSz w:w="20160" w:h="12240" w:orient="landscape" w:code="5"/>
          <w:pgMar w:top="1440" w:right="1080" w:bottom="1440" w:left="1080" w:header="284" w:footer="284" w:gutter="0"/>
          <w:cols w:num="2" w:space="720"/>
          <w:docGrid w:linePitch="326"/>
        </w:sectPr>
      </w:pPr>
      <w:r w:rsidRPr="00726D70">
        <w:rPr>
          <w:rFonts w:asciiTheme="minorHAnsi" w:hAnsiTheme="minorHAnsi" w:cstheme="minorHAnsi"/>
          <w:sz w:val="22"/>
          <w:szCs w:val="22"/>
          <w:lang w:val="en-CA"/>
        </w:rPr>
        <w:t>Library and Archives Canada’s median internal time to staff for fisc</w:t>
      </w:r>
      <w:r w:rsidR="004205F4" w:rsidRPr="00726D70">
        <w:rPr>
          <w:rFonts w:asciiTheme="minorHAnsi" w:hAnsiTheme="minorHAnsi" w:cstheme="minorHAnsi"/>
          <w:sz w:val="22"/>
          <w:szCs w:val="22"/>
          <w:lang w:val="en-CA"/>
        </w:rPr>
        <w:t>al year 2018 to 2019 is 145 days</w:t>
      </w:r>
    </w:p>
    <w:p w14:paraId="07E943DB" w14:textId="09AC6550" w:rsidR="004205F4" w:rsidRPr="00726D70" w:rsidRDefault="004205F4" w:rsidP="00A367FE">
      <w:pPr>
        <w:rPr>
          <w:rFonts w:asciiTheme="minorHAnsi" w:hAnsiTheme="minorHAnsi" w:cstheme="minorHAnsi"/>
          <w:sz w:val="22"/>
          <w:szCs w:val="22"/>
          <w:lang w:val="en-CA"/>
        </w:rPr>
      </w:pPr>
    </w:p>
    <w:p w14:paraId="38779CE3" w14:textId="77777777" w:rsidR="00EC3553" w:rsidRPr="00726D70" w:rsidRDefault="00EC3553" w:rsidP="00A367FE">
      <w:pPr>
        <w:rPr>
          <w:rFonts w:asciiTheme="minorHAnsi" w:hAnsiTheme="minorHAnsi" w:cstheme="minorHAnsi"/>
          <w:sz w:val="22"/>
          <w:szCs w:val="22"/>
          <w:lang w:val="en-CA"/>
        </w:rPr>
        <w:sectPr w:rsidR="00EC3553" w:rsidRPr="00726D70" w:rsidSect="00EC3553">
          <w:footnotePr>
            <w:numFmt w:val="lowerLetter"/>
          </w:footnotePr>
          <w:endnotePr>
            <w:numFmt w:val="lowerLetter"/>
          </w:endnotePr>
          <w:type w:val="continuous"/>
          <w:pgSz w:w="20160" w:h="12240" w:orient="landscape" w:code="5"/>
          <w:pgMar w:top="1440" w:right="1080" w:bottom="1440" w:left="1080" w:header="284" w:footer="284" w:gutter="0"/>
          <w:cols w:space="720"/>
          <w:docGrid w:linePitch="326"/>
        </w:sectPr>
      </w:pPr>
    </w:p>
    <w:p w14:paraId="29157632" w14:textId="4E901EBB" w:rsidR="003F23FE" w:rsidRPr="00726D70" w:rsidRDefault="003F23FE" w:rsidP="003F23FE">
      <w:pPr>
        <w:pStyle w:val="Titre1"/>
        <w:spacing w:before="120" w:after="120"/>
        <w:rPr>
          <w:sz w:val="40"/>
          <w:lang w:val="en-CA"/>
        </w:rPr>
      </w:pPr>
      <w:r w:rsidRPr="00726D70">
        <w:rPr>
          <w:sz w:val="40"/>
          <w:lang w:val="en-CA"/>
        </w:rPr>
        <w:lastRenderedPageBreak/>
        <w:t>Internal and External time to staff</w:t>
      </w:r>
    </w:p>
    <w:p w14:paraId="41473B37" w14:textId="18B80A3F" w:rsidR="004205F4" w:rsidRPr="00726D70" w:rsidRDefault="004205F4" w:rsidP="004205F4">
      <w:pPr>
        <w:pStyle w:val="Lgende"/>
        <w:keepNext/>
        <w:rPr>
          <w:lang w:val="en-CA"/>
        </w:rPr>
      </w:pPr>
      <w:r w:rsidRPr="00726D70">
        <w:rPr>
          <w:lang w:val="en-CA"/>
        </w:rPr>
        <w:t xml:space="preserve">Table </w:t>
      </w:r>
      <w:r w:rsidRPr="00726D70">
        <w:rPr>
          <w:lang w:val="en-CA"/>
        </w:rPr>
        <w:fldChar w:fldCharType="begin"/>
      </w:r>
      <w:r w:rsidRPr="00726D70">
        <w:rPr>
          <w:lang w:val="en-CA"/>
        </w:rPr>
        <w:instrText xml:space="preserve"> SEQ Table \* ARABIC </w:instrText>
      </w:r>
      <w:r w:rsidRPr="00726D70">
        <w:rPr>
          <w:lang w:val="en-CA"/>
        </w:rPr>
        <w:fldChar w:fldCharType="separate"/>
      </w:r>
      <w:r w:rsidR="003675EB" w:rsidRPr="00726D70">
        <w:rPr>
          <w:noProof/>
          <w:lang w:val="en-CA"/>
        </w:rPr>
        <w:t>15</w:t>
      </w:r>
      <w:r w:rsidRPr="00726D70">
        <w:rPr>
          <w:lang w:val="en-CA"/>
        </w:rPr>
        <w:fldChar w:fldCharType="end"/>
      </w:r>
      <w:r w:rsidRPr="00726D70">
        <w:rPr>
          <w:lang w:val="en-CA"/>
        </w:rPr>
        <w:t xml:space="preserve"> - Internal and External time to staff</w:t>
      </w:r>
    </w:p>
    <w:tbl>
      <w:tblPr>
        <w:tblStyle w:val="Grilledutableau"/>
        <w:tblW w:w="5000" w:type="pct"/>
        <w:jc w:val="center"/>
        <w:tblLook w:val="0000" w:firstRow="0" w:lastRow="0" w:firstColumn="0" w:lastColumn="0" w:noHBand="0" w:noVBand="0"/>
        <w:tblDescription w:val="Internal &amp; External Time to Staff"/>
      </w:tblPr>
      <w:tblGrid>
        <w:gridCol w:w="4159"/>
        <w:gridCol w:w="6068"/>
        <w:gridCol w:w="6068"/>
        <w:gridCol w:w="6015"/>
      </w:tblGrid>
      <w:tr w:rsidR="004205F4" w:rsidRPr="00726D70" w14:paraId="24564C4B" w14:textId="77777777" w:rsidTr="0085385F">
        <w:trPr>
          <w:cantSplit/>
          <w:trHeight w:val="290"/>
          <w:tblHeader/>
          <w:jc w:val="center"/>
        </w:trPr>
        <w:tc>
          <w:tcPr>
            <w:tcW w:w="932" w:type="pct"/>
          </w:tcPr>
          <w:p w14:paraId="0D1438D0" w14:textId="37C6611E" w:rsidR="004205F4" w:rsidRPr="00726D70" w:rsidRDefault="004205F4" w:rsidP="004205F4">
            <w:pPr>
              <w:pStyle w:val="TableTitle"/>
              <w:rPr>
                <w:lang w:val="en-CA"/>
              </w:rPr>
            </w:pPr>
            <w:bookmarkStart w:id="4" w:name="Internal_External_time_to_staff"/>
            <w:r w:rsidRPr="00726D70">
              <w:rPr>
                <w:lang w:val="en-CA"/>
              </w:rPr>
              <w:t>Number of calendar days</w:t>
            </w:r>
            <w:bookmarkEnd w:id="4"/>
          </w:p>
        </w:tc>
        <w:tc>
          <w:tcPr>
            <w:tcW w:w="1360" w:type="pct"/>
          </w:tcPr>
          <w:p w14:paraId="5BD447D2" w14:textId="77777777" w:rsidR="004205F4" w:rsidRPr="00726D70" w:rsidRDefault="004205F4" w:rsidP="004205F4">
            <w:pPr>
              <w:pStyle w:val="TableTitle"/>
              <w:rPr>
                <w:lang w:val="en-CA"/>
              </w:rPr>
            </w:pPr>
            <w:r w:rsidRPr="00726D70">
              <w:rPr>
                <w:lang w:val="en-CA"/>
              </w:rPr>
              <w:t xml:space="preserve">The number of internal appointments for which the TTS-IA was within the specified number of calendar days  for organizations subject to the </w:t>
            </w:r>
            <w:r w:rsidRPr="00726D70">
              <w:rPr>
                <w:i/>
                <w:lang w:val="en-CA"/>
              </w:rPr>
              <w:t>Public Service Employment Act</w:t>
            </w:r>
          </w:p>
        </w:tc>
        <w:tc>
          <w:tcPr>
            <w:tcW w:w="1360" w:type="pct"/>
          </w:tcPr>
          <w:p w14:paraId="79D42F55" w14:textId="77777777" w:rsidR="004205F4" w:rsidRPr="00726D70" w:rsidRDefault="004205F4" w:rsidP="004205F4">
            <w:pPr>
              <w:pStyle w:val="TableTitle"/>
              <w:rPr>
                <w:lang w:val="en-CA"/>
              </w:rPr>
            </w:pPr>
            <w:r w:rsidRPr="00726D70">
              <w:rPr>
                <w:lang w:val="en-CA"/>
              </w:rPr>
              <w:t>The number of internal appointments for which the TTS-IA was within the specified number of calendar days for the specified organization</w:t>
            </w:r>
          </w:p>
        </w:tc>
        <w:tc>
          <w:tcPr>
            <w:tcW w:w="1348" w:type="pct"/>
          </w:tcPr>
          <w:p w14:paraId="5C28CD3C" w14:textId="77777777" w:rsidR="004205F4" w:rsidRPr="00726D70" w:rsidRDefault="004205F4" w:rsidP="004205F4">
            <w:pPr>
              <w:pStyle w:val="TableTitle"/>
              <w:rPr>
                <w:lang w:val="en-CA"/>
              </w:rPr>
            </w:pPr>
            <w:r w:rsidRPr="00726D70">
              <w:rPr>
                <w:lang w:val="en-CA"/>
              </w:rPr>
              <w:t xml:space="preserve">The number of external appointment processes for which the TTS-EA was within the specified number of calendar days for organizations subject to the </w:t>
            </w:r>
            <w:r w:rsidRPr="00726D70">
              <w:rPr>
                <w:i/>
                <w:lang w:val="en-CA"/>
              </w:rPr>
              <w:t>Public Service Employment Act</w:t>
            </w:r>
          </w:p>
        </w:tc>
      </w:tr>
      <w:tr w:rsidR="004205F4" w:rsidRPr="00726D70" w14:paraId="2F20E713" w14:textId="77777777" w:rsidTr="0085385F">
        <w:trPr>
          <w:cantSplit/>
          <w:trHeight w:val="290"/>
          <w:tblHeader/>
          <w:jc w:val="center"/>
        </w:trPr>
        <w:tc>
          <w:tcPr>
            <w:tcW w:w="932" w:type="pct"/>
          </w:tcPr>
          <w:p w14:paraId="1DB99664"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 calendar days</w:t>
            </w:r>
          </w:p>
        </w:tc>
        <w:tc>
          <w:tcPr>
            <w:tcW w:w="1360" w:type="pct"/>
          </w:tcPr>
          <w:p w14:paraId="73CB3631"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60" w:type="pct"/>
          </w:tcPr>
          <w:p w14:paraId="55EAFB06"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32ACED85"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r>
      <w:tr w:rsidR="004205F4" w:rsidRPr="00726D70" w14:paraId="2CE46CA5" w14:textId="77777777" w:rsidTr="0085385F">
        <w:trPr>
          <w:cantSplit/>
          <w:trHeight w:val="290"/>
          <w:tblHeader/>
          <w:jc w:val="center"/>
        </w:trPr>
        <w:tc>
          <w:tcPr>
            <w:tcW w:w="932" w:type="pct"/>
          </w:tcPr>
          <w:p w14:paraId="1C4DA2FD"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 to 29 calendar days</w:t>
            </w:r>
          </w:p>
        </w:tc>
        <w:tc>
          <w:tcPr>
            <w:tcW w:w="1360" w:type="pct"/>
          </w:tcPr>
          <w:p w14:paraId="69728AA4"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15</w:t>
            </w:r>
          </w:p>
        </w:tc>
        <w:tc>
          <w:tcPr>
            <w:tcW w:w="1360" w:type="pct"/>
          </w:tcPr>
          <w:p w14:paraId="6A3DA166"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5965AE81"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49</w:t>
            </w:r>
          </w:p>
        </w:tc>
      </w:tr>
      <w:tr w:rsidR="004205F4" w:rsidRPr="00726D70" w14:paraId="47712ABB" w14:textId="77777777" w:rsidTr="0085385F">
        <w:trPr>
          <w:cantSplit/>
          <w:trHeight w:val="290"/>
          <w:tblHeader/>
          <w:jc w:val="center"/>
        </w:trPr>
        <w:tc>
          <w:tcPr>
            <w:tcW w:w="932" w:type="pct"/>
          </w:tcPr>
          <w:p w14:paraId="5228D15A"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30 to 59 calendar days</w:t>
            </w:r>
          </w:p>
        </w:tc>
        <w:tc>
          <w:tcPr>
            <w:tcW w:w="1360" w:type="pct"/>
          </w:tcPr>
          <w:p w14:paraId="02F45A9E"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130</w:t>
            </w:r>
          </w:p>
        </w:tc>
        <w:tc>
          <w:tcPr>
            <w:tcW w:w="1360" w:type="pct"/>
          </w:tcPr>
          <w:p w14:paraId="7345089B"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w:t>
            </w:r>
          </w:p>
        </w:tc>
        <w:tc>
          <w:tcPr>
            <w:tcW w:w="1348" w:type="pct"/>
          </w:tcPr>
          <w:p w14:paraId="3A681EC4"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82</w:t>
            </w:r>
          </w:p>
        </w:tc>
      </w:tr>
      <w:tr w:rsidR="004205F4" w:rsidRPr="00726D70" w14:paraId="16AC8B99" w14:textId="77777777" w:rsidTr="0085385F">
        <w:trPr>
          <w:cantSplit/>
          <w:trHeight w:val="290"/>
          <w:tblHeader/>
          <w:jc w:val="center"/>
        </w:trPr>
        <w:tc>
          <w:tcPr>
            <w:tcW w:w="932" w:type="pct"/>
          </w:tcPr>
          <w:p w14:paraId="5B81267E"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60 to 89 calendar days</w:t>
            </w:r>
          </w:p>
        </w:tc>
        <w:tc>
          <w:tcPr>
            <w:tcW w:w="1360" w:type="pct"/>
          </w:tcPr>
          <w:p w14:paraId="04AE9275"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277</w:t>
            </w:r>
          </w:p>
        </w:tc>
        <w:tc>
          <w:tcPr>
            <w:tcW w:w="1360" w:type="pct"/>
          </w:tcPr>
          <w:p w14:paraId="38354E73"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w:t>
            </w:r>
          </w:p>
        </w:tc>
        <w:tc>
          <w:tcPr>
            <w:tcW w:w="1348" w:type="pct"/>
          </w:tcPr>
          <w:p w14:paraId="700F513D"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124</w:t>
            </w:r>
          </w:p>
        </w:tc>
      </w:tr>
      <w:tr w:rsidR="004205F4" w:rsidRPr="00726D70" w14:paraId="232136D4" w14:textId="77777777" w:rsidTr="0085385F">
        <w:trPr>
          <w:cantSplit/>
          <w:trHeight w:val="290"/>
          <w:tblHeader/>
          <w:jc w:val="center"/>
        </w:trPr>
        <w:tc>
          <w:tcPr>
            <w:tcW w:w="932" w:type="pct"/>
          </w:tcPr>
          <w:p w14:paraId="74741890"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90 to 119 calendar days</w:t>
            </w:r>
          </w:p>
        </w:tc>
        <w:tc>
          <w:tcPr>
            <w:tcW w:w="1360" w:type="pct"/>
          </w:tcPr>
          <w:p w14:paraId="24DF3E0E"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391</w:t>
            </w:r>
          </w:p>
        </w:tc>
        <w:tc>
          <w:tcPr>
            <w:tcW w:w="1360" w:type="pct"/>
          </w:tcPr>
          <w:p w14:paraId="235C6EBD"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8</w:t>
            </w:r>
          </w:p>
        </w:tc>
        <w:tc>
          <w:tcPr>
            <w:tcW w:w="1348" w:type="pct"/>
          </w:tcPr>
          <w:p w14:paraId="2C10FF5C"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160</w:t>
            </w:r>
          </w:p>
        </w:tc>
      </w:tr>
      <w:tr w:rsidR="004205F4" w:rsidRPr="00726D70" w14:paraId="55091E0C" w14:textId="77777777" w:rsidTr="0085385F">
        <w:trPr>
          <w:cantSplit/>
          <w:trHeight w:val="290"/>
          <w:tblHeader/>
          <w:jc w:val="center"/>
        </w:trPr>
        <w:tc>
          <w:tcPr>
            <w:tcW w:w="932" w:type="pct"/>
          </w:tcPr>
          <w:p w14:paraId="4C4124A7"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120 to 149 calendar days</w:t>
            </w:r>
          </w:p>
        </w:tc>
        <w:tc>
          <w:tcPr>
            <w:tcW w:w="1360" w:type="pct"/>
          </w:tcPr>
          <w:p w14:paraId="7A27F900"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367</w:t>
            </w:r>
          </w:p>
        </w:tc>
        <w:tc>
          <w:tcPr>
            <w:tcW w:w="1360" w:type="pct"/>
          </w:tcPr>
          <w:p w14:paraId="6A886923"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w:t>
            </w:r>
          </w:p>
        </w:tc>
        <w:tc>
          <w:tcPr>
            <w:tcW w:w="1348" w:type="pct"/>
          </w:tcPr>
          <w:p w14:paraId="0E36528A"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181</w:t>
            </w:r>
          </w:p>
        </w:tc>
      </w:tr>
      <w:tr w:rsidR="004205F4" w:rsidRPr="00726D70" w14:paraId="629D763B" w14:textId="77777777" w:rsidTr="0085385F">
        <w:trPr>
          <w:cantSplit/>
          <w:trHeight w:val="290"/>
          <w:tblHeader/>
          <w:jc w:val="center"/>
        </w:trPr>
        <w:tc>
          <w:tcPr>
            <w:tcW w:w="932" w:type="pct"/>
          </w:tcPr>
          <w:p w14:paraId="59D288C0"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150 to 179 calendar days</w:t>
            </w:r>
          </w:p>
        </w:tc>
        <w:tc>
          <w:tcPr>
            <w:tcW w:w="1360" w:type="pct"/>
          </w:tcPr>
          <w:p w14:paraId="7CD51825"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322</w:t>
            </w:r>
          </w:p>
        </w:tc>
        <w:tc>
          <w:tcPr>
            <w:tcW w:w="1360" w:type="pct"/>
          </w:tcPr>
          <w:p w14:paraId="160C40F3"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w:t>
            </w:r>
          </w:p>
        </w:tc>
        <w:tc>
          <w:tcPr>
            <w:tcW w:w="1348" w:type="pct"/>
          </w:tcPr>
          <w:p w14:paraId="6F246757"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179</w:t>
            </w:r>
          </w:p>
        </w:tc>
      </w:tr>
      <w:tr w:rsidR="004205F4" w:rsidRPr="00726D70" w14:paraId="2B73C29A" w14:textId="77777777" w:rsidTr="0085385F">
        <w:trPr>
          <w:cantSplit/>
          <w:trHeight w:val="290"/>
          <w:tblHeader/>
          <w:jc w:val="center"/>
        </w:trPr>
        <w:tc>
          <w:tcPr>
            <w:tcW w:w="932" w:type="pct"/>
          </w:tcPr>
          <w:p w14:paraId="4DCD9890"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180 to 209 calendar days</w:t>
            </w:r>
          </w:p>
        </w:tc>
        <w:tc>
          <w:tcPr>
            <w:tcW w:w="1360" w:type="pct"/>
          </w:tcPr>
          <w:p w14:paraId="6362B210"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278</w:t>
            </w:r>
          </w:p>
        </w:tc>
        <w:tc>
          <w:tcPr>
            <w:tcW w:w="1360" w:type="pct"/>
          </w:tcPr>
          <w:p w14:paraId="5C560347"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w:t>
            </w:r>
          </w:p>
        </w:tc>
        <w:tc>
          <w:tcPr>
            <w:tcW w:w="1348" w:type="pct"/>
          </w:tcPr>
          <w:p w14:paraId="6AC8911C"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160</w:t>
            </w:r>
          </w:p>
        </w:tc>
      </w:tr>
      <w:tr w:rsidR="004205F4" w:rsidRPr="00726D70" w14:paraId="5028BC2D" w14:textId="77777777" w:rsidTr="0085385F">
        <w:trPr>
          <w:cantSplit/>
          <w:trHeight w:val="290"/>
          <w:tblHeader/>
          <w:jc w:val="center"/>
        </w:trPr>
        <w:tc>
          <w:tcPr>
            <w:tcW w:w="932" w:type="pct"/>
          </w:tcPr>
          <w:p w14:paraId="12FD6949"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210 to 239 calendar days</w:t>
            </w:r>
          </w:p>
        </w:tc>
        <w:tc>
          <w:tcPr>
            <w:tcW w:w="1360" w:type="pct"/>
          </w:tcPr>
          <w:p w14:paraId="1EBCD91B"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241</w:t>
            </w:r>
          </w:p>
        </w:tc>
        <w:tc>
          <w:tcPr>
            <w:tcW w:w="1360" w:type="pct"/>
          </w:tcPr>
          <w:p w14:paraId="4DE1B481"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w:t>
            </w:r>
          </w:p>
        </w:tc>
        <w:tc>
          <w:tcPr>
            <w:tcW w:w="1348" w:type="pct"/>
          </w:tcPr>
          <w:p w14:paraId="66D68E94"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139</w:t>
            </w:r>
          </w:p>
        </w:tc>
      </w:tr>
      <w:tr w:rsidR="004205F4" w:rsidRPr="00726D70" w14:paraId="44085354" w14:textId="77777777" w:rsidTr="0085385F">
        <w:trPr>
          <w:cantSplit/>
          <w:trHeight w:val="290"/>
          <w:tblHeader/>
          <w:jc w:val="center"/>
        </w:trPr>
        <w:tc>
          <w:tcPr>
            <w:tcW w:w="932" w:type="pct"/>
          </w:tcPr>
          <w:p w14:paraId="45C7E037"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240 to 269 calendar days</w:t>
            </w:r>
          </w:p>
        </w:tc>
        <w:tc>
          <w:tcPr>
            <w:tcW w:w="1360" w:type="pct"/>
          </w:tcPr>
          <w:p w14:paraId="1FF17DF7"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165</w:t>
            </w:r>
          </w:p>
        </w:tc>
        <w:tc>
          <w:tcPr>
            <w:tcW w:w="1360" w:type="pct"/>
          </w:tcPr>
          <w:p w14:paraId="0E7A3A5C"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021D95CC"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84</w:t>
            </w:r>
          </w:p>
        </w:tc>
      </w:tr>
      <w:tr w:rsidR="004205F4" w:rsidRPr="00726D70" w14:paraId="1A48192B" w14:textId="77777777" w:rsidTr="0085385F">
        <w:trPr>
          <w:cantSplit/>
          <w:trHeight w:val="290"/>
          <w:tblHeader/>
          <w:jc w:val="center"/>
        </w:trPr>
        <w:tc>
          <w:tcPr>
            <w:tcW w:w="932" w:type="pct"/>
          </w:tcPr>
          <w:p w14:paraId="0E719B68"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270 to 299 calendar days</w:t>
            </w:r>
          </w:p>
        </w:tc>
        <w:tc>
          <w:tcPr>
            <w:tcW w:w="1360" w:type="pct"/>
          </w:tcPr>
          <w:p w14:paraId="37639FC0"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134</w:t>
            </w:r>
          </w:p>
        </w:tc>
        <w:tc>
          <w:tcPr>
            <w:tcW w:w="1360" w:type="pct"/>
          </w:tcPr>
          <w:p w14:paraId="03F460B8"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w:t>
            </w:r>
          </w:p>
        </w:tc>
        <w:tc>
          <w:tcPr>
            <w:tcW w:w="1348" w:type="pct"/>
          </w:tcPr>
          <w:p w14:paraId="512F2FC2"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73</w:t>
            </w:r>
          </w:p>
        </w:tc>
      </w:tr>
      <w:tr w:rsidR="004205F4" w:rsidRPr="00726D70" w14:paraId="3D60F9B7" w14:textId="77777777" w:rsidTr="0085385F">
        <w:trPr>
          <w:cantSplit/>
          <w:trHeight w:val="290"/>
          <w:tblHeader/>
          <w:jc w:val="center"/>
        </w:trPr>
        <w:tc>
          <w:tcPr>
            <w:tcW w:w="932" w:type="pct"/>
          </w:tcPr>
          <w:p w14:paraId="5AFA4B7B"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300 to 329 calendar days</w:t>
            </w:r>
          </w:p>
        </w:tc>
        <w:tc>
          <w:tcPr>
            <w:tcW w:w="1360" w:type="pct"/>
          </w:tcPr>
          <w:p w14:paraId="4F2E84C0"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107</w:t>
            </w:r>
          </w:p>
        </w:tc>
        <w:tc>
          <w:tcPr>
            <w:tcW w:w="1360" w:type="pct"/>
          </w:tcPr>
          <w:p w14:paraId="46A79623"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26379522"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61</w:t>
            </w:r>
          </w:p>
        </w:tc>
      </w:tr>
      <w:tr w:rsidR="004205F4" w:rsidRPr="00726D70" w14:paraId="4ECFF02E" w14:textId="77777777" w:rsidTr="0085385F">
        <w:trPr>
          <w:cantSplit/>
          <w:trHeight w:val="290"/>
          <w:tblHeader/>
          <w:jc w:val="center"/>
        </w:trPr>
        <w:tc>
          <w:tcPr>
            <w:tcW w:w="932" w:type="pct"/>
          </w:tcPr>
          <w:p w14:paraId="4C58BC71"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330 to 359 calendar days</w:t>
            </w:r>
          </w:p>
        </w:tc>
        <w:tc>
          <w:tcPr>
            <w:tcW w:w="1360" w:type="pct"/>
          </w:tcPr>
          <w:p w14:paraId="03422886"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77</w:t>
            </w:r>
          </w:p>
        </w:tc>
        <w:tc>
          <w:tcPr>
            <w:tcW w:w="1360" w:type="pct"/>
          </w:tcPr>
          <w:p w14:paraId="1C195E9E"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144FA740"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41</w:t>
            </w:r>
          </w:p>
        </w:tc>
      </w:tr>
      <w:tr w:rsidR="004205F4" w:rsidRPr="00726D70" w14:paraId="5D33B31F" w14:textId="77777777" w:rsidTr="0085385F">
        <w:trPr>
          <w:cantSplit/>
          <w:trHeight w:val="290"/>
          <w:tblHeader/>
          <w:jc w:val="center"/>
        </w:trPr>
        <w:tc>
          <w:tcPr>
            <w:tcW w:w="932" w:type="pct"/>
          </w:tcPr>
          <w:p w14:paraId="1A3DFBD1"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360 to 389 calendar days</w:t>
            </w:r>
          </w:p>
        </w:tc>
        <w:tc>
          <w:tcPr>
            <w:tcW w:w="1360" w:type="pct"/>
          </w:tcPr>
          <w:p w14:paraId="56F23201"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61</w:t>
            </w:r>
          </w:p>
        </w:tc>
        <w:tc>
          <w:tcPr>
            <w:tcW w:w="1360" w:type="pct"/>
          </w:tcPr>
          <w:p w14:paraId="2475293B"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3DBB803F"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43</w:t>
            </w:r>
          </w:p>
        </w:tc>
      </w:tr>
      <w:tr w:rsidR="004205F4" w:rsidRPr="00726D70" w14:paraId="1DC9C78B" w14:textId="77777777" w:rsidTr="0085385F">
        <w:trPr>
          <w:cantSplit/>
          <w:trHeight w:val="290"/>
          <w:tblHeader/>
          <w:jc w:val="center"/>
        </w:trPr>
        <w:tc>
          <w:tcPr>
            <w:tcW w:w="932" w:type="pct"/>
          </w:tcPr>
          <w:p w14:paraId="236B9BFB"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390 to 419 calendar days</w:t>
            </w:r>
          </w:p>
        </w:tc>
        <w:tc>
          <w:tcPr>
            <w:tcW w:w="1360" w:type="pct"/>
          </w:tcPr>
          <w:p w14:paraId="724BBF5A"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53</w:t>
            </w:r>
          </w:p>
        </w:tc>
        <w:tc>
          <w:tcPr>
            <w:tcW w:w="1360" w:type="pct"/>
          </w:tcPr>
          <w:p w14:paraId="5EF8D15C"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0A84A565"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49</w:t>
            </w:r>
          </w:p>
        </w:tc>
      </w:tr>
      <w:tr w:rsidR="004205F4" w:rsidRPr="00726D70" w14:paraId="53A63A58" w14:textId="77777777" w:rsidTr="0085385F">
        <w:trPr>
          <w:cantSplit/>
          <w:trHeight w:val="290"/>
          <w:tblHeader/>
          <w:jc w:val="center"/>
        </w:trPr>
        <w:tc>
          <w:tcPr>
            <w:tcW w:w="932" w:type="pct"/>
          </w:tcPr>
          <w:p w14:paraId="60F8EDA5"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420 to 449 calendar days</w:t>
            </w:r>
          </w:p>
        </w:tc>
        <w:tc>
          <w:tcPr>
            <w:tcW w:w="1360" w:type="pct"/>
          </w:tcPr>
          <w:p w14:paraId="48C1BE17"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51</w:t>
            </w:r>
          </w:p>
        </w:tc>
        <w:tc>
          <w:tcPr>
            <w:tcW w:w="1360" w:type="pct"/>
          </w:tcPr>
          <w:p w14:paraId="4BA64874"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45366AA6"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35</w:t>
            </w:r>
          </w:p>
        </w:tc>
      </w:tr>
      <w:tr w:rsidR="004205F4" w:rsidRPr="00726D70" w14:paraId="5EFC8981" w14:textId="77777777" w:rsidTr="0085385F">
        <w:trPr>
          <w:cantSplit/>
          <w:trHeight w:val="290"/>
          <w:tblHeader/>
          <w:jc w:val="center"/>
        </w:trPr>
        <w:tc>
          <w:tcPr>
            <w:tcW w:w="932" w:type="pct"/>
          </w:tcPr>
          <w:p w14:paraId="2B192C38"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450 to 479 calendar days</w:t>
            </w:r>
          </w:p>
        </w:tc>
        <w:tc>
          <w:tcPr>
            <w:tcW w:w="1360" w:type="pct"/>
          </w:tcPr>
          <w:p w14:paraId="7FC2298C"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42</w:t>
            </w:r>
          </w:p>
        </w:tc>
        <w:tc>
          <w:tcPr>
            <w:tcW w:w="1360" w:type="pct"/>
          </w:tcPr>
          <w:p w14:paraId="56C0CB75"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3D4A1B0D"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22</w:t>
            </w:r>
          </w:p>
        </w:tc>
      </w:tr>
      <w:tr w:rsidR="004205F4" w:rsidRPr="00726D70" w14:paraId="73139CBC" w14:textId="77777777" w:rsidTr="0085385F">
        <w:trPr>
          <w:cantSplit/>
          <w:trHeight w:val="290"/>
          <w:tblHeader/>
          <w:jc w:val="center"/>
        </w:trPr>
        <w:tc>
          <w:tcPr>
            <w:tcW w:w="932" w:type="pct"/>
          </w:tcPr>
          <w:p w14:paraId="1933F428"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480 to 509 calendar days</w:t>
            </w:r>
          </w:p>
        </w:tc>
        <w:tc>
          <w:tcPr>
            <w:tcW w:w="1360" w:type="pct"/>
          </w:tcPr>
          <w:p w14:paraId="792A5149"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40</w:t>
            </w:r>
          </w:p>
        </w:tc>
        <w:tc>
          <w:tcPr>
            <w:tcW w:w="1360" w:type="pct"/>
          </w:tcPr>
          <w:p w14:paraId="677D448B"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w:t>
            </w:r>
          </w:p>
        </w:tc>
        <w:tc>
          <w:tcPr>
            <w:tcW w:w="1348" w:type="pct"/>
          </w:tcPr>
          <w:p w14:paraId="4BBB7F68"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27</w:t>
            </w:r>
          </w:p>
        </w:tc>
      </w:tr>
      <w:tr w:rsidR="004205F4" w:rsidRPr="00726D70" w14:paraId="7E730EC6" w14:textId="77777777" w:rsidTr="0085385F">
        <w:trPr>
          <w:cantSplit/>
          <w:trHeight w:val="290"/>
          <w:tblHeader/>
          <w:jc w:val="center"/>
        </w:trPr>
        <w:tc>
          <w:tcPr>
            <w:tcW w:w="932" w:type="pct"/>
          </w:tcPr>
          <w:p w14:paraId="5270BDF9"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510 to 539 calendar days</w:t>
            </w:r>
          </w:p>
        </w:tc>
        <w:tc>
          <w:tcPr>
            <w:tcW w:w="1360" w:type="pct"/>
          </w:tcPr>
          <w:p w14:paraId="4A34E607"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32</w:t>
            </w:r>
          </w:p>
        </w:tc>
        <w:tc>
          <w:tcPr>
            <w:tcW w:w="1360" w:type="pct"/>
          </w:tcPr>
          <w:p w14:paraId="6A697BF3"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6BC4F836"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17</w:t>
            </w:r>
          </w:p>
        </w:tc>
      </w:tr>
      <w:tr w:rsidR="004205F4" w:rsidRPr="00726D70" w14:paraId="3043EF5D" w14:textId="77777777" w:rsidTr="0085385F">
        <w:trPr>
          <w:cantSplit/>
          <w:trHeight w:val="290"/>
          <w:tblHeader/>
          <w:jc w:val="center"/>
        </w:trPr>
        <w:tc>
          <w:tcPr>
            <w:tcW w:w="932" w:type="pct"/>
          </w:tcPr>
          <w:p w14:paraId="1F0AB625"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540 to 569 calendar days</w:t>
            </w:r>
          </w:p>
        </w:tc>
        <w:tc>
          <w:tcPr>
            <w:tcW w:w="1360" w:type="pct"/>
          </w:tcPr>
          <w:p w14:paraId="78FA78CA"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24</w:t>
            </w:r>
          </w:p>
        </w:tc>
        <w:tc>
          <w:tcPr>
            <w:tcW w:w="1360" w:type="pct"/>
          </w:tcPr>
          <w:p w14:paraId="3BF8C4EF"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51A7DFDD"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15</w:t>
            </w:r>
          </w:p>
        </w:tc>
      </w:tr>
      <w:tr w:rsidR="004205F4" w:rsidRPr="00726D70" w14:paraId="61BFE951" w14:textId="77777777" w:rsidTr="0085385F">
        <w:trPr>
          <w:cantSplit/>
          <w:trHeight w:val="290"/>
          <w:tblHeader/>
          <w:jc w:val="center"/>
        </w:trPr>
        <w:tc>
          <w:tcPr>
            <w:tcW w:w="932" w:type="pct"/>
          </w:tcPr>
          <w:p w14:paraId="3942809A"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570 to 599 calendar days</w:t>
            </w:r>
          </w:p>
        </w:tc>
        <w:tc>
          <w:tcPr>
            <w:tcW w:w="1360" w:type="pct"/>
          </w:tcPr>
          <w:p w14:paraId="474C682A"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21</w:t>
            </w:r>
          </w:p>
        </w:tc>
        <w:tc>
          <w:tcPr>
            <w:tcW w:w="1360" w:type="pct"/>
          </w:tcPr>
          <w:p w14:paraId="5944F364"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453A1EE4"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14</w:t>
            </w:r>
          </w:p>
        </w:tc>
      </w:tr>
      <w:tr w:rsidR="004205F4" w:rsidRPr="00726D70" w14:paraId="206CD4BE" w14:textId="77777777" w:rsidTr="0085385F">
        <w:trPr>
          <w:cantSplit/>
          <w:trHeight w:val="290"/>
          <w:tblHeader/>
          <w:jc w:val="center"/>
        </w:trPr>
        <w:tc>
          <w:tcPr>
            <w:tcW w:w="932" w:type="pct"/>
          </w:tcPr>
          <w:p w14:paraId="1A66B620"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600 to 629 calendar days</w:t>
            </w:r>
          </w:p>
        </w:tc>
        <w:tc>
          <w:tcPr>
            <w:tcW w:w="1360" w:type="pct"/>
          </w:tcPr>
          <w:p w14:paraId="71659A1A"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11</w:t>
            </w:r>
          </w:p>
        </w:tc>
        <w:tc>
          <w:tcPr>
            <w:tcW w:w="1360" w:type="pct"/>
          </w:tcPr>
          <w:p w14:paraId="61D5C54A"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60FE8CCF"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12</w:t>
            </w:r>
          </w:p>
        </w:tc>
      </w:tr>
      <w:tr w:rsidR="004205F4" w:rsidRPr="00726D70" w14:paraId="67301A52" w14:textId="77777777" w:rsidTr="0085385F">
        <w:trPr>
          <w:cantSplit/>
          <w:trHeight w:val="290"/>
          <w:tblHeader/>
          <w:jc w:val="center"/>
        </w:trPr>
        <w:tc>
          <w:tcPr>
            <w:tcW w:w="932" w:type="pct"/>
          </w:tcPr>
          <w:p w14:paraId="0A2A33F3"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630 to 659 calendar days</w:t>
            </w:r>
          </w:p>
        </w:tc>
        <w:tc>
          <w:tcPr>
            <w:tcW w:w="1360" w:type="pct"/>
          </w:tcPr>
          <w:p w14:paraId="1017AA3A"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19</w:t>
            </w:r>
          </w:p>
        </w:tc>
        <w:tc>
          <w:tcPr>
            <w:tcW w:w="1360" w:type="pct"/>
          </w:tcPr>
          <w:p w14:paraId="76EA2857"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w:t>
            </w:r>
          </w:p>
        </w:tc>
        <w:tc>
          <w:tcPr>
            <w:tcW w:w="1348" w:type="pct"/>
          </w:tcPr>
          <w:p w14:paraId="101A976E"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w:t>
            </w:r>
          </w:p>
        </w:tc>
      </w:tr>
      <w:tr w:rsidR="004205F4" w:rsidRPr="00726D70" w14:paraId="294F46EF" w14:textId="77777777" w:rsidTr="0085385F">
        <w:trPr>
          <w:cantSplit/>
          <w:trHeight w:val="290"/>
          <w:tblHeader/>
          <w:jc w:val="center"/>
        </w:trPr>
        <w:tc>
          <w:tcPr>
            <w:tcW w:w="932" w:type="pct"/>
          </w:tcPr>
          <w:p w14:paraId="3B6EA0F1"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660 to 689 calendar days</w:t>
            </w:r>
          </w:p>
        </w:tc>
        <w:tc>
          <w:tcPr>
            <w:tcW w:w="1360" w:type="pct"/>
          </w:tcPr>
          <w:p w14:paraId="1E211FA2"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w:t>
            </w:r>
          </w:p>
        </w:tc>
        <w:tc>
          <w:tcPr>
            <w:tcW w:w="1360" w:type="pct"/>
          </w:tcPr>
          <w:p w14:paraId="77C75AC5"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35F23E5D"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w:t>
            </w:r>
          </w:p>
        </w:tc>
      </w:tr>
      <w:tr w:rsidR="004205F4" w:rsidRPr="00726D70" w14:paraId="4AABDAFB" w14:textId="77777777" w:rsidTr="0085385F">
        <w:trPr>
          <w:cantSplit/>
          <w:trHeight w:val="290"/>
          <w:tblHeader/>
          <w:jc w:val="center"/>
        </w:trPr>
        <w:tc>
          <w:tcPr>
            <w:tcW w:w="932" w:type="pct"/>
          </w:tcPr>
          <w:p w14:paraId="61610DCC"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690 to 719 calendar days</w:t>
            </w:r>
          </w:p>
        </w:tc>
        <w:tc>
          <w:tcPr>
            <w:tcW w:w="1360" w:type="pct"/>
          </w:tcPr>
          <w:p w14:paraId="635B362E"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13</w:t>
            </w:r>
          </w:p>
        </w:tc>
        <w:tc>
          <w:tcPr>
            <w:tcW w:w="1360" w:type="pct"/>
          </w:tcPr>
          <w:p w14:paraId="3D3A7234"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063C1986"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w:t>
            </w:r>
          </w:p>
        </w:tc>
      </w:tr>
      <w:tr w:rsidR="004205F4" w:rsidRPr="00726D70" w14:paraId="7A7B7EBF" w14:textId="77777777" w:rsidTr="0085385F">
        <w:trPr>
          <w:cantSplit/>
          <w:trHeight w:val="302"/>
          <w:tblHeader/>
          <w:jc w:val="center"/>
        </w:trPr>
        <w:tc>
          <w:tcPr>
            <w:tcW w:w="932" w:type="pct"/>
          </w:tcPr>
          <w:p w14:paraId="3DFCBCF4"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720 to 749 calendar days</w:t>
            </w:r>
          </w:p>
        </w:tc>
        <w:tc>
          <w:tcPr>
            <w:tcW w:w="1360" w:type="pct"/>
          </w:tcPr>
          <w:p w14:paraId="23E9BA74"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6</w:t>
            </w:r>
          </w:p>
        </w:tc>
        <w:tc>
          <w:tcPr>
            <w:tcW w:w="1360" w:type="pct"/>
          </w:tcPr>
          <w:p w14:paraId="58A2B780"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75668EA6"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11</w:t>
            </w:r>
          </w:p>
        </w:tc>
      </w:tr>
      <w:tr w:rsidR="004205F4" w:rsidRPr="00726D70" w14:paraId="0F335467" w14:textId="77777777" w:rsidTr="0085385F">
        <w:trPr>
          <w:cantSplit/>
          <w:trHeight w:val="290"/>
          <w:tblHeader/>
          <w:jc w:val="center"/>
        </w:trPr>
        <w:tc>
          <w:tcPr>
            <w:tcW w:w="932" w:type="pct"/>
          </w:tcPr>
          <w:p w14:paraId="6EBA5CBF"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750 to 779 calendar days</w:t>
            </w:r>
          </w:p>
        </w:tc>
        <w:tc>
          <w:tcPr>
            <w:tcW w:w="1360" w:type="pct"/>
          </w:tcPr>
          <w:p w14:paraId="7E84F2DC"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w:t>
            </w:r>
          </w:p>
        </w:tc>
        <w:tc>
          <w:tcPr>
            <w:tcW w:w="1360" w:type="pct"/>
          </w:tcPr>
          <w:p w14:paraId="4D65DC47"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57C08175"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w:t>
            </w:r>
          </w:p>
        </w:tc>
      </w:tr>
      <w:tr w:rsidR="004205F4" w:rsidRPr="00726D70" w14:paraId="7061AA2E" w14:textId="77777777" w:rsidTr="0085385F">
        <w:trPr>
          <w:cantSplit/>
          <w:trHeight w:val="290"/>
          <w:tblHeader/>
          <w:jc w:val="center"/>
        </w:trPr>
        <w:tc>
          <w:tcPr>
            <w:tcW w:w="932" w:type="pct"/>
          </w:tcPr>
          <w:p w14:paraId="3F39A04D"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780 to 809 calendar days</w:t>
            </w:r>
          </w:p>
        </w:tc>
        <w:tc>
          <w:tcPr>
            <w:tcW w:w="1360" w:type="pct"/>
          </w:tcPr>
          <w:p w14:paraId="20C77C3F"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8</w:t>
            </w:r>
          </w:p>
        </w:tc>
        <w:tc>
          <w:tcPr>
            <w:tcW w:w="1360" w:type="pct"/>
          </w:tcPr>
          <w:p w14:paraId="1FF6414C"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4533D43B"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7</w:t>
            </w:r>
          </w:p>
        </w:tc>
      </w:tr>
      <w:tr w:rsidR="004205F4" w:rsidRPr="00726D70" w14:paraId="3E448AF4" w14:textId="77777777" w:rsidTr="0085385F">
        <w:trPr>
          <w:cantSplit/>
          <w:trHeight w:val="290"/>
          <w:tblHeader/>
          <w:jc w:val="center"/>
        </w:trPr>
        <w:tc>
          <w:tcPr>
            <w:tcW w:w="932" w:type="pct"/>
          </w:tcPr>
          <w:p w14:paraId="6DCAA33D"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810 to 839 calendar days</w:t>
            </w:r>
          </w:p>
        </w:tc>
        <w:tc>
          <w:tcPr>
            <w:tcW w:w="1360" w:type="pct"/>
          </w:tcPr>
          <w:p w14:paraId="11E5572B"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w:t>
            </w:r>
          </w:p>
        </w:tc>
        <w:tc>
          <w:tcPr>
            <w:tcW w:w="1360" w:type="pct"/>
          </w:tcPr>
          <w:p w14:paraId="264DD7C7"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135BA7E4"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w:t>
            </w:r>
          </w:p>
        </w:tc>
      </w:tr>
      <w:tr w:rsidR="004205F4" w:rsidRPr="00726D70" w14:paraId="31721A29" w14:textId="77777777" w:rsidTr="0085385F">
        <w:trPr>
          <w:cantSplit/>
          <w:trHeight w:val="290"/>
          <w:tblHeader/>
          <w:jc w:val="center"/>
        </w:trPr>
        <w:tc>
          <w:tcPr>
            <w:tcW w:w="932" w:type="pct"/>
          </w:tcPr>
          <w:p w14:paraId="66938429"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840 to 869 calendar days</w:t>
            </w:r>
          </w:p>
        </w:tc>
        <w:tc>
          <w:tcPr>
            <w:tcW w:w="1360" w:type="pct"/>
          </w:tcPr>
          <w:p w14:paraId="44420AB6"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10</w:t>
            </w:r>
          </w:p>
        </w:tc>
        <w:tc>
          <w:tcPr>
            <w:tcW w:w="1360" w:type="pct"/>
          </w:tcPr>
          <w:p w14:paraId="34A1BE96"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3C194B7F"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w:t>
            </w:r>
          </w:p>
        </w:tc>
      </w:tr>
      <w:tr w:rsidR="004205F4" w:rsidRPr="00726D70" w14:paraId="1D87881D" w14:textId="77777777" w:rsidTr="0085385F">
        <w:trPr>
          <w:cantSplit/>
          <w:trHeight w:val="290"/>
          <w:tblHeader/>
          <w:jc w:val="center"/>
        </w:trPr>
        <w:tc>
          <w:tcPr>
            <w:tcW w:w="932" w:type="pct"/>
          </w:tcPr>
          <w:p w14:paraId="01625444"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870 to 899 calendar days</w:t>
            </w:r>
          </w:p>
        </w:tc>
        <w:tc>
          <w:tcPr>
            <w:tcW w:w="1360" w:type="pct"/>
          </w:tcPr>
          <w:p w14:paraId="34475F1D"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4</w:t>
            </w:r>
          </w:p>
        </w:tc>
        <w:tc>
          <w:tcPr>
            <w:tcW w:w="1360" w:type="pct"/>
          </w:tcPr>
          <w:p w14:paraId="3118AE09"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1AD94DBA"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r>
      <w:tr w:rsidR="004205F4" w:rsidRPr="00726D70" w14:paraId="474A525D" w14:textId="77777777" w:rsidTr="0085385F">
        <w:trPr>
          <w:cantSplit/>
          <w:trHeight w:val="290"/>
          <w:tblHeader/>
          <w:jc w:val="center"/>
        </w:trPr>
        <w:tc>
          <w:tcPr>
            <w:tcW w:w="932" w:type="pct"/>
          </w:tcPr>
          <w:p w14:paraId="737D90D1"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900 to 929 calendar days</w:t>
            </w:r>
          </w:p>
        </w:tc>
        <w:tc>
          <w:tcPr>
            <w:tcW w:w="1360" w:type="pct"/>
          </w:tcPr>
          <w:p w14:paraId="3329A709"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w:t>
            </w:r>
          </w:p>
        </w:tc>
        <w:tc>
          <w:tcPr>
            <w:tcW w:w="1360" w:type="pct"/>
          </w:tcPr>
          <w:p w14:paraId="5FF9E54D"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10DE9D6E"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w:t>
            </w:r>
          </w:p>
        </w:tc>
      </w:tr>
      <w:tr w:rsidR="004205F4" w:rsidRPr="00726D70" w14:paraId="04E0A224" w14:textId="77777777" w:rsidTr="0085385F">
        <w:trPr>
          <w:cantSplit/>
          <w:trHeight w:val="290"/>
          <w:tblHeader/>
          <w:jc w:val="center"/>
        </w:trPr>
        <w:tc>
          <w:tcPr>
            <w:tcW w:w="932" w:type="pct"/>
          </w:tcPr>
          <w:p w14:paraId="0946859E"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930 to 959 calendar days</w:t>
            </w:r>
          </w:p>
        </w:tc>
        <w:tc>
          <w:tcPr>
            <w:tcW w:w="1360" w:type="pct"/>
          </w:tcPr>
          <w:p w14:paraId="7180AAFA"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5</w:t>
            </w:r>
          </w:p>
        </w:tc>
        <w:tc>
          <w:tcPr>
            <w:tcW w:w="1360" w:type="pct"/>
          </w:tcPr>
          <w:p w14:paraId="702C3BF1"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6C0487F5"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w:t>
            </w:r>
          </w:p>
        </w:tc>
      </w:tr>
      <w:tr w:rsidR="004205F4" w:rsidRPr="00726D70" w14:paraId="60BDA77B" w14:textId="77777777" w:rsidTr="0085385F">
        <w:trPr>
          <w:cantSplit/>
          <w:trHeight w:val="290"/>
          <w:tblHeader/>
          <w:jc w:val="center"/>
        </w:trPr>
        <w:tc>
          <w:tcPr>
            <w:tcW w:w="932" w:type="pct"/>
          </w:tcPr>
          <w:p w14:paraId="38B8F45A"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960 to 989 calendar days</w:t>
            </w:r>
          </w:p>
        </w:tc>
        <w:tc>
          <w:tcPr>
            <w:tcW w:w="1360" w:type="pct"/>
          </w:tcPr>
          <w:p w14:paraId="2A830028"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3</w:t>
            </w:r>
          </w:p>
        </w:tc>
        <w:tc>
          <w:tcPr>
            <w:tcW w:w="1360" w:type="pct"/>
          </w:tcPr>
          <w:p w14:paraId="7EA9C1BD"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c>
          <w:tcPr>
            <w:tcW w:w="1348" w:type="pct"/>
          </w:tcPr>
          <w:p w14:paraId="517A6D3D"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r>
      <w:tr w:rsidR="004205F4" w:rsidRPr="00726D70" w14:paraId="01A63F6D" w14:textId="77777777" w:rsidTr="0085385F">
        <w:trPr>
          <w:cantSplit/>
          <w:trHeight w:val="290"/>
          <w:tblHeader/>
          <w:jc w:val="center"/>
        </w:trPr>
        <w:tc>
          <w:tcPr>
            <w:tcW w:w="932" w:type="pct"/>
          </w:tcPr>
          <w:p w14:paraId="66CF1038" w14:textId="77777777" w:rsidR="004205F4" w:rsidRPr="00726D70" w:rsidRDefault="004205F4" w:rsidP="00A367FE">
            <w:pPr>
              <w:autoSpaceDE w:val="0"/>
              <w:autoSpaceDN w:val="0"/>
              <w:adjustRightInd w:val="0"/>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More than 990 calendar days</w:t>
            </w:r>
          </w:p>
        </w:tc>
        <w:tc>
          <w:tcPr>
            <w:tcW w:w="1360" w:type="pct"/>
          </w:tcPr>
          <w:p w14:paraId="30AE1BD2"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23</w:t>
            </w:r>
          </w:p>
        </w:tc>
        <w:tc>
          <w:tcPr>
            <w:tcW w:w="1360" w:type="pct"/>
          </w:tcPr>
          <w:p w14:paraId="226E1B36"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1</w:t>
            </w:r>
          </w:p>
        </w:tc>
        <w:tc>
          <w:tcPr>
            <w:tcW w:w="1348" w:type="pct"/>
          </w:tcPr>
          <w:p w14:paraId="7516AAE0" w14:textId="77777777" w:rsidR="004205F4" w:rsidRPr="00726D70" w:rsidRDefault="004205F4" w:rsidP="00A367FE">
            <w:pPr>
              <w:autoSpaceDE w:val="0"/>
              <w:autoSpaceDN w:val="0"/>
              <w:adjustRightInd w:val="0"/>
              <w:jc w:val="center"/>
              <w:rPr>
                <w:rFonts w:asciiTheme="minorHAnsi" w:hAnsiTheme="minorHAnsi" w:cstheme="minorHAnsi"/>
                <w:color w:val="000000"/>
                <w:sz w:val="22"/>
                <w:szCs w:val="22"/>
                <w:lang w:val="en-CA"/>
              </w:rPr>
            </w:pPr>
            <w:r w:rsidRPr="00726D70">
              <w:rPr>
                <w:rFonts w:asciiTheme="minorHAnsi" w:hAnsiTheme="minorHAnsi" w:cstheme="minorHAnsi"/>
                <w:color w:val="000000"/>
                <w:sz w:val="22"/>
                <w:szCs w:val="22"/>
                <w:lang w:val="en-CA"/>
              </w:rPr>
              <w:t>0</w:t>
            </w:r>
          </w:p>
        </w:tc>
      </w:tr>
    </w:tbl>
    <w:p w14:paraId="25F0EED2" w14:textId="77777777" w:rsidR="004205F4" w:rsidRPr="00726D70" w:rsidRDefault="004205F4" w:rsidP="00194F0E">
      <w:pPr>
        <w:rPr>
          <w:b/>
          <w:bCs/>
          <w:szCs w:val="24"/>
          <w:lang w:val="en-CA"/>
        </w:rPr>
        <w:sectPr w:rsidR="004205F4" w:rsidRPr="00726D70" w:rsidSect="0012105C">
          <w:footnotePr>
            <w:numFmt w:val="lowerLetter"/>
          </w:footnotePr>
          <w:endnotePr>
            <w:numFmt w:val="lowerLetter"/>
          </w:endnotePr>
          <w:pgSz w:w="24480" w:h="15840" w:orient="landscape" w:code="3"/>
          <w:pgMar w:top="1440" w:right="1080" w:bottom="1440" w:left="1080" w:header="284" w:footer="284" w:gutter="0"/>
          <w:cols w:space="720"/>
          <w:docGrid w:linePitch="326"/>
        </w:sectPr>
      </w:pPr>
    </w:p>
    <w:p w14:paraId="59B67749" w14:textId="7242645D" w:rsidR="007F3B3C" w:rsidRPr="00726D70" w:rsidRDefault="00181024" w:rsidP="003F23FE">
      <w:pPr>
        <w:pStyle w:val="Titre1"/>
        <w:rPr>
          <w:rStyle w:val="lev"/>
          <w:rFonts w:asciiTheme="majorHAnsi" w:hAnsiTheme="majorHAnsi"/>
          <w:b w:val="0"/>
          <w:bCs w:val="0"/>
          <w:sz w:val="40"/>
          <w:lang w:val="en-CA"/>
        </w:rPr>
      </w:pPr>
      <w:r w:rsidRPr="00FE1ED4">
        <w:rPr>
          <w:sz w:val="40"/>
        </w:rPr>
        <w:lastRenderedPageBreak/>
        <w:t>Technical notes</w:t>
      </w:r>
      <w:r w:rsidRPr="00726D70">
        <w:rPr>
          <w:rStyle w:val="lev"/>
          <w:rFonts w:asciiTheme="majorHAnsi" w:hAnsiTheme="majorHAnsi"/>
          <w:b w:val="0"/>
          <w:bCs w:val="0"/>
          <w:sz w:val="40"/>
          <w:lang w:val="en-CA"/>
        </w:rPr>
        <w:t>:</w:t>
      </w:r>
    </w:p>
    <w:p w14:paraId="698EAF74" w14:textId="5F4656F9" w:rsidR="007F3B3C" w:rsidRPr="00726D70" w:rsidRDefault="007F3B3C" w:rsidP="005B549F">
      <w:pPr>
        <w:pStyle w:val="Paragraphedeliste"/>
        <w:numPr>
          <w:ilvl w:val="0"/>
          <w:numId w:val="7"/>
        </w:numPr>
        <w:spacing w:after="0"/>
        <w:contextualSpacing w:val="0"/>
        <w:rPr>
          <w:rFonts w:asciiTheme="minorHAnsi" w:hAnsiTheme="minorHAnsi" w:cstheme="minorHAnsi"/>
          <w:sz w:val="22"/>
          <w:szCs w:val="22"/>
          <w:lang w:val="en-CA"/>
        </w:rPr>
      </w:pPr>
      <w:r w:rsidRPr="00726D70">
        <w:rPr>
          <w:rFonts w:asciiTheme="minorHAnsi" w:hAnsiTheme="minorHAnsi" w:cstheme="minorHAnsi"/>
          <w:sz w:val="22"/>
          <w:szCs w:val="22"/>
          <w:lang w:val="en-CA"/>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3FA81120" w14:textId="08B2C6ED" w:rsidR="007F3B3C" w:rsidRPr="00726D70" w:rsidRDefault="007F3B3C" w:rsidP="005B549F">
      <w:pPr>
        <w:pStyle w:val="Paragraphedeliste"/>
        <w:numPr>
          <w:ilvl w:val="0"/>
          <w:numId w:val="7"/>
        </w:numPr>
        <w:spacing w:after="0"/>
        <w:contextualSpacing w:val="0"/>
        <w:rPr>
          <w:rFonts w:asciiTheme="minorHAnsi" w:hAnsiTheme="minorHAnsi" w:cstheme="minorHAnsi"/>
          <w:sz w:val="22"/>
          <w:szCs w:val="22"/>
          <w:lang w:val="en-CA"/>
        </w:rPr>
      </w:pPr>
      <w:r w:rsidRPr="00726D70">
        <w:rPr>
          <w:rFonts w:asciiTheme="minorHAnsi" w:hAnsiTheme="minorHAnsi" w:cstheme="minorHAnsi"/>
          <w:sz w:val="22"/>
          <w:szCs w:val="22"/>
          <w:lang w:val="en-CA"/>
        </w:rPr>
        <w:t xml:space="preserve">Only estimated term and indeterminate appointments/notifications are included (deployments, casual and acting appointments are excluded). </w:t>
      </w:r>
    </w:p>
    <w:p w14:paraId="4DA4AF9C" w14:textId="4D86269F" w:rsidR="007F3B3C" w:rsidRPr="00726D70" w:rsidRDefault="007F3B3C" w:rsidP="003F23FE">
      <w:pPr>
        <w:pStyle w:val="Titre1"/>
        <w:rPr>
          <w:rStyle w:val="lev"/>
          <w:rFonts w:asciiTheme="majorHAnsi" w:hAnsiTheme="majorHAnsi"/>
          <w:b w:val="0"/>
          <w:bCs w:val="0"/>
          <w:sz w:val="40"/>
          <w:lang w:val="en-CA"/>
        </w:rPr>
      </w:pPr>
      <w:r w:rsidRPr="00FE1ED4">
        <w:rPr>
          <w:sz w:val="40"/>
        </w:rPr>
        <w:t>Sources</w:t>
      </w:r>
      <w:r w:rsidRPr="00726D70">
        <w:rPr>
          <w:rStyle w:val="lev"/>
          <w:rFonts w:asciiTheme="majorHAnsi" w:hAnsiTheme="majorHAnsi"/>
          <w:b w:val="0"/>
          <w:bCs w:val="0"/>
          <w:sz w:val="40"/>
          <w:lang w:val="en-CA"/>
        </w:rPr>
        <w:t>:</w:t>
      </w:r>
    </w:p>
    <w:p w14:paraId="73E771F3" w14:textId="20F5A5C4" w:rsidR="007F3B3C" w:rsidRPr="00726D70" w:rsidRDefault="007F3B3C" w:rsidP="005B549F">
      <w:pPr>
        <w:pStyle w:val="Paragraphedeliste"/>
        <w:numPr>
          <w:ilvl w:val="0"/>
          <w:numId w:val="7"/>
        </w:numPr>
        <w:spacing w:after="0"/>
        <w:contextualSpacing w:val="0"/>
        <w:rPr>
          <w:rFonts w:asciiTheme="minorHAnsi" w:hAnsiTheme="minorHAnsi" w:cstheme="minorHAnsi"/>
          <w:sz w:val="22"/>
          <w:szCs w:val="22"/>
          <w:lang w:val="en-CA"/>
        </w:rPr>
      </w:pPr>
      <w:r w:rsidRPr="00726D70">
        <w:rPr>
          <w:rFonts w:asciiTheme="minorHAnsi" w:hAnsiTheme="minorHAnsi" w:cstheme="minorHAnsi"/>
          <w:sz w:val="22"/>
          <w:szCs w:val="22"/>
          <w:lang w:val="en-CA"/>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activities to and within organizations.</w:t>
      </w:r>
    </w:p>
    <w:p w14:paraId="7E4FCE4F" w14:textId="29D2B023" w:rsidR="007F3B3C" w:rsidRPr="00726D70" w:rsidRDefault="007F3B3C" w:rsidP="005B549F">
      <w:pPr>
        <w:pStyle w:val="Paragraphedeliste"/>
        <w:numPr>
          <w:ilvl w:val="0"/>
          <w:numId w:val="7"/>
        </w:numPr>
        <w:spacing w:after="0"/>
        <w:contextualSpacing w:val="0"/>
        <w:rPr>
          <w:rFonts w:asciiTheme="minorHAnsi" w:hAnsiTheme="minorHAnsi" w:cstheme="minorHAnsi"/>
          <w:sz w:val="22"/>
          <w:szCs w:val="22"/>
          <w:lang w:val="en-CA"/>
        </w:rPr>
      </w:pPr>
      <w:r w:rsidRPr="00726D70">
        <w:rPr>
          <w:rFonts w:asciiTheme="minorHAnsi" w:hAnsiTheme="minorHAnsi" w:cstheme="minorHAnsi"/>
          <w:sz w:val="22"/>
          <w:szCs w:val="22"/>
          <w:lang w:val="en-CA"/>
        </w:rPr>
        <w:t>Information from the Priority Information Management System and the Public Services Resourcing System is also used to determine if staffing actions are advertised or non-advertised as well as for calculating time to staff.</w:t>
      </w:r>
    </w:p>
    <w:p w14:paraId="0E48FA14" w14:textId="337B94B2" w:rsidR="00A3677B" w:rsidRPr="00726D70" w:rsidRDefault="007F3B3C" w:rsidP="005B549F">
      <w:pPr>
        <w:pStyle w:val="Paragraphedeliste"/>
        <w:numPr>
          <w:ilvl w:val="0"/>
          <w:numId w:val="7"/>
        </w:numPr>
        <w:spacing w:after="0"/>
        <w:contextualSpacing w:val="0"/>
        <w:rPr>
          <w:lang w:val="en-CA"/>
        </w:rPr>
      </w:pPr>
      <w:r w:rsidRPr="00726D70">
        <w:rPr>
          <w:rFonts w:asciiTheme="minorHAnsi" w:hAnsiTheme="minorHAnsi" w:cstheme="minorHAnsi"/>
          <w:sz w:val="22"/>
          <w:szCs w:val="22"/>
          <w:lang w:val="en-CA"/>
        </w:rPr>
        <w:t>The data are not expected to match an organization’s human resources data, due to met</w:t>
      </w:r>
      <w:r w:rsidR="006F7D71" w:rsidRPr="00726D70">
        <w:rPr>
          <w:rFonts w:asciiTheme="minorHAnsi" w:hAnsiTheme="minorHAnsi" w:cstheme="minorHAnsi"/>
          <w:sz w:val="22"/>
          <w:szCs w:val="22"/>
          <w:lang w:val="en-CA"/>
        </w:rPr>
        <w:t>hodology and timing differences</w:t>
      </w:r>
      <w:r w:rsidR="00F42420" w:rsidRPr="00726D70">
        <w:rPr>
          <w:rFonts w:asciiTheme="minorHAnsi" w:hAnsiTheme="minorHAnsi" w:cstheme="minorHAnsi"/>
          <w:sz w:val="22"/>
          <w:szCs w:val="22"/>
          <w:lang w:val="en-CA"/>
        </w:rPr>
        <w:t>.</w:t>
      </w:r>
    </w:p>
    <w:sectPr w:rsidR="00A3677B" w:rsidRPr="00726D70" w:rsidSect="0012105C">
      <w:headerReference w:type="default" r:id="rId24"/>
      <w:footerReference w:type="default" r:id="rId25"/>
      <w:pgSz w:w="12240" w:h="15840"/>
      <w:pgMar w:top="1440" w:right="1080" w:bottom="1440" w:left="108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62EF4" w14:textId="77777777" w:rsidR="00726D70" w:rsidRDefault="00726D70" w:rsidP="0051557E">
      <w:r>
        <w:separator/>
      </w:r>
    </w:p>
  </w:endnote>
  <w:endnote w:type="continuationSeparator" w:id="0">
    <w:p w14:paraId="0F53FC76" w14:textId="77777777" w:rsidR="00726D70" w:rsidRDefault="00726D70"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F88B3" w14:textId="6C7A94FF" w:rsidR="00726D70" w:rsidRPr="00143859" w:rsidRDefault="00726D70" w:rsidP="00991247">
    <w:pPr>
      <w:pStyle w:val="Pieddepage"/>
      <w:jc w:val="center"/>
    </w:pPr>
    <w:r w:rsidRPr="00F963C1">
      <w:rPr>
        <w:rFonts w:ascii="Calibri" w:eastAsia="Calibri" w:hAnsi="Calibri" w:cs="Arial"/>
        <w:sz w:val="16"/>
      </w:rPr>
      <w:fldChar w:fldCharType="begin"/>
    </w:r>
    <w:r w:rsidRPr="00F963C1">
      <w:rPr>
        <w:rFonts w:ascii="Calibri" w:eastAsia="Calibri" w:hAnsi="Calibri" w:cs="Arial"/>
        <w:sz w:val="16"/>
        <w:lang w:val="en-CA"/>
      </w:rPr>
      <w:instrText xml:space="preserve"> PAGE   \* MERGEFORMAT </w:instrText>
    </w:r>
    <w:r w:rsidRPr="00F963C1">
      <w:rPr>
        <w:rFonts w:ascii="Calibri" w:eastAsia="Calibri" w:hAnsi="Calibri" w:cs="Arial"/>
        <w:sz w:val="16"/>
      </w:rPr>
      <w:fldChar w:fldCharType="separate"/>
    </w:r>
    <w:r w:rsidR="005932F7" w:rsidRPr="005932F7">
      <w:rPr>
        <w:rFonts w:ascii="Calibri" w:eastAsia="Calibri" w:hAnsi="Calibri" w:cs="Arial"/>
        <w:b/>
        <w:bCs/>
        <w:noProof/>
        <w:sz w:val="16"/>
        <w:lang w:val="en-CA"/>
      </w:rPr>
      <w:t>9</w:t>
    </w:r>
    <w:r w:rsidRPr="00F963C1">
      <w:rPr>
        <w:rFonts w:ascii="Calibri" w:eastAsia="Calibri" w:hAnsi="Calibri" w:cs="Arial"/>
        <w:b/>
        <w:bCs/>
        <w:noProof/>
        <w:sz w:val="16"/>
      </w:rPr>
      <w:fldChar w:fldCharType="end"/>
    </w:r>
    <w:r w:rsidRPr="006B2FDC">
      <w:rPr>
        <w:rFonts w:ascii="Calibri" w:eastAsia="Calibri" w:hAnsi="Calibri" w:cs="Arial"/>
        <w:b/>
        <w:bCs/>
        <w:sz w:val="16"/>
        <w:lang w:val="en-CA"/>
      </w:rPr>
      <w:t>|</w:t>
    </w:r>
    <w:r w:rsidRPr="00F963C1">
      <w:rPr>
        <w:rFonts w:ascii="Calibri" w:eastAsia="Calibri" w:hAnsi="Calibri" w:cs="Arial"/>
        <w:sz w:val="16"/>
        <w:lang w:val="en-CA"/>
      </w:rPr>
      <w:t xml:space="preserve"> </w:t>
    </w:r>
    <w:r>
      <w:rPr>
        <w:rFonts w:ascii="Calibri" w:eastAsia="Calibri" w:hAnsi="Calibri" w:cs="Arial"/>
        <w:sz w:val="16"/>
        <w:lang w:val="en-CA"/>
      </w:rPr>
      <w:tab/>
    </w:r>
    <w:r>
      <w:rPr>
        <w:rFonts w:ascii="Calibri" w:eastAsia="Calibri" w:hAnsi="Calibri" w:cs="Arial"/>
        <w:sz w:val="16"/>
        <w:lang w:val="en-CA"/>
      </w:rPr>
      <w:tab/>
    </w:r>
    <w:r w:rsidRPr="006B2FDC">
      <w:rPr>
        <w:rFonts w:ascii="Calibri" w:eastAsia="Calibri" w:hAnsi="Calibri" w:cs="Arial"/>
        <w:sz w:val="16"/>
        <w:lang w:val="en-CA"/>
      </w:rPr>
      <w:t xml:space="preserve">GCDOCS </w:t>
    </w:r>
    <w:r>
      <w:rPr>
        <w:rFonts w:ascii="Calibri" w:eastAsia="Calibri" w:hAnsi="Calibri" w:cs="Arial"/>
        <w:sz w:val="16"/>
        <w:lang w:val="en-CA"/>
      </w:rPr>
      <w:t>9506031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5E2DE" w14:textId="5A1FD685" w:rsidR="00726D70" w:rsidRPr="00143859" w:rsidRDefault="00726D70" w:rsidP="00143859">
    <w:pPr>
      <w:pStyle w:val="Pieddepage"/>
    </w:pPr>
    <w:r w:rsidRPr="00F963C1">
      <w:rPr>
        <w:rFonts w:ascii="Calibri" w:eastAsia="Calibri" w:hAnsi="Calibri" w:cs="Arial"/>
        <w:sz w:val="16"/>
      </w:rPr>
      <w:fldChar w:fldCharType="begin"/>
    </w:r>
    <w:r w:rsidRPr="00F963C1">
      <w:rPr>
        <w:rFonts w:ascii="Calibri" w:eastAsia="Calibri" w:hAnsi="Calibri" w:cs="Arial"/>
        <w:sz w:val="16"/>
        <w:lang w:val="en-CA"/>
      </w:rPr>
      <w:instrText xml:space="preserve"> PAGE   \* MERGEFORMAT </w:instrText>
    </w:r>
    <w:r w:rsidRPr="00F963C1">
      <w:rPr>
        <w:rFonts w:ascii="Calibri" w:eastAsia="Calibri" w:hAnsi="Calibri" w:cs="Arial"/>
        <w:sz w:val="16"/>
      </w:rPr>
      <w:fldChar w:fldCharType="separate"/>
    </w:r>
    <w:r w:rsidR="005932F7" w:rsidRPr="005932F7">
      <w:rPr>
        <w:rFonts w:ascii="Calibri" w:eastAsia="Calibri" w:hAnsi="Calibri" w:cs="Arial"/>
        <w:b/>
        <w:bCs/>
        <w:noProof/>
        <w:sz w:val="16"/>
        <w:lang w:val="en-CA"/>
      </w:rPr>
      <w:t>26</w:t>
    </w:r>
    <w:r w:rsidRPr="00F963C1">
      <w:rPr>
        <w:rFonts w:ascii="Calibri" w:eastAsia="Calibri" w:hAnsi="Calibri" w:cs="Arial"/>
        <w:b/>
        <w:bCs/>
        <w:noProof/>
        <w:sz w:val="16"/>
      </w:rPr>
      <w:fldChar w:fldCharType="end"/>
    </w:r>
    <w:r w:rsidRPr="006B2FDC">
      <w:rPr>
        <w:rFonts w:ascii="Calibri" w:eastAsia="Calibri" w:hAnsi="Calibri" w:cs="Arial"/>
        <w:b/>
        <w:bCs/>
        <w:sz w:val="16"/>
        <w:lang w:val="en-CA"/>
      </w:rPr>
      <w:t>|</w:t>
    </w:r>
    <w:r w:rsidRPr="00F963C1">
      <w:rPr>
        <w:rFonts w:ascii="Calibri" w:eastAsia="Calibri" w:hAnsi="Calibri" w:cs="Arial"/>
        <w:sz w:val="16"/>
        <w:lang w:val="en-CA"/>
      </w:rPr>
      <w:t xml:space="preserve"> </w:t>
    </w:r>
    <w:r>
      <w:rPr>
        <w:rFonts w:ascii="Calibri" w:eastAsia="Calibri" w:hAnsi="Calibri" w:cs="Arial"/>
        <w:sz w:val="16"/>
        <w:lang w:val="en-CA"/>
      </w:rPr>
      <w:tab/>
    </w:r>
    <w:r>
      <w:rPr>
        <w:rFonts w:ascii="Calibri" w:eastAsia="Calibri" w:hAnsi="Calibri" w:cs="Arial"/>
        <w:sz w:val="16"/>
        <w:lang w:val="en-CA"/>
      </w:rPr>
      <w:tab/>
    </w:r>
    <w:r w:rsidRPr="006B2FDC">
      <w:rPr>
        <w:rFonts w:ascii="Calibri" w:eastAsia="Calibri" w:hAnsi="Calibri" w:cs="Arial"/>
        <w:sz w:val="16"/>
        <w:lang w:val="en-CA"/>
      </w:rPr>
      <w:t xml:space="preserve">GCDOCS </w:t>
    </w:r>
    <w:r>
      <w:rPr>
        <w:rFonts w:ascii="Calibri" w:eastAsia="Calibri" w:hAnsi="Calibri" w:cs="Arial"/>
        <w:sz w:val="16"/>
        <w:lang w:val="en-CA"/>
      </w:rPr>
      <w:t>9506031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BBFA8" w14:textId="4382C8DD" w:rsidR="00726D70" w:rsidRPr="00143859" w:rsidRDefault="00726D70" w:rsidP="00143859">
    <w:pPr>
      <w:pStyle w:val="Pieddepage"/>
    </w:pPr>
    <w:r w:rsidRPr="00F963C1">
      <w:rPr>
        <w:rFonts w:ascii="Calibri" w:eastAsia="Calibri" w:hAnsi="Calibri" w:cs="Arial"/>
        <w:sz w:val="16"/>
      </w:rPr>
      <w:fldChar w:fldCharType="begin"/>
    </w:r>
    <w:r w:rsidRPr="00F963C1">
      <w:rPr>
        <w:rFonts w:ascii="Calibri" w:eastAsia="Calibri" w:hAnsi="Calibri" w:cs="Arial"/>
        <w:sz w:val="16"/>
        <w:lang w:val="en-CA"/>
      </w:rPr>
      <w:instrText xml:space="preserve"> PAGE   \* MERGEFORMAT </w:instrText>
    </w:r>
    <w:r w:rsidRPr="00F963C1">
      <w:rPr>
        <w:rFonts w:ascii="Calibri" w:eastAsia="Calibri" w:hAnsi="Calibri" w:cs="Arial"/>
        <w:sz w:val="16"/>
      </w:rPr>
      <w:fldChar w:fldCharType="separate"/>
    </w:r>
    <w:r w:rsidRPr="00111810">
      <w:rPr>
        <w:rFonts w:ascii="Calibri" w:eastAsia="Calibri" w:hAnsi="Calibri" w:cs="Arial"/>
        <w:b/>
        <w:bCs/>
        <w:noProof/>
        <w:sz w:val="16"/>
        <w:lang w:val="en-CA"/>
      </w:rPr>
      <w:t>22</w:t>
    </w:r>
    <w:r w:rsidRPr="00F963C1">
      <w:rPr>
        <w:rFonts w:ascii="Calibri" w:eastAsia="Calibri" w:hAnsi="Calibri" w:cs="Arial"/>
        <w:b/>
        <w:bCs/>
        <w:noProof/>
        <w:sz w:val="16"/>
      </w:rPr>
      <w:fldChar w:fldCharType="end"/>
    </w:r>
    <w:r w:rsidRPr="006B2FDC">
      <w:rPr>
        <w:rFonts w:ascii="Calibri" w:eastAsia="Calibri" w:hAnsi="Calibri" w:cs="Arial"/>
        <w:b/>
        <w:bCs/>
        <w:sz w:val="16"/>
        <w:lang w:val="en-CA"/>
      </w:rPr>
      <w:t>|</w:t>
    </w:r>
    <w:r w:rsidRPr="00F963C1">
      <w:rPr>
        <w:rFonts w:ascii="Calibri" w:eastAsia="Calibri" w:hAnsi="Calibri" w:cs="Arial"/>
        <w:sz w:val="16"/>
        <w:lang w:val="en-CA"/>
      </w:rPr>
      <w:t xml:space="preserve"> </w:t>
    </w:r>
    <w:r>
      <w:rPr>
        <w:rFonts w:ascii="Calibri" w:eastAsia="Calibri" w:hAnsi="Calibri" w:cs="Arial"/>
        <w:sz w:val="16"/>
        <w:lang w:val="en-CA"/>
      </w:rPr>
      <w:tab/>
    </w:r>
    <w:r>
      <w:rPr>
        <w:rFonts w:ascii="Calibri" w:eastAsia="Calibri" w:hAnsi="Calibri" w:cs="Arial"/>
        <w:sz w:val="16"/>
        <w:lang w:val="en-CA"/>
      </w:rPr>
      <w:tab/>
    </w:r>
    <w:r w:rsidRPr="006B2FDC">
      <w:rPr>
        <w:rFonts w:ascii="Calibri" w:eastAsia="Calibri" w:hAnsi="Calibri" w:cs="Arial"/>
        <w:sz w:val="16"/>
        <w:lang w:val="en-CA"/>
      </w:rPr>
      <w:t xml:space="preserve">GCDOCS </w:t>
    </w:r>
    <w:r>
      <w:rPr>
        <w:rFonts w:ascii="Calibri" w:eastAsia="Calibri" w:hAnsi="Calibri" w:cs="Arial"/>
        <w:sz w:val="16"/>
        <w:lang w:val="en-CA"/>
      </w:rPr>
      <w:t>9506031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D2DF3" w14:textId="77777777" w:rsidR="00726D70" w:rsidRDefault="00726D70" w:rsidP="0051557E">
      <w:r>
        <w:separator/>
      </w:r>
    </w:p>
  </w:footnote>
  <w:footnote w:type="continuationSeparator" w:id="0">
    <w:p w14:paraId="7AC2ECD2" w14:textId="77777777" w:rsidR="00726D70" w:rsidRDefault="00726D70" w:rsidP="0051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86BF7" w14:textId="77777777" w:rsidR="00726D70" w:rsidRDefault="00726D70" w:rsidP="0051557E">
    <w:pPr>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B64CBB"/>
    <w:multiLevelType w:val="hybridMultilevel"/>
    <w:tmpl w:val="F43C4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DBD2DBF"/>
    <w:multiLevelType w:val="hybridMultilevel"/>
    <w:tmpl w:val="D8AE19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7D0C04"/>
    <w:multiLevelType w:val="hybridMultilevel"/>
    <w:tmpl w:val="62AA86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C9C26DB"/>
    <w:multiLevelType w:val="hybridMultilevel"/>
    <w:tmpl w:val="CC461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9AC3F83"/>
    <w:multiLevelType w:val="hybridMultilevel"/>
    <w:tmpl w:val="93DE4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5"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9"/>
  </w:num>
  <w:num w:numId="6">
    <w:abstractNumId w:val="13"/>
  </w:num>
  <w:num w:numId="7">
    <w:abstractNumId w:val="2"/>
  </w:num>
  <w:num w:numId="8">
    <w:abstractNumId w:val="11"/>
  </w:num>
  <w:num w:numId="9">
    <w:abstractNumId w:val="0"/>
  </w:num>
  <w:num w:numId="10">
    <w:abstractNumId w:val="12"/>
  </w:num>
  <w:num w:numId="11">
    <w:abstractNumId w:val="10"/>
  </w:num>
  <w:num w:numId="12">
    <w:abstractNumId w:val="15"/>
  </w:num>
  <w:num w:numId="13">
    <w:abstractNumId w:val="8"/>
  </w:num>
  <w:num w:numId="14">
    <w:abstractNumId w:val="7"/>
  </w:num>
  <w:num w:numId="15">
    <w:abstractNumId w:val="4"/>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4309"/>
  <w:characterSpacingControl w:val="doNotCompress"/>
  <w:hdrShapeDefaults>
    <o:shapedefaults v:ext="edit" spidmax="1638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3C"/>
    <w:rsid w:val="00097B91"/>
    <w:rsid w:val="000D310C"/>
    <w:rsid w:val="000D5840"/>
    <w:rsid w:val="000D6C85"/>
    <w:rsid w:val="0010749E"/>
    <w:rsid w:val="00111810"/>
    <w:rsid w:val="00120627"/>
    <w:rsid w:val="0012105C"/>
    <w:rsid w:val="00143859"/>
    <w:rsid w:val="00153C6B"/>
    <w:rsid w:val="00157215"/>
    <w:rsid w:val="00181024"/>
    <w:rsid w:val="00194F0E"/>
    <w:rsid w:val="001B3F48"/>
    <w:rsid w:val="001B4E5C"/>
    <w:rsid w:val="001B56E1"/>
    <w:rsid w:val="00204E31"/>
    <w:rsid w:val="00210749"/>
    <w:rsid w:val="00236ECA"/>
    <w:rsid w:val="00244CD0"/>
    <w:rsid w:val="00246797"/>
    <w:rsid w:val="002B7614"/>
    <w:rsid w:val="002C377D"/>
    <w:rsid w:val="002F1DA4"/>
    <w:rsid w:val="002F57A9"/>
    <w:rsid w:val="003675EB"/>
    <w:rsid w:val="003712D2"/>
    <w:rsid w:val="0037779E"/>
    <w:rsid w:val="00396E2A"/>
    <w:rsid w:val="003979EE"/>
    <w:rsid w:val="003D0B9D"/>
    <w:rsid w:val="003F1E88"/>
    <w:rsid w:val="003F23FE"/>
    <w:rsid w:val="00410EFF"/>
    <w:rsid w:val="004205F4"/>
    <w:rsid w:val="004430DF"/>
    <w:rsid w:val="004564A4"/>
    <w:rsid w:val="004D58F2"/>
    <w:rsid w:val="004E40DD"/>
    <w:rsid w:val="0051557E"/>
    <w:rsid w:val="005932F7"/>
    <w:rsid w:val="005B549F"/>
    <w:rsid w:val="005C7F35"/>
    <w:rsid w:val="005E758A"/>
    <w:rsid w:val="005F2231"/>
    <w:rsid w:val="00625C6F"/>
    <w:rsid w:val="00643959"/>
    <w:rsid w:val="006A6FD7"/>
    <w:rsid w:val="006B5291"/>
    <w:rsid w:val="006F4C52"/>
    <w:rsid w:val="006F7D71"/>
    <w:rsid w:val="00726D70"/>
    <w:rsid w:val="00727F0E"/>
    <w:rsid w:val="007810F9"/>
    <w:rsid w:val="007A3064"/>
    <w:rsid w:val="007B5FFF"/>
    <w:rsid w:val="007B673E"/>
    <w:rsid w:val="007D6D8B"/>
    <w:rsid w:val="007D79C6"/>
    <w:rsid w:val="007E17D1"/>
    <w:rsid w:val="007E588F"/>
    <w:rsid w:val="007F3B3C"/>
    <w:rsid w:val="00812369"/>
    <w:rsid w:val="008242A9"/>
    <w:rsid w:val="008439F8"/>
    <w:rsid w:val="008521CC"/>
    <w:rsid w:val="00852DCA"/>
    <w:rsid w:val="0085385F"/>
    <w:rsid w:val="00872D33"/>
    <w:rsid w:val="00886E6F"/>
    <w:rsid w:val="008944B5"/>
    <w:rsid w:val="009150A6"/>
    <w:rsid w:val="009273A9"/>
    <w:rsid w:val="00991247"/>
    <w:rsid w:val="00997D3F"/>
    <w:rsid w:val="009A0708"/>
    <w:rsid w:val="009C5B9D"/>
    <w:rsid w:val="00A0071D"/>
    <w:rsid w:val="00A16FE1"/>
    <w:rsid w:val="00A3677B"/>
    <w:rsid w:val="00A367FE"/>
    <w:rsid w:val="00A75ACF"/>
    <w:rsid w:val="00A77330"/>
    <w:rsid w:val="00A8771D"/>
    <w:rsid w:val="00A95D7E"/>
    <w:rsid w:val="00AD7DDB"/>
    <w:rsid w:val="00AE203D"/>
    <w:rsid w:val="00B06242"/>
    <w:rsid w:val="00B14F8E"/>
    <w:rsid w:val="00B15DAE"/>
    <w:rsid w:val="00BB12F8"/>
    <w:rsid w:val="00BC3C87"/>
    <w:rsid w:val="00C02773"/>
    <w:rsid w:val="00C24158"/>
    <w:rsid w:val="00C440E6"/>
    <w:rsid w:val="00C562F1"/>
    <w:rsid w:val="00CA6E9E"/>
    <w:rsid w:val="00CE2129"/>
    <w:rsid w:val="00D12D10"/>
    <w:rsid w:val="00D44485"/>
    <w:rsid w:val="00DF7929"/>
    <w:rsid w:val="00E25C01"/>
    <w:rsid w:val="00EA694C"/>
    <w:rsid w:val="00EB0DF7"/>
    <w:rsid w:val="00EC3553"/>
    <w:rsid w:val="00ED7F0A"/>
    <w:rsid w:val="00F01C23"/>
    <w:rsid w:val="00F0626B"/>
    <w:rsid w:val="00F3036D"/>
    <w:rsid w:val="00F31804"/>
    <w:rsid w:val="00F42420"/>
    <w:rsid w:val="00F917F7"/>
    <w:rsid w:val="00F945B0"/>
    <w:rsid w:val="00FB5282"/>
    <w:rsid w:val="00FD0BB8"/>
    <w:rsid w:val="00FE1ED4"/>
    <w:rsid w:val="00FF00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454205"/>
  <w15:chartTrackingRefBased/>
  <w15:docId w15:val="{C6776868-9592-47F3-BC45-EF12657C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B3C"/>
    <w:pPr>
      <w:spacing w:after="0" w:line="240" w:lineRule="auto"/>
    </w:pPr>
    <w:rPr>
      <w:rFonts w:ascii="Times New Roman" w:eastAsia="Times New Roman" w:hAnsi="Times New Roman" w:cs="Times New Roman"/>
      <w:sz w:val="24"/>
      <w:szCs w:val="20"/>
      <w:lang w:val="en-US"/>
    </w:rPr>
  </w:style>
  <w:style w:type="paragraph" w:styleId="Titre1">
    <w:name w:val="heading 1"/>
    <w:basedOn w:val="Normal"/>
    <w:next w:val="Normal"/>
    <w:link w:val="Titre1Car"/>
    <w:uiPriority w:val="9"/>
    <w:qFormat/>
    <w:rsid w:val="00210749"/>
    <w:pPr>
      <w:keepNext/>
      <w:spacing w:before="240"/>
      <w:outlineLvl w:val="0"/>
    </w:pPr>
    <w:rPr>
      <w:rFonts w:asciiTheme="majorHAnsi" w:eastAsiaTheme="majorEastAsia" w:hAnsiTheme="majorHAnsi" w:cstheme="majorBidi"/>
      <w:sz w:val="48"/>
      <w:szCs w:val="48"/>
    </w:rPr>
  </w:style>
  <w:style w:type="paragraph" w:styleId="Titre2">
    <w:name w:val="heading 2"/>
    <w:basedOn w:val="Normal"/>
    <w:next w:val="Normal"/>
    <w:link w:val="Titre2C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Titre3">
    <w:name w:val="heading 3"/>
    <w:basedOn w:val="Normal"/>
    <w:next w:val="Normal"/>
    <w:link w:val="Titre3C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Titre4">
    <w:name w:val="heading 4"/>
    <w:basedOn w:val="Normal"/>
    <w:next w:val="Normal"/>
    <w:link w:val="Titre4C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Titre5">
    <w:name w:val="heading 5"/>
    <w:basedOn w:val="Normal"/>
    <w:next w:val="Normal"/>
    <w:link w:val="Titre5C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0749"/>
    <w:rPr>
      <w:rFonts w:asciiTheme="majorHAnsi" w:eastAsiaTheme="majorEastAsia" w:hAnsiTheme="majorHAnsi" w:cstheme="majorBidi"/>
      <w:color w:val="54575A" w:themeColor="text1"/>
      <w:sz w:val="48"/>
      <w:szCs w:val="48"/>
      <w:lang w:val="fr-CA"/>
    </w:rPr>
  </w:style>
  <w:style w:type="character" w:customStyle="1" w:styleId="Titre2Car">
    <w:name w:val="Titre 2 Car"/>
    <w:basedOn w:val="Policepardfaut"/>
    <w:link w:val="Titre2"/>
    <w:uiPriority w:val="9"/>
    <w:rsid w:val="00210749"/>
    <w:rPr>
      <w:rFonts w:ascii="Segoe UI" w:eastAsiaTheme="majorEastAsia" w:hAnsi="Segoe UI" w:cs="Segoe UI"/>
      <w:b/>
      <w:color w:val="5B315E" w:themeColor="accent2"/>
      <w:sz w:val="32"/>
      <w:szCs w:val="32"/>
      <w:lang w:val="fr-CA"/>
    </w:rPr>
  </w:style>
  <w:style w:type="character" w:customStyle="1" w:styleId="Titre3Car">
    <w:name w:val="Titre 3 Car"/>
    <w:basedOn w:val="Policepardfaut"/>
    <w:link w:val="Titre3"/>
    <w:uiPriority w:val="9"/>
    <w:rsid w:val="00210749"/>
    <w:rPr>
      <w:rFonts w:ascii="Segoe UI Semibold" w:eastAsiaTheme="majorEastAsia" w:hAnsi="Segoe UI Semibold" w:cs="Segoe UI Semibold"/>
      <w:color w:val="54575A" w:themeColor="text1"/>
      <w:sz w:val="24"/>
      <w:szCs w:val="24"/>
      <w:lang w:val="fr-CA"/>
    </w:rPr>
  </w:style>
  <w:style w:type="character" w:customStyle="1" w:styleId="Titre4Car">
    <w:name w:val="Titre 4 Car"/>
    <w:basedOn w:val="Policepardfaut"/>
    <w:link w:val="Titre4"/>
    <w:uiPriority w:val="9"/>
    <w:rsid w:val="00210749"/>
    <w:rPr>
      <w:rFonts w:asciiTheme="majorHAnsi" w:eastAsiaTheme="majorEastAsia" w:hAnsiTheme="majorHAnsi" w:cstheme="majorBidi"/>
      <w:iCs/>
      <w:color w:val="54575A" w:themeColor="text2"/>
      <w:lang w:val="fr-CA"/>
    </w:rPr>
  </w:style>
  <w:style w:type="character" w:customStyle="1" w:styleId="Titre5Car">
    <w:name w:val="Titre 5 Car"/>
    <w:basedOn w:val="Policepardfaut"/>
    <w:link w:val="Titre5"/>
    <w:uiPriority w:val="9"/>
    <w:rsid w:val="00210749"/>
    <w:rPr>
      <w:rFonts w:asciiTheme="majorHAnsi" w:eastAsiaTheme="majorEastAsia" w:hAnsiTheme="majorHAnsi" w:cstheme="majorBidi"/>
      <w:color w:val="9F0040" w:themeColor="accent1" w:themeShade="BF"/>
      <w:lang w:val="fr-CA"/>
    </w:rPr>
  </w:style>
  <w:style w:type="paragraph" w:styleId="En-tte">
    <w:name w:val="header"/>
    <w:basedOn w:val="Normal"/>
    <w:link w:val="En-tteCar"/>
    <w:uiPriority w:val="99"/>
    <w:unhideWhenUsed/>
    <w:rsid w:val="00210749"/>
    <w:pPr>
      <w:tabs>
        <w:tab w:val="center" w:pos="4680"/>
        <w:tab w:val="right" w:pos="9360"/>
      </w:tabs>
    </w:pPr>
  </w:style>
  <w:style w:type="character" w:customStyle="1" w:styleId="En-tteCar">
    <w:name w:val="En-tête Car"/>
    <w:basedOn w:val="Policepardfaut"/>
    <w:link w:val="En-tte"/>
    <w:uiPriority w:val="99"/>
    <w:rsid w:val="00210749"/>
    <w:rPr>
      <w:color w:val="54575A" w:themeColor="text1"/>
      <w:lang w:val="fr-CA"/>
    </w:rPr>
  </w:style>
  <w:style w:type="paragraph" w:styleId="Pieddepage">
    <w:name w:val="footer"/>
    <w:basedOn w:val="Normal"/>
    <w:link w:val="PieddepageCar"/>
    <w:uiPriority w:val="99"/>
    <w:unhideWhenUsed/>
    <w:rsid w:val="00210749"/>
    <w:pPr>
      <w:tabs>
        <w:tab w:val="center" w:pos="4680"/>
        <w:tab w:val="right" w:pos="9360"/>
      </w:tabs>
    </w:pPr>
  </w:style>
  <w:style w:type="character" w:customStyle="1" w:styleId="PieddepageCar">
    <w:name w:val="Pied de page Car"/>
    <w:basedOn w:val="Policepardfaut"/>
    <w:link w:val="Pieddepage"/>
    <w:uiPriority w:val="99"/>
    <w:rsid w:val="00210749"/>
    <w:rPr>
      <w:color w:val="54575A" w:themeColor="text1"/>
      <w:lang w:val="fr-CA"/>
    </w:rPr>
  </w:style>
  <w:style w:type="paragraph" w:styleId="Textedebulles">
    <w:name w:val="Balloon Text"/>
    <w:basedOn w:val="Normal"/>
    <w:link w:val="TextedebullesCar"/>
    <w:uiPriority w:val="99"/>
    <w:semiHidden/>
    <w:unhideWhenUsed/>
    <w:rsid w:val="002107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Appelnotedebasdep">
    <w:name w:val="footnote reference"/>
    <w:basedOn w:val="Policepardfaut"/>
    <w:uiPriority w:val="99"/>
    <w:semiHidden/>
    <w:unhideWhenUsed/>
    <w:rsid w:val="00210749"/>
    <w:rPr>
      <w:vertAlign w:val="superscript"/>
    </w:rPr>
  </w:style>
  <w:style w:type="paragraph" w:styleId="Notedebasdepage">
    <w:name w:val="footnote text"/>
    <w:basedOn w:val="Normal"/>
    <w:link w:val="NotedebasdepageCar"/>
    <w:uiPriority w:val="99"/>
    <w:unhideWhenUsed/>
    <w:rsid w:val="00210749"/>
    <w:rPr>
      <w:sz w:val="20"/>
    </w:rPr>
  </w:style>
  <w:style w:type="character" w:customStyle="1" w:styleId="NotedebasdepageCar">
    <w:name w:val="Note de bas de page Car"/>
    <w:basedOn w:val="Policepardfaut"/>
    <w:link w:val="Notedebasdepage"/>
    <w:uiPriority w:val="99"/>
    <w:rsid w:val="00210749"/>
    <w:rPr>
      <w:color w:val="54575A" w:themeColor="text1"/>
      <w:sz w:val="20"/>
      <w:szCs w:val="20"/>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paragraph" w:styleId="Paragraphedeliste">
    <w:name w:val="List Paragraph"/>
    <w:basedOn w:val="Normal"/>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Paragraphedeliste"/>
    <w:qFormat/>
    <w:rsid w:val="00210749"/>
  </w:style>
  <w:style w:type="paragraph" w:styleId="Sous-titre">
    <w:name w:val="Subtitle"/>
    <w:basedOn w:val="Normal"/>
    <w:next w:val="Normal"/>
    <w:link w:val="Sous-titreCar"/>
    <w:uiPriority w:val="11"/>
    <w:qFormat/>
    <w:rsid w:val="00210749"/>
    <w:rPr>
      <w:rFonts w:ascii="Segoe UI Light" w:hAnsi="Segoe UI Light" w:cs="Segoe UI Light"/>
      <w:sz w:val="36"/>
      <w:szCs w:val="36"/>
    </w:rPr>
  </w:style>
  <w:style w:type="character" w:customStyle="1" w:styleId="Sous-titreCar">
    <w:name w:val="Sous-titre Car"/>
    <w:basedOn w:val="Policepardfaut"/>
    <w:link w:val="Sous-titre"/>
    <w:uiPriority w:val="11"/>
    <w:rsid w:val="00210749"/>
    <w:rPr>
      <w:rFonts w:ascii="Segoe UI Light" w:hAnsi="Segoe UI Light" w:cs="Segoe UI Light"/>
      <w:color w:val="54575A" w:themeColor="text1"/>
      <w:sz w:val="36"/>
      <w:szCs w:val="36"/>
      <w:lang w:val="fr-CA"/>
    </w:rPr>
  </w:style>
  <w:style w:type="table" w:styleId="Grilledutableau">
    <w:name w:val="Table Grid"/>
    <w:basedOn w:val="Tableau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itre2"/>
    <w:qFormat/>
    <w:rsid w:val="00D44485"/>
    <w:rPr>
      <w:rFonts w:ascii="Segoe UI Semibold" w:hAnsi="Segoe UI Semibold"/>
      <w:b w:val="0"/>
      <w:color w:val="auto"/>
      <w:sz w:val="22"/>
    </w:rPr>
  </w:style>
  <w:style w:type="paragraph" w:styleId="Titre">
    <w:name w:val="Title"/>
    <w:basedOn w:val="Normal"/>
    <w:next w:val="Normal"/>
    <w:link w:val="TitreCar"/>
    <w:autoRedefine/>
    <w:uiPriority w:val="10"/>
    <w:qFormat/>
    <w:rsid w:val="007F3B3C"/>
    <w:pPr>
      <w:contextualSpacing/>
      <w:jc w:val="center"/>
    </w:pPr>
    <w:rPr>
      <w:rFonts w:ascii="Segoe UI Light" w:eastAsiaTheme="majorEastAsia" w:hAnsi="Segoe UI Light" w:cs="Segoe UI Light"/>
      <w:spacing w:val="-10"/>
      <w:kern w:val="28"/>
      <w:sz w:val="52"/>
      <w:szCs w:val="52"/>
    </w:rPr>
  </w:style>
  <w:style w:type="character" w:customStyle="1" w:styleId="TitreCar">
    <w:name w:val="Titre Car"/>
    <w:basedOn w:val="Policepardfaut"/>
    <w:link w:val="Titre"/>
    <w:uiPriority w:val="10"/>
    <w:rsid w:val="007F3B3C"/>
    <w:rPr>
      <w:rFonts w:ascii="Segoe UI Light" w:eastAsiaTheme="majorEastAsia" w:hAnsi="Segoe UI Light" w:cs="Segoe UI Light"/>
      <w:spacing w:val="-10"/>
      <w:kern w:val="28"/>
      <w:sz w:val="52"/>
      <w:szCs w:val="52"/>
      <w:lang w:val="en-US"/>
    </w:rPr>
  </w:style>
  <w:style w:type="paragraph" w:styleId="NormalWeb">
    <w:name w:val="Normal (Web)"/>
    <w:basedOn w:val="Normal"/>
    <w:uiPriority w:val="99"/>
    <w:unhideWhenUsed/>
    <w:rsid w:val="007F3B3C"/>
    <w:pPr>
      <w:spacing w:before="100" w:beforeAutospacing="1" w:after="100" w:afterAutospacing="1"/>
    </w:pPr>
    <w:rPr>
      <w:rFonts w:ascii="Verdana" w:hAnsi="Verdana"/>
      <w:szCs w:val="24"/>
    </w:rPr>
  </w:style>
  <w:style w:type="paragraph" w:customStyle="1" w:styleId="Level1">
    <w:name w:val="Level 1"/>
    <w:basedOn w:val="Normal"/>
    <w:uiPriority w:val="99"/>
    <w:rsid w:val="007F3B3C"/>
    <w:pPr>
      <w:widowControl w:val="0"/>
    </w:pPr>
  </w:style>
  <w:style w:type="character" w:styleId="Lienhypertexte">
    <w:name w:val="Hyperlink"/>
    <w:uiPriority w:val="99"/>
    <w:unhideWhenUsed/>
    <w:rsid w:val="007F3B3C"/>
    <w:rPr>
      <w:color w:val="0563C1"/>
      <w:u w:val="single"/>
    </w:rPr>
  </w:style>
  <w:style w:type="character" w:customStyle="1" w:styleId="CommentaireCar">
    <w:name w:val="Commentaire Car"/>
    <w:basedOn w:val="Policepardfaut"/>
    <w:link w:val="Commentaire"/>
    <w:uiPriority w:val="99"/>
    <w:semiHidden/>
    <w:rsid w:val="007F3B3C"/>
    <w:rPr>
      <w:rFonts w:ascii="Times New Roman" w:eastAsia="Times New Roman" w:hAnsi="Times New Roman" w:cs="Times New Roman"/>
      <w:sz w:val="20"/>
      <w:szCs w:val="20"/>
      <w:lang w:val="en-US"/>
    </w:rPr>
  </w:style>
  <w:style w:type="paragraph" w:styleId="Commentaire">
    <w:name w:val="annotation text"/>
    <w:basedOn w:val="Normal"/>
    <w:link w:val="CommentaireCar"/>
    <w:uiPriority w:val="99"/>
    <w:semiHidden/>
    <w:unhideWhenUsed/>
    <w:rsid w:val="007F3B3C"/>
    <w:rPr>
      <w:sz w:val="20"/>
    </w:rPr>
  </w:style>
  <w:style w:type="character" w:customStyle="1" w:styleId="ObjetducommentaireCar">
    <w:name w:val="Objet du commentaire Car"/>
    <w:basedOn w:val="CommentaireCar"/>
    <w:link w:val="Objetducommentaire"/>
    <w:uiPriority w:val="99"/>
    <w:semiHidden/>
    <w:rsid w:val="007F3B3C"/>
    <w:rPr>
      <w:rFonts w:ascii="Times New Roman" w:eastAsia="Times New Roman" w:hAnsi="Times New Roman" w:cs="Times New Roman"/>
      <w:b/>
      <w:bCs/>
      <w:sz w:val="20"/>
      <w:szCs w:val="20"/>
      <w:lang w:val="en-US"/>
    </w:rPr>
  </w:style>
  <w:style w:type="paragraph" w:styleId="Objetducommentaire">
    <w:name w:val="annotation subject"/>
    <w:basedOn w:val="Commentaire"/>
    <w:next w:val="Commentaire"/>
    <w:link w:val="ObjetducommentaireCar"/>
    <w:uiPriority w:val="99"/>
    <w:semiHidden/>
    <w:unhideWhenUsed/>
    <w:rsid w:val="007F3B3C"/>
    <w:rPr>
      <w:b/>
      <w:bCs/>
    </w:rPr>
  </w:style>
  <w:style w:type="paragraph" w:styleId="Sansinterligne">
    <w:name w:val="No Spacing"/>
    <w:uiPriority w:val="1"/>
    <w:qFormat/>
    <w:rsid w:val="007F3B3C"/>
    <w:pPr>
      <w:spacing w:after="0" w:line="240" w:lineRule="auto"/>
    </w:pPr>
    <w:rPr>
      <w:rFonts w:ascii="Times New Roman" w:eastAsia="Times New Roman" w:hAnsi="Times New Roman" w:cs="Times New Roman"/>
      <w:sz w:val="24"/>
      <w:szCs w:val="20"/>
      <w:lang w:val="en-US"/>
    </w:rPr>
  </w:style>
  <w:style w:type="paragraph" w:styleId="Notedefin">
    <w:name w:val="endnote text"/>
    <w:basedOn w:val="Normal"/>
    <w:link w:val="NotedefinCar"/>
    <w:unhideWhenUsed/>
    <w:rsid w:val="007F3B3C"/>
    <w:rPr>
      <w:rFonts w:ascii="Arial" w:hAnsi="Arial"/>
      <w:sz w:val="20"/>
      <w:lang w:val="en-CA" w:eastAsia="en-CA"/>
    </w:rPr>
  </w:style>
  <w:style w:type="character" w:customStyle="1" w:styleId="NotedefinCar">
    <w:name w:val="Note de fin Car"/>
    <w:basedOn w:val="Policepardfaut"/>
    <w:link w:val="Notedefin"/>
    <w:rsid w:val="007F3B3C"/>
    <w:rPr>
      <w:rFonts w:ascii="Arial" w:eastAsia="Times New Roman" w:hAnsi="Arial" w:cs="Times New Roman"/>
      <w:sz w:val="20"/>
      <w:szCs w:val="20"/>
      <w:lang w:eastAsia="en-CA"/>
    </w:rPr>
  </w:style>
  <w:style w:type="paragraph" w:customStyle="1" w:styleId="Style1">
    <w:name w:val="Style1"/>
    <w:basedOn w:val="Normal"/>
    <w:link w:val="Style1Char"/>
    <w:qFormat/>
    <w:rsid w:val="007F3B3C"/>
    <w:pPr>
      <w:pBdr>
        <w:bottom w:val="single" w:sz="4" w:space="1" w:color="92D050"/>
      </w:pBdr>
      <w:autoSpaceDE w:val="0"/>
      <w:autoSpaceDN w:val="0"/>
      <w:adjustRightInd w:val="0"/>
      <w:ind w:right="50"/>
    </w:pPr>
    <w:rPr>
      <w:rFonts w:ascii="Arial" w:hAnsi="Arial" w:cs="Arial"/>
      <w:b/>
      <w:caps/>
      <w:color w:val="92D050"/>
      <w:sz w:val="22"/>
      <w:szCs w:val="22"/>
      <w:lang w:val="en-CA"/>
    </w:rPr>
  </w:style>
  <w:style w:type="character" w:customStyle="1" w:styleId="Style1Char">
    <w:name w:val="Style1 Char"/>
    <w:basedOn w:val="Policepardfaut"/>
    <w:link w:val="Style1"/>
    <w:rsid w:val="007F3B3C"/>
    <w:rPr>
      <w:rFonts w:ascii="Arial" w:eastAsia="Times New Roman" w:hAnsi="Arial" w:cs="Arial"/>
      <w:b/>
      <w:caps/>
      <w:color w:val="92D050"/>
    </w:rPr>
  </w:style>
  <w:style w:type="paragraph" w:customStyle="1" w:styleId="Style2">
    <w:name w:val="Style2"/>
    <w:basedOn w:val="Normal"/>
    <w:link w:val="Style2Char"/>
    <w:qFormat/>
    <w:rsid w:val="007F3B3C"/>
    <w:pPr>
      <w:shd w:val="clear" w:color="auto" w:fill="F2F2F2"/>
    </w:pPr>
    <w:rPr>
      <w:rFonts w:ascii="Arial" w:hAnsi="Arial" w:cs="Arial"/>
      <w:b/>
      <w:color w:val="009999"/>
      <w:spacing w:val="-10"/>
      <w:sz w:val="22"/>
      <w:szCs w:val="22"/>
      <w:lang w:val="en-CA"/>
    </w:rPr>
  </w:style>
  <w:style w:type="character" w:customStyle="1" w:styleId="Style2Char">
    <w:name w:val="Style2 Char"/>
    <w:basedOn w:val="Policepardfaut"/>
    <w:link w:val="Style2"/>
    <w:rsid w:val="007F3B3C"/>
    <w:rPr>
      <w:rFonts w:ascii="Arial" w:eastAsia="Times New Roman" w:hAnsi="Arial" w:cs="Arial"/>
      <w:b/>
      <w:color w:val="009999"/>
      <w:spacing w:val="-10"/>
      <w:shd w:val="clear" w:color="auto" w:fill="F2F2F2"/>
    </w:rPr>
  </w:style>
  <w:style w:type="paragraph" w:customStyle="1" w:styleId="Style3">
    <w:name w:val="Style3"/>
    <w:basedOn w:val="Normal"/>
    <w:link w:val="Style3Char"/>
    <w:qFormat/>
    <w:rsid w:val="007F3B3C"/>
    <w:pPr>
      <w:jc w:val="center"/>
    </w:pPr>
    <w:rPr>
      <w:rFonts w:ascii="Arial" w:hAnsi="Arial" w:cs="Arial"/>
      <w:b/>
      <w:sz w:val="22"/>
      <w:szCs w:val="22"/>
      <w:u w:val="single"/>
    </w:rPr>
  </w:style>
  <w:style w:type="character" w:customStyle="1" w:styleId="Style3Char">
    <w:name w:val="Style3 Char"/>
    <w:basedOn w:val="Policepardfaut"/>
    <w:link w:val="Style3"/>
    <w:rsid w:val="007F3B3C"/>
    <w:rPr>
      <w:rFonts w:ascii="Arial" w:eastAsia="Times New Roman" w:hAnsi="Arial" w:cs="Arial"/>
      <w:b/>
      <w:u w:val="single"/>
      <w:lang w:val="en-US"/>
    </w:rPr>
  </w:style>
  <w:style w:type="paragraph" w:customStyle="1" w:styleId="Style4">
    <w:name w:val="Style4"/>
    <w:basedOn w:val="Normal"/>
    <w:link w:val="Style4Char"/>
    <w:qFormat/>
    <w:rsid w:val="007F3B3C"/>
    <w:rPr>
      <w:rFonts w:ascii="Arial" w:hAnsi="Arial" w:cs="Arial"/>
      <w:sz w:val="22"/>
      <w:szCs w:val="22"/>
      <w:u w:val="single"/>
      <w:lang w:val="en-CA" w:eastAsia="en-CA"/>
    </w:rPr>
  </w:style>
  <w:style w:type="character" w:customStyle="1" w:styleId="Style4Char">
    <w:name w:val="Style4 Char"/>
    <w:basedOn w:val="Policepardfaut"/>
    <w:link w:val="Style4"/>
    <w:rsid w:val="007F3B3C"/>
    <w:rPr>
      <w:rFonts w:ascii="Arial" w:eastAsia="Times New Roman" w:hAnsi="Arial" w:cs="Arial"/>
      <w:u w:val="single"/>
      <w:lang w:eastAsia="en-CA"/>
    </w:rPr>
  </w:style>
  <w:style w:type="paragraph" w:customStyle="1" w:styleId="Style5">
    <w:name w:val="Style5"/>
    <w:basedOn w:val="Normal"/>
    <w:link w:val="Style5Char"/>
    <w:qFormat/>
    <w:rsid w:val="007F3B3C"/>
    <w:pPr>
      <w:jc w:val="center"/>
    </w:pPr>
    <w:rPr>
      <w:rFonts w:ascii="Arial" w:hAnsi="Arial" w:cs="Arial"/>
      <w:b/>
      <w:bCs/>
      <w:sz w:val="22"/>
      <w:szCs w:val="22"/>
      <w:lang w:val="en"/>
    </w:rPr>
  </w:style>
  <w:style w:type="character" w:customStyle="1" w:styleId="Style5Char">
    <w:name w:val="Style5 Char"/>
    <w:basedOn w:val="Policepardfaut"/>
    <w:link w:val="Style5"/>
    <w:rsid w:val="007F3B3C"/>
    <w:rPr>
      <w:rFonts w:ascii="Arial" w:eastAsia="Times New Roman" w:hAnsi="Arial" w:cs="Arial"/>
      <w:b/>
      <w:bCs/>
      <w:lang w:val="en"/>
    </w:rPr>
  </w:style>
  <w:style w:type="paragraph" w:customStyle="1" w:styleId="Style6">
    <w:name w:val="Style6"/>
    <w:basedOn w:val="Normal"/>
    <w:link w:val="Style6Char"/>
    <w:qFormat/>
    <w:rsid w:val="007F3B3C"/>
    <w:pPr>
      <w:jc w:val="center"/>
    </w:pPr>
    <w:rPr>
      <w:rFonts w:ascii="Arial" w:hAnsi="Arial" w:cs="Arial"/>
      <w:b/>
      <w:color w:val="009999"/>
      <w:szCs w:val="24"/>
    </w:rPr>
  </w:style>
  <w:style w:type="character" w:customStyle="1" w:styleId="Style6Char">
    <w:name w:val="Style6 Char"/>
    <w:basedOn w:val="Policepardfaut"/>
    <w:link w:val="Style6"/>
    <w:rsid w:val="007F3B3C"/>
    <w:rPr>
      <w:rFonts w:ascii="Arial" w:eastAsia="Times New Roman" w:hAnsi="Arial" w:cs="Arial"/>
      <w:b/>
      <w:color w:val="009999"/>
      <w:sz w:val="24"/>
      <w:szCs w:val="24"/>
      <w:lang w:val="en-US"/>
    </w:rPr>
  </w:style>
  <w:style w:type="paragraph" w:customStyle="1" w:styleId="Style7">
    <w:name w:val="Style7"/>
    <w:basedOn w:val="Normal"/>
    <w:link w:val="Style7Char"/>
    <w:qFormat/>
    <w:rsid w:val="007F3B3C"/>
    <w:pPr>
      <w:jc w:val="center"/>
    </w:pPr>
    <w:rPr>
      <w:rFonts w:ascii="Arial" w:hAnsi="Arial" w:cs="Arial"/>
      <w:color w:val="009999"/>
      <w:sz w:val="22"/>
      <w:szCs w:val="32"/>
    </w:rPr>
  </w:style>
  <w:style w:type="character" w:customStyle="1" w:styleId="Style7Char">
    <w:name w:val="Style7 Char"/>
    <w:basedOn w:val="Policepardfaut"/>
    <w:link w:val="Style7"/>
    <w:rsid w:val="007F3B3C"/>
    <w:rPr>
      <w:rFonts w:ascii="Arial" w:eastAsia="Times New Roman" w:hAnsi="Arial" w:cs="Arial"/>
      <w:color w:val="009999"/>
      <w:szCs w:val="32"/>
      <w:lang w:val="en-US"/>
    </w:rPr>
  </w:style>
  <w:style w:type="paragraph" w:customStyle="1" w:styleId="Style8">
    <w:name w:val="Style8"/>
    <w:basedOn w:val="Normal"/>
    <w:link w:val="Style8Char"/>
    <w:qFormat/>
    <w:rsid w:val="007F3B3C"/>
    <w:rPr>
      <w:rFonts w:ascii="Arial" w:hAnsi="Arial" w:cs="Arial"/>
      <w:color w:val="767171"/>
      <w:sz w:val="16"/>
      <w:szCs w:val="22"/>
      <w:lang w:val="en-CA"/>
    </w:rPr>
  </w:style>
  <w:style w:type="character" w:customStyle="1" w:styleId="Style8Char">
    <w:name w:val="Style8 Char"/>
    <w:basedOn w:val="Policepardfaut"/>
    <w:link w:val="Style8"/>
    <w:rsid w:val="007F3B3C"/>
    <w:rPr>
      <w:rFonts w:ascii="Arial" w:eastAsia="Times New Roman" w:hAnsi="Arial" w:cs="Arial"/>
      <w:color w:val="767171"/>
      <w:sz w:val="16"/>
    </w:rPr>
  </w:style>
  <w:style w:type="paragraph" w:customStyle="1" w:styleId="Style9">
    <w:name w:val="Style9"/>
    <w:basedOn w:val="Normal"/>
    <w:link w:val="Style9Char"/>
    <w:qFormat/>
    <w:rsid w:val="007F3B3C"/>
    <w:rPr>
      <w:rFonts w:ascii="Arial" w:hAnsi="Arial" w:cs="Arial"/>
      <w:b/>
      <w:color w:val="009999"/>
      <w:spacing w:val="-10"/>
      <w:sz w:val="22"/>
      <w:szCs w:val="22"/>
      <w:lang w:val="en-CA"/>
    </w:rPr>
  </w:style>
  <w:style w:type="character" w:customStyle="1" w:styleId="Style9Char">
    <w:name w:val="Style9 Char"/>
    <w:basedOn w:val="Policepardfaut"/>
    <w:link w:val="Style9"/>
    <w:rsid w:val="007F3B3C"/>
    <w:rPr>
      <w:rFonts w:ascii="Arial" w:eastAsia="Times New Roman" w:hAnsi="Arial" w:cs="Arial"/>
      <w:b/>
      <w:color w:val="009999"/>
      <w:spacing w:val="-10"/>
    </w:rPr>
  </w:style>
  <w:style w:type="character" w:styleId="Emphaseple">
    <w:name w:val="Subtle Emphasis"/>
    <w:basedOn w:val="Policepardfaut"/>
    <w:uiPriority w:val="19"/>
    <w:qFormat/>
    <w:rsid w:val="007F3B3C"/>
    <w:rPr>
      <w:i/>
      <w:iCs/>
      <w:color w:val="A8ABAE" w:themeColor="text1" w:themeTint="7F"/>
    </w:rPr>
  </w:style>
  <w:style w:type="character" w:styleId="Lienhypertextesuivivisit">
    <w:name w:val="FollowedHyperlink"/>
    <w:basedOn w:val="Policepardfaut"/>
    <w:uiPriority w:val="99"/>
    <w:semiHidden/>
    <w:unhideWhenUsed/>
    <w:rsid w:val="007B5FFF"/>
    <w:rPr>
      <w:color w:val="A5A5A5" w:themeColor="followedHyperlink"/>
      <w:u w:val="single"/>
    </w:rPr>
  </w:style>
  <w:style w:type="character" w:styleId="lev">
    <w:name w:val="Strong"/>
    <w:basedOn w:val="Policepardfaut"/>
    <w:uiPriority w:val="22"/>
    <w:qFormat/>
    <w:rsid w:val="00FB5282"/>
    <w:rPr>
      <w:rFonts w:asciiTheme="minorHAnsi" w:hAnsiTheme="minorHAnsi"/>
      <w:b/>
      <w:bCs/>
      <w:sz w:val="22"/>
    </w:rPr>
  </w:style>
  <w:style w:type="table" w:styleId="TableauGrille5Fonc">
    <w:name w:val="Grid Table 5 Dark"/>
    <w:basedOn w:val="TableauNormal"/>
    <w:uiPriority w:val="50"/>
    <w:rsid w:val="00BC3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75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75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75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75A" w:themeFill="text1"/>
      </w:tcPr>
    </w:tblStylePr>
    <w:tblStylePr w:type="band1Vert">
      <w:tblPr/>
      <w:tcPr>
        <w:shd w:val="clear" w:color="auto" w:fill="B9BBBE" w:themeFill="text1" w:themeFillTint="66"/>
      </w:tcPr>
    </w:tblStylePr>
    <w:tblStylePr w:type="band1Horz">
      <w:tblPr/>
      <w:tcPr>
        <w:shd w:val="clear" w:color="auto" w:fill="B9BBBE" w:themeFill="text1" w:themeFillTint="66"/>
      </w:tcPr>
    </w:tblStylePr>
  </w:style>
  <w:style w:type="character" w:styleId="Marquedecommentaire">
    <w:name w:val="annotation reference"/>
    <w:basedOn w:val="Policepardfaut"/>
    <w:uiPriority w:val="99"/>
    <w:semiHidden/>
    <w:unhideWhenUsed/>
    <w:rsid w:val="00AE203D"/>
    <w:rPr>
      <w:sz w:val="16"/>
      <w:szCs w:val="16"/>
    </w:rPr>
  </w:style>
  <w:style w:type="character" w:styleId="Accentuation">
    <w:name w:val="Emphasis"/>
    <w:basedOn w:val="Policepardfaut"/>
    <w:uiPriority w:val="20"/>
    <w:qFormat/>
    <w:rsid w:val="00FB5282"/>
    <w:rPr>
      <w:rFonts w:asciiTheme="minorHAnsi" w:hAnsiTheme="minorHAnsi"/>
      <w:i/>
      <w:iCs/>
      <w:sz w:val="22"/>
    </w:rPr>
  </w:style>
  <w:style w:type="paragraph" w:styleId="Lgende">
    <w:name w:val="caption"/>
    <w:basedOn w:val="Normal"/>
    <w:next w:val="Normal"/>
    <w:uiPriority w:val="35"/>
    <w:unhideWhenUsed/>
    <w:qFormat/>
    <w:rsid w:val="00FB5282"/>
    <w:rPr>
      <w:rFonts w:asciiTheme="minorHAnsi" w:hAnsiTheme="minorHAns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928">
      <w:bodyDiv w:val="1"/>
      <w:marLeft w:val="0"/>
      <w:marRight w:val="0"/>
      <w:marTop w:val="0"/>
      <w:marBottom w:val="0"/>
      <w:divBdr>
        <w:top w:val="none" w:sz="0" w:space="0" w:color="auto"/>
        <w:left w:val="none" w:sz="0" w:space="0" w:color="auto"/>
        <w:bottom w:val="none" w:sz="0" w:space="0" w:color="auto"/>
        <w:right w:val="none" w:sz="0" w:space="0" w:color="auto"/>
      </w:divBdr>
    </w:div>
    <w:div w:id="65536019">
      <w:bodyDiv w:val="1"/>
      <w:marLeft w:val="0"/>
      <w:marRight w:val="0"/>
      <w:marTop w:val="0"/>
      <w:marBottom w:val="0"/>
      <w:divBdr>
        <w:top w:val="none" w:sz="0" w:space="0" w:color="auto"/>
        <w:left w:val="none" w:sz="0" w:space="0" w:color="auto"/>
        <w:bottom w:val="none" w:sz="0" w:space="0" w:color="auto"/>
        <w:right w:val="none" w:sz="0" w:space="0" w:color="auto"/>
      </w:divBdr>
    </w:div>
    <w:div w:id="539899997">
      <w:bodyDiv w:val="1"/>
      <w:marLeft w:val="0"/>
      <w:marRight w:val="0"/>
      <w:marTop w:val="0"/>
      <w:marBottom w:val="0"/>
      <w:divBdr>
        <w:top w:val="none" w:sz="0" w:space="0" w:color="auto"/>
        <w:left w:val="none" w:sz="0" w:space="0" w:color="auto"/>
        <w:bottom w:val="none" w:sz="0" w:space="0" w:color="auto"/>
        <w:right w:val="none" w:sz="0" w:space="0" w:color="auto"/>
      </w:divBdr>
    </w:div>
    <w:div w:id="604339050">
      <w:bodyDiv w:val="1"/>
      <w:marLeft w:val="0"/>
      <w:marRight w:val="0"/>
      <w:marTop w:val="0"/>
      <w:marBottom w:val="0"/>
      <w:divBdr>
        <w:top w:val="none" w:sz="0" w:space="0" w:color="auto"/>
        <w:left w:val="none" w:sz="0" w:space="0" w:color="auto"/>
        <w:bottom w:val="none" w:sz="0" w:space="0" w:color="auto"/>
        <w:right w:val="none" w:sz="0" w:space="0" w:color="auto"/>
      </w:divBdr>
    </w:div>
    <w:div w:id="644161749">
      <w:bodyDiv w:val="1"/>
      <w:marLeft w:val="0"/>
      <w:marRight w:val="0"/>
      <w:marTop w:val="0"/>
      <w:marBottom w:val="0"/>
      <w:divBdr>
        <w:top w:val="none" w:sz="0" w:space="0" w:color="auto"/>
        <w:left w:val="none" w:sz="0" w:space="0" w:color="auto"/>
        <w:bottom w:val="none" w:sz="0" w:space="0" w:color="auto"/>
        <w:right w:val="none" w:sz="0" w:space="0" w:color="auto"/>
      </w:divBdr>
    </w:div>
    <w:div w:id="683434800">
      <w:bodyDiv w:val="1"/>
      <w:marLeft w:val="0"/>
      <w:marRight w:val="0"/>
      <w:marTop w:val="0"/>
      <w:marBottom w:val="0"/>
      <w:divBdr>
        <w:top w:val="none" w:sz="0" w:space="0" w:color="auto"/>
        <w:left w:val="none" w:sz="0" w:space="0" w:color="auto"/>
        <w:bottom w:val="none" w:sz="0" w:space="0" w:color="auto"/>
        <w:right w:val="none" w:sz="0" w:space="0" w:color="auto"/>
      </w:divBdr>
    </w:div>
    <w:div w:id="833256399">
      <w:bodyDiv w:val="1"/>
      <w:marLeft w:val="0"/>
      <w:marRight w:val="0"/>
      <w:marTop w:val="0"/>
      <w:marBottom w:val="0"/>
      <w:divBdr>
        <w:top w:val="none" w:sz="0" w:space="0" w:color="auto"/>
        <w:left w:val="none" w:sz="0" w:space="0" w:color="auto"/>
        <w:bottom w:val="none" w:sz="0" w:space="0" w:color="auto"/>
        <w:right w:val="none" w:sz="0" w:space="0" w:color="auto"/>
      </w:divBdr>
    </w:div>
    <w:div w:id="1121073085">
      <w:bodyDiv w:val="1"/>
      <w:marLeft w:val="0"/>
      <w:marRight w:val="0"/>
      <w:marTop w:val="0"/>
      <w:marBottom w:val="0"/>
      <w:divBdr>
        <w:top w:val="none" w:sz="0" w:space="0" w:color="auto"/>
        <w:left w:val="none" w:sz="0" w:space="0" w:color="auto"/>
        <w:bottom w:val="none" w:sz="0" w:space="0" w:color="auto"/>
        <w:right w:val="none" w:sz="0" w:space="0" w:color="auto"/>
      </w:divBdr>
    </w:div>
    <w:div w:id="1223758558">
      <w:bodyDiv w:val="1"/>
      <w:marLeft w:val="0"/>
      <w:marRight w:val="0"/>
      <w:marTop w:val="0"/>
      <w:marBottom w:val="0"/>
      <w:divBdr>
        <w:top w:val="none" w:sz="0" w:space="0" w:color="auto"/>
        <w:left w:val="none" w:sz="0" w:space="0" w:color="auto"/>
        <w:bottom w:val="none" w:sz="0" w:space="0" w:color="auto"/>
        <w:right w:val="none" w:sz="0" w:space="0" w:color="auto"/>
      </w:divBdr>
    </w:div>
    <w:div w:id="1532576220">
      <w:bodyDiv w:val="1"/>
      <w:marLeft w:val="0"/>
      <w:marRight w:val="0"/>
      <w:marTop w:val="0"/>
      <w:marBottom w:val="0"/>
      <w:divBdr>
        <w:top w:val="none" w:sz="0" w:space="0" w:color="auto"/>
        <w:left w:val="none" w:sz="0" w:space="0" w:color="auto"/>
        <w:bottom w:val="none" w:sz="0" w:space="0" w:color="auto"/>
        <w:right w:val="none" w:sz="0" w:space="0" w:color="auto"/>
      </w:divBdr>
    </w:div>
    <w:div w:id="175486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10" Type="http://schemas.openxmlformats.org/officeDocument/2006/relationships/hyperlink" Target="https://www.canada.ca/en/government/publicservice/wellness-inclusion-diversity-public-service/diversity-inclusion-public-service/employment-equity-annual-reports/employment-equity-public-service-canada-2017-2018.html"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CA" sz="1200" b="1" i="0" baseline="0">
                <a:solidFill>
                  <a:sysClr val="windowText" lastClr="000000"/>
                </a:solidFill>
                <a:effectLst/>
              </a:rPr>
              <a:t>Population by tenure as of March 31</a:t>
            </a:r>
            <a:endParaRPr lang="en-CA" sz="1200">
              <a:solidFill>
                <a:sysClr val="windowText" lastClr="000000"/>
              </a:solidFill>
              <a:effectLst/>
            </a:endParaRPr>
          </a:p>
        </c:rich>
      </c:tx>
      <c:layout/>
      <c:overlay val="1"/>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29404735032067"/>
          <c:y val="0.13928036645908742"/>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(N=1 042)</c:v>
                </c:pt>
                <c:pt idx="1">
                  <c:v> 2015 
(N=1 025) </c:v>
                </c:pt>
                <c:pt idx="2">
                  <c:v> 2016 
(N=935)</c:v>
                </c:pt>
                <c:pt idx="3">
                  <c:v> 2017 
(N=967) </c:v>
                </c:pt>
                <c:pt idx="4">
                  <c:v> 2018 
(N=949) </c:v>
                </c:pt>
                <c:pt idx="5">
                  <c:v> 2019
(N=986) </c:v>
                </c:pt>
              </c:strCache>
            </c:strRef>
          </c:cat>
          <c:val>
            <c:numRef>
              <c:f>Sheet1!$B$2:$B$7</c:f>
              <c:numCache>
                <c:formatCode>#\ ###</c:formatCode>
                <c:ptCount val="6"/>
                <c:pt idx="0">
                  <c:v>776</c:v>
                </c:pt>
                <c:pt idx="1">
                  <c:v>776</c:v>
                </c:pt>
                <c:pt idx="2">
                  <c:v>744</c:v>
                </c:pt>
                <c:pt idx="3">
                  <c:v>767</c:v>
                </c:pt>
                <c:pt idx="4">
                  <c:v>780</c:v>
                </c:pt>
                <c:pt idx="5">
                  <c:v>808</c:v>
                </c:pt>
              </c:numCache>
            </c:numRef>
          </c:val>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6479117521715313E-17"/>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03896103896103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5584415584415538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0807147258163892E-3"/>
                  <c:y val="5.1948051948052425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1.5584415584415538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(N=1 042)</c:v>
                </c:pt>
                <c:pt idx="1">
                  <c:v> 2015 
(N=1 025) </c:v>
                </c:pt>
                <c:pt idx="2">
                  <c:v> 2016 
(N=935)</c:v>
                </c:pt>
                <c:pt idx="3">
                  <c:v> 2017 
(N=967) </c:v>
                </c:pt>
                <c:pt idx="4">
                  <c:v> 2018 
(N=949) </c:v>
                </c:pt>
                <c:pt idx="5">
                  <c:v> 2019
(N=986) </c:v>
                </c:pt>
              </c:strCache>
            </c:strRef>
          </c:cat>
          <c:val>
            <c:numRef>
              <c:f>Sheet1!$C$2:$C$7</c:f>
              <c:numCache>
                <c:formatCode>#\ ###</c:formatCode>
                <c:ptCount val="6"/>
                <c:pt idx="0">
                  <c:v>113</c:v>
                </c:pt>
                <c:pt idx="1">
                  <c:v>126</c:v>
                </c:pt>
                <c:pt idx="2">
                  <c:v>111</c:v>
                </c:pt>
                <c:pt idx="3">
                  <c:v>92</c:v>
                </c:pt>
                <c:pt idx="4">
                  <c:v>104</c:v>
                </c:pt>
                <c:pt idx="5">
                  <c:v>92</c:v>
                </c:pt>
              </c:numCache>
            </c:numRef>
          </c:val>
        </c:ser>
        <c:ser>
          <c:idx val="2"/>
          <c:order val="2"/>
          <c:tx>
            <c:strRef>
              <c:f>Sheet1!$D$1</c:f>
              <c:strCache>
                <c:ptCount val="1"/>
                <c:pt idx="0">
                  <c:v> Casual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(N=1 042)</c:v>
                </c:pt>
                <c:pt idx="1">
                  <c:v> 2015 
(N=1 025) </c:v>
                </c:pt>
                <c:pt idx="2">
                  <c:v> 2016 
(N=935)</c:v>
                </c:pt>
                <c:pt idx="3">
                  <c:v> 2017 
(N=967) </c:v>
                </c:pt>
                <c:pt idx="4">
                  <c:v> 2018 
(N=949) </c:v>
                </c:pt>
                <c:pt idx="5">
                  <c:v> 2019
(N=986) </c:v>
                </c:pt>
              </c:strCache>
            </c:strRef>
          </c:cat>
          <c:val>
            <c:numRef>
              <c:f>Sheet1!$D$2:$D$7</c:f>
              <c:numCache>
                <c:formatCode>#\ ###</c:formatCode>
                <c:ptCount val="6"/>
                <c:pt idx="0">
                  <c:v>135</c:v>
                </c:pt>
                <c:pt idx="1">
                  <c:v>105</c:v>
                </c:pt>
                <c:pt idx="2">
                  <c:v>71</c:v>
                </c:pt>
                <c:pt idx="3">
                  <c:v>91</c:v>
                </c:pt>
                <c:pt idx="4">
                  <c:v>48</c:v>
                </c:pt>
                <c:pt idx="5">
                  <c:v>64</c:v>
                </c:pt>
              </c:numCache>
            </c:numRef>
          </c:val>
        </c:ser>
        <c:ser>
          <c:idx val="3"/>
          <c:order val="3"/>
          <c:tx>
            <c:strRef>
              <c:f>Sheet1!$E$1</c:f>
              <c:strCache>
                <c:ptCount val="1"/>
                <c:pt idx="0">
                  <c:v> Student </c:v>
                </c:pt>
              </c:strCache>
            </c:strRef>
          </c:tx>
          <c:spPr>
            <a:solidFill>
              <a:schemeClr val="accent4"/>
            </a:solidFill>
            <a:ln>
              <a:noFill/>
            </a:ln>
            <a:effectLst/>
          </c:spPr>
          <c:invertIfNegative val="0"/>
          <c:dLbls>
            <c:dLbl>
              <c:idx val="0"/>
              <c:layout>
                <c:manualLayout>
                  <c:x val="2.8239558760857657E-17"/>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(N=1 042)</c:v>
                </c:pt>
                <c:pt idx="1">
                  <c:v> 2015 
(N=1 025) </c:v>
                </c:pt>
                <c:pt idx="2">
                  <c:v> 2016 
(N=935)</c:v>
                </c:pt>
                <c:pt idx="3">
                  <c:v> 2017 
(N=967) </c:v>
                </c:pt>
                <c:pt idx="4">
                  <c:v> 2018 
(N=949) </c:v>
                </c:pt>
                <c:pt idx="5">
                  <c:v> 2019
(N=986) </c:v>
                </c:pt>
              </c:strCache>
            </c:strRef>
          </c:cat>
          <c:val>
            <c:numRef>
              <c:f>Sheet1!$E$2:$E$7</c:f>
              <c:numCache>
                <c:formatCode>#\ ###</c:formatCode>
                <c:ptCount val="6"/>
                <c:pt idx="0">
                  <c:v>18</c:v>
                </c:pt>
                <c:pt idx="1">
                  <c:v>18</c:v>
                </c:pt>
                <c:pt idx="2">
                  <c:v>9</c:v>
                </c:pt>
                <c:pt idx="3">
                  <c:v>17</c:v>
                </c:pt>
                <c:pt idx="4">
                  <c:v>17</c:v>
                </c:pt>
                <c:pt idx="5">
                  <c:v>22</c:v>
                </c:pt>
              </c:numCache>
            </c:numRef>
          </c:val>
        </c:ser>
        <c:dLbls>
          <c:dLblPos val="ctr"/>
          <c:showLegendKey val="0"/>
          <c:showVal val="1"/>
          <c:showCatName val="0"/>
          <c:showSerName val="0"/>
          <c:showPercent val="0"/>
          <c:showBubbleSize val="0"/>
        </c:dLbls>
        <c:gapWidth val="150"/>
        <c:overlap val="100"/>
        <c:axId val="712995464"/>
        <c:axId val="712993896"/>
      </c:barChart>
      <c:catAx>
        <c:axId val="712995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993896"/>
        <c:crosses val="autoZero"/>
        <c:auto val="1"/>
        <c:lblAlgn val="ctr"/>
        <c:lblOffset val="100"/>
        <c:noMultiLvlLbl val="0"/>
      </c:catAx>
      <c:valAx>
        <c:axId val="71299389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995464"/>
        <c:crosses val="autoZero"/>
        <c:crossBetween val="between"/>
      </c:valAx>
      <c:spPr>
        <a:noFill/>
        <a:ln>
          <a:noFill/>
        </a:ln>
        <a:effectLst/>
      </c:spPr>
    </c:plotArea>
    <c:legend>
      <c:legendPos val="b"/>
      <c:layout>
        <c:manualLayout>
          <c:xMode val="edge"/>
          <c:yMode val="edge"/>
          <c:x val="0.14195084440692604"/>
          <c:y val="0.90036150588628272"/>
          <c:w val="0.70993663915855254"/>
          <c:h val="9.963849411371722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CA" sz="1200" b="1"/>
              <a:t>Student program hires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(N=51)</c:v>
                </c:pt>
                <c:pt idx="1">
                  <c:v>2015-16
 (N=23)</c:v>
                </c:pt>
                <c:pt idx="2">
                  <c:v>2016-17
 (N=51)</c:v>
                </c:pt>
                <c:pt idx="3">
                  <c:v>2017-18
 (N=44)</c:v>
                </c:pt>
                <c:pt idx="4">
                  <c:v>2018-19
 (N=40)</c:v>
                </c:pt>
              </c:strCache>
            </c:strRef>
          </c:cat>
          <c:val>
            <c:numRef>
              <c:f>Sheet1!$B$2:$B$6</c:f>
              <c:numCache>
                <c:formatCode>General</c:formatCode>
                <c:ptCount val="5"/>
                <c:pt idx="0">
                  <c:v>29</c:v>
                </c:pt>
                <c:pt idx="1">
                  <c:v>19</c:v>
                </c:pt>
                <c:pt idx="2">
                  <c:v>30</c:v>
                </c:pt>
                <c:pt idx="3">
                  <c:v>28</c:v>
                </c:pt>
                <c:pt idx="4">
                  <c:v>29</c:v>
                </c:pt>
              </c:numCache>
            </c:numRef>
          </c:val>
        </c:ser>
        <c:ser>
          <c:idx val="1"/>
          <c:order val="1"/>
          <c:tx>
            <c:strRef>
              <c:f>Sheet1!$C$1</c:f>
              <c:strCache>
                <c:ptCount val="1"/>
                <c:pt idx="0">
                  <c:v>Post-Secondary CO-OP/Internship Program (COOP)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(N=51)</c:v>
                </c:pt>
                <c:pt idx="1">
                  <c:v>2015-16
 (N=23)</c:v>
                </c:pt>
                <c:pt idx="2">
                  <c:v>2016-17
 (N=51)</c:v>
                </c:pt>
                <c:pt idx="3">
                  <c:v>2017-18
 (N=44)</c:v>
                </c:pt>
                <c:pt idx="4">
                  <c:v>2018-19
 (N=40)</c:v>
                </c:pt>
              </c:strCache>
            </c:strRef>
          </c:cat>
          <c:val>
            <c:numRef>
              <c:f>Sheet1!$C$2:$C$6</c:f>
              <c:numCache>
                <c:formatCode>General</c:formatCode>
                <c:ptCount val="5"/>
                <c:pt idx="0">
                  <c:v>22</c:v>
                </c:pt>
                <c:pt idx="1">
                  <c:v>4</c:v>
                </c:pt>
                <c:pt idx="2">
                  <c:v>21</c:v>
                </c:pt>
                <c:pt idx="3">
                  <c:v>16</c:v>
                </c:pt>
                <c:pt idx="4">
                  <c:v>11</c:v>
                </c:pt>
              </c:numCache>
            </c:numRef>
          </c:val>
        </c:ser>
        <c:dLbls>
          <c:dLblPos val="ctr"/>
          <c:showLegendKey val="0"/>
          <c:showVal val="1"/>
          <c:showCatName val="0"/>
          <c:showSerName val="0"/>
          <c:showPercent val="0"/>
          <c:showBubbleSize val="0"/>
        </c:dLbls>
        <c:gapWidth val="150"/>
        <c:overlap val="100"/>
        <c:axId val="371470552"/>
        <c:axId val="371470944"/>
      </c:barChart>
      <c:catAx>
        <c:axId val="371470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470944"/>
        <c:crosses val="autoZero"/>
        <c:auto val="1"/>
        <c:lblAlgn val="ctr"/>
        <c:lblOffset val="100"/>
        <c:noMultiLvlLbl val="0"/>
      </c:catAx>
      <c:valAx>
        <c:axId val="3714709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470552"/>
        <c:crosses val="autoZero"/>
        <c:crossBetween val="between"/>
      </c:valAx>
      <c:spPr>
        <a:noFill/>
        <a:ln>
          <a:noFill/>
        </a:ln>
        <a:effectLst/>
      </c:spPr>
    </c:plotArea>
    <c:legend>
      <c:legendPos val="b"/>
      <c:layout>
        <c:manualLayout>
          <c:xMode val="edge"/>
          <c:yMode val="edge"/>
          <c:x val="4.2890265000242525E-2"/>
          <c:y val="0.83451514071101818"/>
          <c:w val="0.86904460864363209"/>
          <c:h val="0.138623769496195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b="1" i="0" baseline="0">
                <a:solidFill>
                  <a:sysClr val="windowText" lastClr="000000"/>
                </a:solidFill>
                <a:effectLst/>
              </a:rPr>
              <a:t>External indeterminate and term hiring activities: Post-Secondary Recruitment Program and former student hires</a:t>
            </a:r>
            <a:endParaRPr lang="en-CA" sz="12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42061281337047E-2"/>
                  <c:y val="1.1511895625479591E-2"/>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1.1142061281337047E-2"/>
                  <c:y val="7.6745970836530376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4280408542248344E-3"/>
                  <c:y val="7.6745970836531782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7.4280408542248344E-3"/>
                  <c:y val="1.151189562547959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_-* #,##0_-;\-* #,##0_-;_-* "-"??_-;_-@_-</c:formatCode>
                <c:ptCount val="5"/>
                <c:pt idx="0">
                  <c:v>3</c:v>
                </c:pt>
                <c:pt idx="1">
                  <c:v>0</c:v>
                </c:pt>
                <c:pt idx="2">
                  <c:v>4</c:v>
                </c:pt>
                <c:pt idx="3">
                  <c:v>5</c:v>
                </c:pt>
                <c:pt idx="4">
                  <c:v>12</c:v>
                </c:pt>
              </c:numCache>
            </c:numRef>
          </c:val>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_-* #,##0_-;\-* #,##0_-;_-* "-"??_-;_-@_-</c:formatCode>
                <c:ptCount val="5"/>
                <c:pt idx="0">
                  <c:v>28</c:v>
                </c:pt>
                <c:pt idx="1">
                  <c:v>9</c:v>
                </c:pt>
                <c:pt idx="2">
                  <c:v>15</c:v>
                </c:pt>
                <c:pt idx="3">
                  <c:v>9</c:v>
                </c:pt>
                <c:pt idx="4">
                  <c:v>22</c:v>
                </c:pt>
              </c:numCache>
            </c:numRef>
          </c:val>
        </c:ser>
        <c:dLbls>
          <c:showLegendKey val="0"/>
          <c:showVal val="1"/>
          <c:showCatName val="0"/>
          <c:showSerName val="0"/>
          <c:showPercent val="0"/>
          <c:showBubbleSize val="0"/>
        </c:dLbls>
        <c:gapWidth val="150"/>
        <c:shape val="box"/>
        <c:axId val="371472120"/>
        <c:axId val="687793240"/>
        <c:axId val="0"/>
      </c:bar3DChart>
      <c:catAx>
        <c:axId val="371472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7793240"/>
        <c:crosses val="autoZero"/>
        <c:auto val="1"/>
        <c:lblAlgn val="ctr"/>
        <c:lblOffset val="100"/>
        <c:noMultiLvlLbl val="0"/>
      </c:catAx>
      <c:valAx>
        <c:axId val="68779324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472120"/>
        <c:crosses val="autoZero"/>
        <c:crossBetween val="between"/>
        <c:minorUnit val="1"/>
      </c:valAx>
      <c:spPr>
        <a:noFill/>
        <a:ln>
          <a:noFill/>
        </a:ln>
        <a:effectLst/>
      </c:spPr>
    </c:plotArea>
    <c:legend>
      <c:legendPos val="r"/>
      <c:layout>
        <c:manualLayout>
          <c:xMode val="edge"/>
          <c:yMode val="edge"/>
          <c:x val="6.1725849728393968E-3"/>
          <c:y val="0.76729080679957218"/>
          <c:w val="0.97525292625329907"/>
          <c:h val="9.45664456946719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rPr>
              <a:t>Internal time to staff</a:t>
            </a:r>
          </a:p>
          <a:p>
            <a:pPr>
              <a:defRPr sz="1100"/>
            </a:pPr>
            <a:r>
              <a:rPr lang="en-CA" sz="1200" b="1" i="0" baseline="0">
                <a:solidFill>
                  <a:sysClr val="windowText" lastClr="000000"/>
                </a:solidFill>
                <a:effectLst/>
              </a:rPr>
              <a:t>Public service median = 176 days</a:t>
            </a:r>
            <a:endParaRPr lang="en-CA" sz="1200" b="1">
              <a:solidFill>
                <a:sysClr val="windowText" lastClr="000000"/>
              </a:solidFill>
              <a:effectLst/>
            </a:endParaRPr>
          </a:p>
          <a:p>
            <a:pPr>
              <a:defRPr sz="1100"/>
            </a:pPr>
            <a:r>
              <a:rPr lang="en-CA" sz="1200" b="1" i="0" baseline="0">
                <a:effectLst/>
              </a:rPr>
              <a:t> </a:t>
            </a:r>
            <a:r>
              <a:rPr lang="en-CA" sz="1200" baseline="0">
                <a:solidFill>
                  <a:sysClr val="windowText" lastClr="000000"/>
                </a:solidFill>
              </a:rPr>
              <a:t>2018-19</a:t>
            </a:r>
            <a:endParaRPr lang="en-CA" sz="1200">
              <a:solidFill>
                <a:sysClr val="windowText" lastClr="000000"/>
              </a:solidFill>
            </a:endParaRPr>
          </a:p>
        </c:rich>
      </c:tx>
      <c:layout>
        <c:manualLayout>
          <c:xMode val="edge"/>
          <c:yMode val="edge"/>
          <c:x val="0.30646464646464644"/>
          <c:y val="3.6182590578239574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ser>
        <c:dLbls>
          <c:showLegendKey val="0"/>
          <c:showVal val="0"/>
          <c:showCatName val="0"/>
          <c:showSerName val="0"/>
          <c:showPercent val="0"/>
          <c:showBubbleSize val="0"/>
        </c:dLbls>
        <c:gapWidth val="150"/>
        <c:overlap val="100"/>
        <c:axId val="687792848"/>
        <c:axId val="687794808"/>
      </c:barChart>
      <c:catAx>
        <c:axId val="6877928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7794808"/>
        <c:crosses val="autoZero"/>
        <c:auto val="1"/>
        <c:lblAlgn val="ctr"/>
        <c:lblOffset val="100"/>
        <c:noMultiLvlLbl val="0"/>
      </c:catAx>
      <c:valAx>
        <c:axId val="687794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7792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latin typeface="+mn-lt"/>
              </a:rPr>
              <a:t>Internal time to staff</a:t>
            </a:r>
          </a:p>
          <a:p>
            <a:pPr>
              <a:defRPr sz="1100"/>
            </a:pPr>
            <a:r>
              <a:rPr lang="en-CA" sz="1200" b="1" i="0" baseline="0">
                <a:solidFill>
                  <a:sysClr val="windowText" lastClr="000000"/>
                </a:solidFill>
                <a:effectLst/>
                <a:latin typeface="+mn-lt"/>
              </a:rPr>
              <a:t>Library and Archives Canada = 145 days</a:t>
            </a:r>
            <a:endParaRPr lang="en-CA" sz="1200" b="1">
              <a:solidFill>
                <a:sysClr val="windowText" lastClr="000000"/>
              </a:solidFill>
              <a:effectLst/>
              <a:latin typeface="+mn-lt"/>
            </a:endParaRPr>
          </a:p>
          <a:p>
            <a:pPr>
              <a:defRPr sz="1100"/>
            </a:pPr>
            <a:r>
              <a:rPr lang="en-CA" sz="1200" b="1" i="0" baseline="0">
                <a:solidFill>
                  <a:sysClr val="windowText" lastClr="000000"/>
                </a:solidFill>
                <a:effectLst/>
                <a:latin typeface="+mn-lt"/>
              </a:rPr>
              <a:t> </a:t>
            </a:r>
            <a:r>
              <a:rPr lang="en-CA" sz="1200" baseline="0">
                <a:solidFill>
                  <a:sysClr val="windowText" lastClr="000000"/>
                </a:solidFill>
                <a:latin typeface="+mn-lt"/>
              </a:rPr>
              <a:t>2018-19</a:t>
            </a:r>
            <a:endParaRPr lang="en-CA" sz="1200">
              <a:solidFill>
                <a:sysClr val="windowText" lastClr="000000"/>
              </a:solidFill>
              <a:latin typeface="+mn-lt"/>
            </a:endParaRPr>
          </a:p>
        </c:rich>
      </c:tx>
      <c:layout>
        <c:manualLayout>
          <c:xMode val="edge"/>
          <c:yMode val="edge"/>
          <c:x val="0.22565656565656564"/>
          <c:y val="3.6182590578239574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1">
                  <c:v>0</c:v>
                </c:pt>
                <c:pt idx="2">
                  <c:v>2</c:v>
                </c:pt>
                <c:pt idx="3">
                  <c:v>2</c:v>
                </c:pt>
                <c:pt idx="4">
                  <c:v>8</c:v>
                </c:pt>
                <c:pt idx="5">
                  <c:v>5</c:v>
                </c:pt>
                <c:pt idx="6">
                  <c:v>3</c:v>
                </c:pt>
                <c:pt idx="7">
                  <c:v>4</c:v>
                </c:pt>
                <c:pt idx="8">
                  <c:v>1</c:v>
                </c:pt>
                <c:pt idx="9">
                  <c:v>0</c:v>
                </c:pt>
                <c:pt idx="10">
                  <c:v>2</c:v>
                </c:pt>
                <c:pt idx="11">
                  <c:v>0</c:v>
                </c:pt>
                <c:pt idx="12">
                  <c:v>0</c:v>
                </c:pt>
                <c:pt idx="13">
                  <c:v>0</c:v>
                </c:pt>
                <c:pt idx="14">
                  <c:v>0</c:v>
                </c:pt>
                <c:pt idx="15">
                  <c:v>0</c:v>
                </c:pt>
                <c:pt idx="16">
                  <c:v>0</c:v>
                </c:pt>
                <c:pt idx="17">
                  <c:v>2</c:v>
                </c:pt>
                <c:pt idx="18">
                  <c:v>0</c:v>
                </c:pt>
                <c:pt idx="19">
                  <c:v>0</c:v>
                </c:pt>
                <c:pt idx="20">
                  <c:v>0</c:v>
                </c:pt>
                <c:pt idx="21">
                  <c:v>0</c:v>
                </c:pt>
                <c:pt idx="22">
                  <c:v>1</c:v>
                </c:pt>
                <c:pt idx="23">
                  <c:v>0</c:v>
                </c:pt>
                <c:pt idx="24">
                  <c:v>0</c:v>
                </c:pt>
                <c:pt idx="25">
                  <c:v>0</c:v>
                </c:pt>
                <c:pt idx="26">
                  <c:v>0</c:v>
                </c:pt>
                <c:pt idx="27">
                  <c:v>0</c:v>
                </c:pt>
                <c:pt idx="28">
                  <c:v>0</c:v>
                </c:pt>
                <c:pt idx="29">
                  <c:v>0</c:v>
                </c:pt>
                <c:pt idx="30">
                  <c:v>0</c:v>
                </c:pt>
                <c:pt idx="31">
                  <c:v>0</c:v>
                </c:pt>
                <c:pt idx="32">
                  <c:v>0</c:v>
                </c:pt>
                <c:pt idx="33">
                  <c:v>0</c:v>
                </c:pt>
                <c:pt idx="34">
                  <c:v>1</c:v>
                </c:pt>
              </c:numCache>
            </c:numRef>
          </c:val>
        </c:ser>
        <c:dLbls>
          <c:showLegendKey val="0"/>
          <c:showVal val="0"/>
          <c:showCatName val="0"/>
          <c:showSerName val="0"/>
          <c:showPercent val="0"/>
          <c:showBubbleSize val="0"/>
        </c:dLbls>
        <c:gapWidth val="150"/>
        <c:overlap val="100"/>
        <c:axId val="687795200"/>
        <c:axId val="687792456"/>
      </c:barChart>
      <c:catAx>
        <c:axId val="68779520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7792456"/>
        <c:crosses val="autoZero"/>
        <c:auto val="1"/>
        <c:lblAlgn val="ctr"/>
        <c:lblOffset val="100"/>
        <c:noMultiLvlLbl val="0"/>
      </c:catAx>
      <c:valAx>
        <c:axId val="687792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7795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0" u="none" strike="noStrike" kern="1200" baseline="0">
                <a:solidFill>
                  <a:sysClr val="windowText" lastClr="000000"/>
                </a:solidFill>
                <a:latin typeface="+mn-lt"/>
                <a:ea typeface="+mn-ea"/>
                <a:cs typeface="+mn-cs"/>
              </a:defRPr>
            </a:pPr>
            <a:r>
              <a:rPr lang="en-CA" sz="1200">
                <a:solidFill>
                  <a:sysClr val="windowText" lastClr="000000"/>
                </a:solidFill>
              </a:rPr>
              <a:t>Population by language requirements</a:t>
            </a:r>
            <a:r>
              <a:rPr lang="en-CA" sz="1200" baseline="0">
                <a:solidFill>
                  <a:sysClr val="windowText" lastClr="000000"/>
                </a:solidFill>
              </a:rPr>
              <a:t> as of March 31, 2019 (N=986)</a:t>
            </a:r>
            <a:endParaRPr lang="en-CA" sz="1200">
              <a:solidFill>
                <a:sysClr val="windowText" lastClr="000000"/>
              </a:solidFill>
            </a:endParaRPr>
          </a:p>
        </c:rich>
      </c:tx>
      <c:layout>
        <c:manualLayout>
          <c:xMode val="edge"/>
          <c:yMode val="edge"/>
          <c:x val="0.21332370336325021"/>
          <c:y val="8.4958576981914273E-3"/>
        </c:manualLayout>
      </c:layout>
      <c:overlay val="0"/>
      <c:spPr>
        <a:noFill/>
        <a:ln>
          <a:noFill/>
        </a:ln>
        <a:effectLst/>
      </c:spPr>
      <c:txPr>
        <a:bodyPr rot="0" spcFirstLastPara="1" vertOverflow="ellipsis" vert="horz" wrap="square" anchor="ctr" anchorCtr="1"/>
        <a:lstStyle/>
        <a:p>
          <a:pPr algn="ct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438934709812973E-2"/>
          <c:y val="0.35393767011251431"/>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dPt>
          <c:dPt>
            <c:idx val="1"/>
            <c:bubble3D val="0"/>
            <c:spPr>
              <a:solidFill>
                <a:schemeClr val="accent1"/>
              </a:solidFill>
              <a:ln>
                <a:noFill/>
              </a:ln>
              <a:effectLst>
                <a:outerShdw blurRad="57150" dist="19050" dir="5400000" algn="ctr" rotWithShape="0">
                  <a:srgbClr val="000000">
                    <a:alpha val="63000"/>
                  </a:srgbClr>
                </a:outerShdw>
              </a:effectLst>
            </c:spPr>
          </c:dPt>
          <c:dLbls>
            <c:dLbl>
              <c:idx val="0"/>
              <c:layout>
                <c:manualLayout>
                  <c:x val="0.10172143974960876"/>
                  <c:y val="-4.0967746545293358E-2"/>
                </c:manualLayout>
              </c:layout>
              <c:showLegendKey val="0"/>
              <c:showVal val="0"/>
              <c:showCatName val="1"/>
              <c:showSerName val="0"/>
              <c:showPercent val="1"/>
              <c:showBubbleSize val="0"/>
              <c:extLst>
                <c:ext xmlns:c15="http://schemas.microsoft.com/office/drawing/2012/chart" uri="{CE6537A1-D6FC-4f65-9D91-7224C49458BB}">
                  <c15:layout>
                    <c:manualLayout>
                      <c:w val="0.340414402425049"/>
                      <c:h val="0.18644044267606294"/>
                    </c:manualLayout>
                  </c15:layout>
                </c:ext>
              </c:extLst>
            </c:dLbl>
            <c:dLbl>
              <c:idx val="1"/>
              <c:layout>
                <c:manualLayout>
                  <c:x val="-8.6071987480438178E-2"/>
                  <c:y val="7.2517710434124624E-2"/>
                </c:manualLayout>
              </c:layout>
              <c:showLegendKey val="0"/>
              <c:showVal val="0"/>
              <c:showCatName val="1"/>
              <c:showSerName val="0"/>
              <c:showPercent val="1"/>
              <c:showBubbleSize val="0"/>
              <c:extLst>
                <c:ext xmlns:c15="http://schemas.microsoft.com/office/drawing/2012/chart" uri="{CE6537A1-D6FC-4f65-9D91-7224C49458BB}">
                  <c15:layout>
                    <c:manualLayout>
                      <c:w val="0.38145539906103287"/>
                      <c:h val="0.18667358050298158"/>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580</c:v>
                </c:pt>
                <c:pt idx="1">
                  <c:v>230</c:v>
                </c:pt>
              </c:numCache>
            </c:numRef>
          </c:val>
        </c:ser>
        <c:dLbls>
          <c:showLegendKey val="0"/>
          <c:showVal val="0"/>
          <c:showCatName val="0"/>
          <c:showSerName val="0"/>
          <c:showPercent val="0"/>
          <c:showBubbleSize val="0"/>
          <c:showLeaderLines val="1"/>
        </c:dLbls>
        <c:firstSliceAng val="1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200">
                <a:solidFill>
                  <a:sysClr val="windowText" lastClr="000000"/>
                </a:solidFill>
              </a:rPr>
              <a:t>Population by occupational</a:t>
            </a:r>
            <a:r>
              <a:rPr lang="en-US" sz="1200" baseline="0">
                <a:solidFill>
                  <a:sysClr val="windowText" lastClr="000000"/>
                </a:solidFill>
              </a:rPr>
              <a:t> group</a:t>
            </a:r>
            <a:r>
              <a:rPr lang="en-US" sz="1200">
                <a:solidFill>
                  <a:sysClr val="windowText" lastClr="000000"/>
                </a:solidFill>
              </a:rPr>
              <a:t> as of March 31, 2019</a:t>
            </a:r>
          </a:p>
        </c:rich>
      </c:tx>
      <c:layout>
        <c:manualLayout>
          <c:xMode val="edge"/>
          <c:yMode val="edge"/>
          <c:x val="0.11600511129181333"/>
          <c:y val="3.4544346801056933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dPt>
            <c:idx val="0"/>
            <c:bubble3D val="0"/>
            <c:spPr>
              <a:solidFill>
                <a:schemeClr val="accent2"/>
              </a:solidFill>
              <a:ln w="3175">
                <a:solidFill>
                  <a:schemeClr val="lt1"/>
                </a:solidFill>
              </a:ln>
              <a:effectLst/>
            </c:spPr>
          </c:dPt>
          <c:dPt>
            <c:idx val="1"/>
            <c:bubble3D val="0"/>
            <c:spPr>
              <a:solidFill>
                <a:schemeClr val="accent1"/>
              </a:solidFill>
              <a:ln w="3175">
                <a:solidFill>
                  <a:schemeClr val="lt1"/>
                </a:solidFill>
              </a:ln>
              <a:effectLst/>
            </c:spPr>
          </c:dPt>
          <c:dPt>
            <c:idx val="2"/>
            <c:bubble3D val="0"/>
            <c:spPr>
              <a:solidFill>
                <a:schemeClr val="accent3"/>
              </a:solidFill>
              <a:ln w="3175">
                <a:solidFill>
                  <a:schemeClr val="lt1"/>
                </a:solidFill>
              </a:ln>
              <a:effectLst/>
            </c:spPr>
          </c:dPt>
          <c:dPt>
            <c:idx val="3"/>
            <c:bubble3D val="0"/>
            <c:spPr>
              <a:solidFill>
                <a:schemeClr val="accent4">
                  <a:lumMod val="60000"/>
                  <a:lumOff val="40000"/>
                </a:schemeClr>
              </a:solidFill>
              <a:ln w="3175">
                <a:solidFill>
                  <a:schemeClr val="lt1"/>
                </a:solidFill>
              </a:ln>
              <a:effectLst/>
            </c:spPr>
          </c:dPt>
          <c:dPt>
            <c:idx val="4"/>
            <c:bubble3D val="0"/>
            <c:spPr>
              <a:solidFill>
                <a:schemeClr val="accent5"/>
              </a:solidFill>
              <a:ln w="3175">
                <a:solidFill>
                  <a:schemeClr val="lt1"/>
                </a:solidFill>
              </a:ln>
              <a:effectLst/>
            </c:spPr>
          </c:dPt>
          <c:dPt>
            <c:idx val="5"/>
            <c:bubble3D val="0"/>
            <c:spPr>
              <a:solidFill>
                <a:schemeClr val="accent6"/>
              </a:solidFill>
              <a:ln w="3175">
                <a:solidFill>
                  <a:schemeClr val="lt1"/>
                </a:solidFill>
              </a:ln>
              <a:effectLst/>
            </c:spPr>
          </c:dPt>
          <c:dLbls>
            <c:dLbl>
              <c:idx val="0"/>
              <c:layout>
                <c:manualLayout>
                  <c:x val="2.9906403209032904E-2"/>
                  <c:y val="-0.105214007782101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1923686425989204"/>
                  <c:y val="-4.1008622860721523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9.4339932154707082E-2"/>
                  <c:y val="9.187209575456764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Lst>
            </c:dLbl>
            <c:dLbl>
              <c:idx val="3"/>
              <c:layout>
                <c:manualLayout>
                  <c:x val="0.15330157727925514"/>
                  <c:y val="0.17423572124245856"/>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991308869410189"/>
                      <c:h val="0.17887989730126078"/>
                    </c:manualLayout>
                  </c15:layout>
                </c:ext>
              </c:extLst>
            </c:dLbl>
            <c:dLbl>
              <c:idx val="4"/>
              <c:layout>
                <c:manualLayout>
                  <c:x val="-0.11653419501807558"/>
                  <c:y val="0.1711596622174280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5.8961954637745825E-2"/>
                  <c:y val="-3.566975936669110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27987421383645"/>
                      <c:h val="0.16626096801585055"/>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EC</c:v>
                </c:pt>
                <c:pt idx="1">
                  <c:v>AS</c:v>
                </c:pt>
                <c:pt idx="2">
                  <c:v>HR</c:v>
                </c:pt>
                <c:pt idx="3">
                  <c:v>CR</c:v>
                </c:pt>
                <c:pt idx="4">
                  <c:v>CS</c:v>
                </c:pt>
                <c:pt idx="5">
                  <c:v>Other</c:v>
                </c:pt>
              </c:strCache>
            </c:strRef>
          </c:cat>
          <c:val>
            <c:numRef>
              <c:f>Sheet1!$B$2:$B$7</c:f>
              <c:numCache>
                <c:formatCode>General</c:formatCode>
                <c:ptCount val="6"/>
                <c:pt idx="0">
                  <c:v>224</c:v>
                </c:pt>
                <c:pt idx="1">
                  <c:v>135</c:v>
                </c:pt>
                <c:pt idx="2">
                  <c:v>135</c:v>
                </c:pt>
                <c:pt idx="3">
                  <c:v>106</c:v>
                </c:pt>
                <c:pt idx="4">
                  <c:v>90</c:v>
                </c:pt>
                <c:pt idx="5">
                  <c:v>274</c:v>
                </c:pt>
              </c:numCache>
            </c:numRef>
          </c:val>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solidFill>
                  <a:sysClr val="windowText" lastClr="000000"/>
                </a:solidFill>
              </a:rPr>
              <a:t>Population by region as</a:t>
            </a:r>
            <a:r>
              <a:rPr lang="en-CA" sz="1200" baseline="0">
                <a:solidFill>
                  <a:sysClr val="windowText" lastClr="000000"/>
                </a:solidFill>
              </a:rPr>
              <a:t> of March 31, 2019 (N=986)</a:t>
            </a:r>
            <a:endParaRPr lang="en-CA" sz="1200">
              <a:solidFill>
                <a:sysClr val="windowText" lastClr="000000"/>
              </a:solidFill>
            </a:endParaRPr>
          </a:p>
        </c:rich>
      </c:tx>
      <c:layout>
        <c:manualLayout>
          <c:xMode val="edge"/>
          <c:yMode val="edge"/>
          <c:x val="0.11470759067239751"/>
          <c:y val="2.1026072329688814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dPt>
          <c:dPt>
            <c:idx val="1"/>
            <c:bubble3D val="0"/>
            <c:spPr>
              <a:solidFill>
                <a:schemeClr val="accent1"/>
              </a:solidFill>
              <a:ln>
                <a:noFill/>
              </a:ln>
              <a:effectLst>
                <a:outerShdw blurRad="57150" dist="19050" dir="5400000" algn="ctr" rotWithShape="0">
                  <a:srgbClr val="000000">
                    <a:alpha val="63000"/>
                  </a:srgbClr>
                </a:outerShdw>
              </a:effectLst>
            </c:spPr>
          </c:dPt>
          <c:dLbls>
            <c:dLbl>
              <c:idx val="0"/>
              <c:layout>
                <c:manualLayout>
                  <c:x val="0.21115409706734631"/>
                  <c:y val="-6.7409904070521137E-2"/>
                </c:manualLayout>
              </c:layou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7.0187368197472427E-2"/>
                  <c:y val="5.9761789540810559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9828076403744322"/>
                      <c:h val="0.1931553020482240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NCR</c:v>
                </c:pt>
                <c:pt idx="1">
                  <c:v>Non-NCR</c:v>
                </c:pt>
              </c:strCache>
            </c:strRef>
          </c:cat>
          <c:val>
            <c:numRef>
              <c:f>Sheet1!$B$2:$B$3</c:f>
              <c:numCache>
                <c:formatCode>0</c:formatCode>
                <c:ptCount val="2"/>
                <c:pt idx="0">
                  <c:v>942</c:v>
                </c:pt>
                <c:pt idx="1">
                  <c:v>43</c:v>
                </c:pt>
              </c:numCache>
            </c:numRef>
          </c:val>
        </c:ser>
        <c:dLbls>
          <c:showLegendKey val="0"/>
          <c:showVal val="0"/>
          <c:showCatName val="0"/>
          <c:showSerName val="0"/>
          <c:showPercent val="0"/>
          <c:showBubbleSize val="0"/>
          <c:showLeaderLines val="1"/>
        </c:dLbls>
        <c:firstSliceAng val="9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200">
                <a:solidFill>
                  <a:sysClr val="windowText" lastClr="000000"/>
                </a:solidFill>
                <a:latin typeface="+mn-lt"/>
              </a:rPr>
              <a:t>External</a:t>
            </a:r>
            <a:r>
              <a:rPr lang="en-US" sz="1200" baseline="0">
                <a:solidFill>
                  <a:sysClr val="windowText" lastClr="000000"/>
                </a:solidFill>
                <a:latin typeface="+mn-lt"/>
              </a:rPr>
              <a:t> indeterminate hires by </a:t>
            </a:r>
          </a:p>
          <a:p>
            <a:pPr>
              <a:defRPr sz="1000" b="1">
                <a:solidFill>
                  <a:sysClr val="windowText" lastClr="000000"/>
                </a:solidFill>
              </a:defRPr>
            </a:pPr>
            <a:r>
              <a:rPr lang="en-US" sz="1200" baseline="0">
                <a:solidFill>
                  <a:sysClr val="windowText" lastClr="000000"/>
                </a:solidFill>
                <a:latin typeface="+mn-lt"/>
              </a:rPr>
              <a:t>occupational</a:t>
            </a:r>
            <a:r>
              <a:rPr lang="en-US" sz="1200">
                <a:solidFill>
                  <a:sysClr val="windowText" lastClr="000000"/>
                </a:solidFill>
                <a:latin typeface="+mn-lt"/>
              </a:rPr>
              <a:t> group,</a:t>
            </a:r>
          </a:p>
          <a:p>
            <a:pPr>
              <a:defRPr sz="1000" b="1">
                <a:solidFill>
                  <a:sysClr val="windowText" lastClr="000000"/>
                </a:solidFill>
              </a:defRPr>
            </a:pPr>
            <a:r>
              <a:rPr lang="en-US" sz="1200">
                <a:solidFill>
                  <a:sysClr val="windowText" lastClr="000000"/>
                </a:solidFill>
                <a:latin typeface="+mn-lt"/>
              </a:rPr>
              <a:t> 2018-19 (N=26)</a:t>
            </a:r>
          </a:p>
        </c:rich>
      </c:tx>
      <c:layout>
        <c:manualLayout>
          <c:xMode val="edge"/>
          <c:yMode val="edge"/>
          <c:x val="0.156127657955799"/>
          <c:y val="2.5746499586384388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5447566328102508"/>
          <c:y val="0.38357946530863624"/>
          <c:w val="0.8966533531134695"/>
          <c:h val="0.48715812098290862"/>
        </c:manualLayout>
      </c:layout>
      <c:doughnutChart>
        <c:varyColors val="1"/>
        <c:ser>
          <c:idx val="0"/>
          <c:order val="0"/>
          <c:tx>
            <c:strRef>
              <c:f>Sheet1!$B$1</c:f>
              <c:strCache>
                <c:ptCount val="1"/>
                <c:pt idx="0">
                  <c:v>Population by Language Requirements as of March 31, 2016</c:v>
                </c:pt>
              </c:strCache>
            </c:strRef>
          </c:tx>
          <c:spPr>
            <a:solidFill>
              <a:schemeClr val="accent1"/>
            </a:solidFill>
            <a:ln w="6350"/>
          </c:spPr>
          <c:explosion val="2"/>
          <c:dPt>
            <c:idx val="0"/>
            <c:bubble3D val="0"/>
            <c:spPr>
              <a:solidFill>
                <a:schemeClr val="accent5"/>
              </a:solidFill>
              <a:ln w="6350">
                <a:solidFill>
                  <a:schemeClr val="lt1"/>
                </a:solidFill>
              </a:ln>
              <a:effectLst/>
            </c:spPr>
          </c:dPt>
          <c:dPt>
            <c:idx val="1"/>
            <c:bubble3D val="0"/>
            <c:spPr>
              <a:solidFill>
                <a:schemeClr val="accent4">
                  <a:lumMod val="60000"/>
                  <a:lumOff val="40000"/>
                </a:schemeClr>
              </a:solidFill>
              <a:ln w="6350">
                <a:solidFill>
                  <a:schemeClr val="lt1"/>
                </a:solidFill>
              </a:ln>
              <a:effectLst/>
            </c:spPr>
          </c:dPt>
          <c:dPt>
            <c:idx val="2"/>
            <c:bubble3D val="0"/>
            <c:spPr>
              <a:solidFill>
                <a:schemeClr val="accent1"/>
              </a:solidFill>
              <a:ln w="6350">
                <a:solidFill>
                  <a:schemeClr val="lt1"/>
                </a:solidFill>
              </a:ln>
              <a:effectLst/>
            </c:spPr>
          </c:dPt>
          <c:dPt>
            <c:idx val="3"/>
            <c:bubble3D val="0"/>
            <c:spPr>
              <a:solidFill>
                <a:schemeClr val="accent3"/>
              </a:solidFill>
              <a:ln w="6350">
                <a:solidFill>
                  <a:schemeClr val="lt1"/>
                </a:solidFill>
              </a:ln>
              <a:effectLst/>
            </c:spPr>
          </c:dPt>
          <c:dPt>
            <c:idx val="4"/>
            <c:bubble3D val="0"/>
            <c:spPr>
              <a:solidFill>
                <a:schemeClr val="accent6"/>
              </a:solidFill>
              <a:ln w="63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noFill/>
                    </a:ln>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Sheet1!$A$2:$A$6</c:f>
              <c:strCache>
                <c:ptCount val="5"/>
                <c:pt idx="0">
                  <c:v>CS</c:v>
                </c:pt>
                <c:pt idx="1">
                  <c:v>CR</c:v>
                </c:pt>
                <c:pt idx="2">
                  <c:v>AS</c:v>
                </c:pt>
                <c:pt idx="3">
                  <c:v>HR</c:v>
                </c:pt>
                <c:pt idx="4">
                  <c:v>Other</c:v>
                </c:pt>
              </c:strCache>
            </c:strRef>
          </c:cat>
          <c:val>
            <c:numRef>
              <c:f>Sheet1!$B$2:$B$6</c:f>
              <c:numCache>
                <c:formatCode>General</c:formatCode>
                <c:ptCount val="5"/>
                <c:pt idx="0">
                  <c:v>6</c:v>
                </c:pt>
                <c:pt idx="1">
                  <c:v>5</c:v>
                </c:pt>
                <c:pt idx="2">
                  <c:v>4</c:v>
                </c:pt>
                <c:pt idx="3">
                  <c:v>4</c:v>
                </c:pt>
                <c:pt idx="4">
                  <c:v>7</c:v>
                </c:pt>
              </c:numCache>
            </c:numRef>
          </c:val>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solidFill>
                  <a:sysClr val="windowText" lastClr="000000"/>
                </a:solidFill>
              </a:rPr>
              <a:t>Staffing</a:t>
            </a:r>
            <a:r>
              <a:rPr lang="en-CA" sz="1200" baseline="0">
                <a:solidFill>
                  <a:sysClr val="windowText" lastClr="000000"/>
                </a:solidFill>
              </a:rPr>
              <a:t> by region</a:t>
            </a:r>
            <a:endParaRPr lang="en-CA" sz="1200">
              <a:solidFill>
                <a:sysClr val="windowText" lastClr="000000"/>
              </a:solidFill>
            </a:endParaRPr>
          </a:p>
        </c:rich>
      </c:tx>
      <c:layout>
        <c:manualLayout>
          <c:xMode val="edge"/>
          <c:yMode val="edge"/>
          <c:x val="0.40202661851079752"/>
          <c:y val="8.3315975838367008E-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9.4894492045412282E-2"/>
          <c:w val="0.84333349635643373"/>
          <c:h val="0.55474858103818014"/>
        </c:manualLayout>
      </c:layout>
      <c:barChart>
        <c:barDir val="col"/>
        <c:grouping val="clustered"/>
        <c:varyColors val="0"/>
        <c:ser>
          <c:idx val="0"/>
          <c:order val="0"/>
          <c:tx>
            <c:strRef>
              <c:f>Sheet1!$B$1</c:f>
              <c:strCache>
                <c:ptCount val="1"/>
                <c:pt idx="0">
                  <c:v>National Capital Region (NCR)</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3957784101821655E-3"/>
                  <c:y val="6.996676578625153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3503151352200708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0225570473313892E-3"/>
                  <c:y val="1.441508196992255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0%</c:formatCode>
                <c:ptCount val="5"/>
                <c:pt idx="0">
                  <c:v>0.93</c:v>
                </c:pt>
                <c:pt idx="1">
                  <c:v>0.93</c:v>
                </c:pt>
                <c:pt idx="2">
                  <c:v>0.93</c:v>
                </c:pt>
                <c:pt idx="3">
                  <c:v>0.98</c:v>
                </c:pt>
                <c:pt idx="4">
                  <c:v>0.96</c:v>
                </c:pt>
              </c:numCache>
            </c:numRef>
          </c:val>
        </c:ser>
        <c:ser>
          <c:idx val="1"/>
          <c:order val="1"/>
          <c:tx>
            <c:strRef>
              <c:f>Sheet1!$C$1</c:f>
              <c:strCache>
                <c:ptCount val="1"/>
                <c:pt idx="0">
                  <c:v>Outside the National Capital Region (Non-NCR)</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086474501108648E-2"/>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0%</c:formatCode>
                <c:ptCount val="5"/>
                <c:pt idx="0">
                  <c:v>7.0000000000000007E-2</c:v>
                </c:pt>
                <c:pt idx="1">
                  <c:v>7.0000000000000007E-2</c:v>
                </c:pt>
                <c:pt idx="2">
                  <c:v>7.0000000000000007E-2</c:v>
                </c:pt>
                <c:pt idx="3">
                  <c:v>0.02</c:v>
                </c:pt>
                <c:pt idx="4">
                  <c:v>0.04</c:v>
                </c:pt>
              </c:numCache>
            </c:numRef>
          </c:val>
        </c:ser>
        <c:dLbls>
          <c:showLegendKey val="0"/>
          <c:showVal val="0"/>
          <c:showCatName val="0"/>
          <c:showSerName val="0"/>
          <c:showPercent val="0"/>
          <c:showBubbleSize val="0"/>
        </c:dLbls>
        <c:gapWidth val="150"/>
        <c:axId val="712991936"/>
        <c:axId val="712992328"/>
      </c:barChart>
      <c:catAx>
        <c:axId val="7129919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992328"/>
        <c:crosses val="autoZero"/>
        <c:auto val="1"/>
        <c:lblAlgn val="ctr"/>
        <c:lblOffset val="100"/>
        <c:noMultiLvlLbl val="0"/>
      </c:catAx>
      <c:valAx>
        <c:axId val="712992328"/>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991936"/>
        <c:crosses val="autoZero"/>
        <c:crossBetween val="between"/>
      </c:valAx>
      <c:spPr>
        <a:noFill/>
        <a:ln>
          <a:noFill/>
        </a:ln>
        <a:effectLst/>
      </c:spPr>
    </c:plotArea>
    <c:legend>
      <c:legendPos val="b"/>
      <c:layout>
        <c:manualLayout>
          <c:xMode val="edge"/>
          <c:yMode val="edge"/>
          <c:x val="0.16547683479698075"/>
          <c:y val="0.77462085235454514"/>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solidFill>
                  <a:sysClr val="windowText" lastClr="000000"/>
                </a:solidFill>
              </a:rPr>
              <a:t>Staffing</a:t>
            </a:r>
            <a:r>
              <a:rPr lang="en-CA" sz="1200" baseline="0">
                <a:solidFill>
                  <a:sysClr val="windowText" lastClr="000000"/>
                </a:solidFill>
              </a:rPr>
              <a:t> by process type</a:t>
            </a:r>
            <a:endParaRPr lang="en-CA" sz="1200">
              <a:solidFill>
                <a:sysClr val="windowText" lastClr="000000"/>
              </a:solidFill>
            </a:endParaRPr>
          </a:p>
        </c:rich>
      </c:tx>
      <c:layout>
        <c:manualLayout>
          <c:xMode val="edge"/>
          <c:yMode val="edge"/>
          <c:x val="0.34581522859380798"/>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0422408136482946E-2"/>
          <c:y val="2.5939344287166415E-2"/>
          <c:w val="0.84333349635643373"/>
          <c:h val="0.59672864050993113"/>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1805555555555555E-2"/>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7507928696412947E-2"/>
                  <c:y val="1.049501486793766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5259459755030621E-2"/>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5990266841644795E-2"/>
                  <c:y val="1.049501486793769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9155183727034122E-3"/>
                  <c:y val="1.791342025923513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Sheet1!$B$2:$B$6</c:f>
              <c:numCache>
                <c:formatCode>#\ ###</c:formatCode>
                <c:ptCount val="5"/>
                <c:pt idx="0">
                  <c:v>35</c:v>
                </c:pt>
                <c:pt idx="1">
                  <c:v>29</c:v>
                </c:pt>
                <c:pt idx="2">
                  <c:v>36</c:v>
                </c:pt>
                <c:pt idx="3">
                  <c:v>45</c:v>
                </c:pt>
                <c:pt idx="4">
                  <c:v>95</c:v>
                </c:pt>
              </c:numCache>
            </c:numRef>
          </c:val>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6362642169760613E-5"/>
                  <c:y val="1.349422016668070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902668416447943E-3"/>
                  <c:y val="8.4345762534449682E-4"/>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875687788457962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4541776027996502E-3"/>
                  <c:y val="1.399335315725030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Sheet1!$C$2:$C$6</c:f>
              <c:numCache>
                <c:formatCode>#\ ###</c:formatCode>
                <c:ptCount val="5"/>
                <c:pt idx="0">
                  <c:v>171</c:v>
                </c:pt>
                <c:pt idx="1">
                  <c:v>102</c:v>
                </c:pt>
                <c:pt idx="2">
                  <c:v>98</c:v>
                </c:pt>
                <c:pt idx="3">
                  <c:v>117</c:v>
                </c:pt>
                <c:pt idx="4">
                  <c:v>158</c:v>
                </c:pt>
              </c:numCache>
            </c:numRef>
          </c:val>
        </c:ser>
        <c:dLbls>
          <c:showLegendKey val="0"/>
          <c:showVal val="0"/>
          <c:showCatName val="0"/>
          <c:showSerName val="0"/>
          <c:showPercent val="0"/>
          <c:showBubbleSize val="0"/>
        </c:dLbls>
        <c:gapWidth val="150"/>
        <c:axId val="712993112"/>
        <c:axId val="712994680"/>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9.237915573053368E-2"/>
                  <c:y val="8.808375076956491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029855643044617E-2"/>
                  <c:y val="-2.39418559648733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8052274715660605E-2"/>
                  <c:y val="-3.233318504419068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4703904199475072E-2"/>
                  <c:y val="-3.468643732809596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7.0661636045494317E-2"/>
                  <c:y val="-1.947527680257389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Sheet1!$D$2:$D$6</c:f>
              <c:numCache>
                <c:formatCode>0%</c:formatCode>
                <c:ptCount val="5"/>
                <c:pt idx="0">
                  <c:v>0.17</c:v>
                </c:pt>
                <c:pt idx="1">
                  <c:v>0.22</c:v>
                </c:pt>
                <c:pt idx="2">
                  <c:v>0.27</c:v>
                </c:pt>
                <c:pt idx="3">
                  <c:v>0.28000000000000003</c:v>
                </c:pt>
                <c:pt idx="4">
                  <c:v>0.38</c:v>
                </c:pt>
              </c:numCache>
            </c:numRef>
          </c:val>
          <c:smooth val="0"/>
        </c:ser>
        <c:dLbls>
          <c:showLegendKey val="0"/>
          <c:showVal val="0"/>
          <c:showCatName val="0"/>
          <c:showSerName val="0"/>
          <c:showPercent val="0"/>
          <c:showBubbleSize val="0"/>
        </c:dLbls>
        <c:marker val="1"/>
        <c:smooth val="0"/>
        <c:axId val="468100528"/>
        <c:axId val="712995856"/>
      </c:lineChart>
      <c:catAx>
        <c:axId val="7129931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994680"/>
        <c:crosses val="autoZero"/>
        <c:auto val="1"/>
        <c:lblAlgn val="ctr"/>
        <c:lblOffset val="100"/>
        <c:noMultiLvlLbl val="0"/>
      </c:catAx>
      <c:valAx>
        <c:axId val="71299468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2993112"/>
        <c:crosses val="autoZero"/>
        <c:crossBetween val="between"/>
      </c:valAx>
      <c:valAx>
        <c:axId val="712995856"/>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8100528"/>
        <c:crosses val="max"/>
        <c:crossBetween val="between"/>
      </c:valAx>
      <c:catAx>
        <c:axId val="468100528"/>
        <c:scaling>
          <c:orientation val="minMax"/>
        </c:scaling>
        <c:delete val="1"/>
        <c:axPos val="b"/>
        <c:numFmt formatCode="General" sourceLinked="1"/>
        <c:majorTickMark val="out"/>
        <c:minorTickMark val="none"/>
        <c:tickLblPos val="nextTo"/>
        <c:crossAx val="712995856"/>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solidFill>
                  <a:sysClr val="windowText" lastClr="000000"/>
                </a:solidFill>
              </a:rPr>
              <a:t>Staffing</a:t>
            </a:r>
            <a:r>
              <a:rPr lang="en-CA" sz="1200" baseline="0">
                <a:solidFill>
                  <a:sysClr val="windowText" lastClr="000000"/>
                </a:solidFill>
              </a:rPr>
              <a:t> by appointment type</a:t>
            </a:r>
            <a:endParaRPr lang="en-CA" sz="1200">
              <a:solidFill>
                <a:sysClr val="windowText" lastClr="000000"/>
              </a:solidFill>
            </a:endParaRPr>
          </a:p>
        </c:rich>
      </c:tx>
      <c:layout>
        <c:manualLayout>
          <c:xMode val="edge"/>
          <c:yMode val="edge"/>
          <c:x val="0.34247321108470219"/>
          <c:y val="2.4994792751510102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2405074365704287E-2"/>
                  <c:y val="2.178526145770240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6061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5555555555556572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5558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3333333334356E-3"/>
                  <c:y val="1.978275792449020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(N=700)</c:v>
                </c:pt>
                <c:pt idx="1">
                  <c:v>2015-16
(N=461)</c:v>
                </c:pt>
                <c:pt idx="2">
                  <c:v>2016-17 
(N=559)</c:v>
                </c:pt>
                <c:pt idx="3">
                  <c:v>2017-18
(N=442)</c:v>
                </c:pt>
                <c:pt idx="4">
                  <c:v>2018-19
(N=694)</c:v>
                </c:pt>
              </c:strCache>
            </c:strRef>
          </c:cat>
          <c:val>
            <c:numRef>
              <c:f>Sheet1!$B$3:$B$7</c:f>
              <c:numCache>
                <c:formatCode>#\ ###</c:formatCode>
                <c:ptCount val="5"/>
                <c:pt idx="0">
                  <c:v>70</c:v>
                </c:pt>
                <c:pt idx="1">
                  <c:v>48</c:v>
                </c:pt>
                <c:pt idx="2">
                  <c:v>95</c:v>
                </c:pt>
                <c:pt idx="3">
                  <c:v>75</c:v>
                </c:pt>
                <c:pt idx="4">
                  <c:v>122</c:v>
                </c:pt>
              </c:numCache>
            </c:numRef>
          </c:val>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1.56801938219261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1.94177266303249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1.996527357157278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5558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(N=700)</c:v>
                </c:pt>
                <c:pt idx="1">
                  <c:v>2015-16
(N=461)</c:v>
                </c:pt>
                <c:pt idx="2">
                  <c:v>2016-17 
(N=559)</c:v>
                </c:pt>
                <c:pt idx="3">
                  <c:v>2017-18
(N=442)</c:v>
                </c:pt>
                <c:pt idx="4">
                  <c:v>2018-19
(N=694)</c:v>
                </c:pt>
              </c:strCache>
            </c:strRef>
          </c:cat>
          <c:val>
            <c:numRef>
              <c:f>Sheet1!$C$3:$C$7</c:f>
              <c:numCache>
                <c:formatCode>#\ ###</c:formatCode>
                <c:ptCount val="5"/>
                <c:pt idx="0">
                  <c:v>111</c:v>
                </c:pt>
                <c:pt idx="1">
                  <c:v>68</c:v>
                </c:pt>
                <c:pt idx="2">
                  <c:v>128</c:v>
                </c:pt>
                <c:pt idx="3">
                  <c:v>77</c:v>
                </c:pt>
                <c:pt idx="4">
                  <c:v>145</c:v>
                </c:pt>
              </c:numCache>
            </c:numRef>
          </c:val>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(N=700)</c:v>
                </c:pt>
                <c:pt idx="1">
                  <c:v>2015-16
(N=461)</c:v>
                </c:pt>
                <c:pt idx="2">
                  <c:v>2016-17 
(N=559)</c:v>
                </c:pt>
                <c:pt idx="3">
                  <c:v>2017-18
(N=442)</c:v>
                </c:pt>
                <c:pt idx="4">
                  <c:v>2018-19
(N=694)</c:v>
                </c:pt>
              </c:strCache>
            </c:strRef>
          </c:cat>
          <c:val>
            <c:numRef>
              <c:f>Sheet1!$D$3:$D$7</c:f>
              <c:numCache>
                <c:formatCode>#\ ###</c:formatCode>
                <c:ptCount val="5"/>
                <c:pt idx="0">
                  <c:v>396</c:v>
                </c:pt>
                <c:pt idx="1">
                  <c:v>240</c:v>
                </c:pt>
                <c:pt idx="2">
                  <c:v>297</c:v>
                </c:pt>
                <c:pt idx="3">
                  <c:v>255</c:v>
                </c:pt>
                <c:pt idx="4">
                  <c:v>306</c:v>
                </c:pt>
              </c:numCache>
            </c:numRef>
          </c:val>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297E-3"/>
                  <c:y val="1.549767817484345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06953361599030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285214348206474E-4"/>
                  <c:y val="2.449521502119927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9.1618547681538796E-3"/>
                  <c:y val="2.388532202705423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(N=700)</c:v>
                </c:pt>
                <c:pt idx="1">
                  <c:v>2015-16
(N=461)</c:v>
                </c:pt>
                <c:pt idx="2">
                  <c:v>2016-17 
(N=559)</c:v>
                </c:pt>
                <c:pt idx="3">
                  <c:v>2017-18
(N=442)</c:v>
                </c:pt>
                <c:pt idx="4">
                  <c:v>2018-19
(N=694)</c:v>
                </c:pt>
              </c:strCache>
            </c:strRef>
          </c:cat>
          <c:val>
            <c:numRef>
              <c:f>Sheet1!$E$3:$E$7</c:f>
              <c:numCache>
                <c:formatCode>#\ ###</c:formatCode>
                <c:ptCount val="5"/>
                <c:pt idx="0">
                  <c:v>123</c:v>
                </c:pt>
                <c:pt idx="1">
                  <c:v>105</c:v>
                </c:pt>
                <c:pt idx="2">
                  <c:v>39</c:v>
                </c:pt>
                <c:pt idx="3">
                  <c:v>35</c:v>
                </c:pt>
                <c:pt idx="4">
                  <c:v>121</c:v>
                </c:pt>
              </c:numCache>
            </c:numRef>
          </c:val>
        </c:ser>
        <c:dLbls>
          <c:showLegendKey val="0"/>
          <c:showVal val="0"/>
          <c:showCatName val="0"/>
          <c:showSerName val="0"/>
          <c:showPercent val="0"/>
          <c:showBubbleSize val="0"/>
        </c:dLbls>
        <c:gapWidth val="150"/>
        <c:shape val="box"/>
        <c:axId val="468101704"/>
        <c:axId val="468101312"/>
        <c:axId val="0"/>
      </c:bar3DChart>
      <c:catAx>
        <c:axId val="468101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8101312"/>
        <c:crosses val="autoZero"/>
        <c:auto val="0"/>
        <c:lblAlgn val="ctr"/>
        <c:lblOffset val="100"/>
        <c:noMultiLvlLbl val="0"/>
      </c:catAx>
      <c:valAx>
        <c:axId val="46810131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8101704"/>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solidFill>
                  <a:sysClr val="windowText" lastClr="000000"/>
                </a:solidFill>
              </a:rPr>
              <a:t>Staffing by</a:t>
            </a:r>
            <a:r>
              <a:rPr lang="en-CA" sz="1200" baseline="0">
                <a:solidFill>
                  <a:sysClr val="windowText" lastClr="000000"/>
                </a:solidFill>
              </a:rPr>
              <a:t> tenure</a:t>
            </a:r>
            <a:endParaRPr lang="en-CA" sz="1200">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8798E-3"/>
                  <c:y val="1.960024227740761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(N=700)</c:v>
                </c:pt>
                <c:pt idx="1">
                  <c:v>2015-16
 (N=461)</c:v>
                </c:pt>
                <c:pt idx="2">
                  <c:v>2016-17
 (N=559)</c:v>
                </c:pt>
                <c:pt idx="3">
                  <c:v>2017-18
 (N=442)</c:v>
                </c:pt>
                <c:pt idx="4">
                  <c:v>2018-19
 (N=694)</c:v>
                </c:pt>
              </c:strCache>
            </c:strRef>
          </c:cat>
          <c:val>
            <c:numRef>
              <c:f>Sheet1!$B$2:$B$6</c:f>
              <c:numCache>
                <c:formatCode>#\ ###</c:formatCode>
                <c:ptCount val="5"/>
                <c:pt idx="0">
                  <c:v>284</c:v>
                </c:pt>
                <c:pt idx="1">
                  <c:v>193</c:v>
                </c:pt>
                <c:pt idx="2">
                  <c:v>253</c:v>
                </c:pt>
                <c:pt idx="3">
                  <c:v>178</c:v>
                </c:pt>
                <c:pt idx="4">
                  <c:v>389</c:v>
                </c:pt>
              </c:numCache>
            </c:numRef>
          </c:val>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2.42503533212193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879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(N=700)</c:v>
                </c:pt>
                <c:pt idx="1">
                  <c:v>2015-16
 (N=461)</c:v>
                </c:pt>
                <c:pt idx="2">
                  <c:v>2016-17
 (N=559)</c:v>
                </c:pt>
                <c:pt idx="3">
                  <c:v>2017-18
 (N=442)</c:v>
                </c:pt>
                <c:pt idx="4">
                  <c:v>2018-19
 (N=694)</c:v>
                </c:pt>
              </c:strCache>
            </c:strRef>
          </c:cat>
          <c:val>
            <c:numRef>
              <c:f>Sheet1!$C$2:$C$6</c:f>
              <c:numCache>
                <c:formatCode>#\ ###</c:formatCode>
                <c:ptCount val="5"/>
                <c:pt idx="0">
                  <c:v>144</c:v>
                </c:pt>
                <c:pt idx="1">
                  <c:v>105</c:v>
                </c:pt>
                <c:pt idx="2">
                  <c:v>78</c:v>
                </c:pt>
                <c:pt idx="3">
                  <c:v>98</c:v>
                </c:pt>
                <c:pt idx="4">
                  <c:v>119</c:v>
                </c:pt>
              </c:numCache>
            </c:numRef>
          </c:val>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44328689683020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3519E-3"/>
                  <c:y val="2.388532202705427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(N=700)</c:v>
                </c:pt>
                <c:pt idx="1">
                  <c:v>2015-16
 (N=461)</c:v>
                </c:pt>
                <c:pt idx="2">
                  <c:v>2016-17
 (N=559)</c:v>
                </c:pt>
                <c:pt idx="3">
                  <c:v>2017-18
 (N=442)</c:v>
                </c:pt>
                <c:pt idx="4">
                  <c:v>2018-19
 (N=694)</c:v>
                </c:pt>
              </c:strCache>
            </c:strRef>
          </c:cat>
          <c:val>
            <c:numRef>
              <c:f>Sheet1!$D$2:$D$6</c:f>
              <c:numCache>
                <c:formatCode>#\ ###</c:formatCode>
                <c:ptCount val="5"/>
                <c:pt idx="0">
                  <c:v>221</c:v>
                </c:pt>
                <c:pt idx="1">
                  <c:v>140</c:v>
                </c:pt>
                <c:pt idx="2">
                  <c:v>177</c:v>
                </c:pt>
                <c:pt idx="3">
                  <c:v>122</c:v>
                </c:pt>
                <c:pt idx="4">
                  <c:v>146</c:v>
                </c:pt>
              </c:numCache>
            </c:numRef>
          </c:val>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046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676E-3"/>
                  <c:y val="2.762285483545318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3333333333334356E-3"/>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879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(N=700)</c:v>
                </c:pt>
                <c:pt idx="1">
                  <c:v>2015-16
 (N=461)</c:v>
                </c:pt>
                <c:pt idx="2">
                  <c:v>2016-17
 (N=559)</c:v>
                </c:pt>
                <c:pt idx="3">
                  <c:v>2017-18
 (N=442)</c:v>
                </c:pt>
                <c:pt idx="4">
                  <c:v>2018-19
 (N=694)</c:v>
                </c:pt>
              </c:strCache>
            </c:strRef>
          </c:cat>
          <c:val>
            <c:numRef>
              <c:f>Sheet1!$E$2:$E$6</c:f>
              <c:numCache>
                <c:formatCode>#\ ###</c:formatCode>
                <c:ptCount val="5"/>
                <c:pt idx="0">
                  <c:v>51</c:v>
                </c:pt>
                <c:pt idx="1">
                  <c:v>23</c:v>
                </c:pt>
                <c:pt idx="2">
                  <c:v>51</c:v>
                </c:pt>
                <c:pt idx="3">
                  <c:v>44</c:v>
                </c:pt>
                <c:pt idx="4">
                  <c:v>40</c:v>
                </c:pt>
              </c:numCache>
            </c:numRef>
          </c:val>
        </c:ser>
        <c:dLbls>
          <c:showLegendKey val="0"/>
          <c:showVal val="1"/>
          <c:showCatName val="0"/>
          <c:showSerName val="0"/>
          <c:showPercent val="0"/>
          <c:showBubbleSize val="0"/>
        </c:dLbls>
        <c:gapWidth val="150"/>
        <c:shape val="box"/>
        <c:axId val="468102488"/>
        <c:axId val="468103664"/>
        <c:axId val="0"/>
      </c:bar3DChart>
      <c:catAx>
        <c:axId val="4681024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8103664"/>
        <c:crosses val="autoZero"/>
        <c:auto val="1"/>
        <c:lblAlgn val="ctr"/>
        <c:lblOffset val="100"/>
        <c:noMultiLvlLbl val="0"/>
      </c:catAx>
      <c:valAx>
        <c:axId val="46810366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8102488"/>
        <c:crosses val="autoZero"/>
        <c:crossBetween val="between"/>
      </c:valAx>
      <c:spPr>
        <a:noFill/>
        <a:ln>
          <a:noFill/>
        </a:ln>
        <a:effectLst/>
      </c:spPr>
    </c:plotArea>
    <c:legend>
      <c:legendPos val="r"/>
      <c:layout>
        <c:manualLayout>
          <c:xMode val="edge"/>
          <c:yMode val="edge"/>
          <c:x val="8.3333333333333329E-2"/>
          <c:y val="0.81526638400969109"/>
          <c:w val="0.84867125984251957"/>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900">
              <a:solidFill>
                <a:sysClr val="windowText" lastClr="000000"/>
              </a:solidFill>
            </a:rPr>
            <a:t>Unknowns= 176</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1</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distribution excludes unknowns</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0.81861</cdr:y>
    </cdr:from>
    <cdr:to>
      <cdr:x>0.9823</cdr:x>
      <cdr:y>1</cdr:y>
    </cdr:to>
    <cdr:sp macro="" textlink="">
      <cdr:nvSpPr>
        <cdr:cNvPr id="2" name="Text Box 1"/>
        <cdr:cNvSpPr txBox="1"/>
      </cdr:nvSpPr>
      <cdr:spPr>
        <a:xfrm xmlns:a="http://schemas.openxmlformats.org/drawingml/2006/main">
          <a:off x="64475" y="2971800"/>
          <a:ext cx="3509673" cy="6584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a:t>
          </a:r>
          <a:r>
            <a:rPr lang="en-CA" sz="850" baseline="0"/>
            <a:t>Includes indeterminate and specified term appointments</a:t>
          </a:r>
        </a:p>
        <a:p xmlns:a="http://schemas.openxmlformats.org/drawingml/2006/main">
          <a:pPr>
            <a:lnSpc>
              <a:spcPts val="900"/>
            </a:lnSpc>
          </a:pPr>
          <a:r>
            <a:rPr lang="en-CA" sz="850" baseline="0"/>
            <a:t>-Excludes lateral and downward movements, deployments and acting appointments  of less than 4 months</a:t>
          </a:r>
        </a:p>
        <a:p xmlns:a="http://schemas.openxmlformats.org/drawingml/2006/main">
          <a:pPr>
            <a:lnSpc>
              <a:spcPts val="900"/>
            </a:lnSpc>
          </a:pPr>
          <a:r>
            <a:rPr lang="en-CA" sz="850" baseline="0"/>
            <a:t>- Includes only appointments where the staffing process type is known </a:t>
          </a:r>
          <a:r>
            <a:rPr lang="en-CA" sz="850" baseline="0">
              <a:solidFill>
                <a:sysClr val="windowText" lastClr="000000"/>
              </a:solidFill>
            </a:rPr>
            <a:t>(57% to 81</a:t>
          </a:r>
          <a:r>
            <a:rPr lang="en-CA" sz="850" baseline="0"/>
            <a:t>% of appointments)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0.00086</cdr:x>
      <cdr:y>0.84325</cdr:y>
    </cdr:from>
    <cdr:to>
      <cdr:x>0.89694</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0" y="2790826"/>
          <a:ext cx="3064109" cy="5187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1100"/>
            <a:t>* </a:t>
          </a:r>
          <a:r>
            <a:rPr lang="en-CA" sz="800"/>
            <a:t>Hires with experience in a federal student recruitment program within the last 10 years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0.26312</cdr:x>
      <cdr:y>0.20322</cdr:y>
    </cdr:from>
    <cdr:to>
      <cdr:x>0.26451</cdr:x>
      <cdr:y>0.75324</cdr:y>
    </cdr:to>
    <cdr:cxnSp macro="">
      <cdr:nvCxnSpPr>
        <cdr:cNvPr id="5" name="Straight Connector 4" descr="Median line fof the specified organization's internal time to staff graphic"/>
        <cdr:cNvCxnSpPr/>
      </cdr:nvCxnSpPr>
      <cdr:spPr>
        <a:xfrm xmlns:a="http://schemas.openxmlformats.org/drawingml/2006/main" flipV="1">
          <a:off x="1157875" y="576818"/>
          <a:ext cx="6117" cy="156120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0.23813</cdr:x>
      <cdr:y>0.19957</cdr:y>
    </cdr:from>
    <cdr:to>
      <cdr:x>0.23952</cdr:x>
      <cdr:y>0.74959</cdr:y>
    </cdr:to>
    <cdr:cxnSp macro="">
      <cdr:nvCxnSpPr>
        <cdr:cNvPr id="5" name="Straight Connector 4" descr="Median line fof the specified organization's internal time to staff graphic"/>
        <cdr:cNvCxnSpPr/>
      </cdr:nvCxnSpPr>
      <cdr:spPr>
        <a:xfrm xmlns:a="http://schemas.openxmlformats.org/drawingml/2006/main" flipV="1">
          <a:off x="1047909" y="553155"/>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8AE9-026A-42D0-8C00-86C4F6ED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594</TotalTime>
  <Pages>26</Pages>
  <Words>3556</Words>
  <Characters>20272</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23781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Nancy Ladouceur</cp:lastModifiedBy>
  <cp:revision>78</cp:revision>
  <dcterms:created xsi:type="dcterms:W3CDTF">2020-02-03T15:18:00Z</dcterms:created>
  <dcterms:modified xsi:type="dcterms:W3CDTF">2021-01-26T15:27:00Z</dcterms:modified>
</cp:coreProperties>
</file>