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3.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4.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5.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6.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7.xml" ContentType="application/vnd.openxmlformats-officedocument.drawingml.chartshapes+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461876" w14:textId="50002A18" w:rsidR="008C52C5" w:rsidRPr="00193822" w:rsidRDefault="00F21AF7" w:rsidP="00D60C4D">
      <w:pPr>
        <w:pStyle w:val="Titre"/>
        <w:contextualSpacing w:val="0"/>
      </w:pPr>
      <w:bookmarkStart w:id="0" w:name="_GoBack"/>
      <w:bookmarkEnd w:id="0"/>
      <w:r w:rsidRPr="00193822">
        <w:t>R</w:t>
      </w:r>
      <w:r w:rsidR="007B66C7" w:rsidRPr="00193822">
        <w:t>éunion</w:t>
      </w:r>
      <w:r w:rsidR="003F6509" w:rsidRPr="00193822">
        <w:t xml:space="preserve"> du président avec </w:t>
      </w:r>
    </w:p>
    <w:p w14:paraId="6F835DF1" w14:textId="4125638C" w:rsidR="00862C57" w:rsidRPr="00193822" w:rsidRDefault="003F6509" w:rsidP="00D60C4D">
      <w:pPr>
        <w:pStyle w:val="Titre"/>
        <w:contextualSpacing w:val="0"/>
      </w:pPr>
      <w:r w:rsidRPr="00193822">
        <w:t>Mme Leslie Weir</w:t>
      </w:r>
      <w:r w:rsidR="00F21AF7" w:rsidRPr="00193822">
        <w:t>, B</w:t>
      </w:r>
      <w:r w:rsidRPr="00193822">
        <w:t>ibliothécaire et archiviste du Canada de Bibliothèque et Archives</w:t>
      </w:r>
      <w:r w:rsidR="00F21AF7" w:rsidRPr="00193822">
        <w:t xml:space="preserve"> C</w:t>
      </w:r>
      <w:r w:rsidRPr="00193822">
        <w:t>anada</w:t>
      </w:r>
      <w:r w:rsidR="00F21AF7" w:rsidRPr="00193822">
        <w:t xml:space="preserve"> </w:t>
      </w:r>
      <w:r w:rsidR="00862C57" w:rsidRPr="00193822">
        <w:br/>
        <w:t>21 octobre 2019</w:t>
      </w:r>
    </w:p>
    <w:p w14:paraId="1DB7E4BC" w14:textId="2D33F593" w:rsidR="00862C57" w:rsidRPr="00193822" w:rsidRDefault="0054649F" w:rsidP="00D60C4D">
      <w:pPr>
        <w:pStyle w:val="Titre1"/>
        <w:spacing w:after="240"/>
        <w:rPr>
          <w:lang w:val="fr-CA"/>
        </w:rPr>
      </w:pPr>
      <w:r w:rsidRPr="00193822">
        <w:rPr>
          <w:lang w:val="fr-CA"/>
        </w:rPr>
        <w:t>Introduction</w:t>
      </w:r>
    </w:p>
    <w:p w14:paraId="3E270C5D" w14:textId="77777777" w:rsidR="00862C57" w:rsidRPr="00193822" w:rsidRDefault="00862C57" w:rsidP="00D60C4D">
      <w:pPr>
        <w:pStyle w:val="Titre2"/>
        <w:spacing w:after="120"/>
        <w:rPr>
          <w:lang w:val="fr-CA"/>
        </w:rPr>
      </w:pPr>
      <w:r w:rsidRPr="00193822">
        <w:rPr>
          <w:lang w:val="fr-CA"/>
        </w:rPr>
        <w:t xml:space="preserve">Administratrice générale </w:t>
      </w:r>
    </w:p>
    <w:p w14:paraId="23774335" w14:textId="2FDFA9FB" w:rsidR="00862C57" w:rsidRPr="00193822" w:rsidRDefault="00862C57" w:rsidP="00D60C4D">
      <w:pPr>
        <w:pStyle w:val="Sansinterligne"/>
        <w:spacing w:after="120"/>
        <w:rPr>
          <w:rFonts w:asciiTheme="minorHAnsi" w:hAnsiTheme="minorHAnsi" w:cstheme="minorHAnsi"/>
          <w:sz w:val="22"/>
          <w:szCs w:val="22"/>
          <w:lang w:val="fr-CA" w:eastAsia="en-CA"/>
        </w:rPr>
      </w:pPr>
      <w:r w:rsidRPr="00193822">
        <w:rPr>
          <w:rFonts w:asciiTheme="minorHAnsi" w:hAnsiTheme="minorHAnsi" w:cstheme="minorHAnsi"/>
          <w:sz w:val="22"/>
          <w:szCs w:val="22"/>
          <w:lang w:val="fr-CA" w:eastAsia="en-CA"/>
        </w:rPr>
        <w:t>Le 30 août 2019, M</w:t>
      </w:r>
      <w:r w:rsidRPr="00193822">
        <w:rPr>
          <w:rFonts w:asciiTheme="minorHAnsi" w:hAnsiTheme="minorHAnsi" w:cstheme="minorHAnsi"/>
          <w:sz w:val="22"/>
          <w:szCs w:val="22"/>
          <w:vertAlign w:val="superscript"/>
          <w:lang w:val="fr-CA" w:eastAsia="en-CA"/>
        </w:rPr>
        <w:t>me</w:t>
      </w:r>
      <w:r w:rsidRPr="00193822">
        <w:rPr>
          <w:rFonts w:asciiTheme="minorHAnsi" w:hAnsiTheme="minorHAnsi" w:cstheme="minorHAnsi"/>
          <w:sz w:val="22"/>
          <w:szCs w:val="22"/>
          <w:lang w:val="fr-CA" w:eastAsia="en-CA"/>
        </w:rPr>
        <w:t xml:space="preserve"> Leslie Weir a été nommée bibliothécaire et archiviste du Canada de Bibliothèque et Archives Canada (BAC). </w:t>
      </w:r>
    </w:p>
    <w:p w14:paraId="15830A34" w14:textId="3288C3F9" w:rsidR="00CE1339" w:rsidRPr="00193822" w:rsidRDefault="00862C57" w:rsidP="00D60C4D">
      <w:pPr>
        <w:pStyle w:val="Sansinterligne"/>
        <w:spacing w:after="120"/>
        <w:rPr>
          <w:rFonts w:asciiTheme="minorHAnsi" w:hAnsiTheme="minorHAnsi" w:cstheme="minorHAnsi"/>
          <w:sz w:val="22"/>
          <w:szCs w:val="22"/>
          <w:lang w:val="fr-CA"/>
        </w:rPr>
      </w:pPr>
      <w:r w:rsidRPr="00193822">
        <w:rPr>
          <w:rFonts w:asciiTheme="minorHAnsi" w:hAnsiTheme="minorHAnsi" w:cstheme="minorHAnsi"/>
          <w:sz w:val="22"/>
          <w:szCs w:val="22"/>
          <w:lang w:val="fr-CA"/>
        </w:rPr>
        <w:t>Comme</w:t>
      </w:r>
      <w:r w:rsidRPr="00193822">
        <w:rPr>
          <w:rFonts w:asciiTheme="minorHAnsi" w:hAnsiTheme="minorHAnsi" w:cstheme="minorHAnsi"/>
          <w:sz w:val="22"/>
          <w:szCs w:val="22"/>
          <w:lang w:val="fr-CA" w:eastAsia="en-CA"/>
        </w:rPr>
        <w:t xml:space="preserve"> M</w:t>
      </w:r>
      <w:r w:rsidRPr="00193822">
        <w:rPr>
          <w:rFonts w:asciiTheme="minorHAnsi" w:hAnsiTheme="minorHAnsi" w:cstheme="minorHAnsi"/>
          <w:sz w:val="22"/>
          <w:szCs w:val="22"/>
          <w:vertAlign w:val="superscript"/>
          <w:lang w:val="fr-CA" w:eastAsia="en-CA"/>
        </w:rPr>
        <w:t>me</w:t>
      </w:r>
      <w:r w:rsidRPr="00193822">
        <w:rPr>
          <w:rFonts w:asciiTheme="minorHAnsi" w:hAnsiTheme="minorHAnsi" w:cstheme="minorHAnsi"/>
          <w:sz w:val="22"/>
          <w:szCs w:val="22"/>
          <w:lang w:val="fr-CA" w:eastAsia="en-CA"/>
        </w:rPr>
        <w:t xml:space="preserve"> Weir est nommée de l’extérieur de la fonction publique, </w:t>
      </w:r>
      <w:r w:rsidRPr="00193822">
        <w:rPr>
          <w:rFonts w:asciiTheme="minorHAnsi" w:hAnsiTheme="minorHAnsi" w:cstheme="minorHAnsi"/>
          <w:sz w:val="22"/>
          <w:szCs w:val="22"/>
          <w:lang w:val="fr-CA"/>
        </w:rPr>
        <w:t>veuillez</w:t>
      </w:r>
      <w:r w:rsidR="00305355" w:rsidRPr="00193822">
        <w:rPr>
          <w:rFonts w:asciiTheme="minorHAnsi" w:hAnsiTheme="minorHAnsi" w:cstheme="minorHAnsi"/>
          <w:sz w:val="22"/>
          <w:szCs w:val="22"/>
          <w:lang w:val="fr-CA"/>
        </w:rPr>
        <w:t>-</w:t>
      </w:r>
      <w:r w:rsidRPr="00193822">
        <w:rPr>
          <w:rFonts w:asciiTheme="minorHAnsi" w:hAnsiTheme="minorHAnsi" w:cstheme="minorHAnsi"/>
          <w:sz w:val="22"/>
          <w:szCs w:val="22"/>
          <w:lang w:val="fr-CA"/>
        </w:rPr>
        <w:t>vous reporter à la présentation ci-jointe pour obtenir des renseignements importants sur les rôles et les responsabilités en matière de dotation.</w:t>
      </w:r>
    </w:p>
    <w:p w14:paraId="0266DA2C" w14:textId="078D4201" w:rsidR="00193822" w:rsidRPr="00541B4F" w:rsidRDefault="00193822" w:rsidP="00193822">
      <w:pPr>
        <w:keepLines/>
        <w:spacing w:before="120"/>
        <w:rPr>
          <w:rFonts w:asciiTheme="minorHAnsi" w:eastAsiaTheme="minorHAnsi" w:hAnsiTheme="minorHAnsi" w:cstheme="minorHAnsi"/>
          <w:sz w:val="22"/>
          <w:szCs w:val="22"/>
          <w:lang w:val="fr-CA" w:eastAsia="en-CA"/>
        </w:rPr>
      </w:pPr>
      <w:r w:rsidRPr="00193822">
        <w:rPr>
          <w:rFonts w:asciiTheme="minorHAnsi" w:eastAsiaTheme="minorHAnsi" w:hAnsiTheme="minorHAnsi" w:cstheme="minorHAnsi"/>
          <w:sz w:val="22"/>
          <w:szCs w:val="22"/>
          <w:lang w:val="fr-CA" w:eastAsia="en-CA"/>
        </w:rPr>
        <w:t xml:space="preserve">Mme Weir </w:t>
      </w:r>
      <w:r w:rsidRPr="00541B4F">
        <w:rPr>
          <w:rFonts w:asciiTheme="minorHAnsi" w:eastAsiaTheme="minorHAnsi" w:hAnsiTheme="minorHAnsi" w:cstheme="minorHAnsi"/>
          <w:sz w:val="22"/>
          <w:szCs w:val="22"/>
          <w:lang w:val="fr-CA" w:eastAsia="en-CA"/>
        </w:rPr>
        <w:t>exerce l’autorité de la Commission de la fonction publique (CFP) pour la première fois en tant qu’A</w:t>
      </w:r>
      <w:r>
        <w:rPr>
          <w:rFonts w:asciiTheme="minorHAnsi" w:eastAsiaTheme="minorHAnsi" w:hAnsiTheme="minorHAnsi" w:cstheme="minorHAnsi"/>
          <w:sz w:val="22"/>
          <w:szCs w:val="22"/>
          <w:lang w:val="fr-CA" w:eastAsia="en-CA"/>
        </w:rPr>
        <w:t>dministratrice générale (AG).  Une copie du d</w:t>
      </w:r>
      <w:r w:rsidRPr="00541B4F">
        <w:rPr>
          <w:rFonts w:asciiTheme="minorHAnsi" w:eastAsiaTheme="minorHAnsi" w:hAnsiTheme="minorHAnsi" w:cstheme="minorHAnsi"/>
          <w:sz w:val="22"/>
          <w:szCs w:val="22"/>
          <w:lang w:val="fr-CA" w:eastAsia="en-CA"/>
        </w:rPr>
        <w:t>ocument Faits Saillants de la Nouvelle orientation en dotation (NOD) pour les AG</w:t>
      </w:r>
      <w:r>
        <w:rPr>
          <w:rFonts w:asciiTheme="minorHAnsi" w:eastAsiaTheme="minorHAnsi" w:hAnsiTheme="minorHAnsi" w:cstheme="minorHAnsi"/>
          <w:sz w:val="22"/>
          <w:szCs w:val="22"/>
          <w:lang w:val="fr-CA" w:eastAsia="en-CA"/>
        </w:rPr>
        <w:t xml:space="preserve"> est </w:t>
      </w:r>
      <w:r w:rsidRPr="00541B4F">
        <w:rPr>
          <w:rFonts w:asciiTheme="minorHAnsi" w:eastAsiaTheme="minorHAnsi" w:hAnsiTheme="minorHAnsi" w:cstheme="minorHAnsi"/>
          <w:sz w:val="22"/>
          <w:szCs w:val="22"/>
          <w:lang w:val="fr-CA" w:eastAsia="en-CA"/>
        </w:rPr>
        <w:t xml:space="preserve">jointe à </w:t>
      </w:r>
      <w:hyperlink w:anchor="AnnexA" w:history="1">
        <w:r w:rsidRPr="000F5BC5">
          <w:rPr>
            <w:rStyle w:val="Lienhypertexte"/>
            <w:rFonts w:asciiTheme="minorHAnsi" w:hAnsiTheme="minorHAnsi" w:cstheme="minorHAnsi"/>
            <w:sz w:val="22"/>
            <w:szCs w:val="22"/>
            <w:lang w:val="fr-CA"/>
          </w:rPr>
          <w:t>l’annexe A.</w:t>
        </w:r>
      </w:hyperlink>
    </w:p>
    <w:p w14:paraId="32D61900" w14:textId="77777777" w:rsidR="00862C57" w:rsidRPr="00193822" w:rsidRDefault="00862C57" w:rsidP="00D60C4D">
      <w:pPr>
        <w:pStyle w:val="Titre1"/>
        <w:spacing w:after="240"/>
        <w:rPr>
          <w:lang w:val="fr-CA"/>
        </w:rPr>
      </w:pPr>
      <w:r w:rsidRPr="00193822">
        <w:rPr>
          <w:lang w:val="fr-CA"/>
        </w:rPr>
        <w:t>Contexte organisationnel</w:t>
      </w:r>
    </w:p>
    <w:p w14:paraId="798B150A" w14:textId="77777777" w:rsidR="00862C57" w:rsidRPr="00193822" w:rsidRDefault="00862C57" w:rsidP="00D60C4D">
      <w:pPr>
        <w:pStyle w:val="Titre2"/>
        <w:spacing w:after="120"/>
        <w:rPr>
          <w:u w:val="single"/>
          <w:lang w:val="fr-CA"/>
        </w:rPr>
      </w:pPr>
      <w:r w:rsidRPr="00193822">
        <w:rPr>
          <w:lang w:val="fr-CA"/>
        </w:rPr>
        <w:t>Mandat</w:t>
      </w:r>
    </w:p>
    <w:p w14:paraId="1E8EA0DB" w14:textId="43D2ED5D" w:rsidR="00862C57" w:rsidRPr="00193822" w:rsidRDefault="00862C57" w:rsidP="00D60C4D">
      <w:pPr>
        <w:spacing w:after="12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 xml:space="preserve">BAC réunit les collections, les services et le personnel de deux anciennes institutions, la Bibliothèque nationale du Canada et les Archives nationales du Canada. Tel que libellé dans le Préambule de la </w:t>
      </w:r>
      <w:r w:rsidRPr="00193822">
        <w:rPr>
          <w:rStyle w:val="Accentuation"/>
          <w:lang w:val="fr-CA"/>
        </w:rPr>
        <w:t>Loi sur la Bibliothèque et les Archives du Canada</w:t>
      </w:r>
      <w:r w:rsidRPr="00193822">
        <w:rPr>
          <w:rFonts w:asciiTheme="minorHAnsi" w:hAnsiTheme="minorHAnsi" w:cstheme="minorHAnsi"/>
          <w:color w:val="000000"/>
          <w:sz w:val="22"/>
          <w:szCs w:val="22"/>
          <w:lang w:val="fr-CA"/>
        </w:rPr>
        <w:t>, le mandat de BAC consiste à :</w:t>
      </w:r>
    </w:p>
    <w:p w14:paraId="60BDA748" w14:textId="77777777" w:rsidR="00862C57" w:rsidRPr="00193822" w:rsidRDefault="00862C57" w:rsidP="00D60C4D">
      <w:pPr>
        <w:pStyle w:val="Paragraphedeliste"/>
        <w:numPr>
          <w:ilvl w:val="0"/>
          <w:numId w:val="7"/>
        </w:numPr>
        <w:spacing w:after="0"/>
        <w:ind w:left="714" w:hanging="357"/>
        <w:contextualSpacing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 xml:space="preserve">Préserver le patrimoine documentaire pour les générations présentes et futures. </w:t>
      </w:r>
    </w:p>
    <w:p w14:paraId="66C7580F" w14:textId="77777777" w:rsidR="00862C57" w:rsidRPr="00193822" w:rsidRDefault="00862C57" w:rsidP="00D60C4D">
      <w:pPr>
        <w:pStyle w:val="Paragraphedeliste"/>
        <w:numPr>
          <w:ilvl w:val="0"/>
          <w:numId w:val="7"/>
        </w:numPr>
        <w:spacing w:after="0"/>
        <w:ind w:left="714" w:hanging="357"/>
        <w:contextualSpacing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 xml:space="preserve">Être une source de savoir permanent accessible à tous, et qui contribue à l'épanouissement culturel, social et économique de la société libre et démocratique que constitue le Canada. </w:t>
      </w:r>
    </w:p>
    <w:p w14:paraId="088A2EAA" w14:textId="77777777" w:rsidR="00862C57" w:rsidRPr="00193822" w:rsidRDefault="00862C57" w:rsidP="00D60C4D">
      <w:pPr>
        <w:pStyle w:val="Paragraphedeliste"/>
        <w:numPr>
          <w:ilvl w:val="0"/>
          <w:numId w:val="7"/>
        </w:numPr>
        <w:spacing w:after="0"/>
        <w:ind w:left="714" w:hanging="357"/>
        <w:contextualSpacing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 xml:space="preserve">Faciliter au Canada la concertation des divers milieux intéressés à l'acquisition, à la préservation et à la diffusion du savoir. </w:t>
      </w:r>
    </w:p>
    <w:p w14:paraId="382CE2DC" w14:textId="77777777" w:rsidR="00862C57" w:rsidRPr="00193822" w:rsidRDefault="00862C57" w:rsidP="00D60C4D">
      <w:pPr>
        <w:pStyle w:val="Paragraphedeliste"/>
        <w:numPr>
          <w:ilvl w:val="0"/>
          <w:numId w:val="7"/>
        </w:numPr>
        <w:spacing w:after="120"/>
        <w:ind w:left="714" w:hanging="357"/>
        <w:contextualSpacing w:val="0"/>
        <w:rPr>
          <w:rFonts w:asciiTheme="minorHAnsi" w:eastAsia="Calibri" w:hAnsiTheme="minorHAnsi" w:cstheme="minorHAnsi"/>
          <w:color w:val="000000"/>
          <w:sz w:val="22"/>
          <w:szCs w:val="22"/>
          <w:lang w:val="fr-CA"/>
        </w:rPr>
      </w:pPr>
      <w:r w:rsidRPr="00193822">
        <w:rPr>
          <w:rFonts w:asciiTheme="minorHAnsi" w:hAnsiTheme="minorHAnsi" w:cstheme="minorHAnsi"/>
          <w:color w:val="000000"/>
          <w:sz w:val="22"/>
          <w:szCs w:val="22"/>
          <w:lang w:val="fr-CA"/>
        </w:rPr>
        <w:t>Être la mémoire permanente de l'administration fédérale et de ses institutions.</w:t>
      </w:r>
    </w:p>
    <w:p w14:paraId="2D07E71E" w14:textId="77777777" w:rsidR="00862C57" w:rsidRPr="00193822" w:rsidRDefault="00862C57" w:rsidP="00D60C4D">
      <w:pPr>
        <w:pStyle w:val="Titre2"/>
        <w:spacing w:after="120"/>
        <w:rPr>
          <w:u w:val="single"/>
          <w:lang w:val="fr-CA"/>
        </w:rPr>
      </w:pPr>
      <w:r w:rsidRPr="00193822">
        <w:rPr>
          <w:lang w:val="fr-CA"/>
        </w:rPr>
        <w:t>Défis</w:t>
      </w:r>
    </w:p>
    <w:p w14:paraId="10C2C1D7" w14:textId="0CB18936" w:rsidR="00862C57" w:rsidRPr="00193822" w:rsidRDefault="00862C57" w:rsidP="00D60C4D">
      <w:pPr>
        <w:pStyle w:val="Sansinterligne"/>
        <w:spacing w:after="12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 xml:space="preserve">Selon le Plan ministériel 2019-2020 de BAC, l’organisation poursuivra la mise en œuvre de sa stratégie numérique. Il y a un risque que l’intégration de cette stratégie numérique ne se fasse pas sans heurt, ce </w:t>
      </w:r>
      <w:r w:rsidRPr="00193822">
        <w:rPr>
          <w:rFonts w:asciiTheme="minorHAnsi" w:hAnsiTheme="minorHAnsi" w:cstheme="minorHAnsi"/>
          <w:color w:val="000000"/>
          <w:sz w:val="22"/>
          <w:szCs w:val="22"/>
          <w:lang w:val="fr-CA"/>
        </w:rPr>
        <w:lastRenderedPageBreak/>
        <w:t>qui pourrait avoir un impact négatif sur son efficacité. Par conséquent, BAC tiendra compte des interdépendances des systèmes et des processus et veillera également à ce que les nouvelles solutions technologiques proposées soient analysées par son comité d’examen des projets et de l’architecture afin d’assurer leur compatibilité avec l’architecture organisationnelle.</w:t>
      </w:r>
    </w:p>
    <w:p w14:paraId="1A931506" w14:textId="77777777" w:rsidR="00862C57" w:rsidRPr="00193822" w:rsidRDefault="00862C57" w:rsidP="00D60C4D">
      <w:pPr>
        <w:pStyle w:val="Sansinterligne"/>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De plus, en se fondant sur son cadre d’apprentissage, BAC offrira à ses employés des possibilités de formation et de perfectionnement de manière à répondre aux besoins organisationnels. En particulier, un nouveau programme de perfectionnement professionnel destiné aux bibliothécaires sera mis en place. BAC travaillera également à promouvoir la dotation axée sur les risques et les résultats afin d’attirer et de maintenir en poste un effectif diversifié, compétent et à haut rendement. À cette fin, BAC élaborera des stratégies novatrices pour améliorer l’efficacité de ses processus de recrutement en collaboration avec la CFP.</w:t>
      </w:r>
    </w:p>
    <w:p w14:paraId="179A3856" w14:textId="77777777" w:rsidR="00862C57" w:rsidRPr="00193822" w:rsidRDefault="00862C57" w:rsidP="00D60C4D">
      <w:pPr>
        <w:pStyle w:val="Titre1"/>
        <w:spacing w:after="240"/>
        <w:rPr>
          <w:lang w:val="fr-CA"/>
        </w:rPr>
      </w:pPr>
      <w:r w:rsidRPr="00193822">
        <w:rPr>
          <w:lang w:val="fr-CA"/>
        </w:rPr>
        <w:t xml:space="preserve">Effectif et activités de dotation </w:t>
      </w:r>
    </w:p>
    <w:p w14:paraId="6C0BD02B" w14:textId="77777777" w:rsidR="00862C57" w:rsidRPr="00193822" w:rsidRDefault="00862C57" w:rsidP="00D60C4D">
      <w:pPr>
        <w:pStyle w:val="Titre2"/>
        <w:spacing w:after="120"/>
        <w:rPr>
          <w:u w:val="single"/>
          <w:lang w:val="fr-CA"/>
        </w:rPr>
      </w:pPr>
      <w:r w:rsidRPr="00193822">
        <w:rPr>
          <w:lang w:val="fr-CA"/>
        </w:rPr>
        <w:t>Effectif</w:t>
      </w:r>
    </w:p>
    <w:p w14:paraId="3C08684F" w14:textId="11E99FFB" w:rsidR="00862C57" w:rsidRPr="00193822" w:rsidRDefault="00862C57" w:rsidP="00D60C4D">
      <w:pPr>
        <w:pStyle w:val="Sansinterligne"/>
        <w:spacing w:after="12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 xml:space="preserve">BAC est une organisation de taille moyenne qui compte 986 employés (au 31 mars 2019). </w:t>
      </w:r>
    </w:p>
    <w:p w14:paraId="37506BB8" w14:textId="77777777" w:rsidR="00862C57" w:rsidRPr="00193822" w:rsidRDefault="00862C57" w:rsidP="00D60C4D">
      <w:pPr>
        <w:pStyle w:val="Titre2"/>
        <w:spacing w:after="120"/>
        <w:rPr>
          <w:u w:val="single"/>
          <w:lang w:val="fr-CA"/>
        </w:rPr>
      </w:pPr>
      <w:r w:rsidRPr="00193822">
        <w:rPr>
          <w:lang w:val="fr-CA"/>
        </w:rPr>
        <w:t>Activités de dotation</w:t>
      </w:r>
    </w:p>
    <w:p w14:paraId="182FCAB6" w14:textId="77777777" w:rsidR="00862C57" w:rsidRPr="00193822" w:rsidRDefault="00862C57" w:rsidP="00D60C4D">
      <w:pP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 xml:space="preserve">En 2018-2019, BAC a procédé à un total de 694 activités de dotation : </w:t>
      </w:r>
    </w:p>
    <w:p w14:paraId="7C8059B7" w14:textId="77777777" w:rsidR="00862C57" w:rsidRPr="00193822" w:rsidRDefault="00862C57" w:rsidP="00D60C4D">
      <w:pPr>
        <w:numPr>
          <w:ilvl w:val="0"/>
          <w:numId w:val="5"/>
        </w:numP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 xml:space="preserve">120 nominations à la fonction publique; </w:t>
      </w:r>
    </w:p>
    <w:p w14:paraId="62FECB1F" w14:textId="77777777" w:rsidR="00862C57" w:rsidRPr="00193822" w:rsidRDefault="00862C57" w:rsidP="00D60C4D">
      <w:pPr>
        <w:numPr>
          <w:ilvl w:val="0"/>
          <w:numId w:val="5"/>
        </w:numP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122 promotions;</w:t>
      </w:r>
    </w:p>
    <w:p w14:paraId="63C35806" w14:textId="77777777" w:rsidR="00862C57" w:rsidRPr="00193822" w:rsidRDefault="00862C57" w:rsidP="00D60C4D">
      <w:pPr>
        <w:numPr>
          <w:ilvl w:val="0"/>
          <w:numId w:val="5"/>
        </w:numP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 xml:space="preserve">121 nominations intérimaires; </w:t>
      </w:r>
    </w:p>
    <w:p w14:paraId="5814D05F" w14:textId="77777777" w:rsidR="00862C57" w:rsidRPr="00193822" w:rsidRDefault="00862C57" w:rsidP="00D60C4D">
      <w:pPr>
        <w:numPr>
          <w:ilvl w:val="0"/>
          <w:numId w:val="5"/>
        </w:numP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146 emplois occasionnels;</w:t>
      </w:r>
    </w:p>
    <w:p w14:paraId="318A9F75" w14:textId="77777777" w:rsidR="00862C57" w:rsidRPr="00193822" w:rsidRDefault="00862C57" w:rsidP="00D60C4D">
      <w:pPr>
        <w:numPr>
          <w:ilvl w:val="0"/>
          <w:numId w:val="5"/>
        </w:numP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40 emplois étudiants;</w:t>
      </w:r>
    </w:p>
    <w:p w14:paraId="2E142844" w14:textId="77777777" w:rsidR="00862C57" w:rsidRPr="00193822" w:rsidRDefault="00862C57" w:rsidP="00D60C4D">
      <w:pPr>
        <w:numPr>
          <w:ilvl w:val="0"/>
          <w:numId w:val="5"/>
        </w:numPr>
        <w:spacing w:after="12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 xml:space="preserve">145 déplacements latéraux et régressifs. </w:t>
      </w:r>
    </w:p>
    <w:p w14:paraId="4499F8B4" w14:textId="77777777" w:rsidR="00862C57" w:rsidRPr="00193822" w:rsidRDefault="00862C57" w:rsidP="00D60C4D">
      <w:pPr>
        <w:pStyle w:val="Sansinterligne"/>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En ce qui concerne le recours aux programmes ciblés de la CFP :</w:t>
      </w:r>
    </w:p>
    <w:p w14:paraId="61E6EE3A" w14:textId="77777777" w:rsidR="00862C57" w:rsidRPr="00193822" w:rsidRDefault="00862C57" w:rsidP="00D60C4D">
      <w:pPr>
        <w:pStyle w:val="Sansinterligne"/>
        <w:numPr>
          <w:ilvl w:val="0"/>
          <w:numId w:val="5"/>
        </w:numP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BAC n’a pas identifié de postes à pourvoir dans le cadre du Programme fédéral de stages pour les Canadiens en situation de handicap.</w:t>
      </w:r>
    </w:p>
    <w:p w14:paraId="734E02EE" w14:textId="77777777" w:rsidR="00862C57" w:rsidRPr="00193822" w:rsidRDefault="00862C57" w:rsidP="00D60C4D">
      <w:pPr>
        <w:pStyle w:val="Sansinterligne"/>
        <w:numPr>
          <w:ilvl w:val="0"/>
          <w:numId w:val="5"/>
        </w:numP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BAC a présenté une demande d’embauche à partir du répertoire d’Occasion d’emploi pour étudiants en situation de handicap en 2019, mais il n’y a eu aucune embauche à partir de ce répertoire.</w:t>
      </w:r>
    </w:p>
    <w:p w14:paraId="12D358D4" w14:textId="77777777" w:rsidR="00862C57" w:rsidRPr="00193822" w:rsidRDefault="00862C57" w:rsidP="00D60C4D">
      <w:pPr>
        <w:pStyle w:val="Sansinterligne"/>
        <w:numPr>
          <w:ilvl w:val="0"/>
          <w:numId w:val="5"/>
        </w:numP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BAC n’a pas soumis de demande d’embauche à partir du répertoire d’Occasion d’emploi pour étudiants autochtones en 2019.</w:t>
      </w:r>
    </w:p>
    <w:p w14:paraId="0C839D80" w14:textId="779B5F87" w:rsidR="00862C57" w:rsidRPr="00193822" w:rsidRDefault="00305355" w:rsidP="00D60C4D">
      <w:pPr>
        <w:pStyle w:val="Sansinterligne"/>
        <w:spacing w:before="120"/>
        <w:rPr>
          <w:rFonts w:asciiTheme="minorHAnsi" w:hAnsiTheme="minorHAnsi" w:cstheme="minorHAnsi"/>
          <w:color w:val="000000"/>
          <w:sz w:val="22"/>
          <w:szCs w:val="22"/>
          <w:lang w:val="fr-CA"/>
        </w:rPr>
      </w:pPr>
      <w:r w:rsidRPr="00193822">
        <w:rPr>
          <w:rFonts w:asciiTheme="minorHAnsi" w:hAnsiTheme="minorHAnsi" w:cstheme="minorHAnsi"/>
          <w:sz w:val="22"/>
          <w:szCs w:val="22"/>
          <w:lang w:val="fr-CA" w:eastAsia="en-CA"/>
        </w:rPr>
        <w:t>Veuillez-vous</w:t>
      </w:r>
      <w:r w:rsidR="00862C57" w:rsidRPr="00193822">
        <w:rPr>
          <w:rFonts w:asciiTheme="minorHAnsi" w:hAnsiTheme="minorHAnsi" w:cstheme="minorHAnsi"/>
          <w:sz w:val="22"/>
          <w:szCs w:val="22"/>
          <w:lang w:val="fr-CA" w:eastAsia="en-CA"/>
        </w:rPr>
        <w:t xml:space="preserve"> reporter à </w:t>
      </w:r>
      <w:hyperlink w:anchor="AnnexB" w:history="1">
        <w:r w:rsidR="00862C57" w:rsidRPr="00193822">
          <w:rPr>
            <w:rStyle w:val="Lienhypertexte"/>
            <w:rFonts w:asciiTheme="minorHAnsi" w:hAnsiTheme="minorHAnsi" w:cstheme="minorHAnsi"/>
            <w:sz w:val="22"/>
            <w:szCs w:val="22"/>
            <w:lang w:val="fr-CA" w:eastAsia="en-CA"/>
          </w:rPr>
          <w:t>l’</w:t>
        </w:r>
        <w:r w:rsidR="009260FB" w:rsidRPr="00193822">
          <w:rPr>
            <w:rStyle w:val="Lienhypertexte"/>
            <w:rFonts w:asciiTheme="minorHAnsi" w:hAnsiTheme="minorHAnsi" w:cstheme="minorHAnsi"/>
            <w:sz w:val="22"/>
            <w:szCs w:val="22"/>
            <w:lang w:val="fr-CA" w:eastAsia="en-CA"/>
          </w:rPr>
          <w:t>annexe B</w:t>
        </w:r>
      </w:hyperlink>
      <w:r w:rsidR="009260FB" w:rsidRPr="00193822">
        <w:rPr>
          <w:rStyle w:val="Lienhypertexte"/>
          <w:rFonts w:asciiTheme="minorHAnsi" w:hAnsiTheme="minorHAnsi" w:cstheme="minorHAnsi"/>
          <w:sz w:val="22"/>
          <w:szCs w:val="22"/>
          <w:lang w:val="fr-CA" w:eastAsia="en-CA"/>
        </w:rPr>
        <w:t xml:space="preserve"> </w:t>
      </w:r>
      <w:r w:rsidR="00862C57" w:rsidRPr="00193822">
        <w:rPr>
          <w:rFonts w:asciiTheme="minorHAnsi" w:hAnsiTheme="minorHAnsi" w:cstheme="minorHAnsi"/>
          <w:sz w:val="22"/>
          <w:szCs w:val="22"/>
          <w:lang w:val="fr-CA" w:eastAsia="en-CA"/>
        </w:rPr>
        <w:t>pour obtenir plus de détails</w:t>
      </w:r>
      <w:r w:rsidR="00E85B12" w:rsidRPr="00193822">
        <w:rPr>
          <w:rFonts w:asciiTheme="minorHAnsi" w:hAnsiTheme="minorHAnsi" w:cstheme="minorHAnsi"/>
          <w:sz w:val="22"/>
          <w:szCs w:val="22"/>
          <w:lang w:val="fr-CA" w:eastAsia="en-CA"/>
        </w:rPr>
        <w:t xml:space="preserve"> sur les activités de dotation</w:t>
      </w:r>
      <w:r w:rsidR="00862C57" w:rsidRPr="00193822">
        <w:rPr>
          <w:rFonts w:asciiTheme="minorHAnsi" w:hAnsiTheme="minorHAnsi" w:cstheme="minorHAnsi"/>
          <w:sz w:val="22"/>
          <w:szCs w:val="22"/>
          <w:lang w:val="fr-CA" w:eastAsia="en-CA"/>
        </w:rPr>
        <w:t>.</w:t>
      </w:r>
    </w:p>
    <w:p w14:paraId="303DECC6" w14:textId="77777777" w:rsidR="00862C57" w:rsidRPr="00193822" w:rsidRDefault="00862C57" w:rsidP="00D60C4D">
      <w:pPr>
        <w:pStyle w:val="Titre1"/>
        <w:spacing w:after="240"/>
        <w:rPr>
          <w:lang w:val="fr-CA"/>
        </w:rPr>
      </w:pPr>
      <w:r w:rsidRPr="00193822">
        <w:rPr>
          <w:lang w:val="fr-CA"/>
        </w:rPr>
        <w:t>Durée du processus de dotation</w:t>
      </w:r>
    </w:p>
    <w:p w14:paraId="5A2BA759" w14:textId="21D0188A" w:rsidR="00862C57" w:rsidRPr="00193822" w:rsidRDefault="00862C57" w:rsidP="00D60C4D">
      <w:pPr>
        <w:pStyle w:val="Sansinterligne"/>
        <w:spacing w:after="120"/>
        <w:rPr>
          <w:rFonts w:asciiTheme="minorHAnsi" w:hAnsiTheme="minorHAnsi" w:cstheme="minorHAnsi"/>
          <w:color w:val="222222"/>
          <w:sz w:val="22"/>
          <w:szCs w:val="22"/>
          <w:lang w:val="fr-CA"/>
        </w:rPr>
      </w:pPr>
      <w:r w:rsidRPr="00193822">
        <w:rPr>
          <w:rFonts w:asciiTheme="minorHAnsi" w:hAnsiTheme="minorHAnsi" w:cstheme="minorHAnsi"/>
          <w:color w:val="222222"/>
          <w:sz w:val="22"/>
          <w:szCs w:val="22"/>
          <w:lang w:val="fr-CA"/>
        </w:rPr>
        <w:t>En ce qui a trait aux nominations internes annoncées,</w:t>
      </w:r>
      <w:r w:rsidRPr="00193822">
        <w:rPr>
          <w:rFonts w:asciiTheme="minorHAnsi" w:hAnsiTheme="minorHAnsi" w:cstheme="minorHAnsi"/>
          <w:color w:val="000000"/>
          <w:sz w:val="22"/>
          <w:szCs w:val="22"/>
          <w:lang w:val="fr-CA"/>
        </w:rPr>
        <w:t xml:space="preserve"> le temps de dotation moyen à BAC</w:t>
      </w:r>
      <w:r w:rsidRPr="00193822">
        <w:rPr>
          <w:rFonts w:asciiTheme="minorHAnsi" w:hAnsiTheme="minorHAnsi" w:cstheme="minorHAnsi"/>
          <w:color w:val="222222"/>
          <w:sz w:val="22"/>
          <w:szCs w:val="22"/>
          <w:lang w:val="fr-CA"/>
        </w:rPr>
        <w:t xml:space="preserve"> est de 145 jours, ce qui est inférieur à la moyenne de 176 jours pour la fonction publique. </w:t>
      </w:r>
    </w:p>
    <w:p w14:paraId="78C05C34" w14:textId="474A370E" w:rsidR="00862C57" w:rsidRPr="00193822" w:rsidRDefault="00862C57" w:rsidP="00D60C4D">
      <w:pPr>
        <w:pStyle w:val="Sansinterligne"/>
        <w:spacing w:after="120"/>
        <w:rPr>
          <w:rFonts w:asciiTheme="minorHAnsi" w:hAnsiTheme="minorHAnsi" w:cstheme="minorHAnsi"/>
          <w:color w:val="222222"/>
          <w:sz w:val="22"/>
          <w:szCs w:val="22"/>
          <w:lang w:val="fr-CA"/>
        </w:rPr>
      </w:pPr>
      <w:r w:rsidRPr="00193822">
        <w:rPr>
          <w:rFonts w:asciiTheme="minorHAnsi" w:hAnsiTheme="minorHAnsi" w:cstheme="minorHAnsi"/>
          <w:color w:val="222222"/>
          <w:sz w:val="22"/>
          <w:szCs w:val="22"/>
          <w:lang w:val="fr-CA"/>
        </w:rPr>
        <w:lastRenderedPageBreak/>
        <w:t>En raison du nombre limité de processus de nomination externes annoncés menés par BAC en 2018-2019, les données sont insuffisantes pour fournir de l’information sur la durée des processus de dotation.</w:t>
      </w:r>
    </w:p>
    <w:p w14:paraId="7AFFD024" w14:textId="77777777" w:rsidR="00862C57" w:rsidRPr="00193822" w:rsidRDefault="00862C57" w:rsidP="00D60C4D">
      <w:pPr>
        <w:pStyle w:val="Titre1"/>
        <w:spacing w:after="240"/>
        <w:rPr>
          <w:lang w:val="fr-CA"/>
        </w:rPr>
      </w:pPr>
      <w:r w:rsidRPr="00193822">
        <w:rPr>
          <w:lang w:val="fr-CA"/>
        </w:rPr>
        <w:t xml:space="preserve">Cadre de dotation </w:t>
      </w:r>
    </w:p>
    <w:p w14:paraId="48FE160C" w14:textId="77777777" w:rsidR="00862C57" w:rsidRPr="00193822" w:rsidRDefault="00862C57" w:rsidP="00D60C4D">
      <w:pPr>
        <w:pStyle w:val="Titre2"/>
        <w:spacing w:after="120"/>
        <w:rPr>
          <w:lang w:val="fr-CA"/>
        </w:rPr>
      </w:pPr>
      <w:r w:rsidRPr="00193822">
        <w:rPr>
          <w:lang w:val="fr-CA"/>
        </w:rPr>
        <w:t>Mise en œuvre de la Nouvelle orientation en dotation (NOD)</w:t>
      </w:r>
    </w:p>
    <w:p w14:paraId="6B692E77" w14:textId="77777777" w:rsidR="00862C57" w:rsidRPr="00193822" w:rsidRDefault="00862C57" w:rsidP="00D60C4D">
      <w:pPr>
        <w:pStyle w:val="NormalWeb"/>
        <w:spacing w:before="0" w:beforeAutospacing="0" w:after="0" w:afterAutospacing="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 xml:space="preserve">BAC a travaillé en collaboration avec la conseillère au soutien en dotation (CSD) pendant l’élaboration de son nouveau cadre de dotation et a rempli toutes les exigences obligatoires découlant de la mise en œuvre de la NOD. BAC a adopté une approche de dotation axée sur les risques et les résultats, ce qui lui permet d’adapter son cadre de dotation selon ses besoins particuliers et de tirer parti de la souplesse prévue par la </w:t>
      </w:r>
      <w:r w:rsidRPr="00193822">
        <w:rPr>
          <w:rStyle w:val="Accentuation"/>
          <w:lang w:val="fr-CA"/>
        </w:rPr>
        <w:t>Loi sur l’emploi dans la fonction publique</w:t>
      </w:r>
      <w:r w:rsidRPr="00193822">
        <w:rPr>
          <w:rFonts w:asciiTheme="minorHAnsi" w:hAnsiTheme="minorHAnsi" w:cstheme="minorHAnsi"/>
          <w:color w:val="000000"/>
          <w:sz w:val="22"/>
          <w:szCs w:val="22"/>
          <w:lang w:val="fr-CA"/>
        </w:rPr>
        <w:t>. L’organisation a mis en œuvre ce nouveau cadre le 31 janvier 2017.</w:t>
      </w:r>
    </w:p>
    <w:p w14:paraId="08AF1E29" w14:textId="052EF486" w:rsidR="00862C57" w:rsidRPr="00193822" w:rsidRDefault="00862C57" w:rsidP="00D60C4D">
      <w:pPr>
        <w:pStyle w:val="NormalWeb"/>
        <w:spacing w:before="120" w:beforeAutospacing="0" w:after="120" w:afterAutospacing="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En date du 1</w:t>
      </w:r>
      <w:r w:rsidRPr="00193822">
        <w:rPr>
          <w:rFonts w:asciiTheme="minorHAnsi" w:hAnsiTheme="minorHAnsi" w:cstheme="minorHAnsi"/>
          <w:color w:val="000000"/>
          <w:sz w:val="22"/>
          <w:szCs w:val="22"/>
          <w:vertAlign w:val="superscript"/>
          <w:lang w:val="fr-CA"/>
        </w:rPr>
        <w:t>er</w:t>
      </w:r>
      <w:r w:rsidRPr="00193822">
        <w:rPr>
          <w:rFonts w:asciiTheme="minorHAnsi" w:hAnsiTheme="minorHAnsi" w:cstheme="minorHAnsi"/>
          <w:color w:val="000000"/>
          <w:sz w:val="22"/>
          <w:szCs w:val="22"/>
          <w:lang w:val="fr-CA"/>
        </w:rPr>
        <w:t xml:space="preserve"> avril 2016, tous les formulaires d’attestation ont été signés par les gestionnaires subdélégués. Ces derniers ont mis à jour leur instrument de subdélégation afin de l’harmoniser avec le nouvel </w:t>
      </w:r>
      <w:r w:rsidRPr="009E10B7">
        <w:rPr>
          <w:rStyle w:val="Accentuation"/>
          <w:lang w:val="fr-CA"/>
        </w:rPr>
        <w:t>Instrument de délégation et de responsabilisation en matière de nomination</w:t>
      </w:r>
      <w:r w:rsidRPr="00193822">
        <w:rPr>
          <w:rFonts w:asciiTheme="minorHAnsi" w:hAnsiTheme="minorHAnsi" w:cstheme="minorHAnsi"/>
          <w:color w:val="000000"/>
          <w:sz w:val="22"/>
          <w:szCs w:val="22"/>
          <w:lang w:val="fr-CA"/>
        </w:rPr>
        <w:t xml:space="preserve"> et les </w:t>
      </w:r>
      <w:r w:rsidRPr="009E10B7">
        <w:rPr>
          <w:rFonts w:asciiTheme="minorHAnsi" w:hAnsiTheme="minorHAnsi" w:cstheme="minorHAnsi"/>
          <w:sz w:val="22"/>
          <w:lang w:val="fr-CA"/>
        </w:rPr>
        <w:t>lignes directrices de la CFP en matière de nomination</w:t>
      </w:r>
      <w:r w:rsidRPr="00193822">
        <w:rPr>
          <w:rFonts w:asciiTheme="minorHAnsi" w:hAnsiTheme="minorHAnsi" w:cstheme="minorHAnsi"/>
          <w:color w:val="000000"/>
          <w:sz w:val="22"/>
          <w:szCs w:val="22"/>
          <w:lang w:val="fr-CA"/>
        </w:rPr>
        <w:t xml:space="preserve">. Leur instrument a été approuvé en mars 2017. </w:t>
      </w:r>
    </w:p>
    <w:p w14:paraId="4124CC4F" w14:textId="77777777" w:rsidR="00862C57" w:rsidRPr="00193822" w:rsidRDefault="00862C57" w:rsidP="00D60C4D">
      <w:pPr>
        <w:pStyle w:val="NormalWeb"/>
        <w:spacing w:before="0" w:beforeAutospacing="0" w:after="0" w:afterAutospacing="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BAC a communiqué son cadre de nomination à la CFP.</w:t>
      </w:r>
    </w:p>
    <w:p w14:paraId="3BBEBC21" w14:textId="77777777" w:rsidR="00862C57" w:rsidRPr="00193822" w:rsidRDefault="00862C57" w:rsidP="00D60C4D">
      <w:pPr>
        <w:pStyle w:val="NormalWeb"/>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 xml:space="preserve">Le cadre de surveillance de la dotation de BAC a été approuvé par le bibliothécaire et archiviste du Canada le 29 avril 2018, et sa mise en œuvre est en cours. </w:t>
      </w:r>
    </w:p>
    <w:p w14:paraId="1F441821" w14:textId="1165CFA2" w:rsidR="00862C57" w:rsidRPr="00193822" w:rsidRDefault="00862C57" w:rsidP="00D60C4D">
      <w:pPr>
        <w:pStyle w:val="Titre1"/>
        <w:spacing w:after="240"/>
        <w:rPr>
          <w:lang w:val="fr-CA"/>
        </w:rPr>
      </w:pPr>
      <w:r w:rsidRPr="00193822">
        <w:rPr>
          <w:lang w:val="fr-CA"/>
        </w:rPr>
        <w:t>Rapp</w:t>
      </w:r>
      <w:r w:rsidR="009E10B7">
        <w:rPr>
          <w:lang w:val="fr-CA"/>
        </w:rPr>
        <w:t>ort prévus par l’annexe D de l’I</w:t>
      </w:r>
      <w:r w:rsidRPr="00193822">
        <w:rPr>
          <w:lang w:val="fr-CA"/>
        </w:rPr>
        <w:t>nstrument de délégation et de responsabilisation en matière de nomination</w:t>
      </w:r>
    </w:p>
    <w:p w14:paraId="4C286DE4" w14:textId="77777777" w:rsidR="00862C57" w:rsidRPr="00193822" w:rsidRDefault="00862C57" w:rsidP="00D60C4D">
      <w:pPr>
        <w:pStyle w:val="Titre2"/>
        <w:spacing w:after="120"/>
        <w:rPr>
          <w:lang w:val="fr-CA"/>
        </w:rPr>
      </w:pPr>
      <w:r w:rsidRPr="00193822">
        <w:rPr>
          <w:lang w:val="fr-CA"/>
        </w:rPr>
        <w:t>Recours au Décret d’exemption concernant les langues officielles dans la fonction publique et au Règlement sur les langues officielles – nominations dans la fonction publique</w:t>
      </w:r>
    </w:p>
    <w:p w14:paraId="7896BFE5" w14:textId="783DA73C" w:rsidR="00862C57" w:rsidRPr="00193822" w:rsidRDefault="00862C57" w:rsidP="00D60C4D">
      <w:pPr>
        <w:pStyle w:val="Sansinterligne"/>
        <w:spacing w:after="120"/>
        <w:rPr>
          <w:rFonts w:asciiTheme="minorHAnsi" w:hAnsiTheme="minorHAnsi" w:cstheme="minorHAnsi"/>
          <w:sz w:val="22"/>
          <w:szCs w:val="22"/>
          <w:lang w:val="fr-CA"/>
        </w:rPr>
      </w:pPr>
      <w:r w:rsidRPr="00193822">
        <w:rPr>
          <w:rFonts w:asciiTheme="minorHAnsi" w:hAnsiTheme="minorHAnsi" w:cstheme="minorHAnsi"/>
          <w:sz w:val="22"/>
          <w:szCs w:val="22"/>
          <w:lang w:val="fr-CA"/>
        </w:rPr>
        <w:t xml:space="preserve">BAC a indiqué que l’organisation n’a pas approuvé de nouvelle exemption en vertu du </w:t>
      </w:r>
      <w:r w:rsidRPr="00193822">
        <w:rPr>
          <w:rStyle w:val="Accentuation"/>
          <w:lang w:val="fr-CA"/>
        </w:rPr>
        <w:t>Décret d’exemption concernant les langues officielles dans la fonction publique</w:t>
      </w:r>
      <w:r w:rsidRPr="00193822">
        <w:rPr>
          <w:rFonts w:asciiTheme="minorHAnsi" w:hAnsiTheme="minorHAnsi" w:cstheme="minorHAnsi"/>
          <w:i/>
          <w:sz w:val="22"/>
          <w:szCs w:val="22"/>
          <w:lang w:val="fr-CA"/>
        </w:rPr>
        <w:t xml:space="preserve"> </w:t>
      </w:r>
      <w:r w:rsidRPr="00193822">
        <w:rPr>
          <w:rFonts w:asciiTheme="minorHAnsi" w:hAnsiTheme="minorHAnsi" w:cstheme="minorHAnsi"/>
          <w:sz w:val="22"/>
          <w:szCs w:val="22"/>
          <w:lang w:val="fr-CA"/>
        </w:rPr>
        <w:t xml:space="preserve">(DELOFP), mais qu’elle a accordé une exemption en vertu du </w:t>
      </w:r>
      <w:r w:rsidRPr="00193822">
        <w:rPr>
          <w:rStyle w:val="Accentuation"/>
          <w:lang w:val="fr-CA"/>
        </w:rPr>
        <w:t>Règlement sur les langues officielles – nominations dans la fonction publique</w:t>
      </w:r>
      <w:r w:rsidRPr="00193822">
        <w:rPr>
          <w:rFonts w:asciiTheme="minorHAnsi" w:hAnsiTheme="minorHAnsi" w:cstheme="minorHAnsi"/>
          <w:sz w:val="22"/>
          <w:szCs w:val="22"/>
          <w:lang w:val="fr-CA"/>
        </w:rPr>
        <w:t xml:space="preserve">. Cette exemption avait été initialement approuvée pour la période allant du 14 avril 2016 au 13 avril 2018, et a par la suite été prolongée jusqu’au 13 avril 2020. Comme la période de prolongation respecte toujours les échéances du </w:t>
      </w:r>
      <w:r w:rsidR="009E10B7">
        <w:rPr>
          <w:rStyle w:val="Accentuation"/>
          <w:lang w:val="fr-CA"/>
        </w:rPr>
        <w:t>DELOFP</w:t>
      </w:r>
      <w:r w:rsidRPr="00193822">
        <w:rPr>
          <w:rFonts w:asciiTheme="minorHAnsi" w:hAnsiTheme="minorHAnsi" w:cstheme="minorHAnsi"/>
          <w:sz w:val="22"/>
          <w:szCs w:val="22"/>
          <w:lang w:val="fr-CA"/>
        </w:rPr>
        <w:t>, aucune mesure n’est requise de la</w:t>
      </w:r>
      <w:r w:rsidR="00661A5C" w:rsidRPr="00193822">
        <w:rPr>
          <w:rFonts w:asciiTheme="minorHAnsi" w:hAnsiTheme="minorHAnsi" w:cstheme="minorHAnsi"/>
          <w:sz w:val="22"/>
          <w:szCs w:val="22"/>
          <w:lang w:val="fr-CA"/>
        </w:rPr>
        <w:t xml:space="preserve"> part de la CFP pour l’instant.</w:t>
      </w:r>
    </w:p>
    <w:p w14:paraId="4A4C9CB7" w14:textId="77777777" w:rsidR="00862C57" w:rsidRPr="00193822" w:rsidRDefault="00862C57" w:rsidP="00D60C4D">
      <w:pPr>
        <w:pStyle w:val="Titre2"/>
        <w:spacing w:after="120"/>
        <w:rPr>
          <w:lang w:val="fr-CA"/>
        </w:rPr>
      </w:pPr>
      <w:r w:rsidRPr="00193822">
        <w:rPr>
          <w:lang w:val="fr-CA"/>
        </w:rPr>
        <w:lastRenderedPageBreak/>
        <w:t>Exceptions approuvées par les administrateurs généraux à l’exigence d’avoir une zone nationale de sélection dans le cadre de processus de nomination externes annoncés</w:t>
      </w:r>
    </w:p>
    <w:p w14:paraId="7DEE1389" w14:textId="01BCFD53" w:rsidR="00862C57" w:rsidRPr="00193822" w:rsidRDefault="00862C57" w:rsidP="00D60C4D">
      <w:pPr>
        <w:pStyle w:val="Sansinterligne"/>
        <w:spacing w:after="120"/>
        <w:rPr>
          <w:rFonts w:asciiTheme="minorHAnsi" w:hAnsiTheme="minorHAnsi" w:cstheme="minorHAnsi"/>
          <w:b/>
          <w:color w:val="222222"/>
          <w:sz w:val="22"/>
          <w:szCs w:val="22"/>
          <w:lang w:val="fr-CA"/>
        </w:rPr>
      </w:pPr>
      <w:r w:rsidRPr="00193822">
        <w:rPr>
          <w:rFonts w:asciiTheme="minorHAnsi" w:hAnsiTheme="minorHAnsi" w:cstheme="minorHAnsi"/>
          <w:color w:val="000000"/>
          <w:sz w:val="22"/>
          <w:szCs w:val="22"/>
          <w:lang w:val="fr-CA"/>
        </w:rPr>
        <w:t>BAC</w:t>
      </w:r>
      <w:r w:rsidRPr="00193822">
        <w:rPr>
          <w:rFonts w:asciiTheme="minorHAnsi" w:hAnsiTheme="minorHAnsi" w:cstheme="minorHAnsi"/>
          <w:color w:val="222222"/>
          <w:sz w:val="22"/>
          <w:szCs w:val="22"/>
          <w:lang w:val="fr-CA"/>
        </w:rPr>
        <w:t xml:space="preserve"> n’a pas approuvé d’exemptions à la zone nationale de sélection.</w:t>
      </w:r>
    </w:p>
    <w:p w14:paraId="31706F7F" w14:textId="77777777" w:rsidR="00862C57" w:rsidRPr="00193822" w:rsidRDefault="00862C57" w:rsidP="00D60C4D">
      <w:pPr>
        <w:pStyle w:val="Titre2"/>
        <w:spacing w:after="120"/>
        <w:rPr>
          <w:lang w:val="fr-CA"/>
        </w:rPr>
      </w:pPr>
      <w:r w:rsidRPr="00193822">
        <w:rPr>
          <w:lang w:val="fr-CA"/>
        </w:rPr>
        <w:t>Résultats de l’évaluation cyclique de l’organisation</w:t>
      </w:r>
    </w:p>
    <w:p w14:paraId="3AEFF3AA" w14:textId="552B9398" w:rsidR="00862C57" w:rsidRPr="00193822" w:rsidRDefault="00862C57" w:rsidP="00D60C4D">
      <w:pPr>
        <w:pStyle w:val="Sansinterligne"/>
        <w:spacing w:after="12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BAC n’a pas présenté de rapport sur son évaluation cyclique, la date d’échéance étant le 1</w:t>
      </w:r>
      <w:r w:rsidRPr="00193822">
        <w:rPr>
          <w:rFonts w:asciiTheme="minorHAnsi" w:hAnsiTheme="minorHAnsi" w:cstheme="minorHAnsi"/>
          <w:color w:val="000000"/>
          <w:sz w:val="22"/>
          <w:szCs w:val="22"/>
          <w:vertAlign w:val="superscript"/>
          <w:lang w:val="fr-CA"/>
        </w:rPr>
        <w:t>er</w:t>
      </w:r>
      <w:r w:rsidR="00661A5C" w:rsidRPr="00193822">
        <w:rPr>
          <w:rFonts w:asciiTheme="minorHAnsi" w:hAnsiTheme="minorHAnsi" w:cstheme="minorHAnsi"/>
          <w:color w:val="000000"/>
          <w:sz w:val="22"/>
          <w:szCs w:val="22"/>
          <w:lang w:val="fr-CA"/>
        </w:rPr>
        <w:t xml:space="preserve"> mai 2021. </w:t>
      </w:r>
    </w:p>
    <w:p w14:paraId="22639AF9" w14:textId="77777777" w:rsidR="00862C57" w:rsidRPr="00193822" w:rsidRDefault="00862C57" w:rsidP="00D60C4D">
      <w:pPr>
        <w:pStyle w:val="Titre2"/>
        <w:spacing w:after="120"/>
        <w:rPr>
          <w:lang w:val="fr-CA"/>
        </w:rPr>
      </w:pPr>
      <w:r w:rsidRPr="00193822">
        <w:rPr>
          <w:lang w:val="fr-CA"/>
        </w:rPr>
        <w:t>Demandes de renseignements et tendances</w:t>
      </w:r>
    </w:p>
    <w:p w14:paraId="5BB2F574" w14:textId="77777777" w:rsidR="00862C57" w:rsidRPr="00193822" w:rsidRDefault="00862C57" w:rsidP="00D60C4D">
      <w:pPr>
        <w:pStyle w:val="Sansinterligne"/>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 xml:space="preserve">BAC a consulté la CSD à plusieurs reprises afin d’aborder divers sujets. Les principales questions concernaient le </w:t>
      </w:r>
      <w:r w:rsidRPr="00193822">
        <w:rPr>
          <w:rStyle w:val="Accentuation"/>
          <w:lang w:val="fr-CA"/>
        </w:rPr>
        <w:t>Règlement sur l’emploi dans la fonction publique</w:t>
      </w:r>
      <w:r w:rsidRPr="00193822">
        <w:rPr>
          <w:rFonts w:asciiTheme="minorHAnsi" w:hAnsiTheme="minorHAnsi" w:cstheme="minorHAnsi"/>
          <w:color w:val="000000"/>
          <w:sz w:val="22"/>
          <w:szCs w:val="22"/>
          <w:lang w:val="fr-CA"/>
        </w:rPr>
        <w:t>, l’évaluation, le recours aux processus annoncés et non annoncés, ainsi que le site Web et les systèmes de la CFP (p. ex. le Système de ressourcement de la fonction publique).</w:t>
      </w:r>
    </w:p>
    <w:p w14:paraId="7B7F5999" w14:textId="77777777" w:rsidR="00862C57" w:rsidRPr="00193822" w:rsidRDefault="00862C57" w:rsidP="00D60C4D">
      <w:pPr>
        <w:pStyle w:val="Titre1"/>
        <w:spacing w:after="240"/>
        <w:rPr>
          <w:lang w:val="fr-CA"/>
        </w:rPr>
      </w:pPr>
      <w:r w:rsidRPr="00193822">
        <w:rPr>
          <w:lang w:val="fr-CA"/>
        </w:rPr>
        <w:t xml:space="preserve">Surveillance </w:t>
      </w:r>
    </w:p>
    <w:p w14:paraId="3017BF2F" w14:textId="77777777" w:rsidR="00862C57" w:rsidRPr="00193822" w:rsidRDefault="00862C57" w:rsidP="00D60C4D">
      <w:pPr>
        <w:pStyle w:val="Titre2"/>
        <w:spacing w:after="120"/>
        <w:rPr>
          <w:u w:val="single"/>
          <w:lang w:val="fr-CA"/>
        </w:rPr>
      </w:pPr>
      <w:r w:rsidRPr="00193822">
        <w:rPr>
          <w:lang w:val="fr-CA"/>
        </w:rPr>
        <w:t xml:space="preserve">Vérifications </w:t>
      </w:r>
    </w:p>
    <w:p w14:paraId="2D9F7393" w14:textId="77777777" w:rsidR="00862C57" w:rsidRPr="00193822" w:rsidRDefault="00862C57" w:rsidP="00D60C4D">
      <w:pPr>
        <w:pStyle w:val="Sansinterligne"/>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L’organisation fait partie des 30 organisations sélectionnées aux fins de la vérification qui est en cours portant sur la représentation des groupes visés par l’équité en matière d’emploi lors du recrutement.</w:t>
      </w:r>
    </w:p>
    <w:p w14:paraId="7829A7C2" w14:textId="77777777" w:rsidR="00862C57" w:rsidRPr="00193822" w:rsidRDefault="00862C57" w:rsidP="00D60C4D">
      <w:pPr>
        <w:pStyle w:val="Titre2"/>
        <w:spacing w:after="120"/>
        <w:rPr>
          <w:u w:val="single"/>
          <w:lang w:val="fr-CA"/>
        </w:rPr>
      </w:pPr>
      <w:r w:rsidRPr="00193822">
        <w:rPr>
          <w:lang w:val="fr-CA"/>
        </w:rPr>
        <w:t>Enquêtes</w:t>
      </w:r>
    </w:p>
    <w:p w14:paraId="477E00A8" w14:textId="79369286" w:rsidR="00862C57" w:rsidRPr="00193822" w:rsidRDefault="00862C57" w:rsidP="00D60C4D">
      <w:pPr>
        <w:pStyle w:val="Sansinterligne"/>
        <w:spacing w:after="12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Du 1</w:t>
      </w:r>
      <w:r w:rsidRPr="00193822">
        <w:rPr>
          <w:rFonts w:asciiTheme="minorHAnsi" w:hAnsiTheme="minorHAnsi" w:cstheme="minorHAnsi"/>
          <w:color w:val="000000"/>
          <w:sz w:val="22"/>
          <w:szCs w:val="22"/>
          <w:vertAlign w:val="superscript"/>
          <w:lang w:val="fr-CA"/>
        </w:rPr>
        <w:t>er</w:t>
      </w:r>
      <w:r w:rsidRPr="00193822">
        <w:rPr>
          <w:rFonts w:asciiTheme="minorHAnsi" w:hAnsiTheme="minorHAnsi" w:cstheme="minorHAnsi"/>
          <w:color w:val="000000"/>
          <w:sz w:val="22"/>
          <w:szCs w:val="22"/>
          <w:lang w:val="fr-CA"/>
        </w:rPr>
        <w:t> avril 2017 au 28 août 2019, la CFP a reçu un cas d’enquête, à la demande de l’administratrice générale de</w:t>
      </w:r>
      <w:r w:rsidR="00661A5C" w:rsidRPr="00193822">
        <w:rPr>
          <w:rFonts w:asciiTheme="minorHAnsi" w:hAnsiTheme="minorHAnsi" w:cstheme="minorHAnsi"/>
          <w:color w:val="000000"/>
          <w:sz w:val="22"/>
          <w:szCs w:val="22"/>
          <w:lang w:val="fr-CA"/>
        </w:rPr>
        <w:t xml:space="preserve"> BAC. Cette enquête est fondée.</w:t>
      </w:r>
    </w:p>
    <w:p w14:paraId="1AECD442" w14:textId="684D14EA" w:rsidR="00661A5C" w:rsidRPr="00193822" w:rsidRDefault="00661A5C" w:rsidP="00D60C4D">
      <w:pPr>
        <w:pStyle w:val="Lgende"/>
        <w:keepNext/>
        <w:rPr>
          <w:lang w:val="fr-CA"/>
        </w:rPr>
      </w:pPr>
      <w:r w:rsidRPr="00193822">
        <w:rPr>
          <w:lang w:val="fr-CA"/>
        </w:rPr>
        <w:t xml:space="preserve">Tableau </w:t>
      </w:r>
      <w:r w:rsidRPr="00193822">
        <w:rPr>
          <w:lang w:val="fr-CA"/>
        </w:rPr>
        <w:fldChar w:fldCharType="begin"/>
      </w:r>
      <w:r w:rsidRPr="00193822">
        <w:rPr>
          <w:lang w:val="fr-CA"/>
        </w:rPr>
        <w:instrText xml:space="preserve"> SEQ Tableau \* ARABIC </w:instrText>
      </w:r>
      <w:r w:rsidRPr="00193822">
        <w:rPr>
          <w:lang w:val="fr-CA"/>
        </w:rPr>
        <w:fldChar w:fldCharType="separate"/>
      </w:r>
      <w:r w:rsidR="00211837" w:rsidRPr="00193822">
        <w:rPr>
          <w:noProof/>
          <w:lang w:val="fr-CA"/>
        </w:rPr>
        <w:t>1</w:t>
      </w:r>
      <w:r w:rsidRPr="00193822">
        <w:rPr>
          <w:lang w:val="fr-CA"/>
        </w:rPr>
        <w:fldChar w:fldCharType="end"/>
      </w:r>
      <w:r w:rsidRPr="00193822">
        <w:rPr>
          <w:lang w:val="fr-CA"/>
        </w:rPr>
        <w:t xml:space="preserve"> - Enquêtes</w:t>
      </w:r>
    </w:p>
    <w:tbl>
      <w:tblPr>
        <w:tblStyle w:val="Grilledutableau"/>
        <w:tblW w:w="5000" w:type="pct"/>
        <w:jc w:val="center"/>
        <w:tblLook w:val="04A0" w:firstRow="1" w:lastRow="0" w:firstColumn="1" w:lastColumn="0" w:noHBand="0" w:noVBand="1"/>
        <w:tblDescription w:val="Enquêtes"/>
      </w:tblPr>
      <w:tblGrid>
        <w:gridCol w:w="3288"/>
        <w:gridCol w:w="802"/>
        <w:gridCol w:w="1813"/>
        <w:gridCol w:w="1182"/>
        <w:gridCol w:w="1126"/>
        <w:gridCol w:w="1057"/>
        <w:gridCol w:w="802"/>
      </w:tblGrid>
      <w:tr w:rsidR="003F6509" w:rsidRPr="00193822" w14:paraId="58069E90" w14:textId="77777777" w:rsidTr="00954825">
        <w:trPr>
          <w:cantSplit/>
          <w:trHeight w:val="1200"/>
          <w:tblHeader/>
          <w:jc w:val="center"/>
        </w:trPr>
        <w:tc>
          <w:tcPr>
            <w:tcW w:w="1633" w:type="pct"/>
            <w:shd w:val="clear" w:color="auto" w:fill="54575A" w:themeFill="text1"/>
            <w:hideMark/>
          </w:tcPr>
          <w:p w14:paraId="232E2604" w14:textId="77777777" w:rsidR="00661A5C" w:rsidRPr="00193822" w:rsidRDefault="00661A5C" w:rsidP="00D60C4D">
            <w:pPr>
              <w:pStyle w:val="TableTitle"/>
              <w:rPr>
                <w:bCs/>
                <w:color w:val="FFFFFF" w:themeColor="background1"/>
                <w:lang w:val="fr-CA" w:eastAsia="en-CA"/>
              </w:rPr>
            </w:pPr>
            <w:r w:rsidRPr="00193822">
              <w:rPr>
                <w:color w:val="FFFFFF" w:themeColor="background1"/>
                <w:lang w:val="fr-CA" w:eastAsia="en-CA"/>
              </w:rPr>
              <w:t>Nature de la question</w:t>
            </w:r>
          </w:p>
        </w:tc>
        <w:tc>
          <w:tcPr>
            <w:tcW w:w="398" w:type="pct"/>
            <w:shd w:val="clear" w:color="auto" w:fill="54575A" w:themeFill="text1"/>
            <w:hideMark/>
          </w:tcPr>
          <w:p w14:paraId="3C75347B" w14:textId="77777777" w:rsidR="00661A5C" w:rsidRPr="00193822" w:rsidRDefault="00661A5C" w:rsidP="00D60C4D">
            <w:pPr>
              <w:pStyle w:val="TableTitle"/>
              <w:rPr>
                <w:bCs/>
                <w:color w:val="FFFFFF" w:themeColor="background1"/>
                <w:lang w:val="fr-CA" w:eastAsia="en-CA"/>
              </w:rPr>
            </w:pPr>
            <w:r w:rsidRPr="00193822">
              <w:rPr>
                <w:color w:val="FFFFFF" w:themeColor="background1"/>
                <w:lang w:val="fr-CA" w:eastAsia="en-CA"/>
              </w:rPr>
              <w:t>Cas reçus</w:t>
            </w:r>
          </w:p>
        </w:tc>
        <w:tc>
          <w:tcPr>
            <w:tcW w:w="900" w:type="pct"/>
            <w:shd w:val="clear" w:color="auto" w:fill="54575A" w:themeFill="text1"/>
            <w:hideMark/>
          </w:tcPr>
          <w:p w14:paraId="776B2208" w14:textId="5D0426E9" w:rsidR="00661A5C" w:rsidRPr="00193822" w:rsidRDefault="00661A5C" w:rsidP="009E10B7">
            <w:pPr>
              <w:pStyle w:val="TableTitle"/>
              <w:rPr>
                <w:bCs/>
                <w:color w:val="FFFFFF" w:themeColor="background1"/>
                <w:lang w:val="fr-CA" w:eastAsia="en-CA"/>
              </w:rPr>
            </w:pPr>
            <w:r w:rsidRPr="00193822">
              <w:rPr>
                <w:color w:val="FFFFFF" w:themeColor="background1"/>
                <w:lang w:val="fr-CA" w:eastAsia="en-CA"/>
              </w:rPr>
              <w:t xml:space="preserve">Cas </w:t>
            </w:r>
            <w:r w:rsidR="009E10B7">
              <w:rPr>
                <w:color w:val="FFFFFF" w:themeColor="background1"/>
                <w:lang w:val="fr-CA" w:eastAsia="en-CA"/>
              </w:rPr>
              <w:t>renvoyés</w:t>
            </w:r>
            <w:r w:rsidRPr="00193822">
              <w:rPr>
                <w:color w:val="FFFFFF" w:themeColor="background1"/>
                <w:lang w:val="fr-CA" w:eastAsia="en-CA"/>
              </w:rPr>
              <w:t xml:space="preserve"> par l’organisation</w:t>
            </w:r>
          </w:p>
        </w:tc>
        <w:tc>
          <w:tcPr>
            <w:tcW w:w="587" w:type="pct"/>
            <w:shd w:val="clear" w:color="auto" w:fill="54575A" w:themeFill="text1"/>
            <w:hideMark/>
          </w:tcPr>
          <w:p w14:paraId="64057475" w14:textId="77777777" w:rsidR="00661A5C" w:rsidRPr="00193822" w:rsidRDefault="00661A5C" w:rsidP="00D60C4D">
            <w:pPr>
              <w:pStyle w:val="TableTitle"/>
              <w:rPr>
                <w:bCs/>
                <w:color w:val="FFFFFF" w:themeColor="background1"/>
                <w:lang w:val="fr-CA" w:eastAsia="en-CA"/>
              </w:rPr>
            </w:pPr>
            <w:r w:rsidRPr="00193822">
              <w:rPr>
                <w:color w:val="FFFFFF" w:themeColor="background1"/>
                <w:lang w:val="fr-CA" w:eastAsia="en-CA"/>
              </w:rPr>
              <w:t>Fermé – Non accepté</w:t>
            </w:r>
          </w:p>
        </w:tc>
        <w:tc>
          <w:tcPr>
            <w:tcW w:w="559" w:type="pct"/>
            <w:shd w:val="clear" w:color="auto" w:fill="54575A" w:themeFill="text1"/>
            <w:hideMark/>
          </w:tcPr>
          <w:p w14:paraId="4051878B" w14:textId="77777777" w:rsidR="00661A5C" w:rsidRPr="00193822" w:rsidRDefault="00661A5C" w:rsidP="00D60C4D">
            <w:pPr>
              <w:pStyle w:val="TableTitle"/>
              <w:rPr>
                <w:bCs/>
                <w:color w:val="FFFFFF" w:themeColor="background1"/>
                <w:lang w:val="fr-CA" w:eastAsia="en-CA"/>
              </w:rPr>
            </w:pPr>
            <w:r w:rsidRPr="00193822">
              <w:rPr>
                <w:color w:val="FFFFFF" w:themeColor="background1"/>
                <w:lang w:val="fr-CA" w:eastAsia="en-CA"/>
              </w:rPr>
              <w:t>Achevé –Non fondé</w:t>
            </w:r>
          </w:p>
        </w:tc>
        <w:tc>
          <w:tcPr>
            <w:tcW w:w="525" w:type="pct"/>
            <w:shd w:val="clear" w:color="auto" w:fill="54575A" w:themeFill="text1"/>
            <w:hideMark/>
          </w:tcPr>
          <w:p w14:paraId="12C9AD93" w14:textId="77777777" w:rsidR="00661A5C" w:rsidRPr="00193822" w:rsidRDefault="00661A5C" w:rsidP="00D60C4D">
            <w:pPr>
              <w:pStyle w:val="TableTitle"/>
              <w:rPr>
                <w:bCs/>
                <w:color w:val="FFFFFF" w:themeColor="background1"/>
                <w:lang w:val="fr-CA" w:eastAsia="en-CA"/>
              </w:rPr>
            </w:pPr>
            <w:r w:rsidRPr="00193822">
              <w:rPr>
                <w:color w:val="FFFFFF" w:themeColor="background1"/>
                <w:lang w:val="fr-CA" w:eastAsia="en-CA"/>
              </w:rPr>
              <w:t>Achevé –Fondé</w:t>
            </w:r>
          </w:p>
        </w:tc>
        <w:tc>
          <w:tcPr>
            <w:tcW w:w="398" w:type="pct"/>
            <w:shd w:val="clear" w:color="auto" w:fill="54575A" w:themeFill="text1"/>
            <w:hideMark/>
          </w:tcPr>
          <w:p w14:paraId="5E149E37" w14:textId="77777777" w:rsidR="00661A5C" w:rsidRPr="00193822" w:rsidRDefault="00661A5C" w:rsidP="00D60C4D">
            <w:pPr>
              <w:pStyle w:val="TableTitle"/>
              <w:rPr>
                <w:bCs/>
                <w:color w:val="FFFFFF" w:themeColor="background1"/>
                <w:lang w:val="fr-CA" w:eastAsia="en-CA"/>
              </w:rPr>
            </w:pPr>
            <w:r w:rsidRPr="00193822">
              <w:rPr>
                <w:color w:val="FFFFFF" w:themeColor="background1"/>
                <w:lang w:val="fr-CA" w:eastAsia="en-CA"/>
              </w:rPr>
              <w:t>En cours</w:t>
            </w:r>
          </w:p>
        </w:tc>
      </w:tr>
      <w:tr w:rsidR="00661A5C" w:rsidRPr="00193822" w14:paraId="0D803285" w14:textId="77777777" w:rsidTr="00954825">
        <w:trPr>
          <w:cantSplit/>
          <w:trHeight w:val="600"/>
          <w:tblHeader/>
          <w:jc w:val="center"/>
        </w:trPr>
        <w:tc>
          <w:tcPr>
            <w:tcW w:w="1633" w:type="pct"/>
            <w:shd w:val="clear" w:color="auto" w:fill="54575A" w:themeFill="text1"/>
            <w:hideMark/>
          </w:tcPr>
          <w:p w14:paraId="10FDDA73" w14:textId="77777777" w:rsidR="00661A5C" w:rsidRPr="00193822" w:rsidRDefault="00661A5C" w:rsidP="00D60C4D">
            <w:pPr>
              <w:rPr>
                <w:rFonts w:asciiTheme="minorHAnsi" w:hAnsiTheme="minorHAnsi" w:cstheme="minorHAnsi"/>
                <w:color w:val="FFFFFF" w:themeColor="background1"/>
                <w:sz w:val="22"/>
                <w:szCs w:val="22"/>
                <w:lang w:val="fr-CA" w:eastAsia="en-CA"/>
              </w:rPr>
            </w:pPr>
            <w:r w:rsidRPr="00193822">
              <w:rPr>
                <w:rFonts w:asciiTheme="minorHAnsi" w:hAnsiTheme="minorHAnsi" w:cstheme="minorHAnsi"/>
                <w:color w:val="FFFFFF" w:themeColor="background1"/>
                <w:sz w:val="22"/>
                <w:szCs w:val="22"/>
                <w:lang w:val="fr-CA" w:eastAsia="en-CA"/>
              </w:rPr>
              <w:t xml:space="preserve">Paragraphe 67(2) de la </w:t>
            </w:r>
            <w:r w:rsidRPr="00193822">
              <w:rPr>
                <w:rStyle w:val="Accentuation"/>
                <w:color w:val="FFFFFF" w:themeColor="background1"/>
                <w:lang w:val="fr-CA"/>
              </w:rPr>
              <w:t>Loi sur l’emploi dans la fonction publique</w:t>
            </w:r>
            <w:r w:rsidRPr="00193822">
              <w:rPr>
                <w:rFonts w:asciiTheme="minorHAnsi" w:hAnsiTheme="minorHAnsi" w:cstheme="minorHAnsi"/>
                <w:i/>
                <w:color w:val="FFFFFF" w:themeColor="background1"/>
                <w:sz w:val="22"/>
                <w:szCs w:val="22"/>
                <w:lang w:val="fr-CA" w:eastAsia="en-CA"/>
              </w:rPr>
              <w:t xml:space="preserve"> </w:t>
            </w:r>
            <w:r w:rsidRPr="00193822">
              <w:rPr>
                <w:rFonts w:asciiTheme="minorHAnsi" w:hAnsiTheme="minorHAnsi" w:cstheme="minorHAnsi"/>
                <w:color w:val="FFFFFF" w:themeColor="background1"/>
                <w:sz w:val="22"/>
                <w:szCs w:val="22"/>
                <w:lang w:val="fr-CA" w:eastAsia="en-CA"/>
              </w:rPr>
              <w:t>– Nominations internes (à la demande de l’administrateur général)</w:t>
            </w:r>
          </w:p>
        </w:tc>
        <w:tc>
          <w:tcPr>
            <w:tcW w:w="398" w:type="pct"/>
            <w:noWrap/>
          </w:tcPr>
          <w:p w14:paraId="75B222F9" w14:textId="77777777" w:rsidR="00661A5C" w:rsidRPr="00193822" w:rsidRDefault="00661A5C" w:rsidP="00D60C4D">
            <w:pPr>
              <w:jc w:val="center"/>
              <w:rPr>
                <w:rFonts w:asciiTheme="minorHAnsi" w:hAnsiTheme="minorHAnsi" w:cstheme="minorHAnsi"/>
                <w:color w:val="000000"/>
                <w:sz w:val="22"/>
                <w:szCs w:val="22"/>
                <w:lang w:val="fr-CA" w:eastAsia="en-CA"/>
              </w:rPr>
            </w:pPr>
            <w:r w:rsidRPr="00193822">
              <w:rPr>
                <w:rFonts w:asciiTheme="minorHAnsi" w:hAnsiTheme="minorHAnsi" w:cstheme="minorHAnsi"/>
                <w:color w:val="000000"/>
                <w:sz w:val="22"/>
                <w:szCs w:val="22"/>
                <w:lang w:val="fr-CA" w:eastAsia="en-CA"/>
              </w:rPr>
              <w:t>1</w:t>
            </w:r>
          </w:p>
        </w:tc>
        <w:tc>
          <w:tcPr>
            <w:tcW w:w="900" w:type="pct"/>
            <w:noWrap/>
          </w:tcPr>
          <w:p w14:paraId="4DF4A94F" w14:textId="77777777" w:rsidR="00661A5C" w:rsidRPr="00193822" w:rsidRDefault="00661A5C" w:rsidP="00D60C4D">
            <w:pPr>
              <w:jc w:val="center"/>
              <w:rPr>
                <w:rFonts w:asciiTheme="minorHAnsi" w:hAnsiTheme="minorHAnsi" w:cstheme="minorHAnsi"/>
                <w:color w:val="000000"/>
                <w:sz w:val="22"/>
                <w:szCs w:val="22"/>
                <w:lang w:val="fr-CA" w:eastAsia="en-CA"/>
              </w:rPr>
            </w:pPr>
            <w:r w:rsidRPr="00193822">
              <w:rPr>
                <w:rFonts w:asciiTheme="minorHAnsi" w:hAnsiTheme="minorHAnsi" w:cstheme="minorHAnsi"/>
                <w:color w:val="000000"/>
                <w:sz w:val="22"/>
                <w:szCs w:val="22"/>
                <w:lang w:val="fr-CA" w:eastAsia="en-CA"/>
              </w:rPr>
              <w:t>1</w:t>
            </w:r>
          </w:p>
        </w:tc>
        <w:tc>
          <w:tcPr>
            <w:tcW w:w="587" w:type="pct"/>
            <w:noWrap/>
          </w:tcPr>
          <w:p w14:paraId="3E102978" w14:textId="77777777" w:rsidR="00661A5C" w:rsidRPr="00193822" w:rsidRDefault="00661A5C" w:rsidP="00D60C4D">
            <w:pPr>
              <w:jc w:val="center"/>
              <w:rPr>
                <w:rFonts w:asciiTheme="minorHAnsi" w:hAnsiTheme="minorHAnsi" w:cstheme="minorHAnsi"/>
                <w:color w:val="000000"/>
                <w:sz w:val="22"/>
                <w:szCs w:val="22"/>
                <w:lang w:val="fr-CA" w:eastAsia="en-CA"/>
              </w:rPr>
            </w:pPr>
            <w:r w:rsidRPr="00193822">
              <w:rPr>
                <w:rFonts w:asciiTheme="minorHAnsi" w:hAnsiTheme="minorHAnsi" w:cstheme="minorHAnsi"/>
                <w:color w:val="000000"/>
                <w:sz w:val="22"/>
                <w:szCs w:val="22"/>
                <w:lang w:val="fr-CA" w:eastAsia="en-CA"/>
              </w:rPr>
              <w:t>0</w:t>
            </w:r>
          </w:p>
        </w:tc>
        <w:tc>
          <w:tcPr>
            <w:tcW w:w="559" w:type="pct"/>
            <w:noWrap/>
          </w:tcPr>
          <w:p w14:paraId="0D13BE68" w14:textId="77777777" w:rsidR="00661A5C" w:rsidRPr="00193822" w:rsidRDefault="00661A5C" w:rsidP="00D60C4D">
            <w:pPr>
              <w:jc w:val="center"/>
              <w:rPr>
                <w:rFonts w:asciiTheme="minorHAnsi" w:hAnsiTheme="minorHAnsi" w:cstheme="minorHAnsi"/>
                <w:color w:val="000000"/>
                <w:sz w:val="22"/>
                <w:szCs w:val="22"/>
                <w:lang w:val="fr-CA" w:eastAsia="en-CA"/>
              </w:rPr>
            </w:pPr>
            <w:r w:rsidRPr="00193822">
              <w:rPr>
                <w:rFonts w:asciiTheme="minorHAnsi" w:hAnsiTheme="minorHAnsi" w:cstheme="minorHAnsi"/>
                <w:color w:val="000000"/>
                <w:sz w:val="22"/>
                <w:szCs w:val="22"/>
                <w:lang w:val="fr-CA" w:eastAsia="en-CA"/>
              </w:rPr>
              <w:t>0</w:t>
            </w:r>
          </w:p>
        </w:tc>
        <w:tc>
          <w:tcPr>
            <w:tcW w:w="525" w:type="pct"/>
            <w:noWrap/>
          </w:tcPr>
          <w:p w14:paraId="497C5F24" w14:textId="77777777" w:rsidR="00661A5C" w:rsidRPr="00193822" w:rsidRDefault="00661A5C" w:rsidP="00D60C4D">
            <w:pPr>
              <w:jc w:val="center"/>
              <w:rPr>
                <w:rFonts w:asciiTheme="minorHAnsi" w:hAnsiTheme="minorHAnsi" w:cstheme="minorHAnsi"/>
                <w:color w:val="000000"/>
                <w:sz w:val="22"/>
                <w:szCs w:val="22"/>
                <w:lang w:val="fr-CA" w:eastAsia="en-CA"/>
              </w:rPr>
            </w:pPr>
            <w:r w:rsidRPr="00193822">
              <w:rPr>
                <w:rFonts w:asciiTheme="minorHAnsi" w:hAnsiTheme="minorHAnsi" w:cstheme="minorHAnsi"/>
                <w:color w:val="000000"/>
                <w:sz w:val="22"/>
                <w:szCs w:val="22"/>
                <w:lang w:val="fr-CA" w:eastAsia="en-CA"/>
              </w:rPr>
              <w:t>1</w:t>
            </w:r>
          </w:p>
        </w:tc>
        <w:tc>
          <w:tcPr>
            <w:tcW w:w="398" w:type="pct"/>
            <w:noWrap/>
          </w:tcPr>
          <w:p w14:paraId="435ACD3B" w14:textId="7446D471" w:rsidR="00661A5C" w:rsidRPr="00193822" w:rsidRDefault="001A6E33" w:rsidP="00D60C4D">
            <w:pPr>
              <w:jc w:val="center"/>
              <w:rPr>
                <w:rFonts w:asciiTheme="minorHAnsi" w:hAnsiTheme="minorHAnsi" w:cstheme="minorHAnsi"/>
                <w:color w:val="000000"/>
                <w:sz w:val="22"/>
                <w:szCs w:val="22"/>
                <w:lang w:val="fr-CA" w:eastAsia="en-CA"/>
              </w:rPr>
            </w:pPr>
            <w:r>
              <w:rPr>
                <w:rFonts w:asciiTheme="minorHAnsi" w:hAnsiTheme="minorHAnsi" w:cstheme="minorHAnsi"/>
                <w:color w:val="000000"/>
                <w:sz w:val="22"/>
                <w:szCs w:val="22"/>
                <w:lang w:val="fr-CA" w:eastAsia="en-CA"/>
              </w:rPr>
              <w:t>0</w:t>
            </w:r>
          </w:p>
        </w:tc>
      </w:tr>
      <w:tr w:rsidR="00661A5C" w:rsidRPr="00193822" w14:paraId="33912836" w14:textId="77777777" w:rsidTr="00954825">
        <w:trPr>
          <w:cantSplit/>
          <w:trHeight w:val="300"/>
          <w:tblHeader/>
          <w:jc w:val="center"/>
        </w:trPr>
        <w:tc>
          <w:tcPr>
            <w:tcW w:w="1633" w:type="pct"/>
            <w:shd w:val="clear" w:color="auto" w:fill="54575A" w:themeFill="text1"/>
            <w:hideMark/>
          </w:tcPr>
          <w:p w14:paraId="0A1EC2E1" w14:textId="77777777" w:rsidR="00661A5C" w:rsidRPr="00193822" w:rsidRDefault="00661A5C" w:rsidP="00D60C4D">
            <w:pPr>
              <w:rPr>
                <w:rFonts w:asciiTheme="minorHAnsi" w:hAnsiTheme="minorHAnsi" w:cstheme="minorHAnsi"/>
                <w:bCs/>
                <w:color w:val="FFFFFF" w:themeColor="background1"/>
                <w:sz w:val="22"/>
                <w:szCs w:val="22"/>
                <w:lang w:val="fr-CA" w:eastAsia="en-CA"/>
              </w:rPr>
            </w:pPr>
            <w:r w:rsidRPr="00193822">
              <w:rPr>
                <w:rFonts w:asciiTheme="minorHAnsi" w:hAnsiTheme="minorHAnsi" w:cstheme="minorHAnsi"/>
                <w:color w:val="FFFFFF" w:themeColor="background1"/>
                <w:sz w:val="22"/>
                <w:szCs w:val="22"/>
                <w:lang w:val="fr-CA" w:eastAsia="en-CA"/>
              </w:rPr>
              <w:t>Total</w:t>
            </w:r>
          </w:p>
        </w:tc>
        <w:tc>
          <w:tcPr>
            <w:tcW w:w="398" w:type="pct"/>
            <w:noWrap/>
          </w:tcPr>
          <w:p w14:paraId="5926EBCE" w14:textId="77777777" w:rsidR="00661A5C" w:rsidRPr="00193822" w:rsidRDefault="00661A5C" w:rsidP="00D60C4D">
            <w:pPr>
              <w:jc w:val="center"/>
              <w:rPr>
                <w:rFonts w:asciiTheme="minorHAnsi" w:hAnsiTheme="minorHAnsi" w:cstheme="minorHAnsi"/>
                <w:bCs/>
                <w:color w:val="000000"/>
                <w:sz w:val="22"/>
                <w:szCs w:val="22"/>
                <w:lang w:val="fr-CA" w:eastAsia="en-CA"/>
              </w:rPr>
            </w:pPr>
            <w:r w:rsidRPr="00193822">
              <w:rPr>
                <w:rFonts w:asciiTheme="minorHAnsi" w:hAnsiTheme="minorHAnsi" w:cstheme="minorHAnsi"/>
                <w:bCs/>
                <w:color w:val="000000"/>
                <w:sz w:val="22"/>
                <w:szCs w:val="22"/>
                <w:lang w:val="fr-CA" w:eastAsia="en-CA"/>
              </w:rPr>
              <w:t>1</w:t>
            </w:r>
          </w:p>
        </w:tc>
        <w:tc>
          <w:tcPr>
            <w:tcW w:w="900" w:type="pct"/>
            <w:noWrap/>
          </w:tcPr>
          <w:p w14:paraId="45313546" w14:textId="77777777" w:rsidR="00661A5C" w:rsidRPr="00193822" w:rsidRDefault="00661A5C" w:rsidP="00D60C4D">
            <w:pPr>
              <w:jc w:val="center"/>
              <w:rPr>
                <w:rFonts w:asciiTheme="minorHAnsi" w:hAnsiTheme="minorHAnsi" w:cstheme="minorHAnsi"/>
                <w:bCs/>
                <w:color w:val="000000"/>
                <w:sz w:val="22"/>
                <w:szCs w:val="22"/>
                <w:lang w:val="fr-CA" w:eastAsia="en-CA"/>
              </w:rPr>
            </w:pPr>
            <w:r w:rsidRPr="00193822">
              <w:rPr>
                <w:rFonts w:asciiTheme="minorHAnsi" w:hAnsiTheme="minorHAnsi" w:cstheme="minorHAnsi"/>
                <w:bCs/>
                <w:color w:val="000000"/>
                <w:sz w:val="22"/>
                <w:szCs w:val="22"/>
                <w:lang w:val="fr-CA" w:eastAsia="en-CA"/>
              </w:rPr>
              <w:t>1</w:t>
            </w:r>
          </w:p>
        </w:tc>
        <w:tc>
          <w:tcPr>
            <w:tcW w:w="587" w:type="pct"/>
            <w:noWrap/>
          </w:tcPr>
          <w:p w14:paraId="0BD58670" w14:textId="77777777" w:rsidR="00661A5C" w:rsidRPr="00193822" w:rsidRDefault="00661A5C" w:rsidP="00D60C4D">
            <w:pPr>
              <w:jc w:val="center"/>
              <w:rPr>
                <w:rFonts w:asciiTheme="minorHAnsi" w:hAnsiTheme="minorHAnsi" w:cstheme="minorHAnsi"/>
                <w:bCs/>
                <w:color w:val="000000"/>
                <w:sz w:val="22"/>
                <w:szCs w:val="22"/>
                <w:lang w:val="fr-CA" w:eastAsia="en-CA"/>
              </w:rPr>
            </w:pPr>
            <w:r w:rsidRPr="00193822">
              <w:rPr>
                <w:rFonts w:asciiTheme="minorHAnsi" w:hAnsiTheme="minorHAnsi" w:cstheme="minorHAnsi"/>
                <w:bCs/>
                <w:color w:val="000000"/>
                <w:sz w:val="22"/>
                <w:szCs w:val="22"/>
                <w:lang w:val="fr-CA" w:eastAsia="en-CA"/>
              </w:rPr>
              <w:t>0</w:t>
            </w:r>
          </w:p>
        </w:tc>
        <w:tc>
          <w:tcPr>
            <w:tcW w:w="559" w:type="pct"/>
            <w:noWrap/>
          </w:tcPr>
          <w:p w14:paraId="19933F85" w14:textId="77777777" w:rsidR="00661A5C" w:rsidRPr="00193822" w:rsidRDefault="00661A5C" w:rsidP="00D60C4D">
            <w:pPr>
              <w:jc w:val="center"/>
              <w:rPr>
                <w:rFonts w:asciiTheme="minorHAnsi" w:hAnsiTheme="minorHAnsi" w:cstheme="minorHAnsi"/>
                <w:bCs/>
                <w:color w:val="000000"/>
                <w:sz w:val="22"/>
                <w:szCs w:val="22"/>
                <w:lang w:val="fr-CA" w:eastAsia="en-CA"/>
              </w:rPr>
            </w:pPr>
            <w:r w:rsidRPr="00193822">
              <w:rPr>
                <w:rFonts w:asciiTheme="minorHAnsi" w:hAnsiTheme="minorHAnsi" w:cstheme="minorHAnsi"/>
                <w:bCs/>
                <w:color w:val="000000"/>
                <w:sz w:val="22"/>
                <w:szCs w:val="22"/>
                <w:lang w:val="fr-CA" w:eastAsia="en-CA"/>
              </w:rPr>
              <w:t>0</w:t>
            </w:r>
          </w:p>
        </w:tc>
        <w:tc>
          <w:tcPr>
            <w:tcW w:w="525" w:type="pct"/>
            <w:noWrap/>
          </w:tcPr>
          <w:p w14:paraId="40F89A12" w14:textId="77777777" w:rsidR="00661A5C" w:rsidRPr="00193822" w:rsidRDefault="00661A5C" w:rsidP="00D60C4D">
            <w:pPr>
              <w:jc w:val="center"/>
              <w:rPr>
                <w:rFonts w:asciiTheme="minorHAnsi" w:hAnsiTheme="minorHAnsi" w:cstheme="minorHAnsi"/>
                <w:bCs/>
                <w:color w:val="000000"/>
                <w:sz w:val="22"/>
                <w:szCs w:val="22"/>
                <w:lang w:val="fr-CA" w:eastAsia="en-CA"/>
              </w:rPr>
            </w:pPr>
            <w:r w:rsidRPr="00193822">
              <w:rPr>
                <w:rFonts w:asciiTheme="minorHAnsi" w:hAnsiTheme="minorHAnsi" w:cstheme="minorHAnsi"/>
                <w:bCs/>
                <w:color w:val="000000"/>
                <w:sz w:val="22"/>
                <w:szCs w:val="22"/>
                <w:lang w:val="fr-CA" w:eastAsia="en-CA"/>
              </w:rPr>
              <w:t>1</w:t>
            </w:r>
          </w:p>
        </w:tc>
        <w:tc>
          <w:tcPr>
            <w:tcW w:w="398" w:type="pct"/>
            <w:noWrap/>
          </w:tcPr>
          <w:p w14:paraId="1C3B8CB1" w14:textId="5C50F2E1" w:rsidR="00661A5C" w:rsidRPr="00193822" w:rsidRDefault="001A6E33" w:rsidP="00D60C4D">
            <w:pPr>
              <w:jc w:val="center"/>
              <w:rPr>
                <w:rFonts w:asciiTheme="minorHAnsi" w:hAnsiTheme="minorHAnsi" w:cstheme="minorHAnsi"/>
                <w:bCs/>
                <w:color w:val="000000"/>
                <w:sz w:val="22"/>
                <w:szCs w:val="22"/>
                <w:lang w:val="fr-CA" w:eastAsia="en-CA"/>
              </w:rPr>
            </w:pPr>
            <w:r>
              <w:rPr>
                <w:rFonts w:asciiTheme="minorHAnsi" w:hAnsiTheme="minorHAnsi" w:cstheme="minorHAnsi"/>
                <w:bCs/>
                <w:color w:val="000000"/>
                <w:sz w:val="22"/>
                <w:szCs w:val="22"/>
                <w:lang w:val="fr-CA" w:eastAsia="en-CA"/>
              </w:rPr>
              <w:t>0</w:t>
            </w:r>
          </w:p>
        </w:tc>
      </w:tr>
    </w:tbl>
    <w:p w14:paraId="4699761F" w14:textId="3267F6BD" w:rsidR="00862C57" w:rsidRPr="00193822" w:rsidRDefault="00661A5C" w:rsidP="00D60C4D">
      <w:pPr>
        <w:rPr>
          <w:rFonts w:ascii="Arial" w:hAnsi="Arial" w:cs="Arial"/>
          <w:color w:val="000000"/>
          <w:sz w:val="18"/>
          <w:szCs w:val="18"/>
          <w:lang w:val="fr-CA" w:eastAsia="en-CA"/>
        </w:rPr>
      </w:pPr>
      <w:r w:rsidRPr="00193822">
        <w:rPr>
          <w:rFonts w:asciiTheme="minorHAnsi" w:hAnsiTheme="minorHAnsi" w:cstheme="minorHAnsi"/>
          <w:color w:val="000000"/>
          <w:sz w:val="22"/>
          <w:szCs w:val="22"/>
          <w:lang w:val="fr-CA" w:eastAsia="en-CA"/>
        </w:rPr>
        <w:t>Note : Le nombre total peut être différent, car les cas abandonnés et les cas résolus par une intervention précoce ne sont pas inclus dans ce tableau</w:t>
      </w:r>
      <w:r w:rsidRPr="00193822">
        <w:rPr>
          <w:rFonts w:ascii="Arial" w:hAnsi="Arial" w:cs="Arial"/>
          <w:color w:val="000000"/>
          <w:sz w:val="18"/>
          <w:szCs w:val="18"/>
          <w:lang w:val="fr-CA" w:eastAsia="en-CA"/>
        </w:rPr>
        <w:t>.</w:t>
      </w:r>
    </w:p>
    <w:p w14:paraId="3FE280EB" w14:textId="77777777" w:rsidR="00661A5C" w:rsidRPr="00193822" w:rsidRDefault="00661A5C" w:rsidP="00D60C4D">
      <w:pPr>
        <w:pStyle w:val="Titre2"/>
        <w:spacing w:after="120"/>
        <w:rPr>
          <w:lang w:val="fr-CA"/>
        </w:rPr>
        <w:sectPr w:rsidR="00661A5C" w:rsidRPr="00193822" w:rsidSect="003F6509">
          <w:footerReference w:type="even" r:id="rId8"/>
          <w:footerReference w:type="default" r:id="rId9"/>
          <w:footerReference w:type="first" r:id="rId10"/>
          <w:type w:val="continuous"/>
          <w:pgSz w:w="12240" w:h="15840"/>
          <w:pgMar w:top="1440" w:right="1080" w:bottom="1440" w:left="1080" w:header="708" w:footer="708" w:gutter="0"/>
          <w:cols w:space="708"/>
          <w:titlePg/>
          <w:docGrid w:linePitch="360"/>
        </w:sectPr>
      </w:pPr>
    </w:p>
    <w:p w14:paraId="200F676E" w14:textId="157836FF" w:rsidR="00862C57" w:rsidRPr="00193822" w:rsidRDefault="00862C57" w:rsidP="00D60C4D">
      <w:pPr>
        <w:pStyle w:val="Titre2"/>
        <w:spacing w:after="120"/>
        <w:rPr>
          <w:u w:val="single"/>
          <w:lang w:val="fr-CA"/>
        </w:rPr>
      </w:pPr>
      <w:r w:rsidRPr="00193822">
        <w:rPr>
          <w:lang w:val="fr-CA"/>
        </w:rPr>
        <w:lastRenderedPageBreak/>
        <w:t xml:space="preserve">Résultats du Sondage sur la dotation et l’impartialité politique </w:t>
      </w:r>
    </w:p>
    <w:p w14:paraId="5BA7F579" w14:textId="72E1C31E" w:rsidR="00862C57" w:rsidRPr="00193822" w:rsidRDefault="00862C57" w:rsidP="00D60C4D">
      <w:pPr>
        <w:pStyle w:val="Paragraphedeliste"/>
        <w:spacing w:after="120"/>
        <w:contextualSpacing w:val="0"/>
        <w:rPr>
          <w:rFonts w:asciiTheme="minorHAnsi" w:hAnsiTheme="minorHAnsi" w:cstheme="minorHAnsi"/>
          <w:sz w:val="22"/>
          <w:szCs w:val="22"/>
          <w:lang w:val="fr-CA" w:eastAsia="en-CA"/>
        </w:rPr>
      </w:pPr>
      <w:r w:rsidRPr="00193822">
        <w:rPr>
          <w:rFonts w:asciiTheme="minorHAnsi" w:hAnsiTheme="minorHAnsi" w:cstheme="minorHAnsi"/>
          <w:sz w:val="22"/>
          <w:szCs w:val="22"/>
          <w:lang w:val="fr-CA" w:eastAsia="en-CA"/>
        </w:rPr>
        <w:t>Dans l’ensemble, les résultats du Sondage sur la dotation et l’impartialité politique (SDIP) de BAC sont semblables à ceux des autres or</w:t>
      </w:r>
      <w:r w:rsidR="00661A5C" w:rsidRPr="00193822">
        <w:rPr>
          <w:rFonts w:asciiTheme="minorHAnsi" w:hAnsiTheme="minorHAnsi" w:cstheme="minorHAnsi"/>
          <w:sz w:val="22"/>
          <w:szCs w:val="22"/>
          <w:lang w:val="fr-CA" w:eastAsia="en-CA"/>
        </w:rPr>
        <w:t xml:space="preserve">ganisations de taille moyenne. </w:t>
      </w:r>
    </w:p>
    <w:p w14:paraId="5580F886" w14:textId="649EEAB6" w:rsidR="00862C57" w:rsidRPr="00193822" w:rsidRDefault="00862C57" w:rsidP="00D60C4D">
      <w:pPr>
        <w:pStyle w:val="Paragraphedeliste"/>
        <w:spacing w:after="120"/>
        <w:contextualSpacing w:val="0"/>
        <w:rPr>
          <w:rFonts w:asciiTheme="minorHAnsi" w:hAnsiTheme="minorHAnsi" w:cstheme="minorHAnsi"/>
          <w:i/>
          <w:sz w:val="22"/>
          <w:szCs w:val="22"/>
          <w:lang w:val="fr-CA"/>
        </w:rPr>
      </w:pPr>
      <w:r w:rsidRPr="00193822">
        <w:rPr>
          <w:rFonts w:asciiTheme="minorHAnsi" w:hAnsiTheme="minorHAnsi" w:cstheme="minorHAnsi"/>
          <w:sz w:val="22"/>
          <w:szCs w:val="22"/>
          <w:lang w:val="fr-CA"/>
        </w:rPr>
        <w:t>Vous trouverez ci-dessous les principales constatations tirées des résul</w:t>
      </w:r>
      <w:r w:rsidR="00661A5C" w:rsidRPr="00193822">
        <w:rPr>
          <w:rFonts w:asciiTheme="minorHAnsi" w:hAnsiTheme="minorHAnsi" w:cstheme="minorHAnsi"/>
          <w:sz w:val="22"/>
          <w:szCs w:val="22"/>
          <w:lang w:val="fr-CA"/>
        </w:rPr>
        <w:t xml:space="preserve">tats du SDIP de BAC pour 2018 </w:t>
      </w:r>
    </w:p>
    <w:p w14:paraId="4FCB1727" w14:textId="77777777" w:rsidR="00862C57" w:rsidRPr="00193822" w:rsidRDefault="00862C57" w:rsidP="00D60C4D">
      <w:pPr>
        <w:pStyle w:val="Paragraphedeliste"/>
        <w:numPr>
          <w:ilvl w:val="0"/>
          <w:numId w:val="6"/>
        </w:numPr>
        <w:spacing w:after="0"/>
        <w:contextualSpacing w:val="0"/>
        <w:rPr>
          <w:rFonts w:asciiTheme="minorHAnsi" w:hAnsiTheme="minorHAnsi" w:cstheme="minorHAnsi"/>
          <w:sz w:val="22"/>
          <w:szCs w:val="22"/>
          <w:lang w:val="fr-CA"/>
        </w:rPr>
      </w:pPr>
      <w:r w:rsidRPr="00193822">
        <w:rPr>
          <w:rFonts w:asciiTheme="minorHAnsi" w:hAnsiTheme="minorHAnsi" w:cstheme="minorHAnsi"/>
          <w:sz w:val="22"/>
          <w:szCs w:val="22"/>
          <w:lang w:val="fr-CA"/>
        </w:rPr>
        <w:t xml:space="preserve">66,8 % des </w:t>
      </w:r>
      <w:r w:rsidRPr="00193822">
        <w:rPr>
          <w:rStyle w:val="lev"/>
          <w:lang w:val="fr-CA"/>
        </w:rPr>
        <w:t>employés</w:t>
      </w:r>
      <w:r w:rsidRPr="00193822">
        <w:rPr>
          <w:rFonts w:asciiTheme="minorHAnsi" w:hAnsiTheme="minorHAnsi" w:cstheme="minorHAnsi"/>
          <w:b/>
          <w:sz w:val="22"/>
          <w:szCs w:val="22"/>
          <w:lang w:val="fr-CA"/>
        </w:rPr>
        <w:t xml:space="preserve"> </w:t>
      </w:r>
      <w:r w:rsidRPr="00193822">
        <w:rPr>
          <w:rFonts w:asciiTheme="minorHAnsi" w:hAnsiTheme="minorHAnsi" w:cstheme="minorHAnsi"/>
          <w:sz w:val="22"/>
          <w:szCs w:val="22"/>
          <w:lang w:val="fr-CA"/>
        </w:rPr>
        <w:t>ont convenu que les personnes embauchées sont aptes à faire le travail, comparativement à 67,6 % dans les organisations de taille semblable et à 53,8 % dans la fonction publique fédérale.</w:t>
      </w:r>
    </w:p>
    <w:p w14:paraId="3D441147" w14:textId="77777777" w:rsidR="00862C57" w:rsidRPr="00193822" w:rsidRDefault="00862C57" w:rsidP="00D60C4D">
      <w:pPr>
        <w:pStyle w:val="Paragraphedeliste"/>
        <w:numPr>
          <w:ilvl w:val="0"/>
          <w:numId w:val="6"/>
        </w:numPr>
        <w:spacing w:after="0"/>
        <w:contextualSpacing w:val="0"/>
        <w:rPr>
          <w:rFonts w:asciiTheme="minorHAnsi" w:hAnsiTheme="minorHAnsi" w:cstheme="minorHAnsi"/>
          <w:sz w:val="22"/>
          <w:szCs w:val="22"/>
          <w:lang w:val="fr-CA"/>
        </w:rPr>
      </w:pPr>
      <w:r w:rsidRPr="00193822">
        <w:rPr>
          <w:rFonts w:asciiTheme="minorHAnsi" w:hAnsiTheme="minorHAnsi" w:cstheme="minorHAnsi"/>
          <w:sz w:val="22"/>
          <w:szCs w:val="22"/>
          <w:lang w:val="fr-CA"/>
        </w:rPr>
        <w:t xml:space="preserve">65,9 % des </w:t>
      </w:r>
      <w:r w:rsidRPr="00193822">
        <w:rPr>
          <w:rStyle w:val="lev"/>
          <w:lang w:val="fr-CA"/>
        </w:rPr>
        <w:t>gestionnaires</w:t>
      </w:r>
      <w:r w:rsidRPr="00193822">
        <w:rPr>
          <w:rFonts w:asciiTheme="minorHAnsi" w:hAnsiTheme="minorHAnsi" w:cstheme="minorHAnsi"/>
          <w:b/>
          <w:sz w:val="22"/>
          <w:szCs w:val="22"/>
          <w:lang w:val="fr-CA"/>
        </w:rPr>
        <w:t xml:space="preserve"> </w:t>
      </w:r>
      <w:r w:rsidRPr="00193822">
        <w:rPr>
          <w:rFonts w:asciiTheme="minorHAnsi" w:hAnsiTheme="minorHAnsi" w:cstheme="minorHAnsi"/>
          <w:sz w:val="22"/>
          <w:szCs w:val="22"/>
          <w:lang w:val="fr-CA"/>
        </w:rPr>
        <w:t>ont convenu que la NOD a amélioré la façon dont ils embauchent et nomment des personnes au sein de leur organisation, comparativement à 69,4 % dans les organisations de taille semblable et à 56,1 % dans la fonction publique fédérale.</w:t>
      </w:r>
    </w:p>
    <w:p w14:paraId="7757B006" w14:textId="77777777" w:rsidR="00862C57" w:rsidRPr="00193822" w:rsidRDefault="00862C57" w:rsidP="00D60C4D">
      <w:pPr>
        <w:pStyle w:val="Paragraphedeliste"/>
        <w:numPr>
          <w:ilvl w:val="0"/>
          <w:numId w:val="6"/>
        </w:numPr>
        <w:spacing w:after="0"/>
        <w:contextualSpacing w:val="0"/>
        <w:rPr>
          <w:rFonts w:asciiTheme="minorHAnsi" w:hAnsiTheme="minorHAnsi" w:cstheme="minorHAnsi"/>
          <w:sz w:val="22"/>
          <w:szCs w:val="22"/>
          <w:lang w:val="fr-CA"/>
        </w:rPr>
      </w:pPr>
      <w:r w:rsidRPr="00193822">
        <w:rPr>
          <w:rFonts w:asciiTheme="minorHAnsi" w:hAnsiTheme="minorHAnsi" w:cstheme="minorHAnsi"/>
          <w:sz w:val="22"/>
          <w:szCs w:val="22"/>
          <w:lang w:val="fr-CA"/>
        </w:rPr>
        <w:t xml:space="preserve">85,3 % des </w:t>
      </w:r>
      <w:r w:rsidRPr="00193822">
        <w:rPr>
          <w:rStyle w:val="lev"/>
          <w:lang w:val="fr-CA"/>
        </w:rPr>
        <w:t>gestionnaires</w:t>
      </w:r>
      <w:r w:rsidRPr="00193822">
        <w:rPr>
          <w:rFonts w:asciiTheme="minorHAnsi" w:hAnsiTheme="minorHAnsi" w:cstheme="minorHAnsi"/>
          <w:b/>
          <w:sz w:val="22"/>
          <w:szCs w:val="22"/>
          <w:lang w:val="fr-CA"/>
        </w:rPr>
        <w:t xml:space="preserve"> </w:t>
      </w:r>
      <w:r w:rsidRPr="00193822">
        <w:rPr>
          <w:rFonts w:asciiTheme="minorHAnsi" w:hAnsiTheme="minorHAnsi" w:cstheme="minorHAnsi"/>
          <w:sz w:val="22"/>
          <w:szCs w:val="22"/>
          <w:lang w:val="fr-CA"/>
        </w:rPr>
        <w:t>ont convenu que, dans leur organisation, le processus administratif de dotation est lourd, comparativement à 84 % dans les organisations de taille semblable et à 87,9 % dans la fonction publique fédérale.</w:t>
      </w:r>
    </w:p>
    <w:p w14:paraId="1876296C" w14:textId="77777777" w:rsidR="00D60C4D" w:rsidRPr="00193822" w:rsidRDefault="00D60C4D" w:rsidP="00D60C4D">
      <w:pPr>
        <w:pStyle w:val="Titre2"/>
        <w:spacing w:before="240" w:after="240"/>
        <w:rPr>
          <w:rFonts w:asciiTheme="majorHAnsi" w:hAnsiTheme="majorHAnsi" w:cstheme="majorBidi"/>
          <w:b w:val="0"/>
          <w:color w:val="auto"/>
          <w:sz w:val="48"/>
          <w:szCs w:val="48"/>
          <w:lang w:val="fr-CA"/>
        </w:rPr>
        <w:sectPr w:rsidR="00D60C4D" w:rsidRPr="00193822" w:rsidSect="003F6509">
          <w:pgSz w:w="12240" w:h="15840"/>
          <w:pgMar w:top="1440" w:right="1080" w:bottom="1440" w:left="1080" w:header="708" w:footer="708" w:gutter="0"/>
          <w:cols w:space="708"/>
          <w:titlePg/>
          <w:docGrid w:linePitch="360"/>
        </w:sectPr>
      </w:pPr>
    </w:p>
    <w:p w14:paraId="3F4EE859" w14:textId="38F13474" w:rsidR="00862C57" w:rsidRPr="00193822" w:rsidRDefault="00862C57" w:rsidP="00954825">
      <w:pPr>
        <w:pStyle w:val="Titre1"/>
        <w:spacing w:after="240"/>
        <w:rPr>
          <w:b/>
          <w:lang w:val="fr-CA"/>
        </w:rPr>
      </w:pPr>
      <w:r w:rsidRPr="00193822">
        <w:rPr>
          <w:lang w:val="fr-CA"/>
        </w:rPr>
        <w:lastRenderedPageBreak/>
        <w:t xml:space="preserve">Profil de </w:t>
      </w:r>
      <w:r w:rsidR="005413A9" w:rsidRPr="00193822">
        <w:rPr>
          <w:lang w:val="fr-CA"/>
        </w:rPr>
        <w:t>la diversité</w:t>
      </w:r>
    </w:p>
    <w:p w14:paraId="271E8A3D" w14:textId="30472DAC" w:rsidR="008C52C5" w:rsidRPr="00193822" w:rsidRDefault="008C52C5" w:rsidP="008C52C5">
      <w:pPr>
        <w:pStyle w:val="Titre2"/>
        <w:spacing w:after="120"/>
        <w:rPr>
          <w:lang w:val="fr-CA"/>
        </w:rPr>
      </w:pPr>
      <w:r w:rsidRPr="00193822">
        <w:rPr>
          <w:lang w:val="fr-CA"/>
        </w:rPr>
        <w:t>Équité en matière d’emploi (EE)</w:t>
      </w:r>
    </w:p>
    <w:p w14:paraId="639A112C" w14:textId="7E581DB2" w:rsidR="00862C57" w:rsidRPr="00193822" w:rsidRDefault="00862C57" w:rsidP="00D60C4D">
      <w:pPr>
        <w:pStyle w:val="Sansinterligne"/>
        <w:spacing w:after="120"/>
        <w:rPr>
          <w:rFonts w:asciiTheme="minorHAnsi" w:hAnsiTheme="minorHAnsi" w:cstheme="minorHAnsi"/>
          <w:sz w:val="22"/>
          <w:szCs w:val="22"/>
          <w:lang w:val="fr-CA" w:eastAsia="en-CA"/>
        </w:rPr>
      </w:pPr>
      <w:r w:rsidRPr="00193822">
        <w:rPr>
          <w:rFonts w:asciiTheme="minorHAnsi" w:hAnsiTheme="minorHAnsi" w:cstheme="minorHAnsi"/>
          <w:sz w:val="22"/>
          <w:szCs w:val="22"/>
          <w:lang w:val="fr-CA" w:eastAsia="en-CA"/>
        </w:rPr>
        <w:t>Les estimations relatives à la disponibilité au sein de la population active (DPA) dans la fonction publique pour 2019 ont été mises à jour dans le Profil de l’effectif, mais les nouvelles estimations pour les organisations ne seront publiées qu’au cours du prochain mois. D’après les données de 2017-2018, BAC embauche au-delà de la disponibilité des femmes au sein de la population active, et affiche également un bon taux de représentation des peuples autochtones et des personnes handicapées. Toutefois, l’organisation embauche en deçà de la disponibilité des membres des minorités visibles au sein de la population active. Ces résultats seront révisés lorsque de nouvelle</w:t>
      </w:r>
      <w:r w:rsidR="00661A5C" w:rsidRPr="00193822">
        <w:rPr>
          <w:rFonts w:asciiTheme="minorHAnsi" w:hAnsiTheme="minorHAnsi" w:cstheme="minorHAnsi"/>
          <w:sz w:val="22"/>
          <w:szCs w:val="22"/>
          <w:lang w:val="fr-CA" w:eastAsia="en-CA"/>
        </w:rPr>
        <w:t xml:space="preserve">s estimations seront publiées. </w:t>
      </w:r>
    </w:p>
    <w:p w14:paraId="47E89970" w14:textId="11305F79" w:rsidR="00D60C4D" w:rsidRPr="00193822" w:rsidRDefault="00D60C4D" w:rsidP="00D60C4D">
      <w:pPr>
        <w:pStyle w:val="Lgende"/>
        <w:keepNext/>
        <w:rPr>
          <w:lang w:val="fr-CA"/>
        </w:rPr>
      </w:pPr>
      <w:r w:rsidRPr="00193822">
        <w:rPr>
          <w:lang w:val="fr-CA"/>
        </w:rPr>
        <w:t xml:space="preserve">Tableau </w:t>
      </w:r>
      <w:r w:rsidRPr="00193822">
        <w:rPr>
          <w:lang w:val="fr-CA"/>
        </w:rPr>
        <w:fldChar w:fldCharType="begin"/>
      </w:r>
      <w:r w:rsidRPr="00193822">
        <w:rPr>
          <w:lang w:val="fr-CA"/>
        </w:rPr>
        <w:instrText xml:space="preserve"> SEQ Tableau \* ARABIC </w:instrText>
      </w:r>
      <w:r w:rsidRPr="00193822">
        <w:rPr>
          <w:lang w:val="fr-CA"/>
        </w:rPr>
        <w:fldChar w:fldCharType="separate"/>
      </w:r>
      <w:r w:rsidR="00211837" w:rsidRPr="00193822">
        <w:rPr>
          <w:noProof/>
          <w:lang w:val="fr-CA"/>
        </w:rPr>
        <w:t>2</w:t>
      </w:r>
      <w:r w:rsidRPr="00193822">
        <w:rPr>
          <w:lang w:val="fr-CA"/>
        </w:rPr>
        <w:fldChar w:fldCharType="end"/>
      </w:r>
      <w:r w:rsidRPr="00193822">
        <w:rPr>
          <w:lang w:val="fr-CA"/>
        </w:rPr>
        <w:t xml:space="preserve"> - Équité en matière d'emploi</w:t>
      </w:r>
    </w:p>
    <w:tbl>
      <w:tblPr>
        <w:tblStyle w:val="Grilledutableau"/>
        <w:tblW w:w="0" w:type="auto"/>
        <w:jc w:val="center"/>
        <w:tblLook w:val="04A0" w:firstRow="1" w:lastRow="0" w:firstColumn="1" w:lastColumn="0" w:noHBand="0" w:noVBand="1"/>
        <w:tblDescription w:val="Équité en matière d'emploi"/>
      </w:tblPr>
      <w:tblGrid>
        <w:gridCol w:w="1613"/>
        <w:gridCol w:w="2022"/>
        <w:gridCol w:w="1729"/>
        <w:gridCol w:w="2367"/>
        <w:gridCol w:w="2339"/>
      </w:tblGrid>
      <w:tr w:rsidR="003F6509" w:rsidRPr="00A336D2" w14:paraId="46B7B173" w14:textId="77777777" w:rsidTr="00D60C4D">
        <w:trPr>
          <w:cantSplit/>
          <w:trHeight w:val="759"/>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54575A" w:themeFill="text1"/>
            <w:vAlign w:val="center"/>
            <w:hideMark/>
          </w:tcPr>
          <w:p w14:paraId="39C7AE59" w14:textId="77777777" w:rsidR="00D60C4D" w:rsidRPr="00193822" w:rsidRDefault="00D60C4D" w:rsidP="00D60C4D">
            <w:pPr>
              <w:pStyle w:val="TableTitle"/>
              <w:rPr>
                <w:color w:val="FFFFFF" w:themeColor="background1"/>
                <w:lang w:val="fr-CA"/>
              </w:rPr>
            </w:pPr>
            <w:r w:rsidRPr="00193822">
              <w:rPr>
                <w:color w:val="FFFFFF" w:themeColor="background1"/>
                <w:lang w:val="fr-CA"/>
              </w:rPr>
              <w:t>Groupe désigné</w:t>
            </w:r>
          </w:p>
        </w:tc>
        <w:tc>
          <w:tcPr>
            <w:tcW w:w="0" w:type="auto"/>
            <w:tcBorders>
              <w:top w:val="single" w:sz="4" w:space="0" w:color="auto"/>
              <w:left w:val="single" w:sz="4" w:space="0" w:color="auto"/>
              <w:bottom w:val="single" w:sz="4" w:space="0" w:color="auto"/>
              <w:right w:val="single" w:sz="4" w:space="0" w:color="auto"/>
            </w:tcBorders>
            <w:shd w:val="clear" w:color="auto" w:fill="54575A" w:themeFill="text1"/>
            <w:vAlign w:val="center"/>
          </w:tcPr>
          <w:p w14:paraId="3C785A2F" w14:textId="77777777" w:rsidR="00D60C4D" w:rsidRPr="00193822" w:rsidRDefault="00D60C4D" w:rsidP="00D60C4D">
            <w:pPr>
              <w:pStyle w:val="TableTitle"/>
              <w:rPr>
                <w:color w:val="FFFFFF" w:themeColor="background1"/>
                <w:lang w:val="fr-CA"/>
              </w:rPr>
            </w:pPr>
            <w:r w:rsidRPr="00193822">
              <w:rPr>
                <w:color w:val="FFFFFF" w:themeColor="background1"/>
                <w:lang w:val="fr-CA"/>
              </w:rPr>
              <w:t>Disponibilité au sein de la population active (DPA) – 2018</w:t>
            </w:r>
          </w:p>
        </w:tc>
        <w:tc>
          <w:tcPr>
            <w:tcW w:w="0" w:type="auto"/>
            <w:tcBorders>
              <w:top w:val="single" w:sz="4" w:space="0" w:color="auto"/>
              <w:left w:val="single" w:sz="4" w:space="0" w:color="auto"/>
              <w:right w:val="single" w:sz="4" w:space="0" w:color="auto"/>
            </w:tcBorders>
            <w:shd w:val="clear" w:color="auto" w:fill="BF3C00"/>
            <w:vAlign w:val="center"/>
            <w:hideMark/>
          </w:tcPr>
          <w:p w14:paraId="70288C59" w14:textId="77777777" w:rsidR="00D60C4D" w:rsidRPr="00193822" w:rsidRDefault="00D60C4D" w:rsidP="00D60C4D">
            <w:pPr>
              <w:pStyle w:val="TableTitle"/>
              <w:rPr>
                <w:color w:val="FFFFFF" w:themeColor="background1"/>
                <w:lang w:val="fr-CA"/>
              </w:rPr>
            </w:pPr>
            <w:r w:rsidRPr="00193822">
              <w:rPr>
                <w:color w:val="FFFFFF" w:themeColor="background1"/>
                <w:lang w:val="fr-CA"/>
              </w:rPr>
              <w:t>Bibliothèque et Archives Canada</w:t>
            </w:r>
          </w:p>
        </w:tc>
        <w:tc>
          <w:tcPr>
            <w:tcW w:w="0" w:type="auto"/>
            <w:tcBorders>
              <w:top w:val="single" w:sz="4" w:space="0" w:color="auto"/>
              <w:left w:val="single" w:sz="4" w:space="0" w:color="auto"/>
              <w:bottom w:val="single" w:sz="4" w:space="0" w:color="auto"/>
              <w:right w:val="single" w:sz="4" w:space="0" w:color="auto"/>
            </w:tcBorders>
            <w:shd w:val="clear" w:color="auto" w:fill="54575A" w:themeFill="text1"/>
            <w:hideMark/>
          </w:tcPr>
          <w:p w14:paraId="5E9D12EA" w14:textId="77777777" w:rsidR="00D60C4D" w:rsidRPr="00193822" w:rsidRDefault="00D60C4D" w:rsidP="00D60C4D">
            <w:pPr>
              <w:pStyle w:val="TableTitle"/>
              <w:rPr>
                <w:color w:val="FFFFFF" w:themeColor="background1"/>
                <w:lang w:val="fr-CA"/>
              </w:rPr>
            </w:pPr>
            <w:r w:rsidRPr="00193822">
              <w:rPr>
                <w:color w:val="FFFFFF" w:themeColor="background1"/>
                <w:lang w:val="fr-CA"/>
              </w:rPr>
              <w:t>Représentation dans l’ensemble de la fonction publique du Canada</w:t>
            </w:r>
          </w:p>
        </w:tc>
        <w:tc>
          <w:tcPr>
            <w:tcW w:w="0" w:type="auto"/>
            <w:tcBorders>
              <w:top w:val="single" w:sz="4" w:space="0" w:color="auto"/>
              <w:left w:val="single" w:sz="4" w:space="0" w:color="auto"/>
              <w:bottom w:val="single" w:sz="4" w:space="0" w:color="auto"/>
              <w:right w:val="single" w:sz="4" w:space="0" w:color="auto"/>
            </w:tcBorders>
            <w:shd w:val="clear" w:color="auto" w:fill="54575A" w:themeFill="text1"/>
            <w:vAlign w:val="center"/>
          </w:tcPr>
          <w:p w14:paraId="4AEB7A17" w14:textId="77777777" w:rsidR="00D60C4D" w:rsidRPr="00193822" w:rsidRDefault="00D60C4D" w:rsidP="00D60C4D">
            <w:pPr>
              <w:pStyle w:val="TableTitle"/>
              <w:rPr>
                <w:color w:val="FFFFFF" w:themeColor="background1"/>
                <w:lang w:val="fr-CA"/>
              </w:rPr>
            </w:pPr>
            <w:r w:rsidRPr="00193822">
              <w:rPr>
                <w:color w:val="FFFFFF" w:themeColor="background1"/>
                <w:lang w:val="fr-CA"/>
              </w:rPr>
              <w:t>Disponibilité au sein de la population active (DPA) dans la fonction publique (2019)</w:t>
            </w:r>
          </w:p>
        </w:tc>
      </w:tr>
      <w:tr w:rsidR="00D60C4D" w:rsidRPr="00193822" w14:paraId="5C1902E6" w14:textId="77777777" w:rsidTr="00D60C4D">
        <w:trPr>
          <w:cantSplit/>
          <w:tblHeader/>
          <w:jc w:val="center"/>
        </w:trPr>
        <w:tc>
          <w:tcPr>
            <w:tcW w:w="0" w:type="auto"/>
            <w:tcBorders>
              <w:top w:val="single" w:sz="4" w:space="0" w:color="auto"/>
              <w:left w:val="single" w:sz="4" w:space="0" w:color="auto"/>
              <w:bottom w:val="single" w:sz="4" w:space="0" w:color="auto"/>
              <w:right w:val="single" w:sz="4" w:space="0" w:color="auto"/>
            </w:tcBorders>
            <w:hideMark/>
          </w:tcPr>
          <w:p w14:paraId="101F749A" w14:textId="77777777" w:rsidR="00D60C4D" w:rsidRPr="00193822" w:rsidRDefault="00D60C4D" w:rsidP="00D60C4D">
            <w:pPr>
              <w:rPr>
                <w:rFonts w:asciiTheme="minorHAnsi" w:hAnsiTheme="minorHAnsi" w:cstheme="minorHAnsi"/>
                <w:sz w:val="22"/>
                <w:szCs w:val="22"/>
                <w:lang w:val="fr-CA"/>
              </w:rPr>
            </w:pPr>
            <w:r w:rsidRPr="00193822">
              <w:rPr>
                <w:rFonts w:asciiTheme="minorHAnsi" w:hAnsiTheme="minorHAnsi" w:cstheme="minorHAnsi"/>
                <w:sz w:val="22"/>
                <w:szCs w:val="22"/>
                <w:lang w:val="fr-CA"/>
              </w:rPr>
              <w:t>Femmes</w:t>
            </w:r>
          </w:p>
        </w:tc>
        <w:tc>
          <w:tcPr>
            <w:tcW w:w="0" w:type="auto"/>
            <w:tcBorders>
              <w:top w:val="single" w:sz="4" w:space="0" w:color="auto"/>
              <w:left w:val="single" w:sz="4" w:space="0" w:color="auto"/>
              <w:bottom w:val="single" w:sz="4" w:space="0" w:color="auto"/>
              <w:right w:val="single" w:sz="4" w:space="0" w:color="auto"/>
            </w:tcBorders>
            <w:vAlign w:val="center"/>
          </w:tcPr>
          <w:p w14:paraId="21C8FA09" w14:textId="77777777" w:rsidR="00D60C4D" w:rsidRPr="00193822" w:rsidRDefault="00D60C4D" w:rsidP="00D60C4D">
            <w:pPr>
              <w:autoSpaceDE w:val="0"/>
              <w:autoSpaceDN w:val="0"/>
              <w:adjustRightInd w:val="0"/>
              <w:jc w:val="center"/>
              <w:rPr>
                <w:rFonts w:asciiTheme="minorHAnsi" w:hAnsiTheme="minorHAnsi" w:cstheme="minorHAnsi"/>
                <w:sz w:val="22"/>
                <w:szCs w:val="22"/>
                <w:lang w:val="fr-CA"/>
              </w:rPr>
            </w:pPr>
            <w:r w:rsidRPr="00193822">
              <w:rPr>
                <w:rFonts w:asciiTheme="minorHAnsi" w:hAnsiTheme="minorHAnsi" w:cstheme="minorHAnsi"/>
                <w:sz w:val="22"/>
                <w:szCs w:val="22"/>
                <w:lang w:val="fr-CA"/>
              </w:rPr>
              <w:t>52.5%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62CE6B0" w14:textId="77777777" w:rsidR="00D60C4D" w:rsidRPr="00193822" w:rsidRDefault="00D60C4D" w:rsidP="00D60C4D">
            <w:pPr>
              <w:jc w:val="center"/>
              <w:rPr>
                <w:rFonts w:asciiTheme="minorHAnsi" w:hAnsiTheme="minorHAnsi" w:cstheme="minorHAnsi"/>
                <w:sz w:val="22"/>
                <w:szCs w:val="22"/>
                <w:lang w:val="fr-CA"/>
              </w:rPr>
            </w:pPr>
            <w:r w:rsidRPr="00193822">
              <w:rPr>
                <w:rFonts w:asciiTheme="minorHAnsi" w:hAnsiTheme="minorHAnsi" w:cstheme="minorHAnsi"/>
                <w:sz w:val="22"/>
                <w:szCs w:val="22"/>
                <w:lang w:val="fr-CA"/>
              </w:rPr>
              <w:t>62,0 %</w:t>
            </w:r>
          </w:p>
        </w:tc>
        <w:tc>
          <w:tcPr>
            <w:tcW w:w="0" w:type="auto"/>
            <w:tcBorders>
              <w:top w:val="single" w:sz="4" w:space="0" w:color="auto"/>
              <w:left w:val="single" w:sz="4" w:space="0" w:color="auto"/>
              <w:bottom w:val="single" w:sz="4" w:space="0" w:color="auto"/>
              <w:right w:val="single" w:sz="4" w:space="0" w:color="auto"/>
            </w:tcBorders>
            <w:hideMark/>
          </w:tcPr>
          <w:p w14:paraId="739AC959" w14:textId="77777777" w:rsidR="00D60C4D" w:rsidRPr="00193822" w:rsidRDefault="00D60C4D" w:rsidP="00D60C4D">
            <w:pPr>
              <w:autoSpaceDE w:val="0"/>
              <w:autoSpaceDN w:val="0"/>
              <w:adjustRightInd w:val="0"/>
              <w:jc w:val="center"/>
              <w:rPr>
                <w:rFonts w:asciiTheme="minorHAnsi" w:hAnsiTheme="minorHAnsi" w:cstheme="minorHAnsi"/>
                <w:sz w:val="22"/>
                <w:szCs w:val="22"/>
                <w:lang w:val="fr-CA"/>
              </w:rPr>
            </w:pPr>
            <w:r w:rsidRPr="00193822">
              <w:rPr>
                <w:rFonts w:asciiTheme="minorHAnsi" w:hAnsiTheme="minorHAnsi" w:cstheme="minorHAnsi"/>
                <w:sz w:val="22"/>
                <w:szCs w:val="22"/>
                <w:lang w:val="fr-CA"/>
              </w:rPr>
              <w:t>54,8%</w:t>
            </w:r>
          </w:p>
        </w:tc>
        <w:tc>
          <w:tcPr>
            <w:tcW w:w="0" w:type="auto"/>
            <w:tcBorders>
              <w:top w:val="single" w:sz="4" w:space="0" w:color="auto"/>
              <w:left w:val="single" w:sz="4" w:space="0" w:color="auto"/>
              <w:bottom w:val="single" w:sz="4" w:space="0" w:color="auto"/>
              <w:right w:val="single" w:sz="4" w:space="0" w:color="auto"/>
            </w:tcBorders>
            <w:vAlign w:val="center"/>
          </w:tcPr>
          <w:p w14:paraId="142B4C41" w14:textId="77777777" w:rsidR="00D60C4D" w:rsidRPr="00193822" w:rsidRDefault="00D60C4D" w:rsidP="00D60C4D">
            <w:pPr>
              <w:jc w:val="center"/>
              <w:rPr>
                <w:rFonts w:asciiTheme="minorHAnsi" w:hAnsiTheme="minorHAnsi" w:cstheme="minorHAnsi"/>
                <w:sz w:val="22"/>
                <w:szCs w:val="22"/>
                <w:lang w:val="fr-CA"/>
              </w:rPr>
            </w:pPr>
            <w:r w:rsidRPr="00193822">
              <w:rPr>
                <w:rFonts w:asciiTheme="minorHAnsi" w:hAnsiTheme="minorHAnsi" w:cstheme="minorHAnsi"/>
                <w:sz w:val="22"/>
                <w:szCs w:val="22"/>
                <w:lang w:val="fr-CA"/>
              </w:rPr>
              <w:t>52,5%</w:t>
            </w:r>
          </w:p>
        </w:tc>
      </w:tr>
      <w:tr w:rsidR="00D60C4D" w:rsidRPr="00193822" w14:paraId="42D4EA7C" w14:textId="77777777" w:rsidTr="00D60C4D">
        <w:trPr>
          <w:cantSplit/>
          <w:tblHeader/>
          <w:jc w:val="center"/>
        </w:trPr>
        <w:tc>
          <w:tcPr>
            <w:tcW w:w="0" w:type="auto"/>
            <w:tcBorders>
              <w:top w:val="single" w:sz="4" w:space="0" w:color="auto"/>
              <w:left w:val="single" w:sz="4" w:space="0" w:color="auto"/>
              <w:bottom w:val="single" w:sz="4" w:space="0" w:color="auto"/>
              <w:right w:val="single" w:sz="4" w:space="0" w:color="auto"/>
            </w:tcBorders>
            <w:hideMark/>
          </w:tcPr>
          <w:p w14:paraId="46910E9E" w14:textId="77777777" w:rsidR="00D60C4D" w:rsidRPr="00193822" w:rsidRDefault="00D60C4D" w:rsidP="00D60C4D">
            <w:pPr>
              <w:rPr>
                <w:rFonts w:asciiTheme="minorHAnsi" w:hAnsiTheme="minorHAnsi" w:cstheme="minorHAnsi"/>
                <w:sz w:val="22"/>
                <w:szCs w:val="22"/>
                <w:lang w:val="fr-CA"/>
              </w:rPr>
            </w:pPr>
            <w:r w:rsidRPr="00193822">
              <w:rPr>
                <w:rFonts w:asciiTheme="minorHAnsi" w:hAnsiTheme="minorHAnsi" w:cstheme="minorHAnsi"/>
                <w:sz w:val="22"/>
                <w:szCs w:val="22"/>
                <w:lang w:val="fr-CA"/>
              </w:rPr>
              <w:t>Peuples autochtones</w:t>
            </w:r>
          </w:p>
        </w:tc>
        <w:tc>
          <w:tcPr>
            <w:tcW w:w="0" w:type="auto"/>
            <w:tcBorders>
              <w:top w:val="single" w:sz="4" w:space="0" w:color="auto"/>
              <w:left w:val="single" w:sz="4" w:space="0" w:color="auto"/>
              <w:bottom w:val="single" w:sz="4" w:space="0" w:color="auto"/>
              <w:right w:val="single" w:sz="4" w:space="0" w:color="auto"/>
            </w:tcBorders>
            <w:vAlign w:val="center"/>
          </w:tcPr>
          <w:p w14:paraId="45EA8DCD" w14:textId="77777777" w:rsidR="00D60C4D" w:rsidRPr="00193822" w:rsidRDefault="00D60C4D" w:rsidP="00D60C4D">
            <w:pPr>
              <w:autoSpaceDE w:val="0"/>
              <w:autoSpaceDN w:val="0"/>
              <w:adjustRightInd w:val="0"/>
              <w:jc w:val="center"/>
              <w:rPr>
                <w:rFonts w:asciiTheme="minorHAnsi" w:hAnsiTheme="minorHAnsi" w:cstheme="minorHAnsi"/>
                <w:sz w:val="22"/>
                <w:szCs w:val="22"/>
                <w:lang w:val="fr-CA"/>
              </w:rPr>
            </w:pPr>
            <w:r w:rsidRPr="00193822">
              <w:rPr>
                <w:rFonts w:asciiTheme="minorHAnsi" w:hAnsiTheme="minorHAnsi" w:cstheme="minorHAnsi"/>
                <w:sz w:val="22"/>
                <w:szCs w:val="22"/>
                <w:lang w:val="fr-CA"/>
              </w:rPr>
              <w:t>3.4%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4ED979" w14:textId="77777777" w:rsidR="00D60C4D" w:rsidRPr="00193822" w:rsidRDefault="00D60C4D" w:rsidP="00D60C4D">
            <w:pPr>
              <w:jc w:val="center"/>
              <w:rPr>
                <w:rFonts w:asciiTheme="minorHAnsi" w:hAnsiTheme="minorHAnsi" w:cstheme="minorHAnsi"/>
                <w:sz w:val="22"/>
                <w:szCs w:val="22"/>
                <w:lang w:val="fr-CA"/>
              </w:rPr>
            </w:pPr>
            <w:r w:rsidRPr="00193822">
              <w:rPr>
                <w:rFonts w:asciiTheme="minorHAnsi" w:hAnsiTheme="minorHAnsi" w:cstheme="minorHAnsi"/>
                <w:sz w:val="22"/>
                <w:szCs w:val="22"/>
                <w:lang w:val="fr-CA"/>
              </w:rPr>
              <w:t>3,9%</w:t>
            </w:r>
          </w:p>
        </w:tc>
        <w:tc>
          <w:tcPr>
            <w:tcW w:w="0" w:type="auto"/>
            <w:tcBorders>
              <w:top w:val="single" w:sz="4" w:space="0" w:color="auto"/>
              <w:left w:val="single" w:sz="4" w:space="0" w:color="auto"/>
              <w:bottom w:val="single" w:sz="4" w:space="0" w:color="auto"/>
              <w:right w:val="single" w:sz="4" w:space="0" w:color="auto"/>
            </w:tcBorders>
            <w:hideMark/>
          </w:tcPr>
          <w:p w14:paraId="35F9D54B" w14:textId="77777777" w:rsidR="00D60C4D" w:rsidRPr="00193822" w:rsidRDefault="00D60C4D" w:rsidP="00D60C4D">
            <w:pPr>
              <w:autoSpaceDE w:val="0"/>
              <w:autoSpaceDN w:val="0"/>
              <w:adjustRightInd w:val="0"/>
              <w:jc w:val="center"/>
              <w:rPr>
                <w:rFonts w:asciiTheme="minorHAnsi" w:hAnsiTheme="minorHAnsi" w:cstheme="minorHAnsi"/>
                <w:sz w:val="22"/>
                <w:szCs w:val="22"/>
                <w:lang w:val="fr-CA"/>
              </w:rPr>
            </w:pPr>
            <w:r w:rsidRPr="00193822">
              <w:rPr>
                <w:rFonts w:asciiTheme="minorHAnsi" w:hAnsiTheme="minorHAnsi" w:cstheme="minorHAnsi"/>
                <w:sz w:val="22"/>
                <w:szCs w:val="22"/>
                <w:lang w:val="fr-CA"/>
              </w:rPr>
              <w:t>5,1%</w:t>
            </w:r>
          </w:p>
        </w:tc>
        <w:tc>
          <w:tcPr>
            <w:tcW w:w="0" w:type="auto"/>
            <w:tcBorders>
              <w:top w:val="single" w:sz="4" w:space="0" w:color="auto"/>
              <w:left w:val="single" w:sz="4" w:space="0" w:color="auto"/>
              <w:bottom w:val="single" w:sz="4" w:space="0" w:color="auto"/>
              <w:right w:val="single" w:sz="4" w:space="0" w:color="auto"/>
            </w:tcBorders>
            <w:vAlign w:val="center"/>
          </w:tcPr>
          <w:p w14:paraId="4C786C05" w14:textId="77777777" w:rsidR="00D60C4D" w:rsidRPr="00193822" w:rsidRDefault="00D60C4D" w:rsidP="00D60C4D">
            <w:pPr>
              <w:jc w:val="center"/>
              <w:rPr>
                <w:rFonts w:asciiTheme="minorHAnsi" w:hAnsiTheme="minorHAnsi" w:cstheme="minorHAnsi"/>
                <w:sz w:val="22"/>
                <w:szCs w:val="22"/>
                <w:lang w:val="fr-CA"/>
              </w:rPr>
            </w:pPr>
            <w:r w:rsidRPr="00193822">
              <w:rPr>
                <w:rFonts w:asciiTheme="minorHAnsi" w:hAnsiTheme="minorHAnsi" w:cstheme="minorHAnsi"/>
                <w:sz w:val="22"/>
                <w:szCs w:val="22"/>
                <w:lang w:val="fr-CA"/>
              </w:rPr>
              <w:t>4%</w:t>
            </w:r>
          </w:p>
        </w:tc>
      </w:tr>
      <w:tr w:rsidR="00D60C4D" w:rsidRPr="00193822" w14:paraId="2C572089" w14:textId="77777777" w:rsidTr="00D60C4D">
        <w:trPr>
          <w:cantSplit/>
          <w:trHeight w:val="341"/>
          <w:tblHeader/>
          <w:jc w:val="center"/>
        </w:trPr>
        <w:tc>
          <w:tcPr>
            <w:tcW w:w="0" w:type="auto"/>
            <w:tcBorders>
              <w:top w:val="single" w:sz="4" w:space="0" w:color="auto"/>
              <w:left w:val="single" w:sz="4" w:space="0" w:color="auto"/>
              <w:bottom w:val="single" w:sz="4" w:space="0" w:color="auto"/>
              <w:right w:val="single" w:sz="4" w:space="0" w:color="auto"/>
            </w:tcBorders>
            <w:hideMark/>
          </w:tcPr>
          <w:p w14:paraId="7D347BBF" w14:textId="77777777" w:rsidR="00D60C4D" w:rsidRPr="00193822" w:rsidRDefault="00D60C4D" w:rsidP="00D60C4D">
            <w:pPr>
              <w:rPr>
                <w:rFonts w:asciiTheme="minorHAnsi" w:hAnsiTheme="minorHAnsi" w:cstheme="minorHAnsi"/>
                <w:sz w:val="22"/>
                <w:szCs w:val="22"/>
                <w:lang w:val="fr-CA"/>
              </w:rPr>
            </w:pPr>
            <w:r w:rsidRPr="00193822">
              <w:rPr>
                <w:rFonts w:asciiTheme="minorHAnsi" w:hAnsiTheme="minorHAnsi" w:cstheme="minorHAnsi"/>
                <w:sz w:val="22"/>
                <w:szCs w:val="22"/>
                <w:lang w:val="fr-CA"/>
              </w:rPr>
              <w:t>Personnes handicapées</w:t>
            </w:r>
          </w:p>
        </w:tc>
        <w:tc>
          <w:tcPr>
            <w:tcW w:w="0" w:type="auto"/>
            <w:tcBorders>
              <w:top w:val="single" w:sz="4" w:space="0" w:color="auto"/>
              <w:left w:val="single" w:sz="4" w:space="0" w:color="auto"/>
              <w:bottom w:val="single" w:sz="4" w:space="0" w:color="auto"/>
              <w:right w:val="single" w:sz="4" w:space="0" w:color="auto"/>
            </w:tcBorders>
            <w:vAlign w:val="center"/>
          </w:tcPr>
          <w:p w14:paraId="617C5362" w14:textId="77777777" w:rsidR="00D60C4D" w:rsidRPr="00193822" w:rsidRDefault="00D60C4D" w:rsidP="00D60C4D">
            <w:pPr>
              <w:autoSpaceDE w:val="0"/>
              <w:autoSpaceDN w:val="0"/>
              <w:adjustRightInd w:val="0"/>
              <w:jc w:val="center"/>
              <w:rPr>
                <w:rFonts w:asciiTheme="minorHAnsi" w:hAnsiTheme="minorHAnsi" w:cstheme="minorHAnsi"/>
                <w:sz w:val="22"/>
                <w:szCs w:val="22"/>
                <w:lang w:val="fr-CA"/>
              </w:rPr>
            </w:pPr>
            <w:r w:rsidRPr="00193822">
              <w:rPr>
                <w:rFonts w:asciiTheme="minorHAnsi" w:hAnsiTheme="minorHAnsi" w:cstheme="minorHAnsi"/>
                <w:sz w:val="22"/>
                <w:szCs w:val="22"/>
                <w:lang w:val="fr-CA"/>
              </w:rPr>
              <w:t>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997C052" w14:textId="77777777" w:rsidR="00D60C4D" w:rsidRPr="00193822" w:rsidRDefault="00D60C4D" w:rsidP="00D60C4D">
            <w:pPr>
              <w:jc w:val="center"/>
              <w:rPr>
                <w:rFonts w:asciiTheme="minorHAnsi" w:hAnsiTheme="minorHAnsi" w:cstheme="minorHAnsi"/>
                <w:sz w:val="22"/>
                <w:szCs w:val="22"/>
                <w:lang w:val="fr-CA"/>
              </w:rPr>
            </w:pPr>
            <w:r w:rsidRPr="00193822">
              <w:rPr>
                <w:rFonts w:asciiTheme="minorHAnsi" w:hAnsiTheme="minorHAnsi" w:cstheme="minorHAnsi"/>
                <w:sz w:val="22"/>
                <w:szCs w:val="22"/>
                <w:lang w:val="fr-CA"/>
              </w:rPr>
              <w:t>4,5%</w:t>
            </w:r>
          </w:p>
        </w:tc>
        <w:tc>
          <w:tcPr>
            <w:tcW w:w="0" w:type="auto"/>
            <w:tcBorders>
              <w:top w:val="single" w:sz="4" w:space="0" w:color="auto"/>
              <w:left w:val="single" w:sz="4" w:space="0" w:color="auto"/>
              <w:bottom w:val="single" w:sz="4" w:space="0" w:color="auto"/>
              <w:right w:val="single" w:sz="4" w:space="0" w:color="auto"/>
            </w:tcBorders>
            <w:vAlign w:val="center"/>
            <w:hideMark/>
          </w:tcPr>
          <w:p w14:paraId="4DBA154E" w14:textId="77777777" w:rsidR="00D60C4D" w:rsidRPr="00193822" w:rsidRDefault="00D60C4D" w:rsidP="00D60C4D">
            <w:pPr>
              <w:autoSpaceDE w:val="0"/>
              <w:autoSpaceDN w:val="0"/>
              <w:adjustRightInd w:val="0"/>
              <w:jc w:val="center"/>
              <w:rPr>
                <w:rFonts w:asciiTheme="minorHAnsi" w:hAnsiTheme="minorHAnsi" w:cstheme="minorHAnsi"/>
                <w:sz w:val="22"/>
                <w:szCs w:val="22"/>
                <w:lang w:val="fr-CA"/>
              </w:rPr>
            </w:pPr>
            <w:r w:rsidRPr="00193822">
              <w:rPr>
                <w:rFonts w:asciiTheme="minorHAnsi" w:hAnsiTheme="minorHAnsi" w:cstheme="minorHAnsi"/>
                <w:sz w:val="22"/>
                <w:szCs w:val="22"/>
                <w:lang w:val="fr-CA"/>
              </w:rPr>
              <w:t>5,3%</w:t>
            </w:r>
          </w:p>
        </w:tc>
        <w:tc>
          <w:tcPr>
            <w:tcW w:w="0" w:type="auto"/>
            <w:tcBorders>
              <w:top w:val="single" w:sz="4" w:space="0" w:color="auto"/>
              <w:left w:val="single" w:sz="4" w:space="0" w:color="auto"/>
              <w:bottom w:val="single" w:sz="4" w:space="0" w:color="auto"/>
              <w:right w:val="single" w:sz="4" w:space="0" w:color="auto"/>
            </w:tcBorders>
            <w:vAlign w:val="center"/>
          </w:tcPr>
          <w:p w14:paraId="76D03390" w14:textId="77777777" w:rsidR="00D60C4D" w:rsidRPr="00193822" w:rsidRDefault="00D60C4D" w:rsidP="00D60C4D">
            <w:pPr>
              <w:jc w:val="center"/>
              <w:rPr>
                <w:rFonts w:asciiTheme="minorHAnsi" w:hAnsiTheme="minorHAnsi" w:cstheme="minorHAnsi"/>
                <w:sz w:val="22"/>
                <w:szCs w:val="22"/>
                <w:lang w:val="fr-CA"/>
              </w:rPr>
            </w:pPr>
            <w:r w:rsidRPr="00193822">
              <w:rPr>
                <w:rFonts w:asciiTheme="minorHAnsi" w:hAnsiTheme="minorHAnsi" w:cstheme="minorHAnsi"/>
                <w:sz w:val="22"/>
                <w:szCs w:val="22"/>
                <w:lang w:val="fr-CA"/>
              </w:rPr>
              <w:t>9%</w:t>
            </w:r>
          </w:p>
        </w:tc>
      </w:tr>
      <w:tr w:rsidR="00D60C4D" w:rsidRPr="00193822" w14:paraId="77C5322F" w14:textId="77777777" w:rsidTr="00D60C4D">
        <w:trPr>
          <w:cantSplit/>
          <w:tblHeader/>
          <w:jc w:val="center"/>
        </w:trPr>
        <w:tc>
          <w:tcPr>
            <w:tcW w:w="0" w:type="auto"/>
            <w:tcBorders>
              <w:top w:val="single" w:sz="4" w:space="0" w:color="auto"/>
              <w:left w:val="single" w:sz="4" w:space="0" w:color="auto"/>
              <w:bottom w:val="single" w:sz="4" w:space="0" w:color="auto"/>
              <w:right w:val="single" w:sz="4" w:space="0" w:color="auto"/>
            </w:tcBorders>
            <w:hideMark/>
          </w:tcPr>
          <w:p w14:paraId="2588001D" w14:textId="77777777" w:rsidR="00D60C4D" w:rsidRPr="00193822" w:rsidRDefault="00D60C4D" w:rsidP="00D60C4D">
            <w:pPr>
              <w:rPr>
                <w:rFonts w:asciiTheme="minorHAnsi" w:hAnsiTheme="minorHAnsi" w:cstheme="minorHAnsi"/>
                <w:sz w:val="22"/>
                <w:szCs w:val="22"/>
                <w:lang w:val="fr-CA"/>
              </w:rPr>
            </w:pPr>
            <w:r w:rsidRPr="00193822">
              <w:rPr>
                <w:rFonts w:asciiTheme="minorHAnsi" w:hAnsiTheme="minorHAnsi" w:cstheme="minorHAnsi"/>
                <w:sz w:val="22"/>
                <w:szCs w:val="22"/>
                <w:lang w:val="fr-CA"/>
              </w:rPr>
              <w:t>Membres des minorités visibles</w:t>
            </w:r>
          </w:p>
        </w:tc>
        <w:tc>
          <w:tcPr>
            <w:tcW w:w="0" w:type="auto"/>
            <w:tcBorders>
              <w:top w:val="single" w:sz="4" w:space="0" w:color="auto"/>
              <w:left w:val="single" w:sz="4" w:space="0" w:color="auto"/>
              <w:bottom w:val="single" w:sz="4" w:space="0" w:color="auto"/>
              <w:right w:val="single" w:sz="4" w:space="0" w:color="auto"/>
            </w:tcBorders>
            <w:vAlign w:val="center"/>
          </w:tcPr>
          <w:p w14:paraId="6D7911EE" w14:textId="77777777" w:rsidR="00D60C4D" w:rsidRPr="00193822" w:rsidRDefault="00D60C4D" w:rsidP="00D60C4D">
            <w:pPr>
              <w:autoSpaceDE w:val="0"/>
              <w:autoSpaceDN w:val="0"/>
              <w:adjustRightInd w:val="0"/>
              <w:jc w:val="center"/>
              <w:rPr>
                <w:rFonts w:asciiTheme="minorHAnsi" w:hAnsiTheme="minorHAnsi" w:cstheme="minorHAnsi"/>
                <w:sz w:val="22"/>
                <w:szCs w:val="22"/>
                <w:lang w:val="fr-CA"/>
              </w:rPr>
            </w:pPr>
            <w:r w:rsidRPr="00193822">
              <w:rPr>
                <w:rFonts w:asciiTheme="minorHAnsi" w:hAnsiTheme="minorHAnsi" w:cstheme="minorHAnsi"/>
                <w:sz w:val="22"/>
                <w:szCs w:val="22"/>
                <w:lang w:val="fr-CA"/>
              </w:rPr>
              <w:t>13.0%</w:t>
            </w:r>
          </w:p>
        </w:tc>
        <w:tc>
          <w:tcPr>
            <w:tcW w:w="0" w:type="auto"/>
            <w:tcBorders>
              <w:top w:val="single" w:sz="4" w:space="0" w:color="auto"/>
              <w:left w:val="single" w:sz="4" w:space="0" w:color="auto"/>
              <w:bottom w:val="single" w:sz="4" w:space="0" w:color="auto"/>
              <w:right w:val="single" w:sz="4" w:space="0" w:color="auto"/>
            </w:tcBorders>
            <w:shd w:val="clear" w:color="auto" w:fill="FFB999" w:themeFill="accent4" w:themeFillTint="66"/>
            <w:vAlign w:val="center"/>
          </w:tcPr>
          <w:p w14:paraId="58B1B68B" w14:textId="77777777" w:rsidR="00D60C4D" w:rsidRPr="00193822" w:rsidRDefault="00D60C4D" w:rsidP="00D60C4D">
            <w:pPr>
              <w:jc w:val="center"/>
              <w:rPr>
                <w:rFonts w:asciiTheme="minorHAnsi" w:hAnsiTheme="minorHAnsi" w:cstheme="minorHAnsi"/>
                <w:sz w:val="22"/>
                <w:szCs w:val="22"/>
                <w:lang w:val="fr-CA"/>
              </w:rPr>
            </w:pPr>
            <w:r w:rsidRPr="00193822">
              <w:rPr>
                <w:rFonts w:asciiTheme="minorHAnsi" w:hAnsiTheme="minorHAnsi" w:cstheme="minorHAnsi"/>
                <w:sz w:val="22"/>
                <w:szCs w:val="22"/>
                <w:lang w:val="fr-CA"/>
              </w:rPr>
              <w:t>8,6%</w:t>
            </w:r>
          </w:p>
        </w:tc>
        <w:tc>
          <w:tcPr>
            <w:tcW w:w="0" w:type="auto"/>
            <w:tcBorders>
              <w:top w:val="single" w:sz="4" w:space="0" w:color="auto"/>
              <w:left w:val="single" w:sz="4" w:space="0" w:color="auto"/>
              <w:bottom w:val="single" w:sz="4" w:space="0" w:color="auto"/>
              <w:right w:val="single" w:sz="4" w:space="0" w:color="auto"/>
            </w:tcBorders>
            <w:vAlign w:val="center"/>
            <w:hideMark/>
          </w:tcPr>
          <w:p w14:paraId="34B4DFAB" w14:textId="77777777" w:rsidR="00D60C4D" w:rsidRPr="00193822" w:rsidRDefault="00D60C4D" w:rsidP="00D60C4D">
            <w:pPr>
              <w:autoSpaceDE w:val="0"/>
              <w:autoSpaceDN w:val="0"/>
              <w:adjustRightInd w:val="0"/>
              <w:jc w:val="center"/>
              <w:rPr>
                <w:rFonts w:asciiTheme="minorHAnsi" w:hAnsiTheme="minorHAnsi" w:cstheme="minorHAnsi"/>
                <w:sz w:val="22"/>
                <w:szCs w:val="22"/>
                <w:lang w:val="fr-CA"/>
              </w:rPr>
            </w:pPr>
            <w:r w:rsidRPr="00193822">
              <w:rPr>
                <w:rFonts w:asciiTheme="minorHAnsi" w:hAnsiTheme="minorHAnsi" w:cstheme="minorHAnsi"/>
                <w:sz w:val="22"/>
                <w:szCs w:val="22"/>
                <w:lang w:val="fr-CA"/>
              </w:rPr>
              <w:t>15,7%</w:t>
            </w:r>
          </w:p>
        </w:tc>
        <w:tc>
          <w:tcPr>
            <w:tcW w:w="0" w:type="auto"/>
            <w:tcBorders>
              <w:top w:val="single" w:sz="4" w:space="0" w:color="auto"/>
              <w:left w:val="single" w:sz="4" w:space="0" w:color="auto"/>
              <w:bottom w:val="single" w:sz="4" w:space="0" w:color="auto"/>
              <w:right w:val="single" w:sz="4" w:space="0" w:color="auto"/>
            </w:tcBorders>
            <w:vAlign w:val="center"/>
          </w:tcPr>
          <w:p w14:paraId="19F56F8D" w14:textId="77777777" w:rsidR="00D60C4D" w:rsidRPr="00193822" w:rsidRDefault="00D60C4D" w:rsidP="00D60C4D">
            <w:pPr>
              <w:jc w:val="center"/>
              <w:rPr>
                <w:rFonts w:asciiTheme="minorHAnsi" w:hAnsiTheme="minorHAnsi" w:cstheme="minorHAnsi"/>
                <w:sz w:val="22"/>
                <w:szCs w:val="22"/>
                <w:lang w:val="fr-CA"/>
              </w:rPr>
            </w:pPr>
            <w:r w:rsidRPr="00193822">
              <w:rPr>
                <w:rFonts w:asciiTheme="minorHAnsi" w:hAnsiTheme="minorHAnsi" w:cstheme="minorHAnsi"/>
                <w:sz w:val="22"/>
                <w:szCs w:val="22"/>
                <w:lang w:val="fr-CA"/>
              </w:rPr>
              <w:t>15,3%</w:t>
            </w:r>
          </w:p>
        </w:tc>
      </w:tr>
    </w:tbl>
    <w:p w14:paraId="63233D97" w14:textId="357081C5" w:rsidR="00D60C4D" w:rsidRPr="00193822" w:rsidRDefault="00D60C4D" w:rsidP="00D60C4D">
      <w:pPr>
        <w:rPr>
          <w:rStyle w:val="Lienhypertexte"/>
          <w:rFonts w:ascii="Segoe UI Semilight" w:hAnsi="Segoe UI Semilight" w:cs="Segoe UI Semilight"/>
          <w:sz w:val="22"/>
          <w:szCs w:val="22"/>
          <w:lang w:val="fr-CA"/>
        </w:rPr>
      </w:pPr>
      <w:r w:rsidRPr="00193822">
        <w:rPr>
          <w:rFonts w:ascii="Segoe UI Semilight" w:hAnsi="Segoe UI Semilight" w:cs="Segoe UI Semilight"/>
          <w:sz w:val="22"/>
          <w:szCs w:val="22"/>
          <w:lang w:val="fr-CA"/>
        </w:rPr>
        <w:t>Source :</w:t>
      </w:r>
      <w:r w:rsidRPr="00193822">
        <w:rPr>
          <w:rStyle w:val="Lienhypertexte"/>
          <w:rFonts w:ascii="Segoe UI Semilight" w:hAnsi="Segoe UI Semilight" w:cs="Segoe UI Semilight"/>
          <w:sz w:val="22"/>
          <w:szCs w:val="22"/>
          <w:lang w:val="fr-CA"/>
        </w:rPr>
        <w:t xml:space="preserve"> </w:t>
      </w:r>
      <w:hyperlink r:id="rId11" w:history="1">
        <w:r w:rsidRPr="00193822">
          <w:rPr>
            <w:rStyle w:val="Lienhypertexte"/>
            <w:rFonts w:ascii="Segoe UI Semilight" w:hAnsi="Segoe UI Semilight" w:cs="Segoe UI Semilight"/>
            <w:sz w:val="22"/>
            <w:szCs w:val="22"/>
            <w:lang w:val="fr-CA"/>
          </w:rPr>
          <w:t>L’équité en matière d’emploi dans la fonction publique du Canada, exercice 2017 à 2018</w:t>
        </w:r>
      </w:hyperlink>
      <w:r w:rsidR="00103088" w:rsidRPr="00193822">
        <w:rPr>
          <w:rStyle w:val="Lienhypertexte"/>
          <w:rFonts w:ascii="Segoe UI Semilight" w:hAnsi="Segoe UI Semilight" w:cs="Segoe UI Semilight"/>
          <w:sz w:val="22"/>
          <w:szCs w:val="22"/>
          <w:lang w:val="fr-CA"/>
        </w:rPr>
        <w:t xml:space="preserve">  </w:t>
      </w:r>
    </w:p>
    <w:p w14:paraId="7D6C0E60" w14:textId="5CBEE063" w:rsidR="00103088" w:rsidRPr="00193822" w:rsidRDefault="00103088" w:rsidP="00D60C4D">
      <w:pPr>
        <w:rPr>
          <w:rFonts w:ascii="Segoe UI Semilight" w:hAnsi="Segoe UI Semilight" w:cs="Segoe UI Semilight"/>
          <w:sz w:val="22"/>
          <w:szCs w:val="22"/>
          <w:lang w:val="fr-CA"/>
        </w:rPr>
      </w:pPr>
      <w:r w:rsidRPr="00193822">
        <w:rPr>
          <w:rStyle w:val="Lienhypertexte"/>
          <w:rFonts w:ascii="Segoe UI Semilight" w:hAnsi="Segoe UI Semilight" w:cs="Segoe UI Semilight"/>
          <w:color w:val="auto"/>
          <w:sz w:val="22"/>
          <w:szCs w:val="22"/>
          <w:u w:val="none"/>
          <w:lang w:val="fr-CA"/>
        </w:rPr>
        <w:t>Secrétariat du Conseil du Trésor du Canada</w:t>
      </w:r>
    </w:p>
    <w:p w14:paraId="4A1D162C" w14:textId="77777777" w:rsidR="00D60C4D" w:rsidRPr="00193822" w:rsidRDefault="00D60C4D" w:rsidP="00D60C4D">
      <w:pPr>
        <w:pStyle w:val="Titre1"/>
        <w:spacing w:after="240"/>
        <w:rPr>
          <w:lang w:val="fr-CA"/>
        </w:rPr>
        <w:sectPr w:rsidR="00D60C4D" w:rsidRPr="00193822" w:rsidSect="003F6509">
          <w:pgSz w:w="12240" w:h="15840"/>
          <w:pgMar w:top="1440" w:right="1080" w:bottom="1440" w:left="1080" w:header="708" w:footer="708" w:gutter="0"/>
          <w:cols w:space="708"/>
          <w:titlePg/>
          <w:docGrid w:linePitch="360"/>
        </w:sectPr>
      </w:pPr>
    </w:p>
    <w:p w14:paraId="7A945C20" w14:textId="32CD887D" w:rsidR="00862C57" w:rsidRPr="00193822" w:rsidRDefault="00940678" w:rsidP="00D60C4D">
      <w:pPr>
        <w:pStyle w:val="Titre1"/>
        <w:spacing w:after="240"/>
        <w:rPr>
          <w:lang w:val="fr-CA"/>
        </w:rPr>
      </w:pPr>
      <w:r>
        <w:rPr>
          <w:lang w:val="fr-CA"/>
        </w:rPr>
        <w:lastRenderedPageBreak/>
        <w:t>Droits de priorité vétérans</w:t>
      </w:r>
    </w:p>
    <w:p w14:paraId="08BB51E2" w14:textId="108F443C" w:rsidR="00862C57" w:rsidRPr="00193822" w:rsidRDefault="00862C57" w:rsidP="00D60C4D">
      <w:pPr>
        <w:pStyle w:val="Sansinterligne"/>
        <w:spacing w:after="12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En date du 15 août 2019, BAC comptait quatre bénéficiaires de droits de priorité. Ils étaient tous des fonctionnaires de retour de congé bénéficiant d’un droit de priorité. Du 1</w:t>
      </w:r>
      <w:r w:rsidRPr="00193822">
        <w:rPr>
          <w:rFonts w:asciiTheme="minorHAnsi" w:hAnsiTheme="minorHAnsi" w:cstheme="minorHAnsi"/>
          <w:color w:val="000000"/>
          <w:sz w:val="22"/>
          <w:szCs w:val="22"/>
          <w:vertAlign w:val="superscript"/>
          <w:lang w:val="fr-CA"/>
        </w:rPr>
        <w:t>er</w:t>
      </w:r>
      <w:r w:rsidRPr="00193822">
        <w:rPr>
          <w:rFonts w:asciiTheme="minorHAnsi" w:hAnsiTheme="minorHAnsi" w:cstheme="minorHAnsi"/>
          <w:color w:val="000000"/>
          <w:sz w:val="22"/>
          <w:szCs w:val="22"/>
          <w:lang w:val="fr-CA"/>
        </w:rPr>
        <w:t xml:space="preserve"> avril 2018 au 22 août 2019, BAC a nommé à des postes trois bénéficiaires de droits de priorité à partir du Système de gestion de l’information sur les priorités de la CFP. Les trois bénéficiaires de droits de priorité venaient de leur propre organisation et détenaient des priorités de fonctionnaire en congé. </w:t>
      </w:r>
    </w:p>
    <w:p w14:paraId="7881D04C" w14:textId="63396F50" w:rsidR="00862C57" w:rsidRPr="00193822" w:rsidRDefault="00862C57" w:rsidP="00D60C4D">
      <w:pPr>
        <w:pStyle w:val="Sansinterligne"/>
        <w:spacing w:after="120"/>
        <w:rPr>
          <w:rFonts w:asciiTheme="minorHAnsi" w:hAnsiTheme="minorHAnsi" w:cstheme="minorHAnsi"/>
          <w:sz w:val="22"/>
          <w:szCs w:val="22"/>
          <w:lang w:val="fr-CA" w:eastAsia="en-CA"/>
        </w:rPr>
      </w:pPr>
      <w:r w:rsidRPr="00193822">
        <w:rPr>
          <w:rFonts w:asciiTheme="minorHAnsi" w:hAnsiTheme="minorHAnsi" w:cstheme="minorHAnsi"/>
          <w:color w:val="000000"/>
          <w:sz w:val="22"/>
          <w:szCs w:val="22"/>
          <w:lang w:val="fr-CA"/>
        </w:rPr>
        <w:t xml:space="preserve">BAC n’a nommé aucun bénéficiaire de priorité législative des Forces armées canadiennes (FAC) (raisons attribuables au service) et aucun bénéficiaire de priorité réglementaire des FAC (raisons non attribuables au service) depuis l’entrée en vigueur de la </w:t>
      </w:r>
      <w:r w:rsidRPr="00193822">
        <w:rPr>
          <w:rStyle w:val="Accentuation"/>
          <w:lang w:val="fr-CA"/>
        </w:rPr>
        <w:t>Loi sur l’embauche des anciens combattants</w:t>
      </w:r>
      <w:r w:rsidRPr="00193822">
        <w:rPr>
          <w:rFonts w:asciiTheme="minorHAnsi" w:hAnsiTheme="minorHAnsi" w:cstheme="minorHAnsi"/>
          <w:i/>
          <w:color w:val="000000"/>
          <w:sz w:val="22"/>
          <w:szCs w:val="22"/>
          <w:lang w:val="fr-CA"/>
        </w:rPr>
        <w:t>,</w:t>
      </w:r>
      <w:r w:rsidRPr="00193822">
        <w:rPr>
          <w:rFonts w:asciiTheme="minorHAnsi" w:hAnsiTheme="minorHAnsi" w:cstheme="minorHAnsi"/>
          <w:color w:val="000000"/>
          <w:sz w:val="22"/>
          <w:szCs w:val="22"/>
          <w:lang w:val="fr-CA"/>
        </w:rPr>
        <w:t xml:space="preserve"> le 1</w:t>
      </w:r>
      <w:r w:rsidRPr="00193822">
        <w:rPr>
          <w:rFonts w:asciiTheme="minorHAnsi" w:hAnsiTheme="minorHAnsi" w:cstheme="minorHAnsi"/>
          <w:color w:val="000000"/>
          <w:sz w:val="22"/>
          <w:szCs w:val="22"/>
          <w:vertAlign w:val="superscript"/>
          <w:lang w:val="fr-CA"/>
        </w:rPr>
        <w:t>er</w:t>
      </w:r>
      <w:r w:rsidRPr="00193822">
        <w:rPr>
          <w:rFonts w:asciiTheme="minorHAnsi" w:hAnsiTheme="minorHAnsi" w:cstheme="minorHAnsi"/>
          <w:color w:val="000000"/>
          <w:sz w:val="22"/>
          <w:szCs w:val="22"/>
          <w:lang w:val="fr-CA"/>
        </w:rPr>
        <w:t> juillet 2015.</w:t>
      </w:r>
    </w:p>
    <w:p w14:paraId="36478389" w14:textId="2D702EC6" w:rsidR="00862C57" w:rsidRPr="00193822" w:rsidRDefault="00862C57" w:rsidP="00D60C4D">
      <w:pPr>
        <w:pStyle w:val="Sansinterligne"/>
        <w:spacing w:after="12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Du 1</w:t>
      </w:r>
      <w:r w:rsidRPr="00193822">
        <w:rPr>
          <w:rFonts w:asciiTheme="minorHAnsi" w:hAnsiTheme="minorHAnsi" w:cstheme="minorHAnsi"/>
          <w:color w:val="000000"/>
          <w:sz w:val="22"/>
          <w:szCs w:val="22"/>
          <w:vertAlign w:val="superscript"/>
          <w:lang w:val="fr-CA"/>
        </w:rPr>
        <w:t>er</w:t>
      </w:r>
      <w:r w:rsidRPr="00193822">
        <w:rPr>
          <w:rFonts w:asciiTheme="minorHAnsi" w:hAnsiTheme="minorHAnsi" w:cstheme="minorHAnsi"/>
          <w:color w:val="000000"/>
          <w:sz w:val="22"/>
          <w:szCs w:val="22"/>
          <w:lang w:val="fr-CA"/>
        </w:rPr>
        <w:t xml:space="preserve"> avril 2018 au 22 août 2019, BAC a présenté 418 demandes d’autorisation en matière de priorité. </w:t>
      </w:r>
    </w:p>
    <w:p w14:paraId="30AD167E" w14:textId="65A9806B" w:rsidR="00FE7BD5" w:rsidRPr="00193822" w:rsidRDefault="00FE7BD5" w:rsidP="00FE7BD5">
      <w:pPr>
        <w:pStyle w:val="Lgende"/>
        <w:keepNext/>
        <w:rPr>
          <w:lang w:val="fr-CA"/>
        </w:rPr>
      </w:pPr>
      <w:r w:rsidRPr="00193822">
        <w:rPr>
          <w:lang w:val="fr-CA"/>
        </w:rPr>
        <w:t xml:space="preserve">Tableau </w:t>
      </w:r>
      <w:r w:rsidRPr="00193822">
        <w:rPr>
          <w:lang w:val="fr-CA"/>
        </w:rPr>
        <w:fldChar w:fldCharType="begin"/>
      </w:r>
      <w:r w:rsidRPr="00193822">
        <w:rPr>
          <w:lang w:val="fr-CA"/>
        </w:rPr>
        <w:instrText xml:space="preserve"> SEQ Tableau \* ARABIC </w:instrText>
      </w:r>
      <w:r w:rsidRPr="00193822">
        <w:rPr>
          <w:lang w:val="fr-CA"/>
        </w:rPr>
        <w:fldChar w:fldCharType="separate"/>
      </w:r>
      <w:r w:rsidR="00211837" w:rsidRPr="00193822">
        <w:rPr>
          <w:noProof/>
          <w:lang w:val="fr-CA"/>
        </w:rPr>
        <w:t>3</w:t>
      </w:r>
      <w:r w:rsidRPr="00193822">
        <w:rPr>
          <w:lang w:val="fr-CA"/>
        </w:rPr>
        <w:fldChar w:fldCharType="end"/>
      </w:r>
      <w:r w:rsidRPr="00193822">
        <w:rPr>
          <w:lang w:val="fr-CA"/>
        </w:rPr>
        <w:t xml:space="preserve"> - Droits de priorité et Anciens combattants</w:t>
      </w:r>
    </w:p>
    <w:tbl>
      <w:tblPr>
        <w:tblStyle w:val="Grilledutableau"/>
        <w:tblW w:w="0" w:type="auto"/>
        <w:jc w:val="center"/>
        <w:tblLook w:val="04A0" w:firstRow="1" w:lastRow="0" w:firstColumn="1" w:lastColumn="0" w:noHBand="0" w:noVBand="1"/>
        <w:tblDescription w:val="Droits de priorité et vétérans"/>
      </w:tblPr>
      <w:tblGrid>
        <w:gridCol w:w="2263"/>
        <w:gridCol w:w="3394"/>
        <w:gridCol w:w="4413"/>
      </w:tblGrid>
      <w:tr w:rsidR="003F6509" w:rsidRPr="00A336D2" w14:paraId="4971EFD3" w14:textId="77777777" w:rsidTr="003F6509">
        <w:trPr>
          <w:cantSplit/>
          <w:tblHeader/>
          <w:jc w:val="center"/>
        </w:trPr>
        <w:tc>
          <w:tcPr>
            <w:tcW w:w="2263" w:type="dxa"/>
            <w:shd w:val="clear" w:color="auto" w:fill="0070C0"/>
            <w:vAlign w:val="center"/>
          </w:tcPr>
          <w:p w14:paraId="496E658B" w14:textId="77777777" w:rsidR="00D60C4D" w:rsidRPr="00193822" w:rsidRDefault="00D60C4D" w:rsidP="003F6509">
            <w:pPr>
              <w:pStyle w:val="TableTitle"/>
              <w:jc w:val="center"/>
              <w:rPr>
                <w:color w:val="FFFFFF" w:themeColor="background1"/>
                <w:lang w:val="fr-CA"/>
              </w:rPr>
            </w:pPr>
            <w:r w:rsidRPr="00193822">
              <w:rPr>
                <w:color w:val="FFFFFF" w:themeColor="background1"/>
                <w:lang w:val="fr-CA"/>
              </w:rPr>
              <w:t>Périodes</w:t>
            </w:r>
          </w:p>
        </w:tc>
        <w:tc>
          <w:tcPr>
            <w:tcW w:w="3394" w:type="dxa"/>
            <w:shd w:val="clear" w:color="auto" w:fill="0070C0"/>
            <w:vAlign w:val="center"/>
          </w:tcPr>
          <w:p w14:paraId="2B3A6CC0" w14:textId="21B3113B" w:rsidR="00D60C4D" w:rsidRPr="00193822" w:rsidRDefault="00D60C4D" w:rsidP="003F6509">
            <w:pPr>
              <w:pStyle w:val="TableTitle"/>
              <w:jc w:val="center"/>
              <w:rPr>
                <w:smallCaps/>
                <w:color w:val="FFFFFF" w:themeColor="background1"/>
                <w:lang w:val="fr-CA"/>
              </w:rPr>
            </w:pPr>
            <w:r w:rsidRPr="00193822">
              <w:rPr>
                <w:smallCaps/>
                <w:color w:val="FFFFFF" w:themeColor="background1"/>
                <w:lang w:val="fr-CA"/>
              </w:rPr>
              <w:t>attribuables au service (statutaire)</w:t>
            </w:r>
          </w:p>
        </w:tc>
        <w:tc>
          <w:tcPr>
            <w:tcW w:w="0" w:type="auto"/>
            <w:shd w:val="clear" w:color="auto" w:fill="0070C0"/>
            <w:vAlign w:val="center"/>
          </w:tcPr>
          <w:p w14:paraId="7B6AC0C3" w14:textId="3EECB351" w:rsidR="00D60C4D" w:rsidRPr="00193822" w:rsidRDefault="00D60C4D" w:rsidP="003F6509">
            <w:pPr>
              <w:pStyle w:val="TableTitle"/>
              <w:jc w:val="center"/>
              <w:rPr>
                <w:smallCaps/>
                <w:color w:val="FFFFFF" w:themeColor="background1"/>
                <w:lang w:val="fr-CA"/>
              </w:rPr>
            </w:pPr>
            <w:r w:rsidRPr="00193822">
              <w:rPr>
                <w:smallCaps/>
                <w:color w:val="FFFFFF" w:themeColor="background1"/>
                <w:lang w:val="fr-CA"/>
              </w:rPr>
              <w:t>non attribuables au service (réglementaire)</w:t>
            </w:r>
          </w:p>
        </w:tc>
      </w:tr>
      <w:tr w:rsidR="00D60C4D" w:rsidRPr="00193822" w14:paraId="3ACF2CAF" w14:textId="77777777" w:rsidTr="003F6509">
        <w:trPr>
          <w:cantSplit/>
          <w:tblHeader/>
          <w:jc w:val="center"/>
        </w:trPr>
        <w:tc>
          <w:tcPr>
            <w:tcW w:w="2263" w:type="dxa"/>
            <w:shd w:val="clear" w:color="auto" w:fill="0070C0"/>
            <w:vAlign w:val="center"/>
          </w:tcPr>
          <w:p w14:paraId="5BE282C5" w14:textId="77777777" w:rsidR="00D60C4D" w:rsidRPr="00193822" w:rsidRDefault="00D60C4D" w:rsidP="00D60C4D">
            <w:pPr>
              <w:pStyle w:val="Level1"/>
              <w:tabs>
                <w:tab w:val="left" w:pos="-1440"/>
              </w:tabs>
              <w:autoSpaceDE w:val="0"/>
              <w:autoSpaceDN w:val="0"/>
              <w:adjustRightInd w:val="0"/>
              <w:spacing w:after="120" w:line="20" w:lineRule="atLeast"/>
              <w:jc w:val="right"/>
              <w:rPr>
                <w:rFonts w:asciiTheme="minorHAnsi" w:hAnsiTheme="minorHAnsi" w:cstheme="minorHAnsi"/>
                <w:color w:val="FFFFFF" w:themeColor="background1"/>
                <w:sz w:val="22"/>
                <w:lang w:val="fr-CA"/>
              </w:rPr>
            </w:pPr>
            <w:r w:rsidRPr="00193822">
              <w:rPr>
                <w:rFonts w:asciiTheme="minorHAnsi" w:hAnsiTheme="minorHAnsi" w:cstheme="minorHAnsi"/>
                <w:color w:val="FFFFFF" w:themeColor="background1"/>
                <w:sz w:val="22"/>
                <w:lang w:val="fr-CA"/>
              </w:rPr>
              <w:t>2015 (1</w:t>
            </w:r>
            <w:r w:rsidRPr="00193822">
              <w:rPr>
                <w:rFonts w:asciiTheme="minorHAnsi" w:hAnsiTheme="minorHAnsi" w:cstheme="minorHAnsi"/>
                <w:color w:val="FFFFFF" w:themeColor="background1"/>
                <w:sz w:val="22"/>
                <w:vertAlign w:val="superscript"/>
                <w:lang w:val="fr-CA"/>
              </w:rPr>
              <w:t>er</w:t>
            </w:r>
            <w:r w:rsidRPr="00193822">
              <w:rPr>
                <w:rFonts w:asciiTheme="minorHAnsi" w:hAnsiTheme="minorHAnsi" w:cstheme="minorHAnsi"/>
                <w:color w:val="FFFFFF" w:themeColor="background1"/>
                <w:sz w:val="22"/>
                <w:lang w:val="fr-CA"/>
              </w:rPr>
              <w:t xml:space="preserve"> juillet) - 2016</w:t>
            </w:r>
          </w:p>
        </w:tc>
        <w:tc>
          <w:tcPr>
            <w:tcW w:w="3394" w:type="dxa"/>
            <w:shd w:val="clear" w:color="auto" w:fill="auto"/>
            <w:vAlign w:val="center"/>
          </w:tcPr>
          <w:p w14:paraId="1BBFB2A9" w14:textId="77777777" w:rsidR="00D60C4D" w:rsidRPr="00193822" w:rsidRDefault="00D60C4D" w:rsidP="00D60C4D">
            <w:pPr>
              <w:pStyle w:val="Level1"/>
              <w:tabs>
                <w:tab w:val="left" w:pos="-1440"/>
              </w:tabs>
              <w:autoSpaceDE w:val="0"/>
              <w:autoSpaceDN w:val="0"/>
              <w:adjustRightInd w:val="0"/>
              <w:spacing w:after="120" w:line="20" w:lineRule="atLeast"/>
              <w:jc w:val="center"/>
              <w:rPr>
                <w:rFonts w:asciiTheme="minorHAnsi" w:hAnsiTheme="minorHAnsi" w:cstheme="minorHAnsi"/>
                <w:sz w:val="22"/>
                <w:lang w:val="fr-CA"/>
              </w:rPr>
            </w:pPr>
            <w:r w:rsidRPr="00193822">
              <w:rPr>
                <w:rFonts w:asciiTheme="minorHAnsi" w:hAnsiTheme="minorHAnsi" w:cstheme="minorHAnsi"/>
                <w:sz w:val="22"/>
                <w:lang w:val="fr-CA"/>
              </w:rPr>
              <w:t>0</w:t>
            </w:r>
          </w:p>
        </w:tc>
        <w:tc>
          <w:tcPr>
            <w:tcW w:w="0" w:type="auto"/>
            <w:shd w:val="clear" w:color="auto" w:fill="auto"/>
            <w:vAlign w:val="center"/>
          </w:tcPr>
          <w:p w14:paraId="2435B0DF" w14:textId="77777777" w:rsidR="00D60C4D" w:rsidRPr="00193822" w:rsidRDefault="00D60C4D" w:rsidP="00D60C4D">
            <w:pPr>
              <w:pStyle w:val="Level1"/>
              <w:tabs>
                <w:tab w:val="left" w:pos="-1440"/>
              </w:tabs>
              <w:autoSpaceDE w:val="0"/>
              <w:autoSpaceDN w:val="0"/>
              <w:adjustRightInd w:val="0"/>
              <w:spacing w:after="120" w:line="20" w:lineRule="atLeast"/>
              <w:jc w:val="center"/>
              <w:rPr>
                <w:rFonts w:asciiTheme="minorHAnsi" w:hAnsiTheme="minorHAnsi" w:cstheme="minorHAnsi"/>
                <w:sz w:val="22"/>
                <w:lang w:val="fr-CA"/>
              </w:rPr>
            </w:pPr>
            <w:r w:rsidRPr="00193822">
              <w:rPr>
                <w:rFonts w:asciiTheme="minorHAnsi" w:hAnsiTheme="minorHAnsi" w:cstheme="minorHAnsi"/>
                <w:sz w:val="22"/>
                <w:lang w:val="fr-CA"/>
              </w:rPr>
              <w:t>0</w:t>
            </w:r>
          </w:p>
        </w:tc>
      </w:tr>
      <w:tr w:rsidR="00D60C4D" w:rsidRPr="00193822" w14:paraId="27867775" w14:textId="77777777" w:rsidTr="003F6509">
        <w:trPr>
          <w:cantSplit/>
          <w:tblHeader/>
          <w:jc w:val="center"/>
        </w:trPr>
        <w:tc>
          <w:tcPr>
            <w:tcW w:w="2263" w:type="dxa"/>
            <w:shd w:val="clear" w:color="auto" w:fill="0070C0"/>
            <w:vAlign w:val="center"/>
          </w:tcPr>
          <w:p w14:paraId="38F20EF7" w14:textId="77777777" w:rsidR="00D60C4D" w:rsidRPr="00193822" w:rsidRDefault="00D60C4D" w:rsidP="00D60C4D">
            <w:pPr>
              <w:pStyle w:val="Level1"/>
              <w:tabs>
                <w:tab w:val="left" w:pos="-1440"/>
              </w:tabs>
              <w:autoSpaceDE w:val="0"/>
              <w:autoSpaceDN w:val="0"/>
              <w:adjustRightInd w:val="0"/>
              <w:spacing w:after="120" w:line="20" w:lineRule="atLeast"/>
              <w:jc w:val="right"/>
              <w:rPr>
                <w:rFonts w:asciiTheme="minorHAnsi" w:hAnsiTheme="minorHAnsi" w:cstheme="minorHAnsi"/>
                <w:color w:val="FFFFFF" w:themeColor="background1"/>
                <w:sz w:val="22"/>
                <w:lang w:val="fr-CA"/>
              </w:rPr>
            </w:pPr>
            <w:r w:rsidRPr="00193822">
              <w:rPr>
                <w:rFonts w:asciiTheme="minorHAnsi" w:hAnsiTheme="minorHAnsi" w:cstheme="minorHAnsi"/>
                <w:color w:val="FFFFFF" w:themeColor="background1"/>
                <w:sz w:val="22"/>
                <w:lang w:val="fr-CA"/>
              </w:rPr>
              <w:t>2016 - 2017</w:t>
            </w:r>
          </w:p>
        </w:tc>
        <w:tc>
          <w:tcPr>
            <w:tcW w:w="3394" w:type="dxa"/>
            <w:shd w:val="clear" w:color="auto" w:fill="auto"/>
            <w:vAlign w:val="center"/>
          </w:tcPr>
          <w:p w14:paraId="3934E7F5" w14:textId="77777777" w:rsidR="00D60C4D" w:rsidRPr="00193822" w:rsidRDefault="00D60C4D" w:rsidP="00D60C4D">
            <w:pPr>
              <w:pStyle w:val="Level1"/>
              <w:tabs>
                <w:tab w:val="left" w:pos="-1440"/>
              </w:tabs>
              <w:autoSpaceDE w:val="0"/>
              <w:autoSpaceDN w:val="0"/>
              <w:adjustRightInd w:val="0"/>
              <w:spacing w:after="120" w:line="20" w:lineRule="atLeast"/>
              <w:jc w:val="center"/>
              <w:rPr>
                <w:rFonts w:asciiTheme="minorHAnsi" w:hAnsiTheme="minorHAnsi" w:cstheme="minorHAnsi"/>
                <w:sz w:val="22"/>
                <w:lang w:val="fr-CA"/>
              </w:rPr>
            </w:pPr>
            <w:r w:rsidRPr="00193822">
              <w:rPr>
                <w:rFonts w:asciiTheme="minorHAnsi" w:hAnsiTheme="minorHAnsi" w:cstheme="minorHAnsi"/>
                <w:sz w:val="22"/>
                <w:lang w:val="fr-CA"/>
              </w:rPr>
              <w:t>0</w:t>
            </w:r>
          </w:p>
        </w:tc>
        <w:tc>
          <w:tcPr>
            <w:tcW w:w="0" w:type="auto"/>
            <w:shd w:val="clear" w:color="auto" w:fill="auto"/>
            <w:vAlign w:val="center"/>
          </w:tcPr>
          <w:p w14:paraId="3DB36DC2" w14:textId="77777777" w:rsidR="00D60C4D" w:rsidRPr="00193822" w:rsidRDefault="00D60C4D" w:rsidP="00D60C4D">
            <w:pPr>
              <w:pStyle w:val="Level1"/>
              <w:tabs>
                <w:tab w:val="left" w:pos="-1440"/>
              </w:tabs>
              <w:autoSpaceDE w:val="0"/>
              <w:autoSpaceDN w:val="0"/>
              <w:adjustRightInd w:val="0"/>
              <w:spacing w:after="120" w:line="20" w:lineRule="atLeast"/>
              <w:jc w:val="center"/>
              <w:rPr>
                <w:rFonts w:asciiTheme="minorHAnsi" w:hAnsiTheme="minorHAnsi" w:cstheme="minorHAnsi"/>
                <w:sz w:val="22"/>
                <w:lang w:val="fr-CA"/>
              </w:rPr>
            </w:pPr>
            <w:r w:rsidRPr="00193822">
              <w:rPr>
                <w:rFonts w:asciiTheme="minorHAnsi" w:hAnsiTheme="minorHAnsi" w:cstheme="minorHAnsi"/>
                <w:sz w:val="22"/>
                <w:lang w:val="fr-CA"/>
              </w:rPr>
              <w:t>0</w:t>
            </w:r>
          </w:p>
        </w:tc>
      </w:tr>
      <w:tr w:rsidR="00D60C4D" w:rsidRPr="00193822" w14:paraId="252F1991" w14:textId="77777777" w:rsidTr="003F6509">
        <w:trPr>
          <w:cantSplit/>
          <w:tblHeader/>
          <w:jc w:val="center"/>
        </w:trPr>
        <w:tc>
          <w:tcPr>
            <w:tcW w:w="2263" w:type="dxa"/>
            <w:shd w:val="clear" w:color="auto" w:fill="0070C0"/>
            <w:vAlign w:val="center"/>
          </w:tcPr>
          <w:p w14:paraId="6CA17E05" w14:textId="77777777" w:rsidR="00D60C4D" w:rsidRPr="00193822" w:rsidRDefault="00D60C4D" w:rsidP="00D60C4D">
            <w:pPr>
              <w:pStyle w:val="Level1"/>
              <w:tabs>
                <w:tab w:val="left" w:pos="-1440"/>
              </w:tabs>
              <w:autoSpaceDE w:val="0"/>
              <w:autoSpaceDN w:val="0"/>
              <w:adjustRightInd w:val="0"/>
              <w:spacing w:after="120" w:line="20" w:lineRule="atLeast"/>
              <w:jc w:val="right"/>
              <w:rPr>
                <w:rFonts w:asciiTheme="minorHAnsi" w:hAnsiTheme="minorHAnsi" w:cstheme="minorHAnsi"/>
                <w:color w:val="FFFFFF" w:themeColor="background1"/>
                <w:sz w:val="22"/>
                <w:lang w:val="fr-CA"/>
              </w:rPr>
            </w:pPr>
            <w:r w:rsidRPr="00193822">
              <w:rPr>
                <w:rFonts w:asciiTheme="minorHAnsi" w:hAnsiTheme="minorHAnsi" w:cstheme="minorHAnsi"/>
                <w:color w:val="FFFFFF" w:themeColor="background1"/>
                <w:sz w:val="22"/>
                <w:lang w:val="fr-CA"/>
              </w:rPr>
              <w:t>2017 - 2018</w:t>
            </w:r>
          </w:p>
        </w:tc>
        <w:tc>
          <w:tcPr>
            <w:tcW w:w="3394" w:type="dxa"/>
            <w:shd w:val="clear" w:color="auto" w:fill="auto"/>
            <w:vAlign w:val="center"/>
          </w:tcPr>
          <w:p w14:paraId="0A6C80B4" w14:textId="77777777" w:rsidR="00D60C4D" w:rsidRPr="00193822" w:rsidRDefault="00D60C4D" w:rsidP="00D60C4D">
            <w:pPr>
              <w:pStyle w:val="Level1"/>
              <w:tabs>
                <w:tab w:val="left" w:pos="-1440"/>
              </w:tabs>
              <w:autoSpaceDE w:val="0"/>
              <w:autoSpaceDN w:val="0"/>
              <w:adjustRightInd w:val="0"/>
              <w:spacing w:after="120" w:line="20" w:lineRule="atLeast"/>
              <w:jc w:val="center"/>
              <w:rPr>
                <w:rFonts w:asciiTheme="minorHAnsi" w:hAnsiTheme="minorHAnsi" w:cstheme="minorHAnsi"/>
                <w:sz w:val="22"/>
                <w:lang w:val="fr-CA"/>
              </w:rPr>
            </w:pPr>
            <w:r w:rsidRPr="00193822">
              <w:rPr>
                <w:rFonts w:asciiTheme="minorHAnsi" w:hAnsiTheme="minorHAnsi" w:cstheme="minorHAnsi"/>
                <w:sz w:val="22"/>
                <w:lang w:val="fr-CA"/>
              </w:rPr>
              <w:t>0</w:t>
            </w:r>
          </w:p>
        </w:tc>
        <w:tc>
          <w:tcPr>
            <w:tcW w:w="0" w:type="auto"/>
            <w:shd w:val="clear" w:color="auto" w:fill="auto"/>
            <w:vAlign w:val="center"/>
          </w:tcPr>
          <w:p w14:paraId="7F9228AB" w14:textId="77777777" w:rsidR="00D60C4D" w:rsidRPr="00193822" w:rsidRDefault="00D60C4D" w:rsidP="00D60C4D">
            <w:pPr>
              <w:pStyle w:val="Level1"/>
              <w:tabs>
                <w:tab w:val="left" w:pos="-1440"/>
              </w:tabs>
              <w:autoSpaceDE w:val="0"/>
              <w:autoSpaceDN w:val="0"/>
              <w:adjustRightInd w:val="0"/>
              <w:spacing w:after="120" w:line="20" w:lineRule="atLeast"/>
              <w:jc w:val="center"/>
              <w:rPr>
                <w:rFonts w:asciiTheme="minorHAnsi" w:hAnsiTheme="minorHAnsi" w:cstheme="minorHAnsi"/>
                <w:sz w:val="22"/>
                <w:lang w:val="fr-CA"/>
              </w:rPr>
            </w:pPr>
            <w:r w:rsidRPr="00193822">
              <w:rPr>
                <w:rFonts w:asciiTheme="minorHAnsi" w:hAnsiTheme="minorHAnsi" w:cstheme="minorHAnsi"/>
                <w:sz w:val="22"/>
                <w:lang w:val="fr-CA"/>
              </w:rPr>
              <w:t>0</w:t>
            </w:r>
          </w:p>
        </w:tc>
      </w:tr>
      <w:tr w:rsidR="00D60C4D" w:rsidRPr="00193822" w14:paraId="5DC0842C" w14:textId="77777777" w:rsidTr="003F6509">
        <w:trPr>
          <w:cantSplit/>
          <w:tblHeader/>
          <w:jc w:val="center"/>
        </w:trPr>
        <w:tc>
          <w:tcPr>
            <w:tcW w:w="2263" w:type="dxa"/>
            <w:shd w:val="clear" w:color="auto" w:fill="0070C0"/>
            <w:vAlign w:val="center"/>
          </w:tcPr>
          <w:p w14:paraId="1AF48374" w14:textId="77777777" w:rsidR="00D60C4D" w:rsidRPr="00193822" w:rsidRDefault="00D60C4D" w:rsidP="00D60C4D">
            <w:pPr>
              <w:pStyle w:val="Level1"/>
              <w:tabs>
                <w:tab w:val="left" w:pos="-1440"/>
              </w:tabs>
              <w:autoSpaceDE w:val="0"/>
              <w:autoSpaceDN w:val="0"/>
              <w:adjustRightInd w:val="0"/>
              <w:spacing w:after="120" w:line="20" w:lineRule="atLeast"/>
              <w:jc w:val="right"/>
              <w:rPr>
                <w:rFonts w:asciiTheme="minorHAnsi" w:hAnsiTheme="minorHAnsi" w:cstheme="minorHAnsi"/>
                <w:color w:val="FFFFFF" w:themeColor="background1"/>
                <w:sz w:val="22"/>
                <w:lang w:val="fr-CA"/>
              </w:rPr>
            </w:pPr>
            <w:r w:rsidRPr="00193822">
              <w:rPr>
                <w:rFonts w:asciiTheme="minorHAnsi" w:hAnsiTheme="minorHAnsi" w:cstheme="minorHAnsi"/>
                <w:color w:val="FFFFFF" w:themeColor="background1"/>
                <w:sz w:val="22"/>
                <w:lang w:val="fr-CA"/>
              </w:rPr>
              <w:t>2018 – 2019</w:t>
            </w:r>
          </w:p>
        </w:tc>
        <w:tc>
          <w:tcPr>
            <w:tcW w:w="3394" w:type="dxa"/>
            <w:shd w:val="clear" w:color="auto" w:fill="auto"/>
            <w:vAlign w:val="center"/>
          </w:tcPr>
          <w:p w14:paraId="3163C053" w14:textId="77777777" w:rsidR="00D60C4D" w:rsidRPr="00193822" w:rsidRDefault="00D60C4D" w:rsidP="00D60C4D">
            <w:pPr>
              <w:pStyle w:val="Level1"/>
              <w:tabs>
                <w:tab w:val="left" w:pos="-1440"/>
              </w:tabs>
              <w:autoSpaceDE w:val="0"/>
              <w:autoSpaceDN w:val="0"/>
              <w:adjustRightInd w:val="0"/>
              <w:spacing w:after="120" w:line="20" w:lineRule="atLeast"/>
              <w:jc w:val="center"/>
              <w:rPr>
                <w:rFonts w:asciiTheme="minorHAnsi" w:hAnsiTheme="minorHAnsi" w:cstheme="minorHAnsi"/>
                <w:sz w:val="22"/>
                <w:lang w:val="fr-CA"/>
              </w:rPr>
            </w:pPr>
            <w:r w:rsidRPr="00193822">
              <w:rPr>
                <w:rFonts w:asciiTheme="minorHAnsi" w:hAnsiTheme="minorHAnsi" w:cstheme="minorHAnsi"/>
                <w:sz w:val="22"/>
                <w:lang w:val="fr-CA"/>
              </w:rPr>
              <w:t>0</w:t>
            </w:r>
          </w:p>
        </w:tc>
        <w:tc>
          <w:tcPr>
            <w:tcW w:w="0" w:type="auto"/>
            <w:shd w:val="clear" w:color="auto" w:fill="auto"/>
            <w:vAlign w:val="center"/>
          </w:tcPr>
          <w:p w14:paraId="5AD5F90E" w14:textId="77777777" w:rsidR="00D60C4D" w:rsidRPr="00193822" w:rsidRDefault="00D60C4D" w:rsidP="00D60C4D">
            <w:pPr>
              <w:pStyle w:val="Level1"/>
              <w:tabs>
                <w:tab w:val="left" w:pos="-1440"/>
              </w:tabs>
              <w:autoSpaceDE w:val="0"/>
              <w:autoSpaceDN w:val="0"/>
              <w:adjustRightInd w:val="0"/>
              <w:spacing w:after="120" w:line="20" w:lineRule="atLeast"/>
              <w:jc w:val="center"/>
              <w:rPr>
                <w:rFonts w:asciiTheme="minorHAnsi" w:hAnsiTheme="minorHAnsi" w:cstheme="minorHAnsi"/>
                <w:sz w:val="22"/>
                <w:lang w:val="fr-CA"/>
              </w:rPr>
            </w:pPr>
            <w:r w:rsidRPr="00193822">
              <w:rPr>
                <w:rFonts w:asciiTheme="minorHAnsi" w:hAnsiTheme="minorHAnsi" w:cstheme="minorHAnsi"/>
                <w:sz w:val="22"/>
                <w:lang w:val="fr-CA"/>
              </w:rPr>
              <w:t>0</w:t>
            </w:r>
          </w:p>
        </w:tc>
      </w:tr>
      <w:tr w:rsidR="00D60C4D" w:rsidRPr="00193822" w14:paraId="0336AC4D" w14:textId="77777777" w:rsidTr="003F6509">
        <w:trPr>
          <w:cantSplit/>
          <w:tblHeader/>
          <w:jc w:val="center"/>
        </w:trPr>
        <w:tc>
          <w:tcPr>
            <w:tcW w:w="2263" w:type="dxa"/>
            <w:shd w:val="clear" w:color="auto" w:fill="0070C0"/>
            <w:vAlign w:val="center"/>
          </w:tcPr>
          <w:p w14:paraId="3D9B7004" w14:textId="77777777" w:rsidR="00D60C4D" w:rsidRPr="00193822" w:rsidRDefault="00D60C4D" w:rsidP="00D60C4D">
            <w:pPr>
              <w:pStyle w:val="Level1"/>
              <w:tabs>
                <w:tab w:val="left" w:pos="-1440"/>
              </w:tabs>
              <w:autoSpaceDE w:val="0"/>
              <w:autoSpaceDN w:val="0"/>
              <w:adjustRightInd w:val="0"/>
              <w:spacing w:after="120" w:line="20" w:lineRule="atLeast"/>
              <w:jc w:val="right"/>
              <w:rPr>
                <w:rFonts w:asciiTheme="minorHAnsi" w:hAnsiTheme="minorHAnsi" w:cstheme="minorHAnsi"/>
                <w:color w:val="FFFFFF" w:themeColor="background1"/>
                <w:sz w:val="22"/>
                <w:lang w:val="fr-CA"/>
              </w:rPr>
            </w:pPr>
            <w:r w:rsidRPr="00193822">
              <w:rPr>
                <w:rFonts w:asciiTheme="minorHAnsi" w:hAnsiTheme="minorHAnsi" w:cstheme="minorHAnsi"/>
                <w:color w:val="FFFFFF" w:themeColor="background1"/>
                <w:sz w:val="22"/>
                <w:lang w:val="fr-CA"/>
              </w:rPr>
              <w:t>Août 2019</w:t>
            </w:r>
          </w:p>
        </w:tc>
        <w:tc>
          <w:tcPr>
            <w:tcW w:w="3394" w:type="dxa"/>
            <w:shd w:val="clear" w:color="auto" w:fill="auto"/>
            <w:vAlign w:val="center"/>
          </w:tcPr>
          <w:p w14:paraId="0F250FBD" w14:textId="77777777" w:rsidR="00D60C4D" w:rsidRPr="00193822" w:rsidRDefault="00D60C4D" w:rsidP="00D60C4D">
            <w:pPr>
              <w:pStyle w:val="Level1"/>
              <w:tabs>
                <w:tab w:val="left" w:pos="-1440"/>
              </w:tabs>
              <w:autoSpaceDE w:val="0"/>
              <w:autoSpaceDN w:val="0"/>
              <w:adjustRightInd w:val="0"/>
              <w:spacing w:after="120" w:line="20" w:lineRule="atLeast"/>
              <w:jc w:val="center"/>
              <w:rPr>
                <w:rFonts w:asciiTheme="minorHAnsi" w:hAnsiTheme="minorHAnsi" w:cstheme="minorHAnsi"/>
                <w:sz w:val="22"/>
                <w:lang w:val="fr-CA"/>
              </w:rPr>
            </w:pPr>
            <w:r w:rsidRPr="00193822">
              <w:rPr>
                <w:rFonts w:asciiTheme="minorHAnsi" w:hAnsiTheme="minorHAnsi" w:cstheme="minorHAnsi"/>
                <w:sz w:val="22"/>
                <w:lang w:val="fr-CA"/>
              </w:rPr>
              <w:t>0</w:t>
            </w:r>
          </w:p>
        </w:tc>
        <w:tc>
          <w:tcPr>
            <w:tcW w:w="0" w:type="auto"/>
            <w:shd w:val="clear" w:color="auto" w:fill="auto"/>
            <w:vAlign w:val="center"/>
          </w:tcPr>
          <w:p w14:paraId="1BD987AD" w14:textId="77777777" w:rsidR="00D60C4D" w:rsidRPr="00193822" w:rsidRDefault="00D60C4D" w:rsidP="00D60C4D">
            <w:pPr>
              <w:pStyle w:val="Level1"/>
              <w:tabs>
                <w:tab w:val="left" w:pos="-1440"/>
              </w:tabs>
              <w:autoSpaceDE w:val="0"/>
              <w:autoSpaceDN w:val="0"/>
              <w:adjustRightInd w:val="0"/>
              <w:spacing w:after="120" w:line="20" w:lineRule="atLeast"/>
              <w:jc w:val="center"/>
              <w:rPr>
                <w:rFonts w:asciiTheme="minorHAnsi" w:hAnsiTheme="minorHAnsi" w:cstheme="minorHAnsi"/>
                <w:sz w:val="22"/>
                <w:lang w:val="fr-CA"/>
              </w:rPr>
            </w:pPr>
            <w:r w:rsidRPr="00193822">
              <w:rPr>
                <w:rFonts w:asciiTheme="minorHAnsi" w:hAnsiTheme="minorHAnsi" w:cstheme="minorHAnsi"/>
                <w:sz w:val="22"/>
                <w:lang w:val="fr-CA"/>
              </w:rPr>
              <w:t>0</w:t>
            </w:r>
          </w:p>
        </w:tc>
      </w:tr>
      <w:tr w:rsidR="00D60C4D" w:rsidRPr="00193822" w14:paraId="7461FA8D" w14:textId="77777777" w:rsidTr="003F6509">
        <w:trPr>
          <w:cantSplit/>
          <w:tblHeader/>
          <w:jc w:val="center"/>
        </w:trPr>
        <w:tc>
          <w:tcPr>
            <w:tcW w:w="2263" w:type="dxa"/>
            <w:shd w:val="clear" w:color="auto" w:fill="BAF8FF" w:themeFill="accent3" w:themeFillTint="33"/>
            <w:vAlign w:val="center"/>
          </w:tcPr>
          <w:p w14:paraId="637CBF24" w14:textId="77777777" w:rsidR="00D60C4D" w:rsidRPr="00193822" w:rsidRDefault="00D60C4D" w:rsidP="00D60C4D">
            <w:pPr>
              <w:pStyle w:val="Level1"/>
              <w:tabs>
                <w:tab w:val="left" w:pos="-1440"/>
              </w:tabs>
              <w:autoSpaceDE w:val="0"/>
              <w:autoSpaceDN w:val="0"/>
              <w:adjustRightInd w:val="0"/>
              <w:spacing w:after="120" w:line="20" w:lineRule="atLeast"/>
              <w:jc w:val="center"/>
              <w:rPr>
                <w:rFonts w:asciiTheme="minorHAnsi" w:hAnsiTheme="minorHAnsi" w:cstheme="minorHAnsi"/>
                <w:sz w:val="22"/>
                <w:lang w:val="fr-CA"/>
              </w:rPr>
            </w:pPr>
            <w:r w:rsidRPr="00193822">
              <w:rPr>
                <w:rFonts w:asciiTheme="minorHAnsi" w:hAnsiTheme="minorHAnsi" w:cstheme="minorHAnsi"/>
                <w:sz w:val="22"/>
                <w:lang w:val="fr-CA"/>
              </w:rPr>
              <w:t>Total</w:t>
            </w:r>
          </w:p>
        </w:tc>
        <w:tc>
          <w:tcPr>
            <w:tcW w:w="3394" w:type="dxa"/>
            <w:shd w:val="clear" w:color="auto" w:fill="BAF8FF" w:themeFill="accent3" w:themeFillTint="33"/>
            <w:vAlign w:val="center"/>
          </w:tcPr>
          <w:p w14:paraId="43BDB89F" w14:textId="77777777" w:rsidR="00D60C4D" w:rsidRPr="00193822" w:rsidRDefault="00D60C4D" w:rsidP="00D60C4D">
            <w:pPr>
              <w:pStyle w:val="Level1"/>
              <w:tabs>
                <w:tab w:val="left" w:pos="-1440"/>
              </w:tabs>
              <w:autoSpaceDE w:val="0"/>
              <w:autoSpaceDN w:val="0"/>
              <w:adjustRightInd w:val="0"/>
              <w:spacing w:after="120" w:line="20" w:lineRule="atLeast"/>
              <w:jc w:val="center"/>
              <w:rPr>
                <w:rFonts w:asciiTheme="minorHAnsi" w:hAnsiTheme="minorHAnsi" w:cstheme="minorHAnsi"/>
                <w:sz w:val="22"/>
                <w:lang w:val="fr-CA"/>
              </w:rPr>
            </w:pPr>
            <w:r w:rsidRPr="00193822">
              <w:rPr>
                <w:rFonts w:asciiTheme="minorHAnsi" w:hAnsiTheme="minorHAnsi" w:cstheme="minorHAnsi"/>
                <w:sz w:val="22"/>
                <w:lang w:val="fr-CA"/>
              </w:rPr>
              <w:t>0</w:t>
            </w:r>
          </w:p>
        </w:tc>
        <w:tc>
          <w:tcPr>
            <w:tcW w:w="0" w:type="auto"/>
            <w:shd w:val="clear" w:color="auto" w:fill="BAF8FF" w:themeFill="accent3" w:themeFillTint="33"/>
            <w:vAlign w:val="center"/>
          </w:tcPr>
          <w:p w14:paraId="606095DC" w14:textId="77777777" w:rsidR="00D60C4D" w:rsidRPr="00193822" w:rsidRDefault="00D60C4D" w:rsidP="00D60C4D">
            <w:pPr>
              <w:pStyle w:val="Level1"/>
              <w:tabs>
                <w:tab w:val="left" w:pos="-1440"/>
              </w:tabs>
              <w:autoSpaceDE w:val="0"/>
              <w:autoSpaceDN w:val="0"/>
              <w:adjustRightInd w:val="0"/>
              <w:spacing w:after="120" w:line="20" w:lineRule="atLeast"/>
              <w:jc w:val="center"/>
              <w:rPr>
                <w:rFonts w:asciiTheme="minorHAnsi" w:hAnsiTheme="minorHAnsi" w:cstheme="minorHAnsi"/>
                <w:sz w:val="22"/>
                <w:lang w:val="fr-CA"/>
              </w:rPr>
            </w:pPr>
            <w:r w:rsidRPr="00193822">
              <w:rPr>
                <w:rFonts w:asciiTheme="minorHAnsi" w:hAnsiTheme="minorHAnsi" w:cstheme="minorHAnsi"/>
                <w:sz w:val="22"/>
                <w:lang w:val="fr-CA"/>
              </w:rPr>
              <w:t>0</w:t>
            </w:r>
          </w:p>
        </w:tc>
      </w:tr>
    </w:tbl>
    <w:p w14:paraId="6DD5E70F" w14:textId="77777777" w:rsidR="00D60C4D" w:rsidRPr="00193822" w:rsidRDefault="00D60C4D" w:rsidP="006A7B11">
      <w:pPr>
        <w:rPr>
          <w:rFonts w:asciiTheme="minorHAnsi" w:hAnsiTheme="minorHAnsi" w:cstheme="minorHAnsi"/>
          <w:sz w:val="22"/>
          <w:szCs w:val="22"/>
          <w:lang w:val="fr-CA"/>
        </w:rPr>
      </w:pPr>
      <w:r w:rsidRPr="00193822">
        <w:rPr>
          <w:rFonts w:asciiTheme="minorHAnsi" w:hAnsiTheme="minorHAnsi" w:cstheme="minorHAnsi"/>
          <w:sz w:val="22"/>
          <w:szCs w:val="22"/>
          <w:lang w:val="fr-CA"/>
        </w:rPr>
        <w:t>Source: Système de gestion de l’information sur les priorités de la CFP</w:t>
      </w:r>
    </w:p>
    <w:p w14:paraId="708DE666" w14:textId="5FFAA80E" w:rsidR="00862C57" w:rsidRPr="00193822" w:rsidRDefault="00862C57" w:rsidP="00D60C4D">
      <w:pPr>
        <w:pStyle w:val="Sansinterligne"/>
        <w:rPr>
          <w:rFonts w:asciiTheme="minorHAnsi" w:hAnsiTheme="minorHAnsi" w:cstheme="minorHAnsi"/>
          <w:color w:val="000000"/>
          <w:sz w:val="22"/>
          <w:szCs w:val="22"/>
          <w:lang w:val="fr-CA"/>
        </w:rPr>
      </w:pPr>
    </w:p>
    <w:p w14:paraId="180EE124" w14:textId="77777777" w:rsidR="00D60C4D" w:rsidRPr="00193822" w:rsidRDefault="00D60C4D" w:rsidP="00D60C4D">
      <w:pPr>
        <w:pStyle w:val="Titre1"/>
        <w:spacing w:after="240"/>
        <w:rPr>
          <w:lang w:val="fr-CA"/>
        </w:rPr>
        <w:sectPr w:rsidR="00D60C4D" w:rsidRPr="00193822" w:rsidSect="003F6509">
          <w:pgSz w:w="12240" w:h="15840"/>
          <w:pgMar w:top="1440" w:right="1080" w:bottom="1440" w:left="1080" w:header="708" w:footer="708" w:gutter="0"/>
          <w:cols w:space="708"/>
          <w:titlePg/>
          <w:docGrid w:linePitch="360"/>
        </w:sectPr>
      </w:pPr>
    </w:p>
    <w:p w14:paraId="0ECCC9C6" w14:textId="43BF2C2F" w:rsidR="00862C57" w:rsidRPr="00193822" w:rsidRDefault="00862C57" w:rsidP="00D60C4D">
      <w:pPr>
        <w:pStyle w:val="Titre1"/>
        <w:spacing w:after="240"/>
        <w:rPr>
          <w:lang w:val="fr-CA"/>
        </w:rPr>
      </w:pPr>
      <w:r w:rsidRPr="00193822">
        <w:rPr>
          <w:lang w:val="fr-CA"/>
        </w:rPr>
        <w:lastRenderedPageBreak/>
        <w:t xml:space="preserve">Impartialité politique dans la fonction publique </w:t>
      </w:r>
    </w:p>
    <w:p w14:paraId="485D0548" w14:textId="57BA6A4D" w:rsidR="00862C57" w:rsidRPr="00193822" w:rsidRDefault="00862C57" w:rsidP="0079330F">
      <w:pPr>
        <w:pStyle w:val="Sansinterligne"/>
        <w:spacing w:after="12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Depuis le 1</w:t>
      </w:r>
      <w:r w:rsidRPr="00193822">
        <w:rPr>
          <w:rFonts w:asciiTheme="minorHAnsi" w:hAnsiTheme="minorHAnsi" w:cstheme="minorHAnsi"/>
          <w:color w:val="000000"/>
          <w:sz w:val="22"/>
          <w:szCs w:val="22"/>
          <w:vertAlign w:val="superscript"/>
          <w:lang w:val="fr-CA"/>
        </w:rPr>
        <w:t>er</w:t>
      </w:r>
      <w:r w:rsidRPr="00193822">
        <w:rPr>
          <w:rFonts w:asciiTheme="minorHAnsi" w:hAnsiTheme="minorHAnsi" w:cstheme="minorHAnsi"/>
          <w:color w:val="000000"/>
          <w:sz w:val="22"/>
          <w:szCs w:val="22"/>
          <w:lang w:val="fr-CA"/>
        </w:rPr>
        <w:t> avril 2015, la CFP n’a traité aucune demande d’autorisation de mise en candidature à des électio</w:t>
      </w:r>
      <w:r w:rsidR="0079330F" w:rsidRPr="00193822">
        <w:rPr>
          <w:rFonts w:asciiTheme="minorHAnsi" w:hAnsiTheme="minorHAnsi" w:cstheme="minorHAnsi"/>
          <w:color w:val="000000"/>
          <w:sz w:val="22"/>
          <w:szCs w:val="22"/>
          <w:lang w:val="fr-CA"/>
        </w:rPr>
        <w:t>ns provenant de l’organisation.</w:t>
      </w:r>
    </w:p>
    <w:p w14:paraId="33A07B5E" w14:textId="77777777" w:rsidR="00862C57" w:rsidRPr="00193822" w:rsidRDefault="00862C57" w:rsidP="00D60C4D">
      <w:pPr>
        <w:pStyle w:val="Sansinterligne"/>
        <w:rPr>
          <w:rFonts w:asciiTheme="minorHAnsi" w:hAnsiTheme="minorHAnsi" w:cstheme="minorHAnsi"/>
          <w:i/>
          <w:color w:val="000000"/>
          <w:sz w:val="22"/>
          <w:szCs w:val="22"/>
          <w:lang w:val="fr-CA"/>
        </w:rPr>
      </w:pPr>
      <w:r w:rsidRPr="00193822">
        <w:rPr>
          <w:rFonts w:asciiTheme="minorHAnsi" w:hAnsiTheme="minorHAnsi" w:cstheme="minorHAnsi"/>
          <w:color w:val="000000"/>
          <w:sz w:val="22"/>
          <w:szCs w:val="22"/>
          <w:lang w:val="fr-CA"/>
        </w:rPr>
        <w:t>Les résultats du SDIP de 2018 indiquent que le niveau de sensibilisation des employés de BAC à l’égard de leurs droits et responsabilités légales en matière d’activités politiques est de 81 %, comparativement à 80,1 % pour l’ensemble de la fonction publique.</w:t>
      </w:r>
    </w:p>
    <w:p w14:paraId="37D2D4CC" w14:textId="07AAEB97" w:rsidR="00862C57" w:rsidRPr="00193822" w:rsidRDefault="003F6509" w:rsidP="00D60C4D">
      <w:pPr>
        <w:pStyle w:val="Titre1"/>
        <w:spacing w:after="240"/>
        <w:rPr>
          <w:sz w:val="46"/>
          <w:szCs w:val="46"/>
          <w:lang w:val="fr-CA"/>
        </w:rPr>
      </w:pPr>
      <w:r w:rsidRPr="00193822">
        <w:rPr>
          <w:sz w:val="46"/>
          <w:szCs w:val="46"/>
          <w:lang w:val="fr-CA"/>
        </w:rPr>
        <w:t xml:space="preserve">Initiatives de la Commission de la fonction </w:t>
      </w:r>
      <w:r w:rsidR="00862C57" w:rsidRPr="00193822">
        <w:rPr>
          <w:sz w:val="46"/>
          <w:szCs w:val="46"/>
          <w:lang w:val="fr-CA"/>
        </w:rPr>
        <w:t>publique</w:t>
      </w:r>
      <w:r w:rsidR="00103088" w:rsidRPr="00193822">
        <w:rPr>
          <w:sz w:val="46"/>
          <w:szCs w:val="46"/>
          <w:lang w:val="fr-CA"/>
        </w:rPr>
        <w:t xml:space="preserve"> (CFP)</w:t>
      </w:r>
      <w:r w:rsidR="00862C57" w:rsidRPr="00193822">
        <w:rPr>
          <w:sz w:val="46"/>
          <w:szCs w:val="46"/>
          <w:lang w:val="fr-CA"/>
        </w:rPr>
        <w:t xml:space="preserve"> </w:t>
      </w:r>
    </w:p>
    <w:p w14:paraId="102DEE40" w14:textId="77777777" w:rsidR="00862C57" w:rsidRPr="00193822" w:rsidRDefault="00862C57" w:rsidP="00D60C4D">
      <w:pPr>
        <w:pStyle w:val="Sansinterligne"/>
        <w:rPr>
          <w:rFonts w:asciiTheme="minorHAnsi" w:hAnsiTheme="minorHAnsi" w:cstheme="minorHAnsi"/>
          <w:i/>
          <w:sz w:val="22"/>
          <w:szCs w:val="22"/>
          <w:lang w:val="fr-CA"/>
        </w:rPr>
      </w:pPr>
      <w:r w:rsidRPr="00193822">
        <w:rPr>
          <w:rFonts w:asciiTheme="minorHAnsi" w:hAnsiTheme="minorHAnsi" w:cstheme="minorHAnsi"/>
          <w:color w:val="000000"/>
          <w:sz w:val="22"/>
          <w:szCs w:val="22"/>
          <w:lang w:val="fr-CA"/>
        </w:rPr>
        <w:t>BAC ne participe à aucune initiative de la CFP.</w:t>
      </w:r>
    </w:p>
    <w:p w14:paraId="4D19C020" w14:textId="77777777" w:rsidR="00862C57" w:rsidRPr="00193822" w:rsidRDefault="00862C57" w:rsidP="00D60C4D">
      <w:pPr>
        <w:pStyle w:val="Titre1"/>
        <w:spacing w:after="240"/>
        <w:rPr>
          <w:lang w:val="fr-CA"/>
        </w:rPr>
      </w:pPr>
      <w:r w:rsidRPr="00193822">
        <w:rPr>
          <w:lang w:val="fr-CA"/>
        </w:rPr>
        <w:t xml:space="preserve">Soutien en dotation </w:t>
      </w:r>
    </w:p>
    <w:p w14:paraId="5CE8E1C9" w14:textId="77777777" w:rsidR="00862C57" w:rsidRPr="00193822" w:rsidRDefault="00862C57" w:rsidP="00D60C4D">
      <w:pPr>
        <w:pStyle w:val="Titre2"/>
        <w:spacing w:after="120"/>
        <w:rPr>
          <w:u w:val="single"/>
          <w:lang w:val="fr-CA"/>
        </w:rPr>
      </w:pPr>
      <w:r w:rsidRPr="00193822">
        <w:rPr>
          <w:lang w:val="fr-CA"/>
        </w:rPr>
        <w:t xml:space="preserve">Représentants de la Commission de la fonction publique et personnes-ressources au sein de l’organisation </w:t>
      </w:r>
    </w:p>
    <w:p w14:paraId="1E21A178" w14:textId="6AC7DD08" w:rsidR="00862C57" w:rsidRPr="00193822" w:rsidRDefault="00862C57" w:rsidP="00D60C4D">
      <w:pPr>
        <w:rPr>
          <w:rFonts w:asciiTheme="minorHAnsi" w:hAnsiTheme="minorHAnsi" w:cstheme="minorHAnsi"/>
          <w:sz w:val="22"/>
          <w:szCs w:val="22"/>
          <w:lang w:val="fr-CA" w:eastAsia="en-CA"/>
        </w:rPr>
      </w:pPr>
      <w:r w:rsidRPr="00193822">
        <w:rPr>
          <w:rFonts w:asciiTheme="minorHAnsi" w:hAnsiTheme="minorHAnsi" w:cstheme="minorHAnsi"/>
          <w:sz w:val="22"/>
          <w:szCs w:val="22"/>
          <w:lang w:val="fr-CA" w:eastAsia="en-CA"/>
        </w:rPr>
        <w:t xml:space="preserve">La CSD </w:t>
      </w:r>
      <w:r w:rsidR="00A32456" w:rsidRPr="00193822">
        <w:rPr>
          <w:rFonts w:asciiTheme="minorHAnsi" w:hAnsiTheme="minorHAnsi" w:cstheme="minorHAnsi"/>
          <w:sz w:val="22"/>
          <w:szCs w:val="22"/>
          <w:lang w:val="fr-CA" w:eastAsia="en-CA"/>
        </w:rPr>
        <w:t xml:space="preserve">assignée </w:t>
      </w:r>
      <w:r w:rsidRPr="00193822">
        <w:rPr>
          <w:rFonts w:asciiTheme="minorHAnsi" w:hAnsiTheme="minorHAnsi" w:cstheme="minorHAnsi"/>
          <w:sz w:val="22"/>
          <w:szCs w:val="22"/>
          <w:lang w:val="fr-CA" w:eastAsia="en-CA"/>
        </w:rPr>
        <w:t xml:space="preserve">à cette organisation est Véronique Geoffroy, la principale personne-ressource au sein de l’organisation est Nathalie Des Rosiers, directrice des programmes et politiques en matière de ressources humaines (RH), et la chef des RH est Nancy </w:t>
      </w:r>
      <w:proofErr w:type="spellStart"/>
      <w:r w:rsidRPr="00193822">
        <w:rPr>
          <w:rFonts w:asciiTheme="minorHAnsi" w:hAnsiTheme="minorHAnsi" w:cstheme="minorHAnsi"/>
          <w:sz w:val="22"/>
          <w:szCs w:val="22"/>
          <w:lang w:val="fr-CA" w:eastAsia="en-CA"/>
        </w:rPr>
        <w:t>Taillon</w:t>
      </w:r>
      <w:proofErr w:type="spellEnd"/>
      <w:r w:rsidRPr="00193822">
        <w:rPr>
          <w:rFonts w:asciiTheme="minorHAnsi" w:hAnsiTheme="minorHAnsi" w:cstheme="minorHAnsi"/>
          <w:sz w:val="22"/>
          <w:szCs w:val="22"/>
          <w:lang w:val="fr-CA" w:eastAsia="en-CA"/>
        </w:rPr>
        <w:t>, directrice générale et dirigeante principale de la sécurité.</w:t>
      </w:r>
      <w:r w:rsidRPr="00193822">
        <w:rPr>
          <w:rFonts w:asciiTheme="minorHAnsi" w:hAnsiTheme="minorHAnsi" w:cstheme="minorHAnsi"/>
          <w:sz w:val="22"/>
          <w:szCs w:val="22"/>
          <w:lang w:val="fr-CA" w:eastAsia="en-CA"/>
        </w:rPr>
        <w:br w:type="page"/>
      </w:r>
    </w:p>
    <w:p w14:paraId="3202FDED" w14:textId="30122018" w:rsidR="00862C57" w:rsidRPr="00193822" w:rsidRDefault="00CE1339" w:rsidP="00A336D2">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60"/>
        <w:rPr>
          <w:rStyle w:val="lev"/>
          <w:lang w:val="fr-CA"/>
        </w:rPr>
      </w:pPr>
      <w:r w:rsidRPr="00193822">
        <w:rPr>
          <w:rStyle w:val="lev"/>
          <w:lang w:val="fr-CA"/>
        </w:rPr>
        <w:lastRenderedPageBreak/>
        <w:t>PRÉPARÉ PAR</w:t>
      </w:r>
    </w:p>
    <w:p w14:paraId="37D43BD9" w14:textId="77777777" w:rsidR="00862C57" w:rsidRPr="00193822" w:rsidRDefault="00862C57" w:rsidP="00D60C4D">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lang w:val="fr-CA"/>
        </w:rPr>
      </w:pPr>
      <w:r w:rsidRPr="00193822">
        <w:rPr>
          <w:rFonts w:asciiTheme="minorHAnsi" w:hAnsiTheme="minorHAnsi" w:cstheme="minorHAnsi"/>
          <w:sz w:val="22"/>
          <w:szCs w:val="22"/>
          <w:lang w:val="fr-CA"/>
        </w:rPr>
        <w:t>Véronique Geoffroy</w:t>
      </w:r>
    </w:p>
    <w:p w14:paraId="30D82F88" w14:textId="77777777" w:rsidR="00370A29" w:rsidRPr="00193822" w:rsidRDefault="00862C57" w:rsidP="00D60C4D">
      <w:pPr>
        <w:pStyle w:val="Commentaire"/>
        <w:rPr>
          <w:rFonts w:asciiTheme="minorHAnsi" w:hAnsiTheme="minorHAnsi" w:cstheme="minorHAnsi"/>
          <w:sz w:val="22"/>
          <w:szCs w:val="22"/>
          <w:lang w:val="fr-CA"/>
        </w:rPr>
      </w:pPr>
      <w:r w:rsidRPr="00193822">
        <w:rPr>
          <w:rFonts w:asciiTheme="minorHAnsi" w:hAnsiTheme="minorHAnsi" w:cstheme="minorHAnsi"/>
          <w:sz w:val="22"/>
          <w:szCs w:val="22"/>
          <w:lang w:val="fr-CA"/>
        </w:rPr>
        <w:t>Conseillère au soutien en dotation</w:t>
      </w:r>
    </w:p>
    <w:p w14:paraId="46DD9E3C" w14:textId="258CF254" w:rsidR="00862C57" w:rsidRPr="00193822" w:rsidRDefault="0079330F" w:rsidP="007933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0"/>
        <w:rPr>
          <w:rFonts w:asciiTheme="minorHAnsi" w:hAnsiTheme="minorHAnsi" w:cstheme="minorHAnsi"/>
          <w:b/>
          <w:bCs/>
          <w:sz w:val="22"/>
          <w:lang w:val="fr-CA"/>
        </w:rPr>
      </w:pPr>
      <w:r w:rsidRPr="00193822">
        <w:rPr>
          <w:rStyle w:val="lev"/>
          <w:rFonts w:cstheme="minorHAnsi"/>
          <w:b w:val="0"/>
          <w:lang w:val="fr-CA"/>
        </w:rPr>
        <w:t xml:space="preserve">Annexes </w:t>
      </w:r>
    </w:p>
    <w:p w14:paraId="580DDD7E" w14:textId="77777777" w:rsidR="007B66C7" w:rsidRPr="00193822" w:rsidRDefault="00A336D2" w:rsidP="007B66C7">
      <w:pPr>
        <w:pStyle w:val="Paragraphedeliste"/>
        <w:numPr>
          <w:ilvl w:val="0"/>
          <w:numId w:val="33"/>
        </w:numPr>
        <w:rPr>
          <w:rStyle w:val="Lienhypertexte"/>
          <w:rFonts w:asciiTheme="minorHAnsi" w:hAnsiTheme="minorHAnsi" w:cstheme="minorHAnsi"/>
          <w:bCs/>
          <w:sz w:val="22"/>
          <w:szCs w:val="22"/>
          <w:lang w:val="fr-CA"/>
        </w:rPr>
      </w:pPr>
      <w:hyperlink w:anchor="AnnexA" w:history="1">
        <w:r w:rsidR="007B66C7" w:rsidRPr="00193822">
          <w:rPr>
            <w:rStyle w:val="Lienhypertexte"/>
            <w:rFonts w:asciiTheme="minorHAnsi" w:hAnsiTheme="minorHAnsi" w:cstheme="minorHAnsi"/>
            <w:sz w:val="22"/>
            <w:szCs w:val="22"/>
            <w:lang w:val="fr-CA"/>
          </w:rPr>
          <w:t xml:space="preserve">Annexe A –  Document Faits Saillants de la Nouvelle orientation en dotation (NOD) pour les AG </w:t>
        </w:r>
      </w:hyperlink>
    </w:p>
    <w:p w14:paraId="26F70DFB" w14:textId="77777777" w:rsidR="007B66C7" w:rsidRPr="00193822" w:rsidRDefault="00A336D2" w:rsidP="007B66C7">
      <w:pPr>
        <w:pStyle w:val="Paragraphedeliste"/>
        <w:numPr>
          <w:ilvl w:val="0"/>
          <w:numId w:val="33"/>
        </w:numPr>
        <w:rPr>
          <w:rFonts w:asciiTheme="minorHAnsi" w:hAnsiTheme="minorHAnsi" w:cstheme="minorHAnsi"/>
          <w:bCs/>
          <w:sz w:val="22"/>
          <w:szCs w:val="22"/>
          <w:lang w:val="fr-CA"/>
        </w:rPr>
        <w:sectPr w:rsidR="007B66C7" w:rsidRPr="00193822" w:rsidSect="00954825">
          <w:footnotePr>
            <w:numFmt w:val="lowerLetter"/>
          </w:footnotePr>
          <w:endnotePr>
            <w:numFmt w:val="lowerLetter"/>
          </w:endnotePr>
          <w:pgSz w:w="12240" w:h="15840" w:code="1"/>
          <w:pgMar w:top="1440" w:right="1080" w:bottom="1440" w:left="1080" w:header="284" w:footer="284" w:gutter="0"/>
          <w:cols w:space="720"/>
          <w:docGrid w:linePitch="326"/>
        </w:sectPr>
      </w:pPr>
      <w:hyperlink w:anchor="AnnexB" w:history="1">
        <w:r w:rsidR="007B66C7" w:rsidRPr="00193822">
          <w:rPr>
            <w:rStyle w:val="Lienhypertexte"/>
            <w:rFonts w:asciiTheme="minorHAnsi" w:hAnsiTheme="minorHAnsi" w:cstheme="minorHAnsi"/>
            <w:sz w:val="22"/>
            <w:szCs w:val="22"/>
            <w:lang w:val="fr-CA"/>
          </w:rPr>
          <w:t>Annexe B - Données sur l’effectif et les activités de dotation</w:t>
        </w:r>
      </w:hyperlink>
    </w:p>
    <w:p w14:paraId="2E8D0E5D" w14:textId="4047CF1B" w:rsidR="00862C57" w:rsidRPr="00193822" w:rsidRDefault="009260FB" w:rsidP="00D60C4D">
      <w:pPr>
        <w:pStyle w:val="Titre3"/>
        <w:jc w:val="right"/>
        <w:rPr>
          <w:lang w:val="fr-CA"/>
        </w:rPr>
      </w:pPr>
      <w:bookmarkStart w:id="1" w:name="AnnexA"/>
      <w:r w:rsidRPr="00193822">
        <w:rPr>
          <w:lang w:val="fr-CA"/>
        </w:rPr>
        <w:lastRenderedPageBreak/>
        <w:t>Annexe A</w:t>
      </w:r>
    </w:p>
    <w:bookmarkEnd w:id="1"/>
    <w:p w14:paraId="36647F3A" w14:textId="77777777" w:rsidR="00EE4574" w:rsidRPr="00193822" w:rsidRDefault="00EE4574" w:rsidP="009B5F00">
      <w:pPr>
        <w:pStyle w:val="Titre2"/>
        <w:jc w:val="center"/>
        <w:rPr>
          <w:lang w:val="fr-CA"/>
        </w:rPr>
      </w:pPr>
      <w:r w:rsidRPr="00193822">
        <w:rPr>
          <w:lang w:val="fr-CA"/>
        </w:rPr>
        <w:t>Une nouvelle orientation en dotation - un système fondé sur le mérite</w:t>
      </w:r>
      <w:r w:rsidRPr="00193822">
        <w:rPr>
          <w:rFonts w:asciiTheme="majorHAnsi" w:hAnsiTheme="majorHAnsi" w:cstheme="majorBidi"/>
          <w:color w:val="54575A" w:themeColor="text1"/>
          <w:sz w:val="48"/>
          <w:szCs w:val="48"/>
          <w:lang w:val="fr-CA"/>
        </w:rPr>
        <w:t xml:space="preserve"> </w:t>
      </w:r>
      <w:r w:rsidRPr="00193822">
        <w:rPr>
          <w:lang w:val="fr-CA"/>
        </w:rPr>
        <w:t>et axé sur l’efficacité, l’efficience et la justice</w:t>
      </w:r>
    </w:p>
    <w:p w14:paraId="48719662" w14:textId="77777777" w:rsidR="00EE4574" w:rsidRPr="00193822" w:rsidRDefault="00EE4574" w:rsidP="00D60C4D">
      <w:pPr>
        <w:pStyle w:val="Titre3"/>
        <w:spacing w:after="120"/>
        <w:rPr>
          <w:lang w:val="fr-CA"/>
        </w:rPr>
      </w:pPr>
      <w:r w:rsidRPr="00193822">
        <w:rPr>
          <w:lang w:val="fr-CA"/>
        </w:rPr>
        <w:t>Politique de nomination</w:t>
      </w:r>
    </w:p>
    <w:p w14:paraId="48A2FDED" w14:textId="77777777" w:rsidR="00EE4574" w:rsidRPr="00193822" w:rsidRDefault="00EE4574" w:rsidP="00D60C4D">
      <w:pPr>
        <w:keepLines/>
        <w:spacing w:line="259" w:lineRule="auto"/>
        <w:rPr>
          <w:rFonts w:asciiTheme="minorHAnsi" w:eastAsiaTheme="minorHAnsi" w:hAnsiTheme="minorHAnsi" w:cstheme="minorHAnsi"/>
          <w:spacing w:val="-6"/>
          <w:sz w:val="22"/>
          <w:szCs w:val="22"/>
          <w:lang w:val="fr-CA"/>
        </w:rPr>
      </w:pPr>
      <w:r w:rsidRPr="00193822">
        <w:rPr>
          <w:rStyle w:val="lev"/>
          <w:rFonts w:eastAsiaTheme="minorHAnsi" w:cstheme="minorHAnsi"/>
          <w:szCs w:val="22"/>
          <w:lang w:val="fr-CA"/>
        </w:rPr>
        <w:t>L’accent est davantage mis sur  les exigences de base</w:t>
      </w:r>
      <w:r w:rsidRPr="00193822">
        <w:rPr>
          <w:rFonts w:asciiTheme="minorHAnsi" w:eastAsiaTheme="minorHAnsi" w:hAnsiTheme="minorHAnsi" w:cstheme="minorHAnsi"/>
          <w:spacing w:val="-6"/>
          <w:sz w:val="22"/>
          <w:szCs w:val="22"/>
          <w:lang w:val="fr-CA"/>
        </w:rPr>
        <w:t xml:space="preserve"> afin de fournir aux personnes subdéléguées une plus grande  latitude à l’égard des nominations</w:t>
      </w:r>
    </w:p>
    <w:p w14:paraId="2FF43C26" w14:textId="77777777" w:rsidR="00EE4574" w:rsidRPr="00193822" w:rsidRDefault="00EE4574" w:rsidP="00D60C4D">
      <w:pPr>
        <w:keepLines/>
        <w:numPr>
          <w:ilvl w:val="0"/>
          <w:numId w:val="28"/>
        </w:numPr>
        <w:spacing w:line="259" w:lineRule="auto"/>
        <w:rPr>
          <w:rFonts w:asciiTheme="minorHAnsi" w:eastAsiaTheme="minorHAnsi" w:hAnsiTheme="minorHAnsi" w:cstheme="minorHAnsi"/>
          <w:spacing w:val="-6"/>
          <w:sz w:val="22"/>
          <w:szCs w:val="22"/>
          <w:lang w:val="fr-CA"/>
        </w:rPr>
      </w:pPr>
      <w:r w:rsidRPr="00193822">
        <w:rPr>
          <w:rStyle w:val="lev"/>
          <w:rFonts w:eastAsiaTheme="minorHAnsi" w:cstheme="minorHAnsi"/>
          <w:szCs w:val="22"/>
          <w:lang w:val="fr-CA"/>
        </w:rPr>
        <w:t>Une seule politique de nomination</w:t>
      </w:r>
      <w:r w:rsidRPr="00193822">
        <w:rPr>
          <w:rFonts w:asciiTheme="minorHAnsi" w:eastAsiaTheme="minorHAnsi" w:hAnsiTheme="minorHAnsi" w:cstheme="minorHAnsi"/>
          <w:spacing w:val="-6"/>
          <w:sz w:val="22"/>
          <w:szCs w:val="22"/>
          <w:lang w:val="fr-CA"/>
        </w:rPr>
        <w:t xml:space="preserve">, sans chevauchement des obligations juridiques </w:t>
      </w:r>
    </w:p>
    <w:p w14:paraId="47B4497B" w14:textId="77777777" w:rsidR="00EE4574" w:rsidRPr="00193822" w:rsidRDefault="00EE4574" w:rsidP="00D60C4D">
      <w:pPr>
        <w:keepLines/>
        <w:numPr>
          <w:ilvl w:val="0"/>
          <w:numId w:val="28"/>
        </w:numPr>
        <w:spacing w:line="259" w:lineRule="auto"/>
        <w:rPr>
          <w:rFonts w:asciiTheme="minorHAnsi" w:eastAsiaTheme="minorHAnsi" w:hAnsiTheme="minorHAnsi" w:cstheme="minorHAnsi"/>
          <w:spacing w:val="-6"/>
          <w:sz w:val="22"/>
          <w:szCs w:val="22"/>
          <w:lang w:val="fr-CA"/>
        </w:rPr>
      </w:pPr>
      <w:r w:rsidRPr="00193822">
        <w:rPr>
          <w:rStyle w:val="lev"/>
          <w:rFonts w:eastAsiaTheme="minorHAnsi" w:cstheme="minorHAnsi"/>
          <w:szCs w:val="22"/>
          <w:lang w:val="fr-CA"/>
        </w:rPr>
        <w:t>Accent accru sur un système axé sur les valeurs</w:t>
      </w:r>
      <w:r w:rsidRPr="00193822">
        <w:rPr>
          <w:rFonts w:asciiTheme="minorHAnsi" w:eastAsiaTheme="minorHAnsi" w:hAnsiTheme="minorHAnsi" w:cstheme="minorHAnsi"/>
          <w:sz w:val="22"/>
          <w:szCs w:val="22"/>
          <w:lang w:val="fr-CA"/>
        </w:rPr>
        <w:t xml:space="preserve"> plutôt que sur un </w:t>
      </w:r>
      <w:r w:rsidRPr="00193822">
        <w:rPr>
          <w:rFonts w:asciiTheme="minorHAnsi" w:eastAsiaTheme="minorHAnsi" w:hAnsiTheme="minorHAnsi" w:cstheme="minorHAnsi"/>
          <w:spacing w:val="-6"/>
          <w:sz w:val="22"/>
          <w:szCs w:val="22"/>
          <w:lang w:val="fr-CA"/>
        </w:rPr>
        <w:t>système axé sur les règles</w:t>
      </w:r>
      <w:r w:rsidRPr="00193822">
        <w:rPr>
          <w:rFonts w:asciiTheme="minorHAnsi" w:eastAsiaTheme="minorHAnsi" w:hAnsiTheme="minorHAnsi" w:cstheme="minorHAnsi"/>
          <w:b/>
          <w:spacing w:val="-6"/>
          <w:sz w:val="22"/>
          <w:szCs w:val="22"/>
          <w:lang w:val="fr-CA"/>
        </w:rPr>
        <w:t xml:space="preserve"> </w:t>
      </w:r>
    </w:p>
    <w:p w14:paraId="6A73DF0E" w14:textId="77777777" w:rsidR="00EE4574" w:rsidRPr="00193822" w:rsidRDefault="00EE4574" w:rsidP="00D60C4D">
      <w:pPr>
        <w:keepLines/>
        <w:numPr>
          <w:ilvl w:val="0"/>
          <w:numId w:val="28"/>
        </w:numPr>
        <w:spacing w:line="259" w:lineRule="auto"/>
        <w:rPr>
          <w:rFonts w:asciiTheme="minorHAnsi" w:eastAsiaTheme="minorHAnsi" w:hAnsiTheme="minorHAnsi" w:cstheme="minorHAnsi"/>
          <w:spacing w:val="-6"/>
          <w:sz w:val="22"/>
          <w:szCs w:val="22"/>
          <w:lang w:val="fr-CA"/>
        </w:rPr>
      </w:pPr>
      <w:r w:rsidRPr="00193822">
        <w:rPr>
          <w:rFonts w:asciiTheme="minorHAnsi" w:eastAsiaTheme="minorHAnsi" w:hAnsiTheme="minorHAnsi" w:cstheme="minorHAnsi"/>
          <w:spacing w:val="-6"/>
          <w:sz w:val="22"/>
          <w:szCs w:val="22"/>
          <w:lang w:val="fr-CA"/>
        </w:rPr>
        <w:t xml:space="preserve">Politique de nomination appuyée par une </w:t>
      </w:r>
      <w:r w:rsidRPr="00193822">
        <w:rPr>
          <w:rStyle w:val="lev"/>
          <w:rFonts w:eastAsiaTheme="minorHAnsi" w:cstheme="minorHAnsi"/>
          <w:szCs w:val="22"/>
          <w:lang w:val="fr-CA"/>
        </w:rPr>
        <w:t>orientation rationalisée</w:t>
      </w:r>
      <w:r w:rsidRPr="00193822">
        <w:rPr>
          <w:rFonts w:asciiTheme="minorHAnsi" w:eastAsiaTheme="minorHAnsi" w:hAnsiTheme="minorHAnsi" w:cstheme="minorHAnsi"/>
          <w:b/>
          <w:spacing w:val="-6"/>
          <w:sz w:val="22"/>
          <w:szCs w:val="22"/>
          <w:lang w:val="fr-CA"/>
        </w:rPr>
        <w:t xml:space="preserve"> </w:t>
      </w:r>
      <w:r w:rsidRPr="00193822">
        <w:rPr>
          <w:rFonts w:asciiTheme="minorHAnsi" w:eastAsiaTheme="minorHAnsi" w:hAnsiTheme="minorHAnsi" w:cstheme="minorHAnsi"/>
          <w:spacing w:val="-6"/>
          <w:sz w:val="22"/>
          <w:szCs w:val="22"/>
          <w:lang w:val="fr-CA"/>
        </w:rPr>
        <w:t>:</w:t>
      </w:r>
    </w:p>
    <w:p w14:paraId="7A410116" w14:textId="77777777" w:rsidR="00EE4574" w:rsidRPr="00193822" w:rsidRDefault="00EE4574" w:rsidP="00D60C4D">
      <w:pPr>
        <w:keepLines/>
        <w:numPr>
          <w:ilvl w:val="1"/>
          <w:numId w:val="18"/>
        </w:numPr>
        <w:spacing w:line="259" w:lineRule="auto"/>
        <w:ind w:left="1508" w:hanging="425"/>
        <w:rPr>
          <w:rFonts w:asciiTheme="minorHAnsi" w:eastAsiaTheme="minorHAnsi" w:hAnsiTheme="minorHAnsi" w:cstheme="minorHAnsi"/>
          <w:spacing w:val="-6"/>
          <w:sz w:val="22"/>
          <w:szCs w:val="22"/>
          <w:lang w:val="fr-CA"/>
        </w:rPr>
      </w:pPr>
      <w:r w:rsidRPr="00193822">
        <w:rPr>
          <w:rFonts w:asciiTheme="minorHAnsi" w:eastAsiaTheme="minorHAnsi" w:hAnsiTheme="minorHAnsi" w:cstheme="minorHAnsi"/>
          <w:spacing w:val="-6"/>
          <w:sz w:val="22"/>
          <w:szCs w:val="22"/>
          <w:lang w:val="fr-CA"/>
        </w:rPr>
        <w:t>Feuille de route précisant les exigences relatives aux lois, règlements et politiques</w:t>
      </w:r>
    </w:p>
    <w:p w14:paraId="2AD3A380" w14:textId="77777777" w:rsidR="00EE4574" w:rsidRPr="00193822" w:rsidRDefault="00EE4574" w:rsidP="00D60C4D">
      <w:pPr>
        <w:keepLines/>
        <w:numPr>
          <w:ilvl w:val="1"/>
          <w:numId w:val="18"/>
        </w:numPr>
        <w:spacing w:line="259" w:lineRule="auto"/>
        <w:ind w:left="1508" w:hanging="425"/>
        <w:rPr>
          <w:rFonts w:asciiTheme="minorHAnsi" w:eastAsiaTheme="minorHAnsi" w:hAnsiTheme="minorHAnsi" w:cstheme="minorHAnsi"/>
          <w:spacing w:val="-6"/>
          <w:sz w:val="22"/>
          <w:szCs w:val="22"/>
          <w:lang w:val="fr-CA"/>
        </w:rPr>
      </w:pPr>
      <w:r w:rsidRPr="00193822">
        <w:rPr>
          <w:rFonts w:asciiTheme="minorHAnsi" w:eastAsiaTheme="minorHAnsi" w:hAnsiTheme="minorHAnsi" w:cstheme="minorHAnsi"/>
          <w:spacing w:val="-6"/>
          <w:sz w:val="22"/>
          <w:szCs w:val="22"/>
          <w:lang w:val="fr-CA"/>
        </w:rPr>
        <w:t>Options et considérations relatives à  la prise de décisions dans les cas où il existe une certaine latitude</w:t>
      </w:r>
    </w:p>
    <w:p w14:paraId="14343EBE" w14:textId="77777777" w:rsidR="00EE4574" w:rsidRPr="00193822" w:rsidRDefault="00EE4574" w:rsidP="00D60C4D">
      <w:pPr>
        <w:keepLines/>
        <w:numPr>
          <w:ilvl w:val="0"/>
          <w:numId w:val="29"/>
        </w:numPr>
        <w:spacing w:line="259" w:lineRule="auto"/>
        <w:rPr>
          <w:rFonts w:asciiTheme="minorHAnsi" w:eastAsiaTheme="minorHAnsi" w:hAnsiTheme="minorHAnsi" w:cstheme="minorHAnsi"/>
          <w:spacing w:val="-6"/>
          <w:sz w:val="22"/>
          <w:szCs w:val="22"/>
          <w:lang w:val="fr-CA"/>
        </w:rPr>
      </w:pPr>
      <w:r w:rsidRPr="00193822">
        <w:rPr>
          <w:rStyle w:val="lev"/>
          <w:rFonts w:eastAsiaTheme="minorHAnsi" w:cstheme="minorHAnsi"/>
          <w:szCs w:val="22"/>
          <w:lang w:val="fr-CA"/>
        </w:rPr>
        <w:t>Attentes clairement définies</w:t>
      </w:r>
      <w:r w:rsidRPr="00193822">
        <w:rPr>
          <w:rFonts w:asciiTheme="minorHAnsi" w:eastAsiaTheme="minorHAnsi" w:hAnsiTheme="minorHAnsi" w:cstheme="minorHAnsi"/>
          <w:spacing w:val="-6"/>
          <w:sz w:val="22"/>
          <w:szCs w:val="22"/>
          <w:lang w:val="fr-CA"/>
        </w:rPr>
        <w:t xml:space="preserve"> quant aux droits de priorité</w:t>
      </w:r>
    </w:p>
    <w:p w14:paraId="3357BF50" w14:textId="77777777" w:rsidR="00EE4574" w:rsidRPr="00193822" w:rsidRDefault="00EE4574" w:rsidP="00D60C4D">
      <w:pPr>
        <w:keepLines/>
        <w:numPr>
          <w:ilvl w:val="0"/>
          <w:numId w:val="29"/>
        </w:numPr>
        <w:spacing w:line="259" w:lineRule="auto"/>
        <w:rPr>
          <w:rFonts w:asciiTheme="minorHAnsi" w:eastAsiaTheme="minorHAnsi" w:hAnsiTheme="minorHAnsi" w:cstheme="minorHAnsi"/>
          <w:spacing w:val="-6"/>
          <w:sz w:val="22"/>
          <w:szCs w:val="22"/>
          <w:lang w:val="fr-CA"/>
        </w:rPr>
      </w:pPr>
      <w:r w:rsidRPr="00193822">
        <w:rPr>
          <w:rFonts w:asciiTheme="minorHAnsi" w:eastAsiaTheme="minorHAnsi" w:hAnsiTheme="minorHAnsi" w:cstheme="minorHAnsi"/>
          <w:spacing w:val="-6"/>
          <w:sz w:val="22"/>
          <w:szCs w:val="22"/>
          <w:lang w:val="fr-CA"/>
        </w:rPr>
        <w:t>Aucune restriction quant aux méthodes d’évaluation pour la  nomination des cadres de direction (EX)</w:t>
      </w:r>
    </w:p>
    <w:p w14:paraId="4853340F" w14:textId="77777777" w:rsidR="00EE4574" w:rsidRPr="00193822" w:rsidRDefault="00EE4574" w:rsidP="00D60C4D">
      <w:pPr>
        <w:keepLines/>
        <w:numPr>
          <w:ilvl w:val="0"/>
          <w:numId w:val="29"/>
        </w:numPr>
        <w:spacing w:after="240" w:line="259" w:lineRule="auto"/>
        <w:rPr>
          <w:rFonts w:asciiTheme="minorHAnsi" w:eastAsiaTheme="minorHAnsi" w:hAnsiTheme="minorHAnsi" w:cstheme="minorHAnsi"/>
          <w:spacing w:val="-6"/>
          <w:sz w:val="22"/>
          <w:szCs w:val="22"/>
          <w:lang w:val="fr-CA"/>
        </w:rPr>
      </w:pPr>
      <w:r w:rsidRPr="00193822">
        <w:rPr>
          <w:rFonts w:asciiTheme="minorHAnsi" w:eastAsiaTheme="minorHAnsi" w:hAnsiTheme="minorHAnsi" w:cstheme="minorHAnsi"/>
          <w:spacing w:val="-6"/>
          <w:sz w:val="22"/>
          <w:szCs w:val="22"/>
          <w:lang w:val="fr-CA"/>
        </w:rPr>
        <w:t>Exceptions à la zone nationale de sélection approuvées</w:t>
      </w:r>
    </w:p>
    <w:p w14:paraId="3B00EEAE" w14:textId="77777777" w:rsidR="00EE4574" w:rsidRPr="00193822" w:rsidRDefault="00EE4574" w:rsidP="00D60C4D">
      <w:pPr>
        <w:pStyle w:val="Titre3"/>
        <w:spacing w:after="120"/>
        <w:rPr>
          <w:lang w:val="fr-CA"/>
        </w:rPr>
      </w:pPr>
      <w:r w:rsidRPr="00193822">
        <w:rPr>
          <w:lang w:val="fr-CA"/>
        </w:rPr>
        <w:t>Délégation</w:t>
      </w:r>
    </w:p>
    <w:p w14:paraId="2DD14AC6" w14:textId="77777777" w:rsidR="00EE4574" w:rsidRPr="00193822" w:rsidRDefault="00EE4574" w:rsidP="00D60C4D">
      <w:pPr>
        <w:pStyle w:val="Paragraphedeliste"/>
        <w:keepLines/>
        <w:numPr>
          <w:ilvl w:val="0"/>
          <w:numId w:val="30"/>
        </w:numPr>
        <w:spacing w:after="0" w:line="259" w:lineRule="auto"/>
        <w:contextualSpacing w:val="0"/>
        <w:rPr>
          <w:rFonts w:asciiTheme="minorHAnsi" w:eastAsiaTheme="minorHAnsi" w:hAnsiTheme="minorHAnsi" w:cstheme="minorHAnsi"/>
          <w:spacing w:val="-8"/>
          <w:sz w:val="22"/>
          <w:szCs w:val="22"/>
          <w:lang w:val="fr-CA"/>
        </w:rPr>
      </w:pPr>
      <w:r w:rsidRPr="00193822">
        <w:rPr>
          <w:rStyle w:val="lev"/>
          <w:rFonts w:eastAsiaTheme="minorHAnsi" w:cstheme="minorHAnsi"/>
          <w:szCs w:val="22"/>
          <w:lang w:val="fr-CA"/>
        </w:rPr>
        <w:t>L’accent est davantage mis sur la capacité d’adapter le système de dotation  de l’organisation</w:t>
      </w:r>
      <w:r w:rsidRPr="00193822">
        <w:rPr>
          <w:rFonts w:asciiTheme="minorHAnsi" w:eastAsiaTheme="minorHAnsi" w:hAnsiTheme="minorHAnsi" w:cstheme="minorHAnsi"/>
          <w:b/>
          <w:bCs/>
          <w:spacing w:val="-8"/>
          <w:sz w:val="22"/>
          <w:szCs w:val="22"/>
          <w:lang w:val="fr-CA"/>
        </w:rPr>
        <w:t xml:space="preserve"> </w:t>
      </w:r>
      <w:r w:rsidRPr="00193822">
        <w:rPr>
          <w:rFonts w:asciiTheme="minorHAnsi" w:eastAsiaTheme="minorHAnsi" w:hAnsiTheme="minorHAnsi" w:cstheme="minorHAnsi"/>
          <w:spacing w:val="-8"/>
          <w:sz w:val="22"/>
          <w:szCs w:val="22"/>
          <w:lang w:val="fr-CA"/>
        </w:rPr>
        <w:t xml:space="preserve">en fonction du contexte particulier et des besoins opérationnels en évolution </w:t>
      </w:r>
    </w:p>
    <w:p w14:paraId="512E654C" w14:textId="77777777" w:rsidR="00EE4574" w:rsidRPr="00193822" w:rsidRDefault="00EE4574" w:rsidP="00D60C4D">
      <w:pPr>
        <w:keepLines/>
        <w:numPr>
          <w:ilvl w:val="0"/>
          <w:numId w:val="30"/>
        </w:numPr>
        <w:spacing w:line="259" w:lineRule="auto"/>
        <w:rPr>
          <w:rStyle w:val="lev"/>
          <w:rFonts w:eastAsiaTheme="minorHAnsi" w:cstheme="minorHAnsi"/>
          <w:szCs w:val="22"/>
          <w:lang w:val="fr-CA"/>
        </w:rPr>
      </w:pPr>
      <w:r w:rsidRPr="00193822">
        <w:rPr>
          <w:rFonts w:asciiTheme="minorHAnsi" w:eastAsiaTheme="minorHAnsi" w:hAnsiTheme="minorHAnsi" w:cstheme="minorHAnsi"/>
          <w:spacing w:val="-8"/>
          <w:sz w:val="22"/>
          <w:szCs w:val="22"/>
          <w:lang w:val="fr-CA"/>
        </w:rPr>
        <w:t xml:space="preserve">L’administrateur général établit une orientation quant à </w:t>
      </w:r>
      <w:r w:rsidRPr="00193822">
        <w:rPr>
          <w:rStyle w:val="lev"/>
          <w:rFonts w:eastAsiaTheme="minorHAnsi" w:cstheme="minorHAnsi"/>
          <w:szCs w:val="22"/>
          <w:lang w:val="fr-CA"/>
        </w:rPr>
        <w:t xml:space="preserve">l’utilisation des processus de nomination annoncés et non annoncés </w:t>
      </w:r>
    </w:p>
    <w:p w14:paraId="7BF0E681" w14:textId="77777777" w:rsidR="00EE4574" w:rsidRPr="00193822" w:rsidRDefault="00EE4574" w:rsidP="00D60C4D">
      <w:pPr>
        <w:keepLines/>
        <w:numPr>
          <w:ilvl w:val="0"/>
          <w:numId w:val="30"/>
        </w:numPr>
        <w:spacing w:line="259" w:lineRule="auto"/>
        <w:rPr>
          <w:rStyle w:val="lev"/>
          <w:rFonts w:eastAsiaTheme="minorHAnsi" w:cstheme="minorHAnsi"/>
          <w:szCs w:val="22"/>
          <w:lang w:val="fr-CA"/>
        </w:rPr>
      </w:pPr>
      <w:r w:rsidRPr="00193822">
        <w:rPr>
          <w:rFonts w:asciiTheme="minorHAnsi" w:eastAsiaTheme="minorHAnsi" w:hAnsiTheme="minorHAnsi" w:cstheme="minorHAnsi"/>
          <w:spacing w:val="-8"/>
          <w:sz w:val="22"/>
          <w:szCs w:val="22"/>
          <w:lang w:val="fr-CA"/>
        </w:rPr>
        <w:t xml:space="preserve">L’administrateur général établit les exigences pour les personnes subdéléguées </w:t>
      </w:r>
      <w:r w:rsidRPr="00193822">
        <w:rPr>
          <w:rStyle w:val="lev"/>
          <w:rFonts w:eastAsiaTheme="minorHAnsi" w:cstheme="minorHAnsi"/>
          <w:szCs w:val="22"/>
          <w:lang w:val="fr-CA"/>
        </w:rPr>
        <w:t>de formuler, par écrit, la décision de sélection</w:t>
      </w:r>
    </w:p>
    <w:p w14:paraId="63C7D128" w14:textId="77777777" w:rsidR="00EE4574" w:rsidRPr="00193822" w:rsidRDefault="00EE4574" w:rsidP="00D60C4D">
      <w:pPr>
        <w:keepLines/>
        <w:numPr>
          <w:ilvl w:val="0"/>
          <w:numId w:val="30"/>
        </w:numPr>
        <w:spacing w:line="259" w:lineRule="auto"/>
        <w:rPr>
          <w:rFonts w:asciiTheme="minorHAnsi" w:eastAsiaTheme="minorHAnsi" w:hAnsiTheme="minorHAnsi" w:cstheme="minorHAnsi"/>
          <w:spacing w:val="-8"/>
          <w:sz w:val="22"/>
          <w:szCs w:val="22"/>
          <w:lang w:val="fr-CA"/>
        </w:rPr>
      </w:pPr>
      <w:r w:rsidRPr="00193822">
        <w:rPr>
          <w:rFonts w:asciiTheme="minorHAnsi" w:eastAsiaTheme="minorHAnsi" w:hAnsiTheme="minorHAnsi" w:cstheme="minorHAnsi"/>
          <w:spacing w:val="-8"/>
          <w:sz w:val="22"/>
          <w:szCs w:val="22"/>
          <w:lang w:val="fr-CA"/>
        </w:rPr>
        <w:t>Exigences plus claires concernant les enquêtes</w:t>
      </w:r>
    </w:p>
    <w:p w14:paraId="03AFD3C3" w14:textId="77777777" w:rsidR="00EE4574" w:rsidRPr="00193822" w:rsidRDefault="00EE4574" w:rsidP="00D60C4D">
      <w:pPr>
        <w:keepLines/>
        <w:numPr>
          <w:ilvl w:val="0"/>
          <w:numId w:val="30"/>
        </w:numPr>
        <w:spacing w:line="259" w:lineRule="auto"/>
        <w:rPr>
          <w:rFonts w:asciiTheme="minorHAnsi" w:eastAsiaTheme="minorHAnsi" w:hAnsiTheme="minorHAnsi" w:cstheme="minorHAnsi"/>
          <w:spacing w:val="-8"/>
          <w:sz w:val="22"/>
          <w:szCs w:val="22"/>
          <w:lang w:val="fr-CA"/>
        </w:rPr>
      </w:pPr>
      <w:r w:rsidRPr="00193822">
        <w:rPr>
          <w:rStyle w:val="lev"/>
          <w:rFonts w:eastAsiaTheme="minorHAnsi" w:cstheme="minorHAnsi"/>
          <w:szCs w:val="22"/>
          <w:lang w:val="fr-CA"/>
        </w:rPr>
        <w:t>Formulaire d’attestation</w:t>
      </w:r>
      <w:r w:rsidRPr="00193822">
        <w:rPr>
          <w:rFonts w:asciiTheme="minorHAnsi" w:eastAsiaTheme="minorHAnsi" w:hAnsiTheme="minorHAnsi" w:cstheme="minorHAnsi"/>
          <w:spacing w:val="-8"/>
          <w:sz w:val="22"/>
          <w:szCs w:val="22"/>
          <w:lang w:val="fr-CA"/>
        </w:rPr>
        <w:t xml:space="preserve"> réitérant les responsabilités des personnes subdéléguées</w:t>
      </w:r>
    </w:p>
    <w:p w14:paraId="0B5B865B" w14:textId="77777777" w:rsidR="00EE4574" w:rsidRPr="00193822" w:rsidRDefault="00EE4574" w:rsidP="00D60C4D">
      <w:pPr>
        <w:keepLines/>
        <w:spacing w:after="160" w:line="259" w:lineRule="auto"/>
        <w:ind w:right="-202"/>
        <w:rPr>
          <w:rFonts w:asciiTheme="minorHAnsi" w:eastAsiaTheme="minorHAnsi" w:hAnsiTheme="minorHAnsi" w:cstheme="minorHAnsi"/>
          <w:spacing w:val="-8"/>
          <w:sz w:val="22"/>
          <w:szCs w:val="22"/>
          <w:lang w:val="fr-CA"/>
        </w:rPr>
      </w:pPr>
      <w:r w:rsidRPr="00193822">
        <w:rPr>
          <w:rFonts w:asciiTheme="minorHAnsi" w:eastAsiaTheme="minorHAnsi" w:hAnsiTheme="minorHAnsi" w:cstheme="minorHAnsi"/>
          <w:spacing w:val="-8"/>
          <w:sz w:val="22"/>
          <w:szCs w:val="22"/>
          <w:lang w:val="fr-CA"/>
        </w:rPr>
        <w:t>Toutes les exigences de la CFP en matière de surveillance et de présentation de rapports figurent maintenant dans l’Instrument de délégation et de responsabilisation en matière de nomination</w:t>
      </w:r>
    </w:p>
    <w:p w14:paraId="55577563" w14:textId="77777777" w:rsidR="00EE4574" w:rsidRPr="00193822" w:rsidRDefault="00EE4574" w:rsidP="00D60C4D">
      <w:pPr>
        <w:pStyle w:val="Titre3"/>
        <w:spacing w:after="120"/>
        <w:rPr>
          <w:lang w:val="fr-CA"/>
        </w:rPr>
      </w:pPr>
      <w:r w:rsidRPr="00193822">
        <w:rPr>
          <w:lang w:val="fr-CA"/>
        </w:rPr>
        <w:t>Surveillance et rapports</w:t>
      </w:r>
    </w:p>
    <w:p w14:paraId="173F311B" w14:textId="77777777" w:rsidR="00EE4574" w:rsidRPr="00193822" w:rsidRDefault="00EE4574" w:rsidP="00D60C4D">
      <w:pPr>
        <w:spacing w:after="120"/>
        <w:rPr>
          <w:rFonts w:asciiTheme="minorHAnsi" w:eastAsiaTheme="minorHAnsi" w:hAnsiTheme="minorHAnsi" w:cstheme="minorHAnsi"/>
          <w:sz w:val="22"/>
          <w:szCs w:val="22"/>
          <w:highlight w:val="yellow"/>
          <w:lang w:val="fr-CA"/>
        </w:rPr>
      </w:pPr>
      <w:r w:rsidRPr="00193822">
        <w:rPr>
          <w:rStyle w:val="lev"/>
          <w:rFonts w:eastAsiaTheme="minorHAnsi" w:cstheme="minorHAnsi"/>
          <w:szCs w:val="22"/>
          <w:lang w:val="fr-CA"/>
        </w:rPr>
        <w:t>La surveillance est établie par les organisations</w:t>
      </w:r>
      <w:r w:rsidRPr="00193822">
        <w:rPr>
          <w:rFonts w:asciiTheme="minorHAnsi" w:eastAsiaTheme="minorHAnsi" w:hAnsiTheme="minorHAnsi" w:cstheme="minorHAnsi"/>
          <w:sz w:val="22"/>
          <w:szCs w:val="22"/>
          <w:lang w:val="fr-CA"/>
        </w:rPr>
        <w:t>, ciblée à leurs besoins</w:t>
      </w:r>
    </w:p>
    <w:p w14:paraId="6E4B9FFD" w14:textId="77777777" w:rsidR="00EE4574" w:rsidRPr="00193822" w:rsidRDefault="00EE4574" w:rsidP="00D60C4D">
      <w:pPr>
        <w:pStyle w:val="Paragraphedeliste"/>
        <w:numPr>
          <w:ilvl w:val="0"/>
          <w:numId w:val="31"/>
        </w:numPr>
        <w:spacing w:after="0"/>
        <w:contextualSpacing w:val="0"/>
        <w:rPr>
          <w:rFonts w:asciiTheme="minorHAnsi" w:eastAsiaTheme="minorHAnsi" w:hAnsiTheme="minorHAnsi" w:cstheme="minorHAnsi"/>
          <w:sz w:val="22"/>
          <w:szCs w:val="22"/>
          <w:lang w:val="fr-CA"/>
        </w:rPr>
      </w:pPr>
      <w:r w:rsidRPr="00193822">
        <w:rPr>
          <w:rFonts w:asciiTheme="minorHAnsi" w:eastAsiaTheme="minorHAnsi" w:hAnsiTheme="minorHAnsi" w:cstheme="minorHAnsi"/>
          <w:sz w:val="22"/>
          <w:szCs w:val="22"/>
          <w:lang w:val="fr-CA"/>
        </w:rPr>
        <w:t>Le Rapport ministériel sur l’obligation de rendre compte en dotation n’est plus requis</w:t>
      </w:r>
    </w:p>
    <w:p w14:paraId="66459C2D" w14:textId="77777777" w:rsidR="00EE4574" w:rsidRPr="00193822" w:rsidRDefault="00EE4574" w:rsidP="00D60C4D">
      <w:pPr>
        <w:pStyle w:val="Paragraphedeliste"/>
        <w:numPr>
          <w:ilvl w:val="0"/>
          <w:numId w:val="31"/>
        </w:numPr>
        <w:spacing w:after="0"/>
        <w:contextualSpacing w:val="0"/>
        <w:rPr>
          <w:rFonts w:asciiTheme="minorHAnsi" w:eastAsiaTheme="minorHAnsi" w:hAnsiTheme="minorHAnsi" w:cstheme="minorHAnsi"/>
          <w:sz w:val="22"/>
          <w:szCs w:val="22"/>
          <w:lang w:val="fr-CA"/>
        </w:rPr>
      </w:pPr>
      <w:r w:rsidRPr="00193822">
        <w:rPr>
          <w:rStyle w:val="lev"/>
          <w:rFonts w:eastAsiaTheme="minorHAnsi" w:cstheme="minorHAnsi"/>
          <w:szCs w:val="22"/>
          <w:lang w:val="fr-CA"/>
        </w:rPr>
        <w:t>Le rapport annuel à la CFP portera seulement</w:t>
      </w:r>
      <w:r w:rsidRPr="00193822">
        <w:rPr>
          <w:rFonts w:asciiTheme="minorHAnsi" w:eastAsiaTheme="minorHAnsi" w:hAnsiTheme="minorHAnsi" w:cstheme="minorHAnsi"/>
          <w:sz w:val="22"/>
          <w:szCs w:val="22"/>
          <w:lang w:val="fr-CA"/>
        </w:rPr>
        <w:t xml:space="preserve"> sur :</w:t>
      </w:r>
    </w:p>
    <w:p w14:paraId="17856083" w14:textId="77777777" w:rsidR="00EE4574" w:rsidRPr="00193822" w:rsidRDefault="00EE4574" w:rsidP="00D60C4D">
      <w:pPr>
        <w:pStyle w:val="Paragraphedeliste"/>
        <w:numPr>
          <w:ilvl w:val="0"/>
          <w:numId w:val="25"/>
        </w:numPr>
        <w:spacing w:after="0"/>
        <w:contextualSpacing w:val="0"/>
        <w:rPr>
          <w:rFonts w:asciiTheme="minorHAnsi" w:eastAsiaTheme="minorHAnsi" w:hAnsiTheme="minorHAnsi" w:cstheme="minorHAnsi"/>
          <w:sz w:val="22"/>
          <w:szCs w:val="22"/>
          <w:lang w:val="fr-CA"/>
        </w:rPr>
      </w:pPr>
      <w:r w:rsidRPr="00193822">
        <w:rPr>
          <w:rFonts w:asciiTheme="minorHAnsi" w:eastAsiaTheme="minorHAnsi" w:hAnsiTheme="minorHAnsi" w:cstheme="minorHAnsi"/>
          <w:sz w:val="22"/>
          <w:szCs w:val="22"/>
          <w:lang w:val="fr-CA"/>
        </w:rPr>
        <w:t>l’utilisation du Décret d’exemption concernant les langues officielles dans la fonction publique</w:t>
      </w:r>
    </w:p>
    <w:p w14:paraId="72D44639" w14:textId="77777777" w:rsidR="00EE4574" w:rsidRPr="00193822" w:rsidRDefault="00EE4574" w:rsidP="00D60C4D">
      <w:pPr>
        <w:pStyle w:val="Paragraphedeliste"/>
        <w:numPr>
          <w:ilvl w:val="0"/>
          <w:numId w:val="25"/>
        </w:numPr>
        <w:spacing w:after="0"/>
        <w:contextualSpacing w:val="0"/>
        <w:rPr>
          <w:rFonts w:asciiTheme="minorHAnsi" w:eastAsiaTheme="minorHAnsi" w:hAnsiTheme="minorHAnsi" w:cstheme="minorHAnsi"/>
          <w:sz w:val="22"/>
          <w:szCs w:val="22"/>
          <w:lang w:val="fr-CA"/>
        </w:rPr>
      </w:pPr>
      <w:r w:rsidRPr="00193822">
        <w:rPr>
          <w:rFonts w:asciiTheme="minorHAnsi" w:eastAsiaTheme="minorHAnsi" w:hAnsiTheme="minorHAnsi" w:cstheme="minorHAnsi"/>
          <w:sz w:val="22"/>
          <w:szCs w:val="22"/>
          <w:lang w:val="fr-CA"/>
        </w:rPr>
        <w:t>les exceptions à la zone nationale de sélection approuvée par l’administrateur général</w:t>
      </w:r>
    </w:p>
    <w:p w14:paraId="5496E13B" w14:textId="77777777" w:rsidR="00EE4574" w:rsidRPr="00193822" w:rsidRDefault="00EE4574" w:rsidP="00D60C4D">
      <w:pPr>
        <w:pStyle w:val="Paragraphedeliste"/>
        <w:numPr>
          <w:ilvl w:val="0"/>
          <w:numId w:val="25"/>
        </w:numPr>
        <w:spacing w:after="0"/>
        <w:contextualSpacing w:val="0"/>
        <w:rPr>
          <w:rFonts w:asciiTheme="minorHAnsi" w:eastAsiaTheme="minorHAnsi" w:hAnsiTheme="minorHAnsi" w:cstheme="minorHAnsi"/>
          <w:sz w:val="22"/>
          <w:szCs w:val="22"/>
          <w:lang w:val="fr-CA"/>
        </w:rPr>
      </w:pPr>
      <w:r w:rsidRPr="00193822">
        <w:rPr>
          <w:rFonts w:asciiTheme="minorHAnsi" w:eastAsiaTheme="minorHAnsi" w:hAnsiTheme="minorHAnsi" w:cstheme="minorHAnsi"/>
          <w:sz w:val="22"/>
          <w:szCs w:val="22"/>
          <w:lang w:val="fr-CA"/>
        </w:rPr>
        <w:t xml:space="preserve">les résultats de toutes enquêtes internes </w:t>
      </w:r>
    </w:p>
    <w:p w14:paraId="3B4B7D42" w14:textId="77777777" w:rsidR="00EE4574" w:rsidRPr="00193822" w:rsidRDefault="00EE4574" w:rsidP="00D60C4D">
      <w:pPr>
        <w:pStyle w:val="Paragraphedeliste"/>
        <w:numPr>
          <w:ilvl w:val="0"/>
          <w:numId w:val="25"/>
        </w:numPr>
        <w:spacing w:after="0"/>
        <w:contextualSpacing w:val="0"/>
        <w:rPr>
          <w:rFonts w:asciiTheme="minorHAnsi" w:eastAsiaTheme="minorHAnsi" w:hAnsiTheme="minorHAnsi" w:cstheme="minorHAnsi"/>
          <w:sz w:val="22"/>
          <w:szCs w:val="22"/>
          <w:lang w:val="fr-CA"/>
        </w:rPr>
      </w:pPr>
      <w:r w:rsidRPr="00193822">
        <w:rPr>
          <w:rFonts w:asciiTheme="minorHAnsi" w:eastAsiaTheme="minorHAnsi" w:hAnsiTheme="minorHAnsi" w:cstheme="minorHAnsi"/>
          <w:sz w:val="22"/>
          <w:szCs w:val="22"/>
          <w:lang w:val="fr-CA"/>
        </w:rPr>
        <w:t>les mesures prises à la suite de toutes enquêtes ou vérifications menées par la CFP</w:t>
      </w:r>
    </w:p>
    <w:p w14:paraId="5A112B3C" w14:textId="77777777" w:rsidR="00EE4574" w:rsidRPr="00193822" w:rsidRDefault="00EE4574" w:rsidP="00D60C4D">
      <w:pPr>
        <w:pStyle w:val="Paragraphedeliste"/>
        <w:numPr>
          <w:ilvl w:val="0"/>
          <w:numId w:val="26"/>
        </w:numPr>
        <w:spacing w:after="0"/>
        <w:contextualSpacing w:val="0"/>
        <w:rPr>
          <w:rFonts w:asciiTheme="minorHAnsi" w:eastAsiaTheme="minorHAnsi" w:hAnsiTheme="minorHAnsi" w:cstheme="minorHAnsi"/>
          <w:sz w:val="22"/>
          <w:szCs w:val="22"/>
          <w:lang w:val="fr-CA"/>
        </w:rPr>
      </w:pPr>
      <w:r w:rsidRPr="00193822">
        <w:rPr>
          <w:rFonts w:asciiTheme="minorHAnsi" w:eastAsiaTheme="minorHAnsi" w:hAnsiTheme="minorHAnsi" w:cstheme="minorHAnsi"/>
          <w:sz w:val="22"/>
          <w:szCs w:val="22"/>
          <w:lang w:val="fr-CA"/>
        </w:rPr>
        <w:t xml:space="preserve">L’administrateur général est responsable </w:t>
      </w:r>
      <w:r w:rsidRPr="00193822">
        <w:rPr>
          <w:rStyle w:val="lev"/>
          <w:rFonts w:eastAsiaTheme="minorHAnsi" w:cstheme="minorHAnsi"/>
          <w:szCs w:val="22"/>
          <w:lang w:val="fr-CA"/>
        </w:rPr>
        <w:t>de la surveillance continue du système de dotation</w:t>
      </w:r>
      <w:r w:rsidRPr="00193822">
        <w:rPr>
          <w:rFonts w:asciiTheme="minorHAnsi" w:eastAsiaTheme="minorHAnsi" w:hAnsiTheme="minorHAnsi" w:cstheme="minorHAnsi"/>
          <w:sz w:val="22"/>
          <w:szCs w:val="22"/>
          <w:lang w:val="fr-CA"/>
        </w:rPr>
        <w:t xml:space="preserve"> de l’organisation en fonction de son contexte particulier</w:t>
      </w:r>
    </w:p>
    <w:p w14:paraId="24CF37DF" w14:textId="77777777" w:rsidR="00103088" w:rsidRPr="00193822" w:rsidRDefault="00EE4574" w:rsidP="00D60C4D">
      <w:pPr>
        <w:pStyle w:val="Paragraphedeliste"/>
        <w:numPr>
          <w:ilvl w:val="0"/>
          <w:numId w:val="27"/>
        </w:numPr>
        <w:contextualSpacing w:val="0"/>
        <w:rPr>
          <w:rFonts w:asciiTheme="minorHAnsi" w:eastAsiaTheme="minorHAnsi" w:hAnsiTheme="minorHAnsi" w:cstheme="minorHAnsi"/>
          <w:sz w:val="22"/>
          <w:szCs w:val="22"/>
          <w:lang w:val="fr-CA"/>
        </w:rPr>
      </w:pPr>
      <w:r w:rsidRPr="00193822">
        <w:rPr>
          <w:rStyle w:val="lev"/>
          <w:rFonts w:eastAsiaTheme="minorHAnsi" w:cstheme="minorHAnsi"/>
          <w:szCs w:val="22"/>
          <w:lang w:val="fr-CA"/>
        </w:rPr>
        <w:t>examen de la conformité aux exigences</w:t>
      </w:r>
      <w:r w:rsidRPr="00193822">
        <w:rPr>
          <w:rFonts w:asciiTheme="minorHAnsi" w:eastAsiaTheme="minorHAnsi" w:hAnsiTheme="minorHAnsi" w:cstheme="minorHAnsi"/>
          <w:sz w:val="22"/>
          <w:szCs w:val="22"/>
          <w:lang w:val="fr-CA"/>
        </w:rPr>
        <w:t>, fondé sur les risques spécifiques de l’organisation, au moins une fois tous les cinq ans</w:t>
      </w:r>
    </w:p>
    <w:p w14:paraId="2C1DBB86" w14:textId="77777777" w:rsidR="00EE4574" w:rsidRPr="00193822" w:rsidRDefault="00EE4574" w:rsidP="00D60C4D">
      <w:pPr>
        <w:pStyle w:val="Titre3"/>
        <w:spacing w:after="120"/>
        <w:rPr>
          <w:lang w:val="fr-CA"/>
        </w:rPr>
      </w:pPr>
      <w:r w:rsidRPr="00193822">
        <w:rPr>
          <w:lang w:val="fr-CA"/>
        </w:rPr>
        <w:lastRenderedPageBreak/>
        <w:t>Surveillance de la CFP</w:t>
      </w:r>
    </w:p>
    <w:p w14:paraId="0BAFC1A6" w14:textId="77777777" w:rsidR="00EE4574" w:rsidRPr="00193822" w:rsidRDefault="00EE4574" w:rsidP="00D60C4D">
      <w:pPr>
        <w:spacing w:after="120"/>
        <w:rPr>
          <w:rFonts w:asciiTheme="minorHAnsi" w:hAnsiTheme="minorHAnsi" w:cstheme="minorHAnsi"/>
          <w:sz w:val="22"/>
          <w:szCs w:val="22"/>
          <w:lang w:val="fr-CA"/>
        </w:rPr>
      </w:pPr>
      <w:r w:rsidRPr="00193822">
        <w:rPr>
          <w:rFonts w:asciiTheme="minorHAnsi" w:hAnsiTheme="minorHAnsi" w:cstheme="minorHAnsi"/>
          <w:sz w:val="22"/>
          <w:szCs w:val="22"/>
          <w:lang w:val="fr-CA"/>
        </w:rPr>
        <w:t>Axée sur l’ensemble du système</w:t>
      </w:r>
    </w:p>
    <w:p w14:paraId="70A4B918" w14:textId="77777777" w:rsidR="00EE4574" w:rsidRPr="00193822" w:rsidRDefault="00EE4574" w:rsidP="00D60C4D">
      <w:pPr>
        <w:pStyle w:val="Paragraphedeliste"/>
        <w:numPr>
          <w:ilvl w:val="0"/>
          <w:numId w:val="32"/>
        </w:numPr>
        <w:spacing w:after="0"/>
        <w:ind w:left="723"/>
        <w:contextualSpacing w:val="0"/>
        <w:rPr>
          <w:rStyle w:val="lev"/>
          <w:rFonts w:eastAsiaTheme="minorHAnsi" w:cstheme="minorHAnsi"/>
          <w:szCs w:val="22"/>
          <w:lang w:val="fr-CA"/>
        </w:rPr>
      </w:pPr>
      <w:r w:rsidRPr="00193822">
        <w:rPr>
          <w:rStyle w:val="lev"/>
          <w:rFonts w:eastAsiaTheme="minorHAnsi" w:cstheme="minorHAnsi"/>
          <w:szCs w:val="22"/>
          <w:lang w:val="fr-CA"/>
        </w:rPr>
        <w:t xml:space="preserve">Vérification de la conformité pangouvernementale tous les deux ans </w:t>
      </w:r>
    </w:p>
    <w:p w14:paraId="7A5DCBF8" w14:textId="77777777" w:rsidR="00EE4574" w:rsidRPr="00193822" w:rsidRDefault="00EE4574" w:rsidP="00D60C4D">
      <w:pPr>
        <w:pStyle w:val="Paragraphedeliste"/>
        <w:numPr>
          <w:ilvl w:val="0"/>
          <w:numId w:val="32"/>
        </w:numPr>
        <w:spacing w:after="0"/>
        <w:ind w:left="723"/>
        <w:contextualSpacing w:val="0"/>
        <w:rPr>
          <w:rFonts w:asciiTheme="minorHAnsi" w:eastAsiaTheme="minorHAnsi" w:hAnsiTheme="minorHAnsi" w:cstheme="minorHAnsi"/>
          <w:sz w:val="22"/>
          <w:szCs w:val="22"/>
          <w:lang w:val="fr-CA"/>
        </w:rPr>
      </w:pPr>
      <w:r w:rsidRPr="00193822">
        <w:rPr>
          <w:rStyle w:val="lev"/>
          <w:rFonts w:eastAsiaTheme="minorHAnsi" w:cstheme="minorHAnsi"/>
          <w:szCs w:val="22"/>
          <w:lang w:val="fr-CA"/>
        </w:rPr>
        <w:t>Nouveau Sondage sur la dotation</w:t>
      </w:r>
      <w:r w:rsidRPr="00193822">
        <w:rPr>
          <w:rFonts w:asciiTheme="minorHAnsi" w:eastAsiaTheme="minorHAnsi" w:hAnsiTheme="minorHAnsi" w:cstheme="minorHAnsi"/>
          <w:sz w:val="22"/>
          <w:szCs w:val="22"/>
          <w:lang w:val="fr-CA"/>
        </w:rPr>
        <w:t xml:space="preserve"> administré en alternance avec la vérification pangouvernementale</w:t>
      </w:r>
    </w:p>
    <w:p w14:paraId="7B66EBD7" w14:textId="77777777" w:rsidR="00EE4574" w:rsidRPr="00193822" w:rsidRDefault="00EE4574" w:rsidP="00D60C4D">
      <w:pPr>
        <w:pStyle w:val="Paragraphedeliste"/>
        <w:numPr>
          <w:ilvl w:val="0"/>
          <w:numId w:val="32"/>
        </w:numPr>
        <w:spacing w:after="0"/>
        <w:ind w:left="723"/>
        <w:contextualSpacing w:val="0"/>
        <w:rPr>
          <w:rFonts w:asciiTheme="minorHAnsi" w:eastAsiaTheme="minorHAnsi" w:hAnsiTheme="minorHAnsi" w:cstheme="minorHAnsi"/>
          <w:sz w:val="22"/>
          <w:szCs w:val="22"/>
          <w:lang w:val="fr-CA"/>
        </w:rPr>
      </w:pPr>
      <w:r w:rsidRPr="00193822">
        <w:rPr>
          <w:rStyle w:val="lev"/>
          <w:rFonts w:eastAsiaTheme="minorHAnsi" w:cstheme="minorHAnsi"/>
          <w:szCs w:val="22"/>
          <w:lang w:val="fr-CA"/>
        </w:rPr>
        <w:t>Examens de l’efficacité et de l’efficience de l’ensemble du système</w:t>
      </w:r>
      <w:r w:rsidRPr="00193822">
        <w:rPr>
          <w:rFonts w:asciiTheme="minorHAnsi" w:eastAsiaTheme="minorHAnsi" w:hAnsiTheme="minorHAnsi" w:cstheme="minorHAnsi"/>
          <w:sz w:val="22"/>
          <w:szCs w:val="22"/>
          <w:lang w:val="fr-CA"/>
        </w:rPr>
        <w:t xml:space="preserve"> pour appuyer l’amélioration continue</w:t>
      </w:r>
    </w:p>
    <w:p w14:paraId="367295F6" w14:textId="77777777" w:rsidR="00EE4574" w:rsidRPr="00193822" w:rsidRDefault="00EE4574" w:rsidP="00D60C4D">
      <w:pPr>
        <w:pStyle w:val="Paragraphedeliste"/>
        <w:numPr>
          <w:ilvl w:val="0"/>
          <w:numId w:val="32"/>
        </w:numPr>
        <w:spacing w:after="0"/>
        <w:ind w:left="723"/>
        <w:contextualSpacing w:val="0"/>
        <w:rPr>
          <w:rFonts w:asciiTheme="minorHAnsi" w:eastAsiaTheme="minorHAnsi" w:hAnsiTheme="minorHAnsi" w:cstheme="minorHAnsi"/>
          <w:sz w:val="22"/>
          <w:szCs w:val="22"/>
          <w:lang w:val="fr-CA"/>
        </w:rPr>
      </w:pPr>
      <w:r w:rsidRPr="00193822">
        <w:rPr>
          <w:rStyle w:val="lev"/>
          <w:rFonts w:eastAsiaTheme="minorHAnsi" w:cstheme="minorHAnsi"/>
          <w:szCs w:val="22"/>
          <w:lang w:val="fr-CA"/>
        </w:rPr>
        <w:t>Vérifications ciblées de la CFP</w:t>
      </w:r>
      <w:r w:rsidRPr="00193822">
        <w:rPr>
          <w:rFonts w:asciiTheme="minorHAnsi" w:eastAsiaTheme="minorHAnsi" w:hAnsiTheme="minorHAnsi" w:cstheme="minorHAnsi"/>
          <w:sz w:val="22"/>
          <w:szCs w:val="22"/>
          <w:lang w:val="fr-CA"/>
        </w:rPr>
        <w:t xml:space="preserve"> suite aux risques pangouvernementaux ou organisationnels identifiés, ou à la demande de l’administrateur général </w:t>
      </w:r>
    </w:p>
    <w:p w14:paraId="64EFC5C6" w14:textId="77777777" w:rsidR="00EE4574" w:rsidRPr="00193822" w:rsidRDefault="00EE4574" w:rsidP="00D60C4D">
      <w:pPr>
        <w:pStyle w:val="Paragraphedeliste"/>
        <w:numPr>
          <w:ilvl w:val="0"/>
          <w:numId w:val="32"/>
        </w:numPr>
        <w:ind w:left="723"/>
        <w:contextualSpacing w:val="0"/>
        <w:rPr>
          <w:rFonts w:asciiTheme="minorHAnsi" w:eastAsiaTheme="minorHAnsi" w:hAnsiTheme="minorHAnsi" w:cstheme="minorHAnsi"/>
          <w:sz w:val="22"/>
          <w:szCs w:val="22"/>
          <w:lang w:val="fr-CA"/>
        </w:rPr>
      </w:pPr>
      <w:r w:rsidRPr="00193822">
        <w:rPr>
          <w:rStyle w:val="lev"/>
          <w:rFonts w:eastAsiaTheme="minorHAnsi" w:cstheme="minorHAnsi"/>
          <w:szCs w:val="22"/>
          <w:lang w:val="fr-CA"/>
        </w:rPr>
        <w:t>Enquêtes menées</w:t>
      </w:r>
      <w:r w:rsidRPr="00193822">
        <w:rPr>
          <w:rFonts w:asciiTheme="minorHAnsi" w:eastAsiaTheme="minorHAnsi" w:hAnsiTheme="minorHAnsi" w:cstheme="minorHAnsi"/>
          <w:sz w:val="22"/>
          <w:szCs w:val="22"/>
          <w:lang w:val="fr-CA"/>
        </w:rPr>
        <w:t xml:space="preserve"> lorsqu’il y a lieu de croire  qu’il pourrait y avoir ingérence politique, fraude ou conduite irrégulière dans le cadre d’un  processus de nomination</w:t>
      </w:r>
    </w:p>
    <w:p w14:paraId="1229DEA0" w14:textId="45BE5A93" w:rsidR="00862C57" w:rsidRPr="00193822" w:rsidRDefault="00EE4574" w:rsidP="00731CFC">
      <w:pPr>
        <w:pStyle w:val="Pieddepage"/>
        <w:ind w:left="-426"/>
        <w:rPr>
          <w:rFonts w:ascii="Arial" w:hAnsi="Arial" w:cs="Arial"/>
          <w:b/>
          <w:lang w:val="fr-CA"/>
        </w:rPr>
      </w:pPr>
      <w:r w:rsidRPr="00193822">
        <w:rPr>
          <w:rStyle w:val="lev"/>
          <w:rFonts w:eastAsiaTheme="minorHAnsi" w:cstheme="minorHAnsi"/>
          <w:b w:val="0"/>
          <w:lang w:val="fr-CA"/>
        </w:rPr>
        <w:t xml:space="preserve">Ce document doit être lu conjointement avec la </w:t>
      </w:r>
      <w:r w:rsidRPr="001A6E33">
        <w:rPr>
          <w:rStyle w:val="Accentuation"/>
          <w:rFonts w:eastAsiaTheme="minorHAnsi"/>
          <w:lang w:val="fr-CA"/>
        </w:rPr>
        <w:t>Loi sur l’emploi dans la fonction publique</w:t>
      </w:r>
      <w:r w:rsidRPr="00193822">
        <w:rPr>
          <w:rStyle w:val="lev"/>
          <w:rFonts w:eastAsiaTheme="minorHAnsi" w:cstheme="minorHAnsi"/>
          <w:b w:val="0"/>
          <w:lang w:val="fr-CA"/>
        </w:rPr>
        <w:t xml:space="preserve">, le </w:t>
      </w:r>
      <w:r w:rsidRPr="001A6E33">
        <w:rPr>
          <w:rStyle w:val="Accentuation"/>
          <w:rFonts w:eastAsiaTheme="minorHAnsi"/>
          <w:lang w:val="fr-CA"/>
        </w:rPr>
        <w:t>Règlement sur l'emploi dans la fonction publique</w:t>
      </w:r>
      <w:r w:rsidRPr="00193822">
        <w:rPr>
          <w:rStyle w:val="lev"/>
          <w:rFonts w:eastAsiaTheme="minorHAnsi" w:cstheme="minorHAnsi"/>
          <w:b w:val="0"/>
          <w:lang w:val="fr-CA"/>
        </w:rPr>
        <w:t xml:space="preserve">, la ligne directrice en matière de nomination de la CFP ainsi que </w:t>
      </w:r>
      <w:r w:rsidRPr="001A6E33">
        <w:rPr>
          <w:rStyle w:val="Accentuation"/>
          <w:rFonts w:eastAsiaTheme="minorHAnsi"/>
          <w:lang w:val="fr-CA"/>
        </w:rPr>
        <w:t>l’Instrument de délégation et de responsabilisation en matière de nomination</w:t>
      </w:r>
      <w:r w:rsidRPr="00193822">
        <w:rPr>
          <w:rStyle w:val="lev"/>
          <w:rFonts w:eastAsiaTheme="minorHAnsi" w:cstheme="minorHAnsi"/>
          <w:b w:val="0"/>
          <w:lang w:val="fr-CA"/>
        </w:rPr>
        <w:t xml:space="preserve"> de la CFP</w:t>
      </w:r>
      <w:r w:rsidR="00731CFC" w:rsidRPr="00193822">
        <w:rPr>
          <w:rStyle w:val="lev"/>
          <w:rFonts w:eastAsiaTheme="minorHAnsi" w:cstheme="minorHAnsi"/>
          <w:b w:val="0"/>
          <w:lang w:val="fr-CA"/>
        </w:rPr>
        <w:t>.</w:t>
      </w:r>
    </w:p>
    <w:p w14:paraId="6B4E5805" w14:textId="77777777" w:rsidR="00862C57" w:rsidRPr="00193822" w:rsidRDefault="00862C57" w:rsidP="00D60C4D">
      <w:pPr>
        <w:rPr>
          <w:rFonts w:ascii="Arial" w:hAnsi="Arial" w:cs="Arial"/>
          <w:b/>
          <w:sz w:val="22"/>
          <w:szCs w:val="22"/>
          <w:lang w:val="fr-CA"/>
        </w:rPr>
        <w:sectPr w:rsidR="00862C57" w:rsidRPr="00193822" w:rsidSect="003F6509">
          <w:pgSz w:w="12240" w:h="15840"/>
          <w:pgMar w:top="1440" w:right="1080" w:bottom="1440" w:left="1080" w:header="708" w:footer="708" w:gutter="0"/>
          <w:cols w:space="708"/>
          <w:titlePg/>
          <w:docGrid w:linePitch="360"/>
        </w:sectPr>
      </w:pPr>
    </w:p>
    <w:p w14:paraId="3793A4FD" w14:textId="75A7611B" w:rsidR="00862C57" w:rsidRPr="00193822" w:rsidRDefault="009260FB" w:rsidP="00D60C4D">
      <w:pPr>
        <w:pStyle w:val="Titre3"/>
        <w:jc w:val="right"/>
        <w:rPr>
          <w:lang w:val="fr-CA"/>
        </w:rPr>
      </w:pPr>
      <w:bookmarkStart w:id="2" w:name="AnnexB"/>
      <w:r w:rsidRPr="00193822">
        <w:rPr>
          <w:lang w:val="fr-CA"/>
        </w:rPr>
        <w:lastRenderedPageBreak/>
        <w:t>Annexe B</w:t>
      </w:r>
    </w:p>
    <w:bookmarkEnd w:id="2"/>
    <w:p w14:paraId="0E11E5E0" w14:textId="77777777" w:rsidR="007B66C7" w:rsidRPr="00193822" w:rsidRDefault="007B66C7" w:rsidP="007B66C7">
      <w:pPr>
        <w:pStyle w:val="Titre1"/>
        <w:spacing w:before="120" w:after="120"/>
        <w:rPr>
          <w:sz w:val="40"/>
          <w:lang w:val="fr-CA"/>
        </w:rPr>
      </w:pPr>
      <w:r w:rsidRPr="00193822">
        <w:rPr>
          <w:sz w:val="40"/>
          <w:lang w:val="fr-CA"/>
        </w:rPr>
        <w:t>Population selon la durée d'emploi au 31 mars</w:t>
      </w:r>
    </w:p>
    <w:p w14:paraId="26264096" w14:textId="77777777" w:rsidR="00DB3FF5" w:rsidRPr="00193822" w:rsidRDefault="00862C57" w:rsidP="00DB3FF5">
      <w:pPr>
        <w:pStyle w:val="Titre3"/>
        <w:jc w:val="center"/>
        <w:rPr>
          <w:lang w:val="fr-CA"/>
        </w:rPr>
      </w:pPr>
      <w:r w:rsidRPr="00193822">
        <w:rPr>
          <w:rStyle w:val="lev"/>
          <w:noProof/>
          <w:lang w:val="en-CA" w:eastAsia="en-CA"/>
        </w:rPr>
        <w:drawing>
          <wp:inline distT="0" distB="0" distL="0" distR="0" wp14:anchorId="513A35C1" wp14:editId="7BFDDBDE">
            <wp:extent cx="5648400" cy="3049200"/>
            <wp:effectExtent l="0" t="0" r="9525" b="18415"/>
            <wp:docPr id="13" name="Chart 13" descr="Population selon la durée d'emploi au 31 mars"/>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465B7BB" w14:textId="229CCE12" w:rsidR="00DB3FF5" w:rsidRPr="00193822" w:rsidRDefault="00DB3FF5" w:rsidP="00DB3FF5">
      <w:pPr>
        <w:pStyle w:val="Lgende"/>
        <w:jc w:val="center"/>
        <w:rPr>
          <w:lang w:val="fr-CA"/>
        </w:rPr>
      </w:pPr>
      <w:r w:rsidRPr="00193822">
        <w:rPr>
          <w:lang w:val="fr-CA"/>
        </w:rPr>
        <w:t xml:space="preserve">Figure </w:t>
      </w:r>
      <w:r w:rsidRPr="00193822">
        <w:rPr>
          <w:lang w:val="fr-CA"/>
        </w:rPr>
        <w:fldChar w:fldCharType="begin"/>
      </w:r>
      <w:r w:rsidRPr="00193822">
        <w:rPr>
          <w:lang w:val="fr-CA"/>
        </w:rPr>
        <w:instrText xml:space="preserve"> SEQ Figure \* ARABIC </w:instrText>
      </w:r>
      <w:r w:rsidRPr="00193822">
        <w:rPr>
          <w:lang w:val="fr-CA"/>
        </w:rPr>
        <w:fldChar w:fldCharType="separate"/>
      </w:r>
      <w:r w:rsidR="002B3DED" w:rsidRPr="00193822">
        <w:rPr>
          <w:noProof/>
          <w:lang w:val="fr-CA"/>
        </w:rPr>
        <w:t>1</w:t>
      </w:r>
      <w:r w:rsidRPr="00193822">
        <w:rPr>
          <w:lang w:val="fr-CA"/>
        </w:rPr>
        <w:fldChar w:fldCharType="end"/>
      </w:r>
      <w:r w:rsidRPr="00193822">
        <w:rPr>
          <w:lang w:val="fr-CA"/>
        </w:rPr>
        <w:t xml:space="preserve"> - Population selon la durée d'emploi au 31 mars</w:t>
      </w:r>
    </w:p>
    <w:p w14:paraId="3782C19B" w14:textId="2E3D55E6" w:rsidR="00EA0EA2" w:rsidRPr="00193822" w:rsidRDefault="00EA0EA2" w:rsidP="00EA0EA2">
      <w:pPr>
        <w:pStyle w:val="Lgende"/>
        <w:keepNext/>
        <w:spacing w:before="240"/>
        <w:jc w:val="center"/>
        <w:rPr>
          <w:lang w:val="fr-CA"/>
        </w:rPr>
      </w:pPr>
      <w:r w:rsidRPr="00193822">
        <w:rPr>
          <w:lang w:val="fr-CA"/>
        </w:rPr>
        <w:t xml:space="preserve">Tableau </w:t>
      </w:r>
      <w:r w:rsidRPr="00193822">
        <w:rPr>
          <w:lang w:val="fr-CA"/>
        </w:rPr>
        <w:fldChar w:fldCharType="begin"/>
      </w:r>
      <w:r w:rsidRPr="00193822">
        <w:rPr>
          <w:lang w:val="fr-CA"/>
        </w:rPr>
        <w:instrText xml:space="preserve"> SEQ Tableau \* ARABIC </w:instrText>
      </w:r>
      <w:r w:rsidRPr="00193822">
        <w:rPr>
          <w:lang w:val="fr-CA"/>
        </w:rPr>
        <w:fldChar w:fldCharType="separate"/>
      </w:r>
      <w:r w:rsidR="00211837" w:rsidRPr="00193822">
        <w:rPr>
          <w:noProof/>
          <w:lang w:val="fr-CA"/>
        </w:rPr>
        <w:t>4</w:t>
      </w:r>
      <w:r w:rsidRPr="00193822">
        <w:rPr>
          <w:lang w:val="fr-CA"/>
        </w:rPr>
        <w:fldChar w:fldCharType="end"/>
      </w:r>
      <w:r w:rsidRPr="00193822">
        <w:rPr>
          <w:lang w:val="fr-CA"/>
        </w:rPr>
        <w:t xml:space="preserve"> - Effectif régi par la Loi sur l’emploi dans la fonction publique au 31 mars selon la durée d’emploi</w:t>
      </w:r>
    </w:p>
    <w:tbl>
      <w:tblPr>
        <w:tblStyle w:val="Grilledutableau"/>
        <w:tblW w:w="5000" w:type="pct"/>
        <w:jc w:val="center"/>
        <w:tblLook w:val="0000" w:firstRow="0" w:lastRow="0" w:firstColumn="0" w:lastColumn="0" w:noHBand="0" w:noVBand="0"/>
        <w:tblDescription w:val="Effectif selon la durée d'emploi en date du 31 mars 2014 à 2019"/>
      </w:tblPr>
      <w:tblGrid>
        <w:gridCol w:w="3174"/>
        <w:gridCol w:w="2603"/>
        <w:gridCol w:w="2321"/>
        <w:gridCol w:w="2540"/>
        <w:gridCol w:w="1763"/>
        <w:gridCol w:w="1269"/>
      </w:tblGrid>
      <w:tr w:rsidR="00DB3FF5" w:rsidRPr="00193822" w14:paraId="46103048" w14:textId="77777777" w:rsidTr="003F6509">
        <w:trPr>
          <w:cantSplit/>
          <w:trHeight w:val="290"/>
          <w:tblHeader/>
          <w:jc w:val="center"/>
        </w:trPr>
        <w:tc>
          <w:tcPr>
            <w:tcW w:w="1161" w:type="pct"/>
          </w:tcPr>
          <w:p w14:paraId="6FE5C3CD" w14:textId="0C9B7A56" w:rsidR="00DB3FF5" w:rsidRPr="00193822" w:rsidRDefault="00DB3FF5" w:rsidP="00DB3FF5">
            <w:pPr>
              <w:pStyle w:val="TableTitle"/>
              <w:rPr>
                <w:lang w:val="fr-CA"/>
              </w:rPr>
            </w:pPr>
            <w:r w:rsidRPr="00193822">
              <w:rPr>
                <w:lang w:val="fr-CA"/>
              </w:rPr>
              <w:t>Année</w:t>
            </w:r>
          </w:p>
        </w:tc>
        <w:tc>
          <w:tcPr>
            <w:tcW w:w="952" w:type="pct"/>
          </w:tcPr>
          <w:p w14:paraId="5C957898" w14:textId="77777777" w:rsidR="00DB3FF5" w:rsidRPr="00193822" w:rsidRDefault="00DB3FF5" w:rsidP="00DB3FF5">
            <w:pPr>
              <w:pStyle w:val="TableTitle"/>
              <w:rPr>
                <w:lang w:val="fr-CA"/>
              </w:rPr>
            </w:pPr>
            <w:r w:rsidRPr="00193822">
              <w:rPr>
                <w:lang w:val="fr-CA"/>
              </w:rPr>
              <w:t>Indéterminée</w:t>
            </w:r>
          </w:p>
        </w:tc>
        <w:tc>
          <w:tcPr>
            <w:tcW w:w="849" w:type="pct"/>
          </w:tcPr>
          <w:p w14:paraId="6D40596D" w14:textId="77777777" w:rsidR="00DB3FF5" w:rsidRPr="00193822" w:rsidRDefault="00DB3FF5" w:rsidP="00DB3FF5">
            <w:pPr>
              <w:pStyle w:val="TableTitle"/>
              <w:rPr>
                <w:lang w:val="fr-CA"/>
              </w:rPr>
            </w:pPr>
            <w:r w:rsidRPr="00193822">
              <w:rPr>
                <w:lang w:val="fr-CA"/>
              </w:rPr>
              <w:t>Déterminée</w:t>
            </w:r>
          </w:p>
        </w:tc>
        <w:tc>
          <w:tcPr>
            <w:tcW w:w="929" w:type="pct"/>
          </w:tcPr>
          <w:p w14:paraId="58B38E40" w14:textId="77777777" w:rsidR="00DB3FF5" w:rsidRPr="00193822" w:rsidRDefault="00DB3FF5" w:rsidP="00DB3FF5">
            <w:pPr>
              <w:pStyle w:val="TableTitle"/>
              <w:rPr>
                <w:lang w:val="fr-CA"/>
              </w:rPr>
            </w:pPr>
            <w:r w:rsidRPr="00193822">
              <w:rPr>
                <w:lang w:val="fr-CA"/>
              </w:rPr>
              <w:t>Occasionnels</w:t>
            </w:r>
          </w:p>
        </w:tc>
        <w:tc>
          <w:tcPr>
            <w:tcW w:w="645" w:type="pct"/>
          </w:tcPr>
          <w:p w14:paraId="7B651D90" w14:textId="77777777" w:rsidR="00DB3FF5" w:rsidRPr="00193822" w:rsidRDefault="00DB3FF5" w:rsidP="00DB3FF5">
            <w:pPr>
              <w:pStyle w:val="TableTitle"/>
              <w:rPr>
                <w:lang w:val="fr-CA"/>
              </w:rPr>
            </w:pPr>
            <w:r w:rsidRPr="00193822">
              <w:rPr>
                <w:lang w:val="fr-CA"/>
              </w:rPr>
              <w:t>Étudiant</w:t>
            </w:r>
          </w:p>
        </w:tc>
        <w:tc>
          <w:tcPr>
            <w:tcW w:w="465" w:type="pct"/>
          </w:tcPr>
          <w:p w14:paraId="712C283A" w14:textId="77777777" w:rsidR="00DB3FF5" w:rsidRPr="00193822" w:rsidRDefault="00DB3FF5" w:rsidP="00DB3FF5">
            <w:pPr>
              <w:pStyle w:val="TableTitle"/>
              <w:rPr>
                <w:lang w:val="fr-CA"/>
              </w:rPr>
            </w:pPr>
            <w:r w:rsidRPr="00193822">
              <w:rPr>
                <w:lang w:val="fr-CA"/>
              </w:rPr>
              <w:t>Total</w:t>
            </w:r>
          </w:p>
        </w:tc>
      </w:tr>
      <w:tr w:rsidR="00DB3FF5" w:rsidRPr="00193822" w14:paraId="4CEEDA45" w14:textId="77777777" w:rsidTr="003F6509">
        <w:trPr>
          <w:cantSplit/>
          <w:trHeight w:val="290"/>
          <w:tblHeader/>
          <w:jc w:val="center"/>
        </w:trPr>
        <w:tc>
          <w:tcPr>
            <w:tcW w:w="1161" w:type="pct"/>
          </w:tcPr>
          <w:p w14:paraId="761913B1" w14:textId="77777777" w:rsidR="00DB3FF5" w:rsidRPr="00193822" w:rsidRDefault="00DB3FF5" w:rsidP="00941E7D">
            <w:pPr>
              <w:autoSpaceDE w:val="0"/>
              <w:autoSpaceDN w:val="0"/>
              <w:adjustRightInd w:val="0"/>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Au 31 mars 2014</w:t>
            </w:r>
          </w:p>
        </w:tc>
        <w:tc>
          <w:tcPr>
            <w:tcW w:w="952" w:type="pct"/>
          </w:tcPr>
          <w:p w14:paraId="3B156FD4" w14:textId="77777777" w:rsidR="00DB3FF5" w:rsidRPr="00193822" w:rsidRDefault="00DB3FF5" w:rsidP="008C52C5">
            <w:pPr>
              <w:autoSpaceDE w:val="0"/>
              <w:autoSpaceDN w:val="0"/>
              <w:adjustRightInd w:val="0"/>
              <w:jc w:val="center"/>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776</w:t>
            </w:r>
          </w:p>
        </w:tc>
        <w:tc>
          <w:tcPr>
            <w:tcW w:w="849" w:type="pct"/>
          </w:tcPr>
          <w:p w14:paraId="406FDBAD" w14:textId="77777777" w:rsidR="00DB3FF5" w:rsidRPr="00193822" w:rsidRDefault="00DB3FF5" w:rsidP="008C52C5">
            <w:pPr>
              <w:autoSpaceDE w:val="0"/>
              <w:autoSpaceDN w:val="0"/>
              <w:adjustRightInd w:val="0"/>
              <w:jc w:val="center"/>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113</w:t>
            </w:r>
          </w:p>
        </w:tc>
        <w:tc>
          <w:tcPr>
            <w:tcW w:w="929" w:type="pct"/>
          </w:tcPr>
          <w:p w14:paraId="1E4B5683" w14:textId="77777777" w:rsidR="00DB3FF5" w:rsidRPr="00193822" w:rsidRDefault="00DB3FF5" w:rsidP="008C52C5">
            <w:pPr>
              <w:autoSpaceDE w:val="0"/>
              <w:autoSpaceDN w:val="0"/>
              <w:adjustRightInd w:val="0"/>
              <w:jc w:val="center"/>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135</w:t>
            </w:r>
          </w:p>
        </w:tc>
        <w:tc>
          <w:tcPr>
            <w:tcW w:w="645" w:type="pct"/>
          </w:tcPr>
          <w:p w14:paraId="4B42B130" w14:textId="77777777" w:rsidR="00DB3FF5" w:rsidRPr="00193822" w:rsidRDefault="00DB3FF5" w:rsidP="008C52C5">
            <w:pPr>
              <w:autoSpaceDE w:val="0"/>
              <w:autoSpaceDN w:val="0"/>
              <w:adjustRightInd w:val="0"/>
              <w:jc w:val="center"/>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18</w:t>
            </w:r>
          </w:p>
        </w:tc>
        <w:tc>
          <w:tcPr>
            <w:tcW w:w="465" w:type="pct"/>
          </w:tcPr>
          <w:p w14:paraId="589450DC" w14:textId="77777777" w:rsidR="00DB3FF5" w:rsidRPr="00193822" w:rsidRDefault="00DB3FF5" w:rsidP="008C52C5">
            <w:pPr>
              <w:autoSpaceDE w:val="0"/>
              <w:autoSpaceDN w:val="0"/>
              <w:adjustRightInd w:val="0"/>
              <w:jc w:val="center"/>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1 042</w:t>
            </w:r>
          </w:p>
        </w:tc>
      </w:tr>
      <w:tr w:rsidR="00DB3FF5" w:rsidRPr="00193822" w14:paraId="20188158" w14:textId="77777777" w:rsidTr="003F6509">
        <w:trPr>
          <w:cantSplit/>
          <w:trHeight w:val="290"/>
          <w:tblHeader/>
          <w:jc w:val="center"/>
        </w:trPr>
        <w:tc>
          <w:tcPr>
            <w:tcW w:w="1161" w:type="pct"/>
          </w:tcPr>
          <w:p w14:paraId="02385473" w14:textId="77777777" w:rsidR="00DB3FF5" w:rsidRPr="00193822" w:rsidRDefault="00DB3FF5" w:rsidP="00941E7D">
            <w:pPr>
              <w:autoSpaceDE w:val="0"/>
              <w:autoSpaceDN w:val="0"/>
              <w:adjustRightInd w:val="0"/>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Au 31 mars 2015</w:t>
            </w:r>
          </w:p>
        </w:tc>
        <w:tc>
          <w:tcPr>
            <w:tcW w:w="952" w:type="pct"/>
          </w:tcPr>
          <w:p w14:paraId="460C68EA" w14:textId="77777777" w:rsidR="00DB3FF5" w:rsidRPr="00193822" w:rsidRDefault="00DB3FF5" w:rsidP="008C52C5">
            <w:pPr>
              <w:autoSpaceDE w:val="0"/>
              <w:autoSpaceDN w:val="0"/>
              <w:adjustRightInd w:val="0"/>
              <w:jc w:val="center"/>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776</w:t>
            </w:r>
          </w:p>
        </w:tc>
        <w:tc>
          <w:tcPr>
            <w:tcW w:w="849" w:type="pct"/>
          </w:tcPr>
          <w:p w14:paraId="6521A822" w14:textId="77777777" w:rsidR="00DB3FF5" w:rsidRPr="00193822" w:rsidRDefault="00DB3FF5" w:rsidP="008C52C5">
            <w:pPr>
              <w:autoSpaceDE w:val="0"/>
              <w:autoSpaceDN w:val="0"/>
              <w:adjustRightInd w:val="0"/>
              <w:jc w:val="center"/>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126</w:t>
            </w:r>
          </w:p>
        </w:tc>
        <w:tc>
          <w:tcPr>
            <w:tcW w:w="929" w:type="pct"/>
          </w:tcPr>
          <w:p w14:paraId="573C0A00" w14:textId="77777777" w:rsidR="00DB3FF5" w:rsidRPr="00193822" w:rsidRDefault="00DB3FF5" w:rsidP="008C52C5">
            <w:pPr>
              <w:autoSpaceDE w:val="0"/>
              <w:autoSpaceDN w:val="0"/>
              <w:adjustRightInd w:val="0"/>
              <w:jc w:val="center"/>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105</w:t>
            </w:r>
          </w:p>
        </w:tc>
        <w:tc>
          <w:tcPr>
            <w:tcW w:w="645" w:type="pct"/>
          </w:tcPr>
          <w:p w14:paraId="35588030" w14:textId="77777777" w:rsidR="00DB3FF5" w:rsidRPr="00193822" w:rsidRDefault="00DB3FF5" w:rsidP="008C52C5">
            <w:pPr>
              <w:autoSpaceDE w:val="0"/>
              <w:autoSpaceDN w:val="0"/>
              <w:adjustRightInd w:val="0"/>
              <w:jc w:val="center"/>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18</w:t>
            </w:r>
          </w:p>
        </w:tc>
        <w:tc>
          <w:tcPr>
            <w:tcW w:w="465" w:type="pct"/>
          </w:tcPr>
          <w:p w14:paraId="1F3A7147" w14:textId="77777777" w:rsidR="00DB3FF5" w:rsidRPr="00193822" w:rsidRDefault="00DB3FF5" w:rsidP="008C52C5">
            <w:pPr>
              <w:autoSpaceDE w:val="0"/>
              <w:autoSpaceDN w:val="0"/>
              <w:adjustRightInd w:val="0"/>
              <w:jc w:val="center"/>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1 025</w:t>
            </w:r>
          </w:p>
        </w:tc>
      </w:tr>
      <w:tr w:rsidR="00DB3FF5" w:rsidRPr="00193822" w14:paraId="7623C83A" w14:textId="77777777" w:rsidTr="003F6509">
        <w:trPr>
          <w:cantSplit/>
          <w:trHeight w:val="290"/>
          <w:tblHeader/>
          <w:jc w:val="center"/>
        </w:trPr>
        <w:tc>
          <w:tcPr>
            <w:tcW w:w="1161" w:type="pct"/>
          </w:tcPr>
          <w:p w14:paraId="6726CA8F" w14:textId="77777777" w:rsidR="00DB3FF5" w:rsidRPr="00193822" w:rsidRDefault="00DB3FF5" w:rsidP="00941E7D">
            <w:pPr>
              <w:autoSpaceDE w:val="0"/>
              <w:autoSpaceDN w:val="0"/>
              <w:adjustRightInd w:val="0"/>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Au 31 mars 2016</w:t>
            </w:r>
          </w:p>
        </w:tc>
        <w:tc>
          <w:tcPr>
            <w:tcW w:w="952" w:type="pct"/>
          </w:tcPr>
          <w:p w14:paraId="5635B5A0" w14:textId="77777777" w:rsidR="00DB3FF5" w:rsidRPr="00193822" w:rsidRDefault="00DB3FF5" w:rsidP="008C52C5">
            <w:pPr>
              <w:autoSpaceDE w:val="0"/>
              <w:autoSpaceDN w:val="0"/>
              <w:adjustRightInd w:val="0"/>
              <w:jc w:val="center"/>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744</w:t>
            </w:r>
          </w:p>
        </w:tc>
        <w:tc>
          <w:tcPr>
            <w:tcW w:w="849" w:type="pct"/>
          </w:tcPr>
          <w:p w14:paraId="6585A79F" w14:textId="77777777" w:rsidR="00DB3FF5" w:rsidRPr="00193822" w:rsidRDefault="00DB3FF5" w:rsidP="008C52C5">
            <w:pPr>
              <w:autoSpaceDE w:val="0"/>
              <w:autoSpaceDN w:val="0"/>
              <w:adjustRightInd w:val="0"/>
              <w:jc w:val="center"/>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111</w:t>
            </w:r>
          </w:p>
        </w:tc>
        <w:tc>
          <w:tcPr>
            <w:tcW w:w="929" w:type="pct"/>
          </w:tcPr>
          <w:p w14:paraId="537C5933" w14:textId="77777777" w:rsidR="00DB3FF5" w:rsidRPr="00193822" w:rsidRDefault="00DB3FF5" w:rsidP="008C52C5">
            <w:pPr>
              <w:autoSpaceDE w:val="0"/>
              <w:autoSpaceDN w:val="0"/>
              <w:adjustRightInd w:val="0"/>
              <w:jc w:val="center"/>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71</w:t>
            </w:r>
          </w:p>
        </w:tc>
        <w:tc>
          <w:tcPr>
            <w:tcW w:w="645" w:type="pct"/>
          </w:tcPr>
          <w:p w14:paraId="6476DC95" w14:textId="77777777" w:rsidR="00DB3FF5" w:rsidRPr="00193822" w:rsidRDefault="00DB3FF5" w:rsidP="008C52C5">
            <w:pPr>
              <w:autoSpaceDE w:val="0"/>
              <w:autoSpaceDN w:val="0"/>
              <w:adjustRightInd w:val="0"/>
              <w:jc w:val="center"/>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9</w:t>
            </w:r>
          </w:p>
        </w:tc>
        <w:tc>
          <w:tcPr>
            <w:tcW w:w="465" w:type="pct"/>
          </w:tcPr>
          <w:p w14:paraId="3EF91EEA" w14:textId="77777777" w:rsidR="00DB3FF5" w:rsidRPr="00193822" w:rsidRDefault="00DB3FF5" w:rsidP="008C52C5">
            <w:pPr>
              <w:autoSpaceDE w:val="0"/>
              <w:autoSpaceDN w:val="0"/>
              <w:adjustRightInd w:val="0"/>
              <w:jc w:val="center"/>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935</w:t>
            </w:r>
          </w:p>
        </w:tc>
      </w:tr>
      <w:tr w:rsidR="00DB3FF5" w:rsidRPr="00193822" w14:paraId="447544D9" w14:textId="77777777" w:rsidTr="003F6509">
        <w:trPr>
          <w:cantSplit/>
          <w:trHeight w:val="290"/>
          <w:tblHeader/>
          <w:jc w:val="center"/>
        </w:trPr>
        <w:tc>
          <w:tcPr>
            <w:tcW w:w="1161" w:type="pct"/>
          </w:tcPr>
          <w:p w14:paraId="55C55560" w14:textId="77777777" w:rsidR="00DB3FF5" w:rsidRPr="00193822" w:rsidRDefault="00DB3FF5" w:rsidP="00941E7D">
            <w:pPr>
              <w:autoSpaceDE w:val="0"/>
              <w:autoSpaceDN w:val="0"/>
              <w:adjustRightInd w:val="0"/>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Au 31 mars 2017</w:t>
            </w:r>
          </w:p>
        </w:tc>
        <w:tc>
          <w:tcPr>
            <w:tcW w:w="952" w:type="pct"/>
          </w:tcPr>
          <w:p w14:paraId="0E692AE8" w14:textId="77777777" w:rsidR="00DB3FF5" w:rsidRPr="00193822" w:rsidRDefault="00DB3FF5" w:rsidP="008C52C5">
            <w:pPr>
              <w:autoSpaceDE w:val="0"/>
              <w:autoSpaceDN w:val="0"/>
              <w:adjustRightInd w:val="0"/>
              <w:jc w:val="center"/>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767</w:t>
            </w:r>
          </w:p>
        </w:tc>
        <w:tc>
          <w:tcPr>
            <w:tcW w:w="849" w:type="pct"/>
          </w:tcPr>
          <w:p w14:paraId="739FB063" w14:textId="77777777" w:rsidR="00DB3FF5" w:rsidRPr="00193822" w:rsidRDefault="00DB3FF5" w:rsidP="008C52C5">
            <w:pPr>
              <w:autoSpaceDE w:val="0"/>
              <w:autoSpaceDN w:val="0"/>
              <w:adjustRightInd w:val="0"/>
              <w:jc w:val="center"/>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92</w:t>
            </w:r>
          </w:p>
        </w:tc>
        <w:tc>
          <w:tcPr>
            <w:tcW w:w="929" w:type="pct"/>
          </w:tcPr>
          <w:p w14:paraId="503EC950" w14:textId="77777777" w:rsidR="00DB3FF5" w:rsidRPr="00193822" w:rsidRDefault="00DB3FF5" w:rsidP="008C52C5">
            <w:pPr>
              <w:autoSpaceDE w:val="0"/>
              <w:autoSpaceDN w:val="0"/>
              <w:adjustRightInd w:val="0"/>
              <w:jc w:val="center"/>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91</w:t>
            </w:r>
          </w:p>
        </w:tc>
        <w:tc>
          <w:tcPr>
            <w:tcW w:w="645" w:type="pct"/>
          </w:tcPr>
          <w:p w14:paraId="13BDEBF0" w14:textId="77777777" w:rsidR="00DB3FF5" w:rsidRPr="00193822" w:rsidRDefault="00DB3FF5" w:rsidP="008C52C5">
            <w:pPr>
              <w:autoSpaceDE w:val="0"/>
              <w:autoSpaceDN w:val="0"/>
              <w:adjustRightInd w:val="0"/>
              <w:jc w:val="center"/>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17</w:t>
            </w:r>
          </w:p>
        </w:tc>
        <w:tc>
          <w:tcPr>
            <w:tcW w:w="465" w:type="pct"/>
          </w:tcPr>
          <w:p w14:paraId="781122E9" w14:textId="77777777" w:rsidR="00DB3FF5" w:rsidRPr="00193822" w:rsidRDefault="00DB3FF5" w:rsidP="008C52C5">
            <w:pPr>
              <w:autoSpaceDE w:val="0"/>
              <w:autoSpaceDN w:val="0"/>
              <w:adjustRightInd w:val="0"/>
              <w:jc w:val="center"/>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967</w:t>
            </w:r>
          </w:p>
        </w:tc>
      </w:tr>
      <w:tr w:rsidR="00DB3FF5" w:rsidRPr="00193822" w14:paraId="50628A5C" w14:textId="77777777" w:rsidTr="003F6509">
        <w:trPr>
          <w:cantSplit/>
          <w:trHeight w:val="290"/>
          <w:tblHeader/>
          <w:jc w:val="center"/>
        </w:trPr>
        <w:tc>
          <w:tcPr>
            <w:tcW w:w="1161" w:type="pct"/>
          </w:tcPr>
          <w:p w14:paraId="61DF0A94" w14:textId="77777777" w:rsidR="00DB3FF5" w:rsidRPr="00193822" w:rsidRDefault="00DB3FF5" w:rsidP="00941E7D">
            <w:pPr>
              <w:autoSpaceDE w:val="0"/>
              <w:autoSpaceDN w:val="0"/>
              <w:adjustRightInd w:val="0"/>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Au 31 mars 2018</w:t>
            </w:r>
          </w:p>
        </w:tc>
        <w:tc>
          <w:tcPr>
            <w:tcW w:w="952" w:type="pct"/>
          </w:tcPr>
          <w:p w14:paraId="44A5B020" w14:textId="77777777" w:rsidR="00DB3FF5" w:rsidRPr="00193822" w:rsidRDefault="00DB3FF5" w:rsidP="008C52C5">
            <w:pPr>
              <w:autoSpaceDE w:val="0"/>
              <w:autoSpaceDN w:val="0"/>
              <w:adjustRightInd w:val="0"/>
              <w:jc w:val="center"/>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780</w:t>
            </w:r>
          </w:p>
        </w:tc>
        <w:tc>
          <w:tcPr>
            <w:tcW w:w="849" w:type="pct"/>
          </w:tcPr>
          <w:p w14:paraId="236285BB" w14:textId="77777777" w:rsidR="00DB3FF5" w:rsidRPr="00193822" w:rsidRDefault="00DB3FF5" w:rsidP="008C52C5">
            <w:pPr>
              <w:autoSpaceDE w:val="0"/>
              <w:autoSpaceDN w:val="0"/>
              <w:adjustRightInd w:val="0"/>
              <w:jc w:val="center"/>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104</w:t>
            </w:r>
          </w:p>
        </w:tc>
        <w:tc>
          <w:tcPr>
            <w:tcW w:w="929" w:type="pct"/>
          </w:tcPr>
          <w:p w14:paraId="15B12310" w14:textId="77777777" w:rsidR="00DB3FF5" w:rsidRPr="00193822" w:rsidRDefault="00DB3FF5" w:rsidP="008C52C5">
            <w:pPr>
              <w:autoSpaceDE w:val="0"/>
              <w:autoSpaceDN w:val="0"/>
              <w:adjustRightInd w:val="0"/>
              <w:jc w:val="center"/>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48</w:t>
            </w:r>
          </w:p>
        </w:tc>
        <w:tc>
          <w:tcPr>
            <w:tcW w:w="645" w:type="pct"/>
          </w:tcPr>
          <w:p w14:paraId="479AE545" w14:textId="77777777" w:rsidR="00DB3FF5" w:rsidRPr="00193822" w:rsidRDefault="00DB3FF5" w:rsidP="008C52C5">
            <w:pPr>
              <w:autoSpaceDE w:val="0"/>
              <w:autoSpaceDN w:val="0"/>
              <w:adjustRightInd w:val="0"/>
              <w:jc w:val="center"/>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17</w:t>
            </w:r>
          </w:p>
        </w:tc>
        <w:tc>
          <w:tcPr>
            <w:tcW w:w="465" w:type="pct"/>
          </w:tcPr>
          <w:p w14:paraId="1C5A5459" w14:textId="77777777" w:rsidR="00DB3FF5" w:rsidRPr="00193822" w:rsidRDefault="00DB3FF5" w:rsidP="008C52C5">
            <w:pPr>
              <w:autoSpaceDE w:val="0"/>
              <w:autoSpaceDN w:val="0"/>
              <w:adjustRightInd w:val="0"/>
              <w:jc w:val="center"/>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949</w:t>
            </w:r>
          </w:p>
        </w:tc>
      </w:tr>
      <w:tr w:rsidR="00DB3FF5" w:rsidRPr="00193822" w14:paraId="7418754A" w14:textId="77777777" w:rsidTr="003F6509">
        <w:trPr>
          <w:cantSplit/>
          <w:trHeight w:val="290"/>
          <w:tblHeader/>
          <w:jc w:val="center"/>
        </w:trPr>
        <w:tc>
          <w:tcPr>
            <w:tcW w:w="1161" w:type="pct"/>
          </w:tcPr>
          <w:p w14:paraId="6F62D5D1" w14:textId="77777777" w:rsidR="00DB3FF5" w:rsidRPr="00193822" w:rsidRDefault="00DB3FF5" w:rsidP="00941E7D">
            <w:pPr>
              <w:autoSpaceDE w:val="0"/>
              <w:autoSpaceDN w:val="0"/>
              <w:adjustRightInd w:val="0"/>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Au 31 mars 2019</w:t>
            </w:r>
          </w:p>
        </w:tc>
        <w:tc>
          <w:tcPr>
            <w:tcW w:w="952" w:type="pct"/>
          </w:tcPr>
          <w:p w14:paraId="3DB1B06E" w14:textId="77777777" w:rsidR="00DB3FF5" w:rsidRPr="00193822" w:rsidRDefault="00DB3FF5" w:rsidP="008C52C5">
            <w:pPr>
              <w:autoSpaceDE w:val="0"/>
              <w:autoSpaceDN w:val="0"/>
              <w:adjustRightInd w:val="0"/>
              <w:jc w:val="center"/>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808</w:t>
            </w:r>
          </w:p>
        </w:tc>
        <w:tc>
          <w:tcPr>
            <w:tcW w:w="849" w:type="pct"/>
          </w:tcPr>
          <w:p w14:paraId="64CA4F64" w14:textId="77777777" w:rsidR="00DB3FF5" w:rsidRPr="00193822" w:rsidRDefault="00DB3FF5" w:rsidP="008C52C5">
            <w:pPr>
              <w:autoSpaceDE w:val="0"/>
              <w:autoSpaceDN w:val="0"/>
              <w:adjustRightInd w:val="0"/>
              <w:jc w:val="center"/>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92</w:t>
            </w:r>
          </w:p>
        </w:tc>
        <w:tc>
          <w:tcPr>
            <w:tcW w:w="929" w:type="pct"/>
          </w:tcPr>
          <w:p w14:paraId="40548A97" w14:textId="77777777" w:rsidR="00DB3FF5" w:rsidRPr="00193822" w:rsidRDefault="00DB3FF5" w:rsidP="008C52C5">
            <w:pPr>
              <w:autoSpaceDE w:val="0"/>
              <w:autoSpaceDN w:val="0"/>
              <w:adjustRightInd w:val="0"/>
              <w:jc w:val="center"/>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64</w:t>
            </w:r>
          </w:p>
        </w:tc>
        <w:tc>
          <w:tcPr>
            <w:tcW w:w="645" w:type="pct"/>
          </w:tcPr>
          <w:p w14:paraId="0655A5D7" w14:textId="77777777" w:rsidR="00DB3FF5" w:rsidRPr="00193822" w:rsidRDefault="00DB3FF5" w:rsidP="008C52C5">
            <w:pPr>
              <w:autoSpaceDE w:val="0"/>
              <w:autoSpaceDN w:val="0"/>
              <w:adjustRightInd w:val="0"/>
              <w:jc w:val="center"/>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22</w:t>
            </w:r>
          </w:p>
        </w:tc>
        <w:tc>
          <w:tcPr>
            <w:tcW w:w="465" w:type="pct"/>
          </w:tcPr>
          <w:p w14:paraId="1EC7DA8F" w14:textId="77777777" w:rsidR="00DB3FF5" w:rsidRPr="00193822" w:rsidRDefault="00DB3FF5" w:rsidP="008C52C5">
            <w:pPr>
              <w:autoSpaceDE w:val="0"/>
              <w:autoSpaceDN w:val="0"/>
              <w:adjustRightInd w:val="0"/>
              <w:jc w:val="center"/>
              <w:rPr>
                <w:rFonts w:ascii="Segoe UI Semilight" w:hAnsi="Segoe UI Semilight" w:cs="Segoe UI Semilight"/>
                <w:color w:val="000000"/>
                <w:szCs w:val="24"/>
                <w:lang w:val="fr-CA"/>
              </w:rPr>
            </w:pPr>
            <w:r w:rsidRPr="00193822">
              <w:rPr>
                <w:rFonts w:ascii="Segoe UI Semilight" w:hAnsi="Segoe UI Semilight" w:cs="Segoe UI Semilight"/>
                <w:color w:val="000000"/>
                <w:szCs w:val="24"/>
                <w:lang w:val="fr-CA"/>
              </w:rPr>
              <w:t>986</w:t>
            </w:r>
          </w:p>
        </w:tc>
      </w:tr>
    </w:tbl>
    <w:p w14:paraId="3372D2D4" w14:textId="77777777" w:rsidR="00DB3FF5" w:rsidRPr="00193822" w:rsidRDefault="00DB3FF5" w:rsidP="00DB3FF5">
      <w:pPr>
        <w:rPr>
          <w:lang w:val="fr-CA"/>
        </w:rPr>
      </w:pPr>
    </w:p>
    <w:p w14:paraId="7857052A" w14:textId="4326229A" w:rsidR="007B66C7" w:rsidRPr="00193822" w:rsidRDefault="007B66C7" w:rsidP="007B66C7">
      <w:pPr>
        <w:pStyle w:val="Titre1"/>
        <w:spacing w:before="120" w:after="120"/>
        <w:rPr>
          <w:sz w:val="40"/>
          <w:lang w:val="fr-CA"/>
        </w:rPr>
      </w:pPr>
      <w:r w:rsidRPr="00193822">
        <w:rPr>
          <w:sz w:val="40"/>
          <w:lang w:val="fr-CA"/>
        </w:rPr>
        <w:lastRenderedPageBreak/>
        <w:t>Population selon le profil linguistique au 31 mars 2019</w:t>
      </w:r>
    </w:p>
    <w:p w14:paraId="18211A83" w14:textId="77777777" w:rsidR="00EA0EA2" w:rsidRPr="00193822" w:rsidRDefault="00862C57" w:rsidP="00EA0EA2">
      <w:pPr>
        <w:pStyle w:val="Titre3"/>
        <w:jc w:val="center"/>
        <w:rPr>
          <w:lang w:val="fr-CA"/>
        </w:rPr>
      </w:pPr>
      <w:r w:rsidRPr="00193822">
        <w:rPr>
          <w:rStyle w:val="lev"/>
          <w:noProof/>
          <w:lang w:val="en-CA" w:eastAsia="en-CA"/>
        </w:rPr>
        <w:drawing>
          <wp:inline distT="0" distB="0" distL="0" distR="0" wp14:anchorId="7B02A72F" wp14:editId="54E8D07B">
            <wp:extent cx="1980000" cy="3020400"/>
            <wp:effectExtent l="0" t="0" r="1270" b="8890"/>
            <wp:docPr id="18" name="Chart 18" descr="Population selon le profil linguistique au 31 mars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6176982" w14:textId="5D85D817" w:rsidR="00EA0EA2" w:rsidRPr="00193822" w:rsidRDefault="00EA0EA2" w:rsidP="00EA0EA2">
      <w:pPr>
        <w:pStyle w:val="Lgende"/>
        <w:spacing w:after="240"/>
        <w:jc w:val="center"/>
        <w:rPr>
          <w:noProof/>
          <w:lang w:val="fr-CA" w:eastAsia="en-CA"/>
        </w:rPr>
      </w:pPr>
      <w:r w:rsidRPr="00193822">
        <w:rPr>
          <w:lang w:val="fr-CA"/>
        </w:rPr>
        <w:t xml:space="preserve">Figure </w:t>
      </w:r>
      <w:r w:rsidRPr="00193822">
        <w:rPr>
          <w:lang w:val="fr-CA"/>
        </w:rPr>
        <w:fldChar w:fldCharType="begin"/>
      </w:r>
      <w:r w:rsidRPr="00193822">
        <w:rPr>
          <w:lang w:val="fr-CA"/>
        </w:rPr>
        <w:instrText xml:space="preserve"> SEQ Figure \* ARABIC </w:instrText>
      </w:r>
      <w:r w:rsidRPr="00193822">
        <w:rPr>
          <w:lang w:val="fr-CA"/>
        </w:rPr>
        <w:fldChar w:fldCharType="separate"/>
      </w:r>
      <w:r w:rsidR="002B3DED" w:rsidRPr="00193822">
        <w:rPr>
          <w:noProof/>
          <w:lang w:val="fr-CA"/>
        </w:rPr>
        <w:t>2</w:t>
      </w:r>
      <w:r w:rsidRPr="00193822">
        <w:rPr>
          <w:lang w:val="fr-CA"/>
        </w:rPr>
        <w:fldChar w:fldCharType="end"/>
      </w:r>
      <w:r w:rsidRPr="00193822">
        <w:rPr>
          <w:lang w:val="fr-CA"/>
        </w:rPr>
        <w:t xml:space="preserve"> - Population selon le profil linguistique au 31 mars 2019</w:t>
      </w:r>
    </w:p>
    <w:p w14:paraId="7C64F52A" w14:textId="223329C1" w:rsidR="00EA0EA2" w:rsidRPr="00193822" w:rsidRDefault="00EA0EA2" w:rsidP="00EA0EA2">
      <w:pPr>
        <w:pStyle w:val="Lgende"/>
        <w:keepNext/>
        <w:jc w:val="center"/>
        <w:rPr>
          <w:lang w:val="fr-CA"/>
        </w:rPr>
      </w:pPr>
      <w:r w:rsidRPr="00193822">
        <w:rPr>
          <w:lang w:val="fr-CA"/>
        </w:rPr>
        <w:t xml:space="preserve">Tableau </w:t>
      </w:r>
      <w:r w:rsidRPr="00193822">
        <w:rPr>
          <w:lang w:val="fr-CA"/>
        </w:rPr>
        <w:fldChar w:fldCharType="begin"/>
      </w:r>
      <w:r w:rsidRPr="00193822">
        <w:rPr>
          <w:lang w:val="fr-CA"/>
        </w:rPr>
        <w:instrText xml:space="preserve"> SEQ Tableau \* ARABIC </w:instrText>
      </w:r>
      <w:r w:rsidRPr="00193822">
        <w:rPr>
          <w:lang w:val="fr-CA"/>
        </w:rPr>
        <w:fldChar w:fldCharType="separate"/>
      </w:r>
      <w:r w:rsidR="00211837" w:rsidRPr="00193822">
        <w:rPr>
          <w:noProof/>
          <w:lang w:val="fr-CA"/>
        </w:rPr>
        <w:t>5</w:t>
      </w:r>
      <w:r w:rsidRPr="00193822">
        <w:rPr>
          <w:lang w:val="fr-CA"/>
        </w:rPr>
        <w:fldChar w:fldCharType="end"/>
      </w:r>
      <w:r w:rsidRPr="00193822">
        <w:rPr>
          <w:lang w:val="fr-CA"/>
        </w:rPr>
        <w:t xml:space="preserve"> - Effectif régi par la Loi sur l’emploi dans la fonction publique selon le profil linguistique  au 31 mars 2019</w:t>
      </w:r>
    </w:p>
    <w:tbl>
      <w:tblPr>
        <w:tblStyle w:val="Grilledutableau"/>
        <w:tblW w:w="5000" w:type="pct"/>
        <w:jc w:val="center"/>
        <w:tblLook w:val="0000" w:firstRow="0" w:lastRow="0" w:firstColumn="0" w:lastColumn="0" w:noHBand="0" w:noVBand="0"/>
        <w:tblDescription w:val="Effectif selon les exigences linguistiques au 31 mars 2019"/>
      </w:tblPr>
      <w:tblGrid>
        <w:gridCol w:w="3065"/>
        <w:gridCol w:w="3948"/>
        <w:gridCol w:w="6657"/>
      </w:tblGrid>
      <w:tr w:rsidR="00EA0EA2" w:rsidRPr="00A336D2" w14:paraId="4B858230" w14:textId="77777777" w:rsidTr="003F6509">
        <w:trPr>
          <w:cantSplit/>
          <w:trHeight w:val="290"/>
          <w:tblHeader/>
          <w:jc w:val="center"/>
        </w:trPr>
        <w:tc>
          <w:tcPr>
            <w:tcW w:w="1121" w:type="pct"/>
          </w:tcPr>
          <w:p w14:paraId="1B375B1F" w14:textId="77777777" w:rsidR="00EA0EA2" w:rsidRPr="00193822" w:rsidRDefault="00EA0EA2" w:rsidP="00EA0EA2">
            <w:pPr>
              <w:pStyle w:val="TableTitle"/>
              <w:rPr>
                <w:color w:val="000000"/>
                <w:lang w:val="fr-CA"/>
              </w:rPr>
            </w:pPr>
            <w:r w:rsidRPr="00193822">
              <w:rPr>
                <w:lang w:val="fr-CA"/>
              </w:rPr>
              <w:t xml:space="preserve">Profil linguistique  </w:t>
            </w:r>
          </w:p>
        </w:tc>
        <w:tc>
          <w:tcPr>
            <w:tcW w:w="1444" w:type="pct"/>
          </w:tcPr>
          <w:p w14:paraId="35AF8543" w14:textId="77777777" w:rsidR="00EA0EA2" w:rsidRPr="00193822" w:rsidRDefault="00EA0EA2" w:rsidP="00EA0EA2">
            <w:pPr>
              <w:pStyle w:val="TableTitle"/>
              <w:rPr>
                <w:color w:val="000000"/>
                <w:lang w:val="fr-CA"/>
              </w:rPr>
            </w:pPr>
            <w:r w:rsidRPr="00193822">
              <w:rPr>
                <w:color w:val="000000"/>
                <w:lang w:val="fr-CA"/>
              </w:rPr>
              <w:t>Effectif au 31 mars 2019</w:t>
            </w:r>
          </w:p>
        </w:tc>
        <w:tc>
          <w:tcPr>
            <w:tcW w:w="2435" w:type="pct"/>
          </w:tcPr>
          <w:p w14:paraId="29981C61" w14:textId="77777777" w:rsidR="00EA0EA2" w:rsidRPr="00193822" w:rsidRDefault="00EA0EA2" w:rsidP="00EA0EA2">
            <w:pPr>
              <w:pStyle w:val="TableTitle"/>
              <w:rPr>
                <w:color w:val="000000"/>
                <w:lang w:val="fr-CA"/>
              </w:rPr>
            </w:pPr>
            <w:r w:rsidRPr="00193822">
              <w:rPr>
                <w:lang w:val="fr-CA"/>
              </w:rPr>
              <w:t>Pourcentage de l'effectif au 31 mars 2019</w:t>
            </w:r>
          </w:p>
        </w:tc>
      </w:tr>
      <w:tr w:rsidR="00EA0EA2" w:rsidRPr="00193822" w14:paraId="5D5E768F" w14:textId="77777777" w:rsidTr="003F6509">
        <w:trPr>
          <w:cantSplit/>
          <w:trHeight w:val="290"/>
          <w:tblHeader/>
          <w:jc w:val="center"/>
        </w:trPr>
        <w:tc>
          <w:tcPr>
            <w:tcW w:w="1121" w:type="pct"/>
          </w:tcPr>
          <w:p w14:paraId="5BE05A2E" w14:textId="77777777" w:rsidR="00EA0EA2" w:rsidRPr="00193822" w:rsidRDefault="00EA0EA2"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 xml:space="preserve">Bilingue </w:t>
            </w:r>
          </w:p>
        </w:tc>
        <w:tc>
          <w:tcPr>
            <w:tcW w:w="1444" w:type="pct"/>
          </w:tcPr>
          <w:p w14:paraId="48F08262"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580</w:t>
            </w:r>
          </w:p>
        </w:tc>
        <w:tc>
          <w:tcPr>
            <w:tcW w:w="2435" w:type="pct"/>
          </w:tcPr>
          <w:p w14:paraId="4DC6C41D"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72%</w:t>
            </w:r>
          </w:p>
        </w:tc>
      </w:tr>
      <w:tr w:rsidR="00EA0EA2" w:rsidRPr="00193822" w14:paraId="694C3AC6" w14:textId="77777777" w:rsidTr="003F6509">
        <w:trPr>
          <w:cantSplit/>
          <w:trHeight w:val="290"/>
          <w:tblHeader/>
          <w:jc w:val="center"/>
        </w:trPr>
        <w:tc>
          <w:tcPr>
            <w:tcW w:w="1121" w:type="pct"/>
          </w:tcPr>
          <w:p w14:paraId="0BF7269E" w14:textId="77777777" w:rsidR="00EA0EA2" w:rsidRPr="00193822" w:rsidRDefault="00EA0EA2"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Unilingue</w:t>
            </w:r>
          </w:p>
        </w:tc>
        <w:tc>
          <w:tcPr>
            <w:tcW w:w="1444" w:type="pct"/>
          </w:tcPr>
          <w:p w14:paraId="239126A2"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230</w:t>
            </w:r>
          </w:p>
        </w:tc>
        <w:tc>
          <w:tcPr>
            <w:tcW w:w="2435" w:type="pct"/>
          </w:tcPr>
          <w:p w14:paraId="1283E747"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28%</w:t>
            </w:r>
          </w:p>
        </w:tc>
      </w:tr>
      <w:tr w:rsidR="00EA0EA2" w:rsidRPr="00193822" w14:paraId="128C0B22" w14:textId="77777777" w:rsidTr="003F6509">
        <w:trPr>
          <w:cantSplit/>
          <w:trHeight w:val="290"/>
          <w:tblHeader/>
          <w:jc w:val="center"/>
        </w:trPr>
        <w:tc>
          <w:tcPr>
            <w:tcW w:w="1121" w:type="pct"/>
          </w:tcPr>
          <w:p w14:paraId="2C77AFAC" w14:textId="77777777" w:rsidR="00EA0EA2" w:rsidRPr="00193822" w:rsidRDefault="00EA0EA2"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Inconnus</w:t>
            </w:r>
          </w:p>
        </w:tc>
        <w:tc>
          <w:tcPr>
            <w:tcW w:w="1444" w:type="pct"/>
          </w:tcPr>
          <w:p w14:paraId="069B28FD"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176</w:t>
            </w:r>
          </w:p>
        </w:tc>
        <w:tc>
          <w:tcPr>
            <w:tcW w:w="2435" w:type="pct"/>
          </w:tcPr>
          <w:p w14:paraId="09801AAD" w14:textId="301F3633" w:rsidR="00EA0EA2" w:rsidRPr="00193822" w:rsidRDefault="001A6E33" w:rsidP="008C52C5">
            <w:pPr>
              <w:autoSpaceDE w:val="0"/>
              <w:autoSpaceDN w:val="0"/>
              <w:adjustRightInd w:val="0"/>
              <w:jc w:val="center"/>
              <w:rPr>
                <w:rFonts w:asciiTheme="minorHAnsi" w:hAnsiTheme="minorHAnsi" w:cstheme="minorHAnsi"/>
                <w:color w:val="000000"/>
                <w:sz w:val="22"/>
                <w:szCs w:val="22"/>
                <w:lang w:val="fr-CA"/>
              </w:rPr>
            </w:pPr>
            <w:r>
              <w:rPr>
                <w:rFonts w:asciiTheme="minorHAnsi" w:hAnsiTheme="minorHAnsi" w:cstheme="minorHAnsi"/>
                <w:color w:val="000000"/>
                <w:sz w:val="22"/>
                <w:szCs w:val="22"/>
                <w:lang w:val="fr-CA"/>
              </w:rPr>
              <w:t>0%</w:t>
            </w:r>
          </w:p>
        </w:tc>
      </w:tr>
    </w:tbl>
    <w:p w14:paraId="0CF3508C" w14:textId="77777777" w:rsidR="007B66C7" w:rsidRPr="00193822" w:rsidRDefault="007B66C7" w:rsidP="007B66C7">
      <w:pPr>
        <w:pStyle w:val="Titre1"/>
        <w:spacing w:before="120" w:after="120"/>
        <w:rPr>
          <w:sz w:val="40"/>
          <w:lang w:val="fr-CA"/>
        </w:rPr>
      </w:pPr>
      <w:r w:rsidRPr="00193822">
        <w:rPr>
          <w:rFonts w:eastAsia="Times New Roman"/>
          <w:sz w:val="40"/>
          <w:lang w:val="fr-CA"/>
        </w:rPr>
        <w:lastRenderedPageBreak/>
        <w:t>Population selon le groupe professionnel au 31 mars 2019</w:t>
      </w:r>
    </w:p>
    <w:p w14:paraId="1501F346" w14:textId="77777777" w:rsidR="00EA0EA2" w:rsidRPr="00193822" w:rsidRDefault="00EA0EA2" w:rsidP="00EA0EA2">
      <w:pPr>
        <w:keepNext/>
        <w:jc w:val="center"/>
        <w:rPr>
          <w:lang w:val="fr-CA"/>
        </w:rPr>
      </w:pPr>
      <w:r w:rsidRPr="00193822">
        <w:rPr>
          <w:rStyle w:val="lev"/>
          <w:noProof/>
          <w:lang w:val="en-CA" w:eastAsia="en-CA"/>
        </w:rPr>
        <w:drawing>
          <wp:inline distT="0" distB="0" distL="0" distR="0" wp14:anchorId="534B6769" wp14:editId="560AE40A">
            <wp:extent cx="1980000" cy="3020400"/>
            <wp:effectExtent l="0" t="0" r="1270" b="8890"/>
            <wp:docPr id="5" name="Chart 5" descr="Population selon le groupe professionnel au 31 mars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406C7CE" w14:textId="79E2C8A0" w:rsidR="00EA0EA2" w:rsidRPr="00193822" w:rsidRDefault="00EA0EA2" w:rsidP="00EA0EA2">
      <w:pPr>
        <w:pStyle w:val="Lgende"/>
        <w:spacing w:after="240"/>
        <w:jc w:val="center"/>
        <w:rPr>
          <w:lang w:val="fr-CA"/>
        </w:rPr>
      </w:pPr>
      <w:r w:rsidRPr="00193822">
        <w:rPr>
          <w:lang w:val="fr-CA"/>
        </w:rPr>
        <w:t xml:space="preserve">Figure </w:t>
      </w:r>
      <w:r w:rsidRPr="00193822">
        <w:rPr>
          <w:lang w:val="fr-CA"/>
        </w:rPr>
        <w:fldChar w:fldCharType="begin"/>
      </w:r>
      <w:r w:rsidRPr="00193822">
        <w:rPr>
          <w:lang w:val="fr-CA"/>
        </w:rPr>
        <w:instrText xml:space="preserve"> SEQ Figure \* ARABIC </w:instrText>
      </w:r>
      <w:r w:rsidRPr="00193822">
        <w:rPr>
          <w:lang w:val="fr-CA"/>
        </w:rPr>
        <w:fldChar w:fldCharType="separate"/>
      </w:r>
      <w:r w:rsidR="002B3DED" w:rsidRPr="00193822">
        <w:rPr>
          <w:noProof/>
          <w:lang w:val="fr-CA"/>
        </w:rPr>
        <w:t>3</w:t>
      </w:r>
      <w:r w:rsidRPr="00193822">
        <w:rPr>
          <w:lang w:val="fr-CA"/>
        </w:rPr>
        <w:fldChar w:fldCharType="end"/>
      </w:r>
      <w:r w:rsidRPr="00193822">
        <w:rPr>
          <w:lang w:val="fr-CA"/>
        </w:rPr>
        <w:t xml:space="preserve"> - Population selon le groupe professionnel au 31 mars 2019</w:t>
      </w:r>
    </w:p>
    <w:p w14:paraId="4173806B" w14:textId="79FA28F4" w:rsidR="00EA0EA2" w:rsidRPr="00193822" w:rsidRDefault="00EA0EA2" w:rsidP="00EA0EA2">
      <w:pPr>
        <w:pStyle w:val="Lgende"/>
        <w:keepNext/>
        <w:jc w:val="center"/>
        <w:rPr>
          <w:lang w:val="fr-CA"/>
        </w:rPr>
      </w:pPr>
      <w:r w:rsidRPr="00193822">
        <w:rPr>
          <w:lang w:val="fr-CA"/>
        </w:rPr>
        <w:t xml:space="preserve">Tableau </w:t>
      </w:r>
      <w:r w:rsidRPr="00193822">
        <w:rPr>
          <w:lang w:val="fr-CA"/>
        </w:rPr>
        <w:fldChar w:fldCharType="begin"/>
      </w:r>
      <w:r w:rsidRPr="00193822">
        <w:rPr>
          <w:lang w:val="fr-CA"/>
        </w:rPr>
        <w:instrText xml:space="preserve"> SEQ Tableau \* ARABIC </w:instrText>
      </w:r>
      <w:r w:rsidRPr="00193822">
        <w:rPr>
          <w:lang w:val="fr-CA"/>
        </w:rPr>
        <w:fldChar w:fldCharType="separate"/>
      </w:r>
      <w:r w:rsidR="00211837" w:rsidRPr="00193822">
        <w:rPr>
          <w:noProof/>
          <w:lang w:val="fr-CA"/>
        </w:rPr>
        <w:t>6</w:t>
      </w:r>
      <w:r w:rsidRPr="00193822">
        <w:rPr>
          <w:lang w:val="fr-CA"/>
        </w:rPr>
        <w:fldChar w:fldCharType="end"/>
      </w:r>
      <w:r w:rsidRPr="00193822">
        <w:rPr>
          <w:lang w:val="fr-CA"/>
        </w:rPr>
        <w:t xml:space="preserve"> - Groupes d’emploi, pourcentage de l'effectif régi par la Loi sur l’emploi dans la fonction publique au 31 mars 2019</w:t>
      </w:r>
    </w:p>
    <w:tbl>
      <w:tblPr>
        <w:tblStyle w:val="Grilledutableau"/>
        <w:tblW w:w="5000" w:type="pct"/>
        <w:jc w:val="center"/>
        <w:tblLook w:val="0000" w:firstRow="0" w:lastRow="0" w:firstColumn="0" w:lastColumn="0" w:noHBand="0" w:noVBand="0"/>
        <w:tblDescription w:val="Pourcentage de l'effectif sur l'emploi dans la fonction publique au 31 mars 2019"/>
      </w:tblPr>
      <w:tblGrid>
        <w:gridCol w:w="5960"/>
        <w:gridCol w:w="2871"/>
        <w:gridCol w:w="4839"/>
      </w:tblGrid>
      <w:tr w:rsidR="00EA0EA2" w:rsidRPr="00A336D2" w14:paraId="215E8E6D" w14:textId="77777777" w:rsidTr="003F6509">
        <w:trPr>
          <w:cantSplit/>
          <w:trHeight w:val="290"/>
          <w:tblHeader/>
          <w:jc w:val="center"/>
        </w:trPr>
        <w:tc>
          <w:tcPr>
            <w:tcW w:w="2180" w:type="pct"/>
          </w:tcPr>
          <w:p w14:paraId="232C1882" w14:textId="77777777" w:rsidR="00EA0EA2" w:rsidRPr="00193822" w:rsidRDefault="00EA0EA2" w:rsidP="00EA0EA2">
            <w:pPr>
              <w:pStyle w:val="TableTitle"/>
              <w:rPr>
                <w:color w:val="000000"/>
                <w:lang w:val="fr-CA"/>
              </w:rPr>
            </w:pPr>
            <w:r w:rsidRPr="00193822">
              <w:rPr>
                <w:lang w:val="fr-CA"/>
              </w:rPr>
              <w:t>Groupes professionnels</w:t>
            </w:r>
          </w:p>
        </w:tc>
        <w:tc>
          <w:tcPr>
            <w:tcW w:w="1050" w:type="pct"/>
          </w:tcPr>
          <w:p w14:paraId="6DB4F190" w14:textId="77777777" w:rsidR="00EA0EA2" w:rsidRPr="00193822" w:rsidRDefault="00EA0EA2" w:rsidP="00EA0EA2">
            <w:pPr>
              <w:pStyle w:val="TableTitle"/>
              <w:rPr>
                <w:color w:val="000000"/>
                <w:lang w:val="fr-CA"/>
              </w:rPr>
            </w:pPr>
            <w:r w:rsidRPr="00193822">
              <w:rPr>
                <w:lang w:val="fr-CA"/>
              </w:rPr>
              <w:t>Effectif au 31 mars 2019</w:t>
            </w:r>
          </w:p>
        </w:tc>
        <w:tc>
          <w:tcPr>
            <w:tcW w:w="1770" w:type="pct"/>
          </w:tcPr>
          <w:p w14:paraId="51A4264F" w14:textId="77777777" w:rsidR="00EA0EA2" w:rsidRPr="00193822" w:rsidRDefault="00EA0EA2" w:rsidP="00EA0EA2">
            <w:pPr>
              <w:pStyle w:val="TableTitle"/>
              <w:rPr>
                <w:lang w:val="fr-CA"/>
              </w:rPr>
            </w:pPr>
            <w:r w:rsidRPr="00193822">
              <w:rPr>
                <w:lang w:val="fr-CA"/>
              </w:rPr>
              <w:t>Pourcentage de l'effectif au 31 mars 2019</w:t>
            </w:r>
          </w:p>
        </w:tc>
      </w:tr>
      <w:tr w:rsidR="00EA0EA2" w:rsidRPr="00193822" w14:paraId="66D57D96" w14:textId="77777777" w:rsidTr="003F6509">
        <w:trPr>
          <w:cantSplit/>
          <w:trHeight w:val="290"/>
          <w:tblHeader/>
          <w:jc w:val="center"/>
        </w:trPr>
        <w:tc>
          <w:tcPr>
            <w:tcW w:w="2180" w:type="pct"/>
          </w:tcPr>
          <w:p w14:paraId="438AAA63" w14:textId="77777777" w:rsidR="00EA0EA2" w:rsidRPr="00193822" w:rsidRDefault="00EA0EA2"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EC – Groupe Économique et services sciences sociales</w:t>
            </w:r>
          </w:p>
        </w:tc>
        <w:tc>
          <w:tcPr>
            <w:tcW w:w="1050" w:type="pct"/>
          </w:tcPr>
          <w:p w14:paraId="39B77A0C"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224</w:t>
            </w:r>
          </w:p>
        </w:tc>
        <w:tc>
          <w:tcPr>
            <w:tcW w:w="1770" w:type="pct"/>
          </w:tcPr>
          <w:p w14:paraId="4ED1EF48"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23%</w:t>
            </w:r>
          </w:p>
        </w:tc>
      </w:tr>
      <w:tr w:rsidR="00EA0EA2" w:rsidRPr="00193822" w14:paraId="0625165B" w14:textId="77777777" w:rsidTr="003F6509">
        <w:trPr>
          <w:cantSplit/>
          <w:trHeight w:val="290"/>
          <w:tblHeader/>
          <w:jc w:val="center"/>
        </w:trPr>
        <w:tc>
          <w:tcPr>
            <w:tcW w:w="2180" w:type="pct"/>
          </w:tcPr>
          <w:p w14:paraId="273FDAEE" w14:textId="77777777" w:rsidR="00EA0EA2" w:rsidRPr="00193822" w:rsidRDefault="00EA0EA2"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AS – Services administratifs</w:t>
            </w:r>
          </w:p>
        </w:tc>
        <w:tc>
          <w:tcPr>
            <w:tcW w:w="1050" w:type="pct"/>
          </w:tcPr>
          <w:p w14:paraId="57BEA477"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135</w:t>
            </w:r>
          </w:p>
        </w:tc>
        <w:tc>
          <w:tcPr>
            <w:tcW w:w="1770" w:type="pct"/>
          </w:tcPr>
          <w:p w14:paraId="47B8586D"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14%</w:t>
            </w:r>
          </w:p>
        </w:tc>
      </w:tr>
      <w:tr w:rsidR="00EA0EA2" w:rsidRPr="00193822" w14:paraId="5647C101" w14:textId="77777777" w:rsidTr="003F6509">
        <w:trPr>
          <w:cantSplit/>
          <w:trHeight w:val="290"/>
          <w:tblHeader/>
          <w:jc w:val="center"/>
        </w:trPr>
        <w:tc>
          <w:tcPr>
            <w:tcW w:w="2180" w:type="pct"/>
          </w:tcPr>
          <w:p w14:paraId="57D762D8" w14:textId="77777777" w:rsidR="00EA0EA2" w:rsidRPr="00193822" w:rsidRDefault="00EA0EA2"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HR – Recherche historique</w:t>
            </w:r>
          </w:p>
        </w:tc>
        <w:tc>
          <w:tcPr>
            <w:tcW w:w="1050" w:type="pct"/>
          </w:tcPr>
          <w:p w14:paraId="7CF7E4BD"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135</w:t>
            </w:r>
          </w:p>
        </w:tc>
        <w:tc>
          <w:tcPr>
            <w:tcW w:w="1770" w:type="pct"/>
          </w:tcPr>
          <w:p w14:paraId="4D0F128E"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14%</w:t>
            </w:r>
          </w:p>
        </w:tc>
      </w:tr>
      <w:tr w:rsidR="00EA0EA2" w:rsidRPr="00193822" w14:paraId="37E267F5" w14:textId="77777777" w:rsidTr="003F6509">
        <w:trPr>
          <w:cantSplit/>
          <w:trHeight w:val="290"/>
          <w:tblHeader/>
          <w:jc w:val="center"/>
        </w:trPr>
        <w:tc>
          <w:tcPr>
            <w:tcW w:w="2180" w:type="pct"/>
          </w:tcPr>
          <w:p w14:paraId="19C42107" w14:textId="77777777" w:rsidR="00EA0EA2" w:rsidRPr="00193822" w:rsidRDefault="00EA0EA2"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CR – Commis aux écritures et aux règlements</w:t>
            </w:r>
          </w:p>
        </w:tc>
        <w:tc>
          <w:tcPr>
            <w:tcW w:w="1050" w:type="pct"/>
          </w:tcPr>
          <w:p w14:paraId="1433BEF8"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106</w:t>
            </w:r>
          </w:p>
        </w:tc>
        <w:tc>
          <w:tcPr>
            <w:tcW w:w="1770" w:type="pct"/>
          </w:tcPr>
          <w:p w14:paraId="2031F721"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11%</w:t>
            </w:r>
          </w:p>
        </w:tc>
      </w:tr>
      <w:tr w:rsidR="00EA0EA2" w:rsidRPr="00193822" w14:paraId="5E2911C0" w14:textId="77777777" w:rsidTr="003F6509">
        <w:trPr>
          <w:cantSplit/>
          <w:trHeight w:val="290"/>
          <w:tblHeader/>
          <w:jc w:val="center"/>
        </w:trPr>
        <w:tc>
          <w:tcPr>
            <w:tcW w:w="2180" w:type="pct"/>
          </w:tcPr>
          <w:p w14:paraId="03BAF9F9" w14:textId="77777777" w:rsidR="00EA0EA2" w:rsidRPr="00193822" w:rsidRDefault="00EA0EA2"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CS – Systèmes d’ordinateurs</w:t>
            </w:r>
          </w:p>
        </w:tc>
        <w:tc>
          <w:tcPr>
            <w:tcW w:w="1050" w:type="pct"/>
          </w:tcPr>
          <w:p w14:paraId="37148260"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90</w:t>
            </w:r>
          </w:p>
        </w:tc>
        <w:tc>
          <w:tcPr>
            <w:tcW w:w="1770" w:type="pct"/>
          </w:tcPr>
          <w:p w14:paraId="28DA6A34"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9%</w:t>
            </w:r>
          </w:p>
        </w:tc>
      </w:tr>
      <w:tr w:rsidR="00EA0EA2" w:rsidRPr="00193822" w14:paraId="0B769B0D" w14:textId="77777777" w:rsidTr="003F6509">
        <w:trPr>
          <w:cantSplit/>
          <w:trHeight w:val="290"/>
          <w:tblHeader/>
          <w:jc w:val="center"/>
        </w:trPr>
        <w:tc>
          <w:tcPr>
            <w:tcW w:w="2180" w:type="pct"/>
          </w:tcPr>
          <w:p w14:paraId="689AC9D1" w14:textId="77777777" w:rsidR="00EA0EA2" w:rsidRPr="00193822" w:rsidRDefault="00EA0EA2"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Autre</w:t>
            </w:r>
          </w:p>
        </w:tc>
        <w:tc>
          <w:tcPr>
            <w:tcW w:w="1050" w:type="pct"/>
          </w:tcPr>
          <w:p w14:paraId="153D3351"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274</w:t>
            </w:r>
          </w:p>
        </w:tc>
        <w:tc>
          <w:tcPr>
            <w:tcW w:w="1770" w:type="pct"/>
          </w:tcPr>
          <w:p w14:paraId="67E65C7A"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28%</w:t>
            </w:r>
          </w:p>
        </w:tc>
      </w:tr>
    </w:tbl>
    <w:p w14:paraId="278A5448" w14:textId="77777777" w:rsidR="007B66C7" w:rsidRPr="00193822" w:rsidRDefault="007B66C7" w:rsidP="007B66C7">
      <w:pPr>
        <w:pStyle w:val="Titre1"/>
        <w:spacing w:before="120" w:after="120"/>
        <w:rPr>
          <w:sz w:val="40"/>
          <w:lang w:val="fr-CA"/>
        </w:rPr>
      </w:pPr>
      <w:r w:rsidRPr="00193822">
        <w:rPr>
          <w:rFonts w:eastAsia="Times New Roman"/>
          <w:sz w:val="40"/>
          <w:lang w:val="fr-CA"/>
        </w:rPr>
        <w:lastRenderedPageBreak/>
        <w:t>Population selon la région au 31 mars 2019</w:t>
      </w:r>
    </w:p>
    <w:p w14:paraId="371653EA" w14:textId="77777777" w:rsidR="00EA0EA2" w:rsidRPr="00193822" w:rsidRDefault="00EA0EA2" w:rsidP="00EA0EA2">
      <w:pPr>
        <w:keepNext/>
        <w:jc w:val="center"/>
        <w:rPr>
          <w:lang w:val="fr-CA"/>
        </w:rPr>
      </w:pPr>
      <w:r w:rsidRPr="00193822">
        <w:rPr>
          <w:rStyle w:val="lev"/>
          <w:noProof/>
          <w:lang w:val="en-CA" w:eastAsia="en-CA"/>
        </w:rPr>
        <w:drawing>
          <wp:inline distT="0" distB="0" distL="0" distR="0" wp14:anchorId="38EEADD8" wp14:editId="4988744C">
            <wp:extent cx="1980000" cy="3020400"/>
            <wp:effectExtent l="0" t="0" r="1270" b="8890"/>
            <wp:docPr id="15" name="Chart 15" descr="Population selon la région au 31 mars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772EFAE" w14:textId="0D8F853B" w:rsidR="00EA0EA2" w:rsidRPr="00193822" w:rsidRDefault="00EA0EA2" w:rsidP="00EA0EA2">
      <w:pPr>
        <w:pStyle w:val="Lgende"/>
        <w:spacing w:after="240"/>
        <w:jc w:val="center"/>
        <w:rPr>
          <w:lang w:val="fr-CA"/>
        </w:rPr>
      </w:pPr>
      <w:r w:rsidRPr="00193822">
        <w:rPr>
          <w:lang w:val="fr-CA"/>
        </w:rPr>
        <w:t xml:space="preserve">Figure </w:t>
      </w:r>
      <w:r w:rsidRPr="00193822">
        <w:rPr>
          <w:lang w:val="fr-CA"/>
        </w:rPr>
        <w:fldChar w:fldCharType="begin"/>
      </w:r>
      <w:r w:rsidRPr="00193822">
        <w:rPr>
          <w:lang w:val="fr-CA"/>
        </w:rPr>
        <w:instrText xml:space="preserve"> SEQ Figure \* ARABIC </w:instrText>
      </w:r>
      <w:r w:rsidRPr="00193822">
        <w:rPr>
          <w:lang w:val="fr-CA"/>
        </w:rPr>
        <w:fldChar w:fldCharType="separate"/>
      </w:r>
      <w:r w:rsidR="002B3DED" w:rsidRPr="00193822">
        <w:rPr>
          <w:noProof/>
          <w:lang w:val="fr-CA"/>
        </w:rPr>
        <w:t>4</w:t>
      </w:r>
      <w:r w:rsidRPr="00193822">
        <w:rPr>
          <w:lang w:val="fr-CA"/>
        </w:rPr>
        <w:fldChar w:fldCharType="end"/>
      </w:r>
      <w:r w:rsidRPr="00193822">
        <w:rPr>
          <w:lang w:val="fr-CA"/>
        </w:rPr>
        <w:t xml:space="preserve"> - Population selon la région au 31 mars 2019</w:t>
      </w:r>
    </w:p>
    <w:p w14:paraId="4F2CC1EF" w14:textId="11BBE225" w:rsidR="00EA0EA2" w:rsidRPr="00193822" w:rsidRDefault="00EA0EA2" w:rsidP="00EA0EA2">
      <w:pPr>
        <w:pStyle w:val="Lgende"/>
        <w:keepNext/>
        <w:jc w:val="center"/>
        <w:rPr>
          <w:lang w:val="fr-CA"/>
        </w:rPr>
      </w:pPr>
      <w:r w:rsidRPr="00193822">
        <w:rPr>
          <w:lang w:val="fr-CA"/>
        </w:rPr>
        <w:t xml:space="preserve">Tableau </w:t>
      </w:r>
      <w:r w:rsidRPr="00193822">
        <w:rPr>
          <w:lang w:val="fr-CA"/>
        </w:rPr>
        <w:fldChar w:fldCharType="begin"/>
      </w:r>
      <w:r w:rsidRPr="00193822">
        <w:rPr>
          <w:lang w:val="fr-CA"/>
        </w:rPr>
        <w:instrText xml:space="preserve"> SEQ Tableau \* ARABIC </w:instrText>
      </w:r>
      <w:r w:rsidRPr="00193822">
        <w:rPr>
          <w:lang w:val="fr-CA"/>
        </w:rPr>
        <w:fldChar w:fldCharType="separate"/>
      </w:r>
      <w:r w:rsidR="00211837" w:rsidRPr="00193822">
        <w:rPr>
          <w:noProof/>
          <w:lang w:val="fr-CA"/>
        </w:rPr>
        <w:t>7</w:t>
      </w:r>
      <w:r w:rsidRPr="00193822">
        <w:rPr>
          <w:lang w:val="fr-CA"/>
        </w:rPr>
        <w:fldChar w:fldCharType="end"/>
      </w:r>
      <w:r w:rsidRPr="00193822">
        <w:rPr>
          <w:lang w:val="fr-CA"/>
        </w:rPr>
        <w:t xml:space="preserve"> - Effectif par région, pourcentage de l'effectif régi par la Loi sur l’emploi dans la fonction publique au 31 mars 2019</w:t>
      </w:r>
    </w:p>
    <w:tbl>
      <w:tblPr>
        <w:tblStyle w:val="Grilledutableau"/>
        <w:tblW w:w="5000" w:type="pct"/>
        <w:jc w:val="center"/>
        <w:tblLook w:val="0000" w:firstRow="0" w:lastRow="0" w:firstColumn="0" w:lastColumn="0" w:noHBand="0" w:noVBand="0"/>
        <w:tblDescription w:val="Effectif selon la région en date du 31 mars 2019"/>
      </w:tblPr>
      <w:tblGrid>
        <w:gridCol w:w="4818"/>
        <w:gridCol w:w="3297"/>
        <w:gridCol w:w="5555"/>
      </w:tblGrid>
      <w:tr w:rsidR="00EA0EA2" w:rsidRPr="00A336D2" w14:paraId="5791D611" w14:textId="77777777" w:rsidTr="007B66C7">
        <w:trPr>
          <w:cantSplit/>
          <w:trHeight w:val="290"/>
          <w:tblHeader/>
          <w:jc w:val="center"/>
        </w:trPr>
        <w:tc>
          <w:tcPr>
            <w:tcW w:w="1762" w:type="pct"/>
          </w:tcPr>
          <w:p w14:paraId="1F61BAF5" w14:textId="77777777" w:rsidR="00EA0EA2" w:rsidRPr="00193822" w:rsidRDefault="00EA0EA2" w:rsidP="00EA0EA2">
            <w:pPr>
              <w:pStyle w:val="TableTitle"/>
              <w:rPr>
                <w:lang w:val="fr-CA"/>
              </w:rPr>
            </w:pPr>
            <w:r w:rsidRPr="00193822">
              <w:rPr>
                <w:lang w:val="fr-CA"/>
              </w:rPr>
              <w:t>Région</w:t>
            </w:r>
          </w:p>
        </w:tc>
        <w:tc>
          <w:tcPr>
            <w:tcW w:w="1206" w:type="pct"/>
          </w:tcPr>
          <w:p w14:paraId="034E0D31" w14:textId="77777777" w:rsidR="00EA0EA2" w:rsidRPr="00193822" w:rsidRDefault="00EA0EA2" w:rsidP="00EA0EA2">
            <w:pPr>
              <w:pStyle w:val="TableTitle"/>
              <w:rPr>
                <w:lang w:val="fr-CA"/>
              </w:rPr>
            </w:pPr>
            <w:r w:rsidRPr="00193822">
              <w:rPr>
                <w:lang w:val="fr-CA"/>
              </w:rPr>
              <w:t>Effectif au 31 mars 2019</w:t>
            </w:r>
          </w:p>
        </w:tc>
        <w:tc>
          <w:tcPr>
            <w:tcW w:w="2032" w:type="pct"/>
          </w:tcPr>
          <w:p w14:paraId="645CCF84" w14:textId="77777777" w:rsidR="00EA0EA2" w:rsidRPr="00193822" w:rsidRDefault="00EA0EA2" w:rsidP="00EA0EA2">
            <w:pPr>
              <w:pStyle w:val="TableTitle"/>
              <w:rPr>
                <w:lang w:val="fr-CA"/>
              </w:rPr>
            </w:pPr>
            <w:r w:rsidRPr="00193822">
              <w:rPr>
                <w:lang w:val="fr-CA"/>
              </w:rPr>
              <w:t>Pourcentage de l'effectif au 31 mars 2019</w:t>
            </w:r>
          </w:p>
        </w:tc>
      </w:tr>
      <w:tr w:rsidR="00EA0EA2" w:rsidRPr="00193822" w14:paraId="371330F4" w14:textId="77777777" w:rsidTr="007B66C7">
        <w:trPr>
          <w:cantSplit/>
          <w:trHeight w:val="290"/>
          <w:tblHeader/>
          <w:jc w:val="center"/>
        </w:trPr>
        <w:tc>
          <w:tcPr>
            <w:tcW w:w="1762" w:type="pct"/>
          </w:tcPr>
          <w:p w14:paraId="10CE363A" w14:textId="77777777" w:rsidR="00EA0EA2" w:rsidRPr="00193822" w:rsidRDefault="00EA0EA2"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Région de la capitale nationale (RCN)</w:t>
            </w:r>
          </w:p>
        </w:tc>
        <w:tc>
          <w:tcPr>
            <w:tcW w:w="1206" w:type="pct"/>
          </w:tcPr>
          <w:p w14:paraId="5202FFB3"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942</w:t>
            </w:r>
          </w:p>
        </w:tc>
        <w:tc>
          <w:tcPr>
            <w:tcW w:w="2032" w:type="pct"/>
          </w:tcPr>
          <w:p w14:paraId="58184B72"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96%</w:t>
            </w:r>
          </w:p>
        </w:tc>
      </w:tr>
      <w:tr w:rsidR="00EA0EA2" w:rsidRPr="00193822" w14:paraId="3DDA61EB" w14:textId="77777777" w:rsidTr="007B66C7">
        <w:trPr>
          <w:cantSplit/>
          <w:trHeight w:val="290"/>
          <w:tblHeader/>
          <w:jc w:val="center"/>
        </w:trPr>
        <w:tc>
          <w:tcPr>
            <w:tcW w:w="1762" w:type="pct"/>
          </w:tcPr>
          <w:p w14:paraId="7649C0A0" w14:textId="77777777" w:rsidR="00EA0EA2" w:rsidRPr="00193822" w:rsidRDefault="00EA0EA2"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Régions à l’extérieur de la RCN</w:t>
            </w:r>
          </w:p>
        </w:tc>
        <w:tc>
          <w:tcPr>
            <w:tcW w:w="1206" w:type="pct"/>
          </w:tcPr>
          <w:p w14:paraId="066FBEFA"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43</w:t>
            </w:r>
          </w:p>
        </w:tc>
        <w:tc>
          <w:tcPr>
            <w:tcW w:w="2032" w:type="pct"/>
          </w:tcPr>
          <w:p w14:paraId="07FE323F"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4%</w:t>
            </w:r>
          </w:p>
        </w:tc>
      </w:tr>
      <w:tr w:rsidR="00EA0EA2" w:rsidRPr="00193822" w14:paraId="693706AC" w14:textId="77777777" w:rsidTr="007B66C7">
        <w:trPr>
          <w:cantSplit/>
          <w:trHeight w:val="290"/>
          <w:tblHeader/>
          <w:jc w:val="center"/>
        </w:trPr>
        <w:tc>
          <w:tcPr>
            <w:tcW w:w="1762" w:type="pct"/>
          </w:tcPr>
          <w:p w14:paraId="7DEB55B3" w14:textId="77777777" w:rsidR="00EA0EA2" w:rsidRPr="00193822" w:rsidRDefault="00EA0EA2"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Inconnus</w:t>
            </w:r>
          </w:p>
        </w:tc>
        <w:tc>
          <w:tcPr>
            <w:tcW w:w="1206" w:type="pct"/>
          </w:tcPr>
          <w:p w14:paraId="4843B25B"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w:t>
            </w:r>
          </w:p>
        </w:tc>
        <w:tc>
          <w:tcPr>
            <w:tcW w:w="2032" w:type="pct"/>
          </w:tcPr>
          <w:p w14:paraId="681E307C" w14:textId="165E7954" w:rsidR="00EA0EA2" w:rsidRPr="00193822" w:rsidRDefault="001A6E33" w:rsidP="008C52C5">
            <w:pPr>
              <w:autoSpaceDE w:val="0"/>
              <w:autoSpaceDN w:val="0"/>
              <w:adjustRightInd w:val="0"/>
              <w:jc w:val="center"/>
              <w:rPr>
                <w:rFonts w:asciiTheme="minorHAnsi" w:hAnsiTheme="minorHAnsi" w:cstheme="minorHAnsi"/>
                <w:color w:val="000000"/>
                <w:sz w:val="22"/>
                <w:szCs w:val="22"/>
                <w:lang w:val="fr-CA"/>
              </w:rPr>
            </w:pPr>
            <w:r>
              <w:rPr>
                <w:rFonts w:asciiTheme="minorHAnsi" w:hAnsiTheme="minorHAnsi" w:cstheme="minorHAnsi"/>
                <w:color w:val="000000"/>
                <w:sz w:val="22"/>
                <w:szCs w:val="22"/>
                <w:lang w:val="fr-CA"/>
              </w:rPr>
              <w:t>0%</w:t>
            </w:r>
          </w:p>
        </w:tc>
      </w:tr>
    </w:tbl>
    <w:p w14:paraId="4C5ED606" w14:textId="6749802D" w:rsidR="007B66C7" w:rsidRPr="00193822" w:rsidRDefault="007B66C7" w:rsidP="007B66C7">
      <w:pPr>
        <w:pStyle w:val="Titre1"/>
        <w:spacing w:before="120" w:after="120"/>
        <w:rPr>
          <w:sz w:val="32"/>
          <w:lang w:val="fr-CA"/>
        </w:rPr>
      </w:pPr>
      <w:r w:rsidRPr="00193822">
        <w:rPr>
          <w:rFonts w:eastAsia="Times New Roman"/>
          <w:sz w:val="32"/>
          <w:lang w:val="fr-CA"/>
        </w:rPr>
        <w:lastRenderedPageBreak/>
        <w:t>Embauche externe pour une période indéterminée selon le groupe professionnel,</w:t>
      </w:r>
      <w:r w:rsidRPr="00193822">
        <w:rPr>
          <w:sz w:val="32"/>
          <w:lang w:val="fr-CA"/>
        </w:rPr>
        <w:t xml:space="preserve"> </w:t>
      </w:r>
      <w:r w:rsidRPr="00193822">
        <w:rPr>
          <w:rFonts w:eastAsia="Times New Roman"/>
          <w:sz w:val="32"/>
          <w:lang w:val="fr-CA"/>
        </w:rPr>
        <w:t>2018-2019</w:t>
      </w:r>
    </w:p>
    <w:p w14:paraId="28F09C34" w14:textId="77777777" w:rsidR="00EA0EA2" w:rsidRPr="00193822" w:rsidRDefault="00EA0EA2" w:rsidP="00EA0EA2">
      <w:pPr>
        <w:keepNext/>
        <w:jc w:val="center"/>
        <w:rPr>
          <w:lang w:val="fr-CA"/>
        </w:rPr>
      </w:pPr>
      <w:r w:rsidRPr="00193822">
        <w:rPr>
          <w:rStyle w:val="lev"/>
          <w:noProof/>
          <w:lang w:val="en-CA" w:eastAsia="en-CA"/>
        </w:rPr>
        <w:drawing>
          <wp:inline distT="0" distB="0" distL="0" distR="0" wp14:anchorId="6AD30FFD" wp14:editId="4F873606">
            <wp:extent cx="1980000" cy="3020400"/>
            <wp:effectExtent l="0" t="0" r="1270" b="8890"/>
            <wp:docPr id="7" name="Chart 7" descr="Embauche externe pour une période indéterminée selon le groupe professionnel, 2018-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FA9041E" w14:textId="3ED4A951" w:rsidR="00EA0EA2" w:rsidRPr="00193822" w:rsidRDefault="00EA0EA2" w:rsidP="00EA0EA2">
      <w:pPr>
        <w:pStyle w:val="Lgende"/>
        <w:spacing w:after="240"/>
        <w:jc w:val="center"/>
        <w:rPr>
          <w:lang w:val="fr-CA"/>
        </w:rPr>
      </w:pPr>
      <w:r w:rsidRPr="00193822">
        <w:rPr>
          <w:lang w:val="fr-CA"/>
        </w:rPr>
        <w:t xml:space="preserve">Figure </w:t>
      </w:r>
      <w:r w:rsidRPr="00193822">
        <w:rPr>
          <w:lang w:val="fr-CA"/>
        </w:rPr>
        <w:fldChar w:fldCharType="begin"/>
      </w:r>
      <w:r w:rsidRPr="00193822">
        <w:rPr>
          <w:lang w:val="fr-CA"/>
        </w:rPr>
        <w:instrText xml:space="preserve"> SEQ Figure \* ARABIC </w:instrText>
      </w:r>
      <w:r w:rsidRPr="00193822">
        <w:rPr>
          <w:lang w:val="fr-CA"/>
        </w:rPr>
        <w:fldChar w:fldCharType="separate"/>
      </w:r>
      <w:r w:rsidR="002B3DED" w:rsidRPr="00193822">
        <w:rPr>
          <w:noProof/>
          <w:lang w:val="fr-CA"/>
        </w:rPr>
        <w:t>5</w:t>
      </w:r>
      <w:r w:rsidRPr="00193822">
        <w:rPr>
          <w:lang w:val="fr-CA"/>
        </w:rPr>
        <w:fldChar w:fldCharType="end"/>
      </w:r>
      <w:r w:rsidRPr="00193822">
        <w:rPr>
          <w:lang w:val="fr-CA"/>
        </w:rPr>
        <w:t xml:space="preserve"> - Embauche externe pour une période indéterminée selon le groupe professionnel, 2018-2019</w:t>
      </w:r>
    </w:p>
    <w:p w14:paraId="3E757AFB" w14:textId="20EE4F23" w:rsidR="00EA0EA2" w:rsidRPr="00193822" w:rsidRDefault="00EA0EA2" w:rsidP="00EA0EA2">
      <w:pPr>
        <w:pStyle w:val="Lgende"/>
        <w:keepNext/>
        <w:jc w:val="center"/>
        <w:rPr>
          <w:lang w:val="fr-CA"/>
        </w:rPr>
      </w:pPr>
      <w:r w:rsidRPr="00193822">
        <w:rPr>
          <w:lang w:val="fr-CA"/>
        </w:rPr>
        <w:t xml:space="preserve">Tableau </w:t>
      </w:r>
      <w:r w:rsidRPr="00193822">
        <w:rPr>
          <w:lang w:val="fr-CA"/>
        </w:rPr>
        <w:fldChar w:fldCharType="begin"/>
      </w:r>
      <w:r w:rsidRPr="00193822">
        <w:rPr>
          <w:lang w:val="fr-CA"/>
        </w:rPr>
        <w:instrText xml:space="preserve"> SEQ Tableau \* ARABIC </w:instrText>
      </w:r>
      <w:r w:rsidRPr="00193822">
        <w:rPr>
          <w:lang w:val="fr-CA"/>
        </w:rPr>
        <w:fldChar w:fldCharType="separate"/>
      </w:r>
      <w:r w:rsidR="00211837" w:rsidRPr="00193822">
        <w:rPr>
          <w:noProof/>
          <w:lang w:val="fr-CA"/>
        </w:rPr>
        <w:t>8</w:t>
      </w:r>
      <w:r w:rsidRPr="00193822">
        <w:rPr>
          <w:lang w:val="fr-CA"/>
        </w:rPr>
        <w:fldChar w:fldCharType="end"/>
      </w:r>
      <w:r w:rsidRPr="00193822">
        <w:rPr>
          <w:lang w:val="fr-CA"/>
        </w:rPr>
        <w:t xml:space="preserve"> - Embauche externe à des postes pour une période indéterminée selon le groupe professionnel, de 2018 à 2019</w:t>
      </w:r>
    </w:p>
    <w:tbl>
      <w:tblPr>
        <w:tblStyle w:val="Grilledutableau"/>
        <w:tblW w:w="5000" w:type="pct"/>
        <w:jc w:val="center"/>
        <w:tblLook w:val="0000" w:firstRow="0" w:lastRow="0" w:firstColumn="0" w:lastColumn="0" w:noHBand="0" w:noVBand="0"/>
        <w:tblDescription w:val="Embauche externe indéterminée - groupes professionnels 18-19"/>
      </w:tblPr>
      <w:tblGrid>
        <w:gridCol w:w="3468"/>
        <w:gridCol w:w="4504"/>
        <w:gridCol w:w="5698"/>
      </w:tblGrid>
      <w:tr w:rsidR="00EA0EA2" w:rsidRPr="00A336D2" w14:paraId="32BDBD90" w14:textId="77777777" w:rsidTr="007B66C7">
        <w:trPr>
          <w:cantSplit/>
          <w:trHeight w:val="593"/>
          <w:tblHeader/>
          <w:jc w:val="center"/>
        </w:trPr>
        <w:tc>
          <w:tcPr>
            <w:tcW w:w="1268" w:type="pct"/>
          </w:tcPr>
          <w:p w14:paraId="520FD86D" w14:textId="77777777" w:rsidR="00EA0EA2" w:rsidRPr="00193822" w:rsidRDefault="00EA0EA2" w:rsidP="00EA0EA2">
            <w:pPr>
              <w:pStyle w:val="TableTitle"/>
              <w:rPr>
                <w:color w:val="000000"/>
                <w:lang w:val="fr-CA"/>
              </w:rPr>
            </w:pPr>
            <w:r w:rsidRPr="00193822">
              <w:rPr>
                <w:lang w:val="fr-CA"/>
              </w:rPr>
              <w:t>Groupes professionnels</w:t>
            </w:r>
          </w:p>
        </w:tc>
        <w:tc>
          <w:tcPr>
            <w:tcW w:w="1647" w:type="pct"/>
          </w:tcPr>
          <w:p w14:paraId="134F5D37" w14:textId="0BD7CFDE" w:rsidR="00EA0EA2" w:rsidRPr="00193822" w:rsidRDefault="00EA0EA2" w:rsidP="00CC3888">
            <w:pPr>
              <w:pStyle w:val="TableTitle"/>
              <w:rPr>
                <w:color w:val="000000"/>
                <w:lang w:val="fr-CA"/>
              </w:rPr>
            </w:pPr>
            <w:r w:rsidRPr="00193822">
              <w:rPr>
                <w:color w:val="000000"/>
                <w:lang w:val="fr-CA"/>
              </w:rPr>
              <w:t xml:space="preserve">Nombre d'embauches pour une période indéterminée </w:t>
            </w:r>
          </w:p>
        </w:tc>
        <w:tc>
          <w:tcPr>
            <w:tcW w:w="2084" w:type="pct"/>
          </w:tcPr>
          <w:p w14:paraId="66B7C2EC" w14:textId="66CF797C" w:rsidR="00EA0EA2" w:rsidRPr="00193822" w:rsidRDefault="00EA0EA2" w:rsidP="00CC3888">
            <w:pPr>
              <w:pStyle w:val="TableTitle"/>
              <w:rPr>
                <w:color w:val="000000"/>
                <w:lang w:val="fr-CA"/>
              </w:rPr>
            </w:pPr>
            <w:r w:rsidRPr="00193822">
              <w:rPr>
                <w:color w:val="000000"/>
                <w:lang w:val="fr-CA"/>
              </w:rPr>
              <w:t xml:space="preserve">Pourcentage d'embauches pour une période indéterminée </w:t>
            </w:r>
          </w:p>
        </w:tc>
      </w:tr>
      <w:tr w:rsidR="00EA0EA2" w:rsidRPr="00193822" w14:paraId="480B07C0" w14:textId="77777777" w:rsidTr="007B66C7">
        <w:trPr>
          <w:cantSplit/>
          <w:trHeight w:val="290"/>
          <w:tblHeader/>
          <w:jc w:val="center"/>
        </w:trPr>
        <w:tc>
          <w:tcPr>
            <w:tcW w:w="1268" w:type="pct"/>
          </w:tcPr>
          <w:p w14:paraId="341E1162" w14:textId="77777777" w:rsidR="00EA0EA2" w:rsidRPr="00193822" w:rsidRDefault="00EA0EA2"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CS – Systèmes d’ordinateurs</w:t>
            </w:r>
          </w:p>
        </w:tc>
        <w:tc>
          <w:tcPr>
            <w:tcW w:w="1647" w:type="pct"/>
          </w:tcPr>
          <w:p w14:paraId="008DAECD"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6</w:t>
            </w:r>
          </w:p>
        </w:tc>
        <w:tc>
          <w:tcPr>
            <w:tcW w:w="2084" w:type="pct"/>
          </w:tcPr>
          <w:p w14:paraId="5677ABEA"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23%</w:t>
            </w:r>
          </w:p>
        </w:tc>
      </w:tr>
      <w:tr w:rsidR="00EA0EA2" w:rsidRPr="00193822" w14:paraId="20F2088D" w14:textId="77777777" w:rsidTr="007B66C7">
        <w:trPr>
          <w:cantSplit/>
          <w:trHeight w:val="290"/>
          <w:tblHeader/>
          <w:jc w:val="center"/>
        </w:trPr>
        <w:tc>
          <w:tcPr>
            <w:tcW w:w="1268" w:type="pct"/>
          </w:tcPr>
          <w:p w14:paraId="6A352A96" w14:textId="77777777" w:rsidR="00EA0EA2" w:rsidRPr="00193822" w:rsidRDefault="00EA0EA2"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CR – Commis aux écritures et aux règlements</w:t>
            </w:r>
          </w:p>
        </w:tc>
        <w:tc>
          <w:tcPr>
            <w:tcW w:w="1647" w:type="pct"/>
          </w:tcPr>
          <w:p w14:paraId="14AFB488"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5</w:t>
            </w:r>
          </w:p>
        </w:tc>
        <w:tc>
          <w:tcPr>
            <w:tcW w:w="2084" w:type="pct"/>
          </w:tcPr>
          <w:p w14:paraId="33AD786F"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19%</w:t>
            </w:r>
          </w:p>
        </w:tc>
      </w:tr>
      <w:tr w:rsidR="00EA0EA2" w:rsidRPr="00193822" w14:paraId="72F15329" w14:textId="77777777" w:rsidTr="007B66C7">
        <w:trPr>
          <w:cantSplit/>
          <w:trHeight w:val="290"/>
          <w:tblHeader/>
          <w:jc w:val="center"/>
        </w:trPr>
        <w:tc>
          <w:tcPr>
            <w:tcW w:w="1268" w:type="pct"/>
          </w:tcPr>
          <w:p w14:paraId="003ED4FB" w14:textId="77777777" w:rsidR="00EA0EA2" w:rsidRPr="00193822" w:rsidRDefault="00EA0EA2"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AS – Services administratifs</w:t>
            </w:r>
          </w:p>
        </w:tc>
        <w:tc>
          <w:tcPr>
            <w:tcW w:w="1647" w:type="pct"/>
          </w:tcPr>
          <w:p w14:paraId="057D46CD"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4</w:t>
            </w:r>
          </w:p>
        </w:tc>
        <w:tc>
          <w:tcPr>
            <w:tcW w:w="2084" w:type="pct"/>
          </w:tcPr>
          <w:p w14:paraId="3211E0FF"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15%</w:t>
            </w:r>
          </w:p>
        </w:tc>
      </w:tr>
      <w:tr w:rsidR="00EA0EA2" w:rsidRPr="00193822" w14:paraId="75F98E92" w14:textId="77777777" w:rsidTr="007B66C7">
        <w:trPr>
          <w:cantSplit/>
          <w:trHeight w:val="290"/>
          <w:tblHeader/>
          <w:jc w:val="center"/>
        </w:trPr>
        <w:tc>
          <w:tcPr>
            <w:tcW w:w="1268" w:type="pct"/>
          </w:tcPr>
          <w:p w14:paraId="2F105294" w14:textId="77777777" w:rsidR="00EA0EA2" w:rsidRPr="00193822" w:rsidRDefault="00EA0EA2"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HR – Recherche historique</w:t>
            </w:r>
          </w:p>
        </w:tc>
        <w:tc>
          <w:tcPr>
            <w:tcW w:w="1647" w:type="pct"/>
          </w:tcPr>
          <w:p w14:paraId="203CD19B"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4</w:t>
            </w:r>
          </w:p>
        </w:tc>
        <w:tc>
          <w:tcPr>
            <w:tcW w:w="2084" w:type="pct"/>
          </w:tcPr>
          <w:p w14:paraId="5841F8FB"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15%</w:t>
            </w:r>
          </w:p>
        </w:tc>
      </w:tr>
      <w:tr w:rsidR="00EA0EA2" w:rsidRPr="00193822" w14:paraId="25988776" w14:textId="77777777" w:rsidTr="007B66C7">
        <w:trPr>
          <w:cantSplit/>
          <w:trHeight w:val="290"/>
          <w:tblHeader/>
          <w:jc w:val="center"/>
        </w:trPr>
        <w:tc>
          <w:tcPr>
            <w:tcW w:w="1268" w:type="pct"/>
          </w:tcPr>
          <w:p w14:paraId="01DF6BA2" w14:textId="77777777" w:rsidR="00EA0EA2" w:rsidRPr="00193822" w:rsidRDefault="00EA0EA2"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Autre</w:t>
            </w:r>
          </w:p>
        </w:tc>
        <w:tc>
          <w:tcPr>
            <w:tcW w:w="1647" w:type="pct"/>
          </w:tcPr>
          <w:p w14:paraId="7330CB3D"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7</w:t>
            </w:r>
          </w:p>
        </w:tc>
        <w:tc>
          <w:tcPr>
            <w:tcW w:w="2084" w:type="pct"/>
          </w:tcPr>
          <w:p w14:paraId="31F1D581"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27%</w:t>
            </w:r>
          </w:p>
        </w:tc>
      </w:tr>
      <w:tr w:rsidR="00EA0EA2" w:rsidRPr="00193822" w14:paraId="0B168211" w14:textId="77777777" w:rsidTr="007B66C7">
        <w:trPr>
          <w:cantSplit/>
          <w:trHeight w:val="290"/>
          <w:tblHeader/>
          <w:jc w:val="center"/>
        </w:trPr>
        <w:tc>
          <w:tcPr>
            <w:tcW w:w="1268" w:type="pct"/>
          </w:tcPr>
          <w:p w14:paraId="67918C49" w14:textId="77777777" w:rsidR="00EA0EA2" w:rsidRPr="00193822" w:rsidRDefault="00EA0EA2"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Total</w:t>
            </w:r>
          </w:p>
        </w:tc>
        <w:tc>
          <w:tcPr>
            <w:tcW w:w="1647" w:type="pct"/>
          </w:tcPr>
          <w:p w14:paraId="55BFC53A"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26</w:t>
            </w:r>
          </w:p>
        </w:tc>
        <w:tc>
          <w:tcPr>
            <w:tcW w:w="2084" w:type="pct"/>
          </w:tcPr>
          <w:p w14:paraId="38FE33D0"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100%</w:t>
            </w:r>
          </w:p>
        </w:tc>
      </w:tr>
    </w:tbl>
    <w:p w14:paraId="47B42AE6" w14:textId="77777777" w:rsidR="007B66C7" w:rsidRPr="00193822" w:rsidRDefault="007B66C7" w:rsidP="007B66C7">
      <w:pPr>
        <w:pStyle w:val="Titre1"/>
        <w:spacing w:before="120" w:after="120"/>
        <w:rPr>
          <w:sz w:val="40"/>
          <w:lang w:val="fr-CA"/>
        </w:rPr>
      </w:pPr>
      <w:r w:rsidRPr="00193822">
        <w:rPr>
          <w:sz w:val="40"/>
          <w:lang w:val="fr-CA"/>
        </w:rPr>
        <w:lastRenderedPageBreak/>
        <w:t>Dotation selon la région</w:t>
      </w:r>
    </w:p>
    <w:p w14:paraId="3A701809" w14:textId="77777777" w:rsidR="00EA0EA2" w:rsidRPr="00193822" w:rsidRDefault="00862C57" w:rsidP="00EA0EA2">
      <w:pPr>
        <w:pStyle w:val="Titre3"/>
        <w:jc w:val="center"/>
        <w:rPr>
          <w:lang w:val="fr-CA"/>
        </w:rPr>
      </w:pPr>
      <w:r w:rsidRPr="00193822">
        <w:rPr>
          <w:rStyle w:val="lev"/>
          <w:noProof/>
          <w:lang w:val="en-CA" w:eastAsia="en-CA"/>
        </w:rPr>
        <w:drawing>
          <wp:inline distT="0" distB="0" distL="0" distR="0" wp14:anchorId="1AD45927" wp14:editId="3CEE9EAD">
            <wp:extent cx="5648400" cy="3049200"/>
            <wp:effectExtent l="0" t="0" r="9525" b="18415"/>
            <wp:docPr id="10" name="Chart 10" descr="Dotation selon la reg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54BC262" w14:textId="6DEB5A3C" w:rsidR="00EA0EA2" w:rsidRPr="00193822" w:rsidRDefault="00EA0EA2" w:rsidP="00EA0EA2">
      <w:pPr>
        <w:pStyle w:val="Lgende"/>
        <w:spacing w:after="240"/>
        <w:jc w:val="center"/>
        <w:rPr>
          <w:lang w:val="fr-CA"/>
        </w:rPr>
      </w:pPr>
      <w:r w:rsidRPr="00193822">
        <w:rPr>
          <w:lang w:val="fr-CA"/>
        </w:rPr>
        <w:t xml:space="preserve">Figure </w:t>
      </w:r>
      <w:r w:rsidRPr="00193822">
        <w:rPr>
          <w:lang w:val="fr-CA"/>
        </w:rPr>
        <w:fldChar w:fldCharType="begin"/>
      </w:r>
      <w:r w:rsidRPr="00193822">
        <w:rPr>
          <w:lang w:val="fr-CA"/>
        </w:rPr>
        <w:instrText xml:space="preserve"> SEQ Figure \* ARABIC </w:instrText>
      </w:r>
      <w:r w:rsidRPr="00193822">
        <w:rPr>
          <w:lang w:val="fr-CA"/>
        </w:rPr>
        <w:fldChar w:fldCharType="separate"/>
      </w:r>
      <w:r w:rsidR="002B3DED" w:rsidRPr="00193822">
        <w:rPr>
          <w:noProof/>
          <w:lang w:val="fr-CA"/>
        </w:rPr>
        <w:t>6</w:t>
      </w:r>
      <w:r w:rsidRPr="00193822">
        <w:rPr>
          <w:lang w:val="fr-CA"/>
        </w:rPr>
        <w:fldChar w:fldCharType="end"/>
      </w:r>
      <w:r w:rsidR="00CC3888" w:rsidRPr="00193822">
        <w:rPr>
          <w:lang w:val="fr-CA"/>
        </w:rPr>
        <w:t xml:space="preserve"> - Dotation selon la ré</w:t>
      </w:r>
      <w:r w:rsidRPr="00193822">
        <w:rPr>
          <w:lang w:val="fr-CA"/>
        </w:rPr>
        <w:t>gion</w:t>
      </w:r>
    </w:p>
    <w:p w14:paraId="1E2E9681" w14:textId="226B6CAD" w:rsidR="00EA0EA2" w:rsidRPr="00193822" w:rsidRDefault="00EA0EA2" w:rsidP="00EA0EA2">
      <w:pPr>
        <w:pStyle w:val="Lgende"/>
        <w:keepNext/>
        <w:jc w:val="center"/>
        <w:rPr>
          <w:lang w:val="fr-CA"/>
        </w:rPr>
      </w:pPr>
      <w:r w:rsidRPr="00193822">
        <w:rPr>
          <w:lang w:val="fr-CA"/>
        </w:rPr>
        <w:t xml:space="preserve">Tableau </w:t>
      </w:r>
      <w:r w:rsidRPr="00193822">
        <w:rPr>
          <w:lang w:val="fr-CA"/>
        </w:rPr>
        <w:fldChar w:fldCharType="begin"/>
      </w:r>
      <w:r w:rsidRPr="00193822">
        <w:rPr>
          <w:lang w:val="fr-CA"/>
        </w:rPr>
        <w:instrText xml:space="preserve"> SEQ Tableau \* ARABIC </w:instrText>
      </w:r>
      <w:r w:rsidRPr="00193822">
        <w:rPr>
          <w:lang w:val="fr-CA"/>
        </w:rPr>
        <w:fldChar w:fldCharType="separate"/>
      </w:r>
      <w:r w:rsidR="00211837" w:rsidRPr="00193822">
        <w:rPr>
          <w:noProof/>
          <w:lang w:val="fr-CA"/>
        </w:rPr>
        <w:t>9</w:t>
      </w:r>
      <w:r w:rsidRPr="00193822">
        <w:rPr>
          <w:lang w:val="fr-CA"/>
        </w:rPr>
        <w:fldChar w:fldCharType="end"/>
      </w:r>
      <w:r w:rsidRPr="00193822">
        <w:rPr>
          <w:lang w:val="fr-CA"/>
        </w:rPr>
        <w:t xml:space="preserve"> - Pourcentage des activités de dotation dans la région de la capitale nationale en comparaison avec les régions à l’extérieur de la région de la capitale nationale selon l'exercice financier</w:t>
      </w:r>
    </w:p>
    <w:tbl>
      <w:tblPr>
        <w:tblStyle w:val="Grilledutableau"/>
        <w:tblW w:w="14312" w:type="dxa"/>
        <w:jc w:val="center"/>
        <w:tblLook w:val="0000" w:firstRow="0" w:lastRow="0" w:firstColumn="0" w:lastColumn="0" w:noHBand="0" w:noVBand="0"/>
        <w:tblDescription w:val="Dotation selon la régioin de 2014 à 2019"/>
      </w:tblPr>
      <w:tblGrid>
        <w:gridCol w:w="1696"/>
        <w:gridCol w:w="5954"/>
        <w:gridCol w:w="6662"/>
      </w:tblGrid>
      <w:tr w:rsidR="00EA0EA2" w:rsidRPr="00A336D2" w14:paraId="7B440BF0" w14:textId="77777777" w:rsidTr="00DB7D7C">
        <w:trPr>
          <w:cantSplit/>
          <w:trHeight w:val="290"/>
          <w:tblHeader/>
          <w:jc w:val="center"/>
        </w:trPr>
        <w:tc>
          <w:tcPr>
            <w:tcW w:w="1696" w:type="dxa"/>
          </w:tcPr>
          <w:p w14:paraId="666CE28C" w14:textId="77777777" w:rsidR="00EA0EA2" w:rsidRPr="00193822" w:rsidRDefault="00EA0EA2" w:rsidP="00EA0EA2">
            <w:pPr>
              <w:pStyle w:val="TableTitle"/>
              <w:rPr>
                <w:szCs w:val="22"/>
                <w:lang w:val="fr-CA"/>
              </w:rPr>
            </w:pPr>
            <w:r w:rsidRPr="00193822">
              <w:rPr>
                <w:szCs w:val="22"/>
                <w:lang w:val="fr-CA"/>
              </w:rPr>
              <w:t>L'exercice financier</w:t>
            </w:r>
          </w:p>
        </w:tc>
        <w:tc>
          <w:tcPr>
            <w:tcW w:w="5954" w:type="dxa"/>
          </w:tcPr>
          <w:p w14:paraId="7A3BF07E" w14:textId="77777777" w:rsidR="00EA0EA2" w:rsidRPr="00193822" w:rsidRDefault="00EA0EA2" w:rsidP="00EA0EA2">
            <w:pPr>
              <w:pStyle w:val="TableTitle"/>
              <w:rPr>
                <w:szCs w:val="22"/>
                <w:lang w:val="fr-CA"/>
              </w:rPr>
            </w:pPr>
            <w:r w:rsidRPr="00193822">
              <w:rPr>
                <w:szCs w:val="22"/>
                <w:lang w:val="fr-CA"/>
              </w:rPr>
              <w:t xml:space="preserve">Pourcentage des activités de dotation à l’organisation qui a eu lieu dans la région de la capitale nationale (RCN) </w:t>
            </w:r>
          </w:p>
        </w:tc>
        <w:tc>
          <w:tcPr>
            <w:tcW w:w="6662" w:type="dxa"/>
          </w:tcPr>
          <w:p w14:paraId="68861798" w14:textId="77777777" w:rsidR="00EA0EA2" w:rsidRPr="00193822" w:rsidRDefault="00EA0EA2" w:rsidP="00EA0EA2">
            <w:pPr>
              <w:pStyle w:val="TableTitle"/>
              <w:rPr>
                <w:szCs w:val="22"/>
                <w:lang w:val="fr-CA"/>
              </w:rPr>
            </w:pPr>
            <w:r w:rsidRPr="00193822">
              <w:rPr>
                <w:szCs w:val="22"/>
                <w:lang w:val="fr-CA"/>
              </w:rPr>
              <w:t>Pourcentage des activités de dotation à l’organisation qui a eu lieu à l’extérieur de la région de la capitale nationale (RCN)</w:t>
            </w:r>
          </w:p>
        </w:tc>
      </w:tr>
      <w:tr w:rsidR="00EA0EA2" w:rsidRPr="00193822" w14:paraId="68612DE5" w14:textId="77777777" w:rsidTr="00DB7D7C">
        <w:trPr>
          <w:cantSplit/>
          <w:trHeight w:val="290"/>
          <w:tblHeader/>
          <w:jc w:val="center"/>
        </w:trPr>
        <w:tc>
          <w:tcPr>
            <w:tcW w:w="1696" w:type="dxa"/>
          </w:tcPr>
          <w:p w14:paraId="7C8B01B3" w14:textId="77777777" w:rsidR="00EA0EA2" w:rsidRPr="00193822" w:rsidRDefault="00EA0EA2"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2014 à 2015</w:t>
            </w:r>
          </w:p>
        </w:tc>
        <w:tc>
          <w:tcPr>
            <w:tcW w:w="5954" w:type="dxa"/>
          </w:tcPr>
          <w:p w14:paraId="7BCD389E"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93%</w:t>
            </w:r>
          </w:p>
        </w:tc>
        <w:tc>
          <w:tcPr>
            <w:tcW w:w="6662" w:type="dxa"/>
          </w:tcPr>
          <w:p w14:paraId="0B020AB3"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7%</w:t>
            </w:r>
          </w:p>
        </w:tc>
      </w:tr>
      <w:tr w:rsidR="00EA0EA2" w:rsidRPr="00193822" w14:paraId="34D1B974" w14:textId="77777777" w:rsidTr="00DB7D7C">
        <w:trPr>
          <w:cantSplit/>
          <w:trHeight w:val="290"/>
          <w:tblHeader/>
          <w:jc w:val="center"/>
        </w:trPr>
        <w:tc>
          <w:tcPr>
            <w:tcW w:w="1696" w:type="dxa"/>
          </w:tcPr>
          <w:p w14:paraId="732AA539" w14:textId="77777777" w:rsidR="00EA0EA2" w:rsidRPr="00193822" w:rsidRDefault="00EA0EA2"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2015 à 2016</w:t>
            </w:r>
          </w:p>
        </w:tc>
        <w:tc>
          <w:tcPr>
            <w:tcW w:w="5954" w:type="dxa"/>
          </w:tcPr>
          <w:p w14:paraId="46115F49"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93%</w:t>
            </w:r>
          </w:p>
        </w:tc>
        <w:tc>
          <w:tcPr>
            <w:tcW w:w="6662" w:type="dxa"/>
          </w:tcPr>
          <w:p w14:paraId="23815CCC"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7%</w:t>
            </w:r>
          </w:p>
        </w:tc>
      </w:tr>
      <w:tr w:rsidR="00EA0EA2" w:rsidRPr="00193822" w14:paraId="63B7B9A5" w14:textId="77777777" w:rsidTr="00DB7D7C">
        <w:trPr>
          <w:cantSplit/>
          <w:trHeight w:val="290"/>
          <w:tblHeader/>
          <w:jc w:val="center"/>
        </w:trPr>
        <w:tc>
          <w:tcPr>
            <w:tcW w:w="1696" w:type="dxa"/>
          </w:tcPr>
          <w:p w14:paraId="6CC46B95" w14:textId="77777777" w:rsidR="00EA0EA2" w:rsidRPr="00193822" w:rsidRDefault="00EA0EA2"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2016 à 2017</w:t>
            </w:r>
          </w:p>
        </w:tc>
        <w:tc>
          <w:tcPr>
            <w:tcW w:w="5954" w:type="dxa"/>
          </w:tcPr>
          <w:p w14:paraId="4660282B"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93%</w:t>
            </w:r>
          </w:p>
        </w:tc>
        <w:tc>
          <w:tcPr>
            <w:tcW w:w="6662" w:type="dxa"/>
          </w:tcPr>
          <w:p w14:paraId="71F1C8F8"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7%</w:t>
            </w:r>
          </w:p>
        </w:tc>
      </w:tr>
      <w:tr w:rsidR="00EA0EA2" w:rsidRPr="00193822" w14:paraId="10676AC1" w14:textId="77777777" w:rsidTr="00DB7D7C">
        <w:trPr>
          <w:cantSplit/>
          <w:trHeight w:val="290"/>
          <w:tblHeader/>
          <w:jc w:val="center"/>
        </w:trPr>
        <w:tc>
          <w:tcPr>
            <w:tcW w:w="1696" w:type="dxa"/>
          </w:tcPr>
          <w:p w14:paraId="1A59C9FB" w14:textId="77777777" w:rsidR="00EA0EA2" w:rsidRPr="00193822" w:rsidRDefault="00EA0EA2"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2017 à 2018</w:t>
            </w:r>
          </w:p>
        </w:tc>
        <w:tc>
          <w:tcPr>
            <w:tcW w:w="5954" w:type="dxa"/>
          </w:tcPr>
          <w:p w14:paraId="01A67043"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98%</w:t>
            </w:r>
          </w:p>
        </w:tc>
        <w:tc>
          <w:tcPr>
            <w:tcW w:w="6662" w:type="dxa"/>
          </w:tcPr>
          <w:p w14:paraId="692D7827"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w:t>
            </w:r>
          </w:p>
        </w:tc>
      </w:tr>
      <w:tr w:rsidR="00EA0EA2" w:rsidRPr="00193822" w14:paraId="4DDA1BC1" w14:textId="77777777" w:rsidTr="00DB7D7C">
        <w:trPr>
          <w:cantSplit/>
          <w:trHeight w:val="290"/>
          <w:tblHeader/>
          <w:jc w:val="center"/>
        </w:trPr>
        <w:tc>
          <w:tcPr>
            <w:tcW w:w="1696" w:type="dxa"/>
          </w:tcPr>
          <w:p w14:paraId="6A773358" w14:textId="77777777" w:rsidR="00EA0EA2" w:rsidRPr="00193822" w:rsidRDefault="00EA0EA2"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2018 à 2019</w:t>
            </w:r>
          </w:p>
        </w:tc>
        <w:tc>
          <w:tcPr>
            <w:tcW w:w="5954" w:type="dxa"/>
          </w:tcPr>
          <w:p w14:paraId="79F9B0E0"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96%</w:t>
            </w:r>
          </w:p>
        </w:tc>
        <w:tc>
          <w:tcPr>
            <w:tcW w:w="6662" w:type="dxa"/>
          </w:tcPr>
          <w:p w14:paraId="7B036F84"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4%</w:t>
            </w:r>
          </w:p>
        </w:tc>
      </w:tr>
    </w:tbl>
    <w:p w14:paraId="17EFBC00" w14:textId="77777777" w:rsidR="007B66C7" w:rsidRPr="00193822" w:rsidRDefault="007B66C7" w:rsidP="007B66C7">
      <w:pPr>
        <w:pStyle w:val="Titre1"/>
        <w:spacing w:before="120" w:after="120"/>
        <w:rPr>
          <w:sz w:val="40"/>
          <w:lang w:val="fr-CA"/>
        </w:rPr>
      </w:pPr>
      <w:r w:rsidRPr="00193822">
        <w:rPr>
          <w:rFonts w:eastAsia="Times New Roman"/>
          <w:sz w:val="40"/>
          <w:lang w:val="fr-CA"/>
        </w:rPr>
        <w:lastRenderedPageBreak/>
        <w:t>Dotation selon le type de processus</w:t>
      </w:r>
    </w:p>
    <w:p w14:paraId="77D23C30" w14:textId="77777777" w:rsidR="00EA0EA2" w:rsidRPr="00193822" w:rsidRDefault="00EA0EA2" w:rsidP="00EA0EA2">
      <w:pPr>
        <w:keepNext/>
        <w:jc w:val="center"/>
        <w:rPr>
          <w:lang w:val="fr-CA"/>
        </w:rPr>
      </w:pPr>
      <w:r w:rsidRPr="00193822">
        <w:rPr>
          <w:rStyle w:val="lev"/>
          <w:noProof/>
          <w:lang w:val="en-CA" w:eastAsia="en-CA"/>
        </w:rPr>
        <w:drawing>
          <wp:inline distT="0" distB="0" distL="0" distR="0" wp14:anchorId="1BC059E4" wp14:editId="63368D20">
            <wp:extent cx="5648400" cy="3049200"/>
            <wp:effectExtent l="0" t="0" r="9525" b="18415"/>
            <wp:docPr id="1" name="Chart 1" descr="Dotation selon le type de processus"/>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F70C1BF" w14:textId="0FF87766" w:rsidR="00EA0EA2" w:rsidRPr="00193822" w:rsidRDefault="00EA0EA2" w:rsidP="00EA0EA2">
      <w:pPr>
        <w:pStyle w:val="Lgende"/>
        <w:spacing w:after="240"/>
        <w:jc w:val="center"/>
        <w:rPr>
          <w:lang w:val="fr-CA"/>
        </w:rPr>
      </w:pPr>
      <w:r w:rsidRPr="00193822">
        <w:rPr>
          <w:lang w:val="fr-CA"/>
        </w:rPr>
        <w:t xml:space="preserve">Figure </w:t>
      </w:r>
      <w:r w:rsidRPr="00193822">
        <w:rPr>
          <w:lang w:val="fr-CA"/>
        </w:rPr>
        <w:fldChar w:fldCharType="begin"/>
      </w:r>
      <w:r w:rsidRPr="00193822">
        <w:rPr>
          <w:lang w:val="fr-CA"/>
        </w:rPr>
        <w:instrText xml:space="preserve"> SEQ Figure \* ARABIC </w:instrText>
      </w:r>
      <w:r w:rsidRPr="00193822">
        <w:rPr>
          <w:lang w:val="fr-CA"/>
        </w:rPr>
        <w:fldChar w:fldCharType="separate"/>
      </w:r>
      <w:r w:rsidR="002B3DED" w:rsidRPr="00193822">
        <w:rPr>
          <w:noProof/>
          <w:lang w:val="fr-CA"/>
        </w:rPr>
        <w:t>7</w:t>
      </w:r>
      <w:r w:rsidRPr="00193822">
        <w:rPr>
          <w:lang w:val="fr-CA"/>
        </w:rPr>
        <w:fldChar w:fldCharType="end"/>
      </w:r>
      <w:r w:rsidRPr="00193822">
        <w:rPr>
          <w:lang w:val="fr-CA"/>
        </w:rPr>
        <w:t xml:space="preserve"> - Dotation selon le type de processus</w:t>
      </w:r>
    </w:p>
    <w:p w14:paraId="7D180CB6" w14:textId="58FAA95B" w:rsidR="00EA0EA2" w:rsidRPr="00193822" w:rsidRDefault="00EA0EA2" w:rsidP="00EA0EA2">
      <w:pPr>
        <w:pStyle w:val="Lgende"/>
        <w:keepNext/>
        <w:jc w:val="center"/>
        <w:rPr>
          <w:lang w:val="fr-CA"/>
        </w:rPr>
      </w:pPr>
      <w:r w:rsidRPr="00193822">
        <w:rPr>
          <w:lang w:val="fr-CA"/>
        </w:rPr>
        <w:t xml:space="preserve">Tableau </w:t>
      </w:r>
      <w:r w:rsidRPr="00193822">
        <w:rPr>
          <w:lang w:val="fr-CA"/>
        </w:rPr>
        <w:fldChar w:fldCharType="begin"/>
      </w:r>
      <w:r w:rsidRPr="00193822">
        <w:rPr>
          <w:lang w:val="fr-CA"/>
        </w:rPr>
        <w:instrText xml:space="preserve"> SEQ Tableau \* ARABIC </w:instrText>
      </w:r>
      <w:r w:rsidRPr="00193822">
        <w:rPr>
          <w:lang w:val="fr-CA"/>
        </w:rPr>
        <w:fldChar w:fldCharType="separate"/>
      </w:r>
      <w:r w:rsidR="00211837" w:rsidRPr="00193822">
        <w:rPr>
          <w:noProof/>
          <w:lang w:val="fr-CA"/>
        </w:rPr>
        <w:t>10</w:t>
      </w:r>
      <w:r w:rsidRPr="00193822">
        <w:rPr>
          <w:lang w:val="fr-CA"/>
        </w:rPr>
        <w:fldChar w:fldCharType="end"/>
      </w:r>
      <w:r w:rsidRPr="00193822">
        <w:rPr>
          <w:lang w:val="fr-CA"/>
        </w:rPr>
        <w:t xml:space="preserve"> - Nombre et pourcentage des activités de dotation selon le type de processus et l’exercice financier</w:t>
      </w:r>
    </w:p>
    <w:tbl>
      <w:tblPr>
        <w:tblStyle w:val="Grilledutableau"/>
        <w:tblW w:w="5000" w:type="pct"/>
        <w:jc w:val="center"/>
        <w:tblLook w:val="0000" w:firstRow="0" w:lastRow="0" w:firstColumn="0" w:lastColumn="0" w:noHBand="0" w:noVBand="0"/>
        <w:tblDescription w:val="Dotation selon le type de processus de 2014 à 2019"/>
      </w:tblPr>
      <w:tblGrid>
        <w:gridCol w:w="2084"/>
        <w:gridCol w:w="4642"/>
        <w:gridCol w:w="2354"/>
        <w:gridCol w:w="4590"/>
      </w:tblGrid>
      <w:tr w:rsidR="00EA0EA2" w:rsidRPr="00A336D2" w14:paraId="65AB6977" w14:textId="77777777" w:rsidTr="002350B9">
        <w:trPr>
          <w:cantSplit/>
          <w:trHeight w:val="290"/>
          <w:tblHeader/>
          <w:jc w:val="center"/>
        </w:trPr>
        <w:tc>
          <w:tcPr>
            <w:tcW w:w="762" w:type="pct"/>
          </w:tcPr>
          <w:p w14:paraId="13C58166" w14:textId="77777777" w:rsidR="00EA0EA2" w:rsidRPr="00193822" w:rsidRDefault="00EA0EA2" w:rsidP="00EA0EA2">
            <w:pPr>
              <w:pStyle w:val="TableTitle"/>
              <w:rPr>
                <w:lang w:val="fr-CA"/>
              </w:rPr>
            </w:pPr>
            <w:r w:rsidRPr="00193822">
              <w:rPr>
                <w:lang w:val="fr-CA"/>
              </w:rPr>
              <w:t>Exercice financier</w:t>
            </w:r>
          </w:p>
        </w:tc>
        <w:tc>
          <w:tcPr>
            <w:tcW w:w="1698" w:type="pct"/>
          </w:tcPr>
          <w:p w14:paraId="1B01E4B3" w14:textId="77777777" w:rsidR="00EA0EA2" w:rsidRPr="00193822" w:rsidRDefault="00EA0EA2" w:rsidP="00EA0EA2">
            <w:pPr>
              <w:pStyle w:val="TableTitle"/>
              <w:rPr>
                <w:lang w:val="fr-CA"/>
              </w:rPr>
            </w:pPr>
            <w:r w:rsidRPr="00193822">
              <w:rPr>
                <w:lang w:val="fr-CA"/>
              </w:rPr>
              <w:t>Processus non annoncé (inconnus exclus)</w:t>
            </w:r>
          </w:p>
        </w:tc>
        <w:tc>
          <w:tcPr>
            <w:tcW w:w="861" w:type="pct"/>
          </w:tcPr>
          <w:p w14:paraId="32AF54CF" w14:textId="77777777" w:rsidR="00EA0EA2" w:rsidRPr="00193822" w:rsidRDefault="00EA0EA2" w:rsidP="00EA0EA2">
            <w:pPr>
              <w:pStyle w:val="TableTitle"/>
              <w:rPr>
                <w:lang w:val="fr-CA"/>
              </w:rPr>
            </w:pPr>
            <w:r w:rsidRPr="00193822">
              <w:rPr>
                <w:lang w:val="fr-CA"/>
              </w:rPr>
              <w:t>Processus annoncés</w:t>
            </w:r>
          </w:p>
        </w:tc>
        <w:tc>
          <w:tcPr>
            <w:tcW w:w="1679" w:type="pct"/>
          </w:tcPr>
          <w:p w14:paraId="0B55625E" w14:textId="77777777" w:rsidR="00EA0EA2" w:rsidRPr="00193822" w:rsidRDefault="00EA0EA2" w:rsidP="00EA0EA2">
            <w:pPr>
              <w:pStyle w:val="TableTitle"/>
              <w:rPr>
                <w:lang w:val="fr-CA"/>
              </w:rPr>
            </w:pPr>
            <w:r w:rsidRPr="00193822">
              <w:rPr>
                <w:lang w:val="fr-CA"/>
              </w:rPr>
              <w:t xml:space="preserve">Pourcentage de processus non annoncés </w:t>
            </w:r>
          </w:p>
        </w:tc>
      </w:tr>
      <w:tr w:rsidR="00EA0EA2" w:rsidRPr="00193822" w14:paraId="2E5F7CB9" w14:textId="77777777" w:rsidTr="002350B9">
        <w:trPr>
          <w:cantSplit/>
          <w:trHeight w:val="290"/>
          <w:tblHeader/>
          <w:jc w:val="center"/>
        </w:trPr>
        <w:tc>
          <w:tcPr>
            <w:tcW w:w="762" w:type="pct"/>
          </w:tcPr>
          <w:p w14:paraId="7BF9F8B5" w14:textId="77777777" w:rsidR="00EA0EA2" w:rsidRPr="00193822" w:rsidRDefault="00EA0EA2"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 xml:space="preserve">2014 à 2015 </w:t>
            </w:r>
          </w:p>
        </w:tc>
        <w:tc>
          <w:tcPr>
            <w:tcW w:w="1698" w:type="pct"/>
          </w:tcPr>
          <w:p w14:paraId="3FC728F9"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35</w:t>
            </w:r>
          </w:p>
        </w:tc>
        <w:tc>
          <w:tcPr>
            <w:tcW w:w="861" w:type="pct"/>
          </w:tcPr>
          <w:p w14:paraId="567B9D9D"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171</w:t>
            </w:r>
          </w:p>
        </w:tc>
        <w:tc>
          <w:tcPr>
            <w:tcW w:w="1679" w:type="pct"/>
          </w:tcPr>
          <w:p w14:paraId="5F5A82F9"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17%</w:t>
            </w:r>
          </w:p>
        </w:tc>
      </w:tr>
      <w:tr w:rsidR="00EA0EA2" w:rsidRPr="00193822" w14:paraId="0334D2DE" w14:textId="77777777" w:rsidTr="002350B9">
        <w:trPr>
          <w:cantSplit/>
          <w:trHeight w:val="290"/>
          <w:tblHeader/>
          <w:jc w:val="center"/>
        </w:trPr>
        <w:tc>
          <w:tcPr>
            <w:tcW w:w="762" w:type="pct"/>
          </w:tcPr>
          <w:p w14:paraId="20409F20" w14:textId="77777777" w:rsidR="00EA0EA2" w:rsidRPr="00193822" w:rsidRDefault="00EA0EA2"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 xml:space="preserve">2015 à 2016 </w:t>
            </w:r>
          </w:p>
        </w:tc>
        <w:tc>
          <w:tcPr>
            <w:tcW w:w="1698" w:type="pct"/>
          </w:tcPr>
          <w:p w14:paraId="6A2540E6"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29</w:t>
            </w:r>
          </w:p>
        </w:tc>
        <w:tc>
          <w:tcPr>
            <w:tcW w:w="861" w:type="pct"/>
          </w:tcPr>
          <w:p w14:paraId="3237B330"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102</w:t>
            </w:r>
          </w:p>
        </w:tc>
        <w:tc>
          <w:tcPr>
            <w:tcW w:w="1679" w:type="pct"/>
          </w:tcPr>
          <w:p w14:paraId="1DE2070A"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22%</w:t>
            </w:r>
          </w:p>
        </w:tc>
      </w:tr>
      <w:tr w:rsidR="00EA0EA2" w:rsidRPr="00193822" w14:paraId="78EBE671" w14:textId="77777777" w:rsidTr="002350B9">
        <w:trPr>
          <w:cantSplit/>
          <w:trHeight w:val="290"/>
          <w:tblHeader/>
          <w:jc w:val="center"/>
        </w:trPr>
        <w:tc>
          <w:tcPr>
            <w:tcW w:w="762" w:type="pct"/>
          </w:tcPr>
          <w:p w14:paraId="1C8A4606" w14:textId="77777777" w:rsidR="00EA0EA2" w:rsidRPr="00193822" w:rsidRDefault="00EA0EA2"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2016 à 2017</w:t>
            </w:r>
          </w:p>
        </w:tc>
        <w:tc>
          <w:tcPr>
            <w:tcW w:w="1698" w:type="pct"/>
          </w:tcPr>
          <w:p w14:paraId="7FAD1092"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36</w:t>
            </w:r>
          </w:p>
        </w:tc>
        <w:tc>
          <w:tcPr>
            <w:tcW w:w="861" w:type="pct"/>
          </w:tcPr>
          <w:p w14:paraId="2D61B151"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98</w:t>
            </w:r>
          </w:p>
        </w:tc>
        <w:tc>
          <w:tcPr>
            <w:tcW w:w="1679" w:type="pct"/>
          </w:tcPr>
          <w:p w14:paraId="17DC4912"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27%</w:t>
            </w:r>
          </w:p>
        </w:tc>
      </w:tr>
      <w:tr w:rsidR="00EA0EA2" w:rsidRPr="00193822" w14:paraId="1401D69F" w14:textId="77777777" w:rsidTr="002350B9">
        <w:trPr>
          <w:cantSplit/>
          <w:trHeight w:val="290"/>
          <w:tblHeader/>
          <w:jc w:val="center"/>
        </w:trPr>
        <w:tc>
          <w:tcPr>
            <w:tcW w:w="762" w:type="pct"/>
          </w:tcPr>
          <w:p w14:paraId="0CF47204" w14:textId="77777777" w:rsidR="00EA0EA2" w:rsidRPr="00193822" w:rsidRDefault="00EA0EA2"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2017 à 2018</w:t>
            </w:r>
          </w:p>
        </w:tc>
        <w:tc>
          <w:tcPr>
            <w:tcW w:w="1698" w:type="pct"/>
          </w:tcPr>
          <w:p w14:paraId="18C6CBC3"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45</w:t>
            </w:r>
          </w:p>
        </w:tc>
        <w:tc>
          <w:tcPr>
            <w:tcW w:w="861" w:type="pct"/>
          </w:tcPr>
          <w:p w14:paraId="1D83B62F"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117</w:t>
            </w:r>
          </w:p>
        </w:tc>
        <w:tc>
          <w:tcPr>
            <w:tcW w:w="1679" w:type="pct"/>
          </w:tcPr>
          <w:p w14:paraId="60F0E158"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28%</w:t>
            </w:r>
          </w:p>
        </w:tc>
      </w:tr>
      <w:tr w:rsidR="00EA0EA2" w:rsidRPr="00193822" w14:paraId="0CFC2BE7" w14:textId="77777777" w:rsidTr="002350B9">
        <w:trPr>
          <w:cantSplit/>
          <w:trHeight w:val="290"/>
          <w:tblHeader/>
          <w:jc w:val="center"/>
        </w:trPr>
        <w:tc>
          <w:tcPr>
            <w:tcW w:w="762" w:type="pct"/>
          </w:tcPr>
          <w:p w14:paraId="25934996" w14:textId="77777777" w:rsidR="00EA0EA2" w:rsidRPr="00193822" w:rsidRDefault="00EA0EA2"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2018 à 2019</w:t>
            </w:r>
          </w:p>
        </w:tc>
        <w:tc>
          <w:tcPr>
            <w:tcW w:w="1698" w:type="pct"/>
          </w:tcPr>
          <w:p w14:paraId="1E7ABF55"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95</w:t>
            </w:r>
          </w:p>
        </w:tc>
        <w:tc>
          <w:tcPr>
            <w:tcW w:w="861" w:type="pct"/>
          </w:tcPr>
          <w:p w14:paraId="660AF06D"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158</w:t>
            </w:r>
          </w:p>
        </w:tc>
        <w:tc>
          <w:tcPr>
            <w:tcW w:w="1679" w:type="pct"/>
          </w:tcPr>
          <w:p w14:paraId="4CB6698D" w14:textId="77777777" w:rsidR="00EA0EA2" w:rsidRPr="00193822" w:rsidRDefault="00EA0EA2"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38%</w:t>
            </w:r>
          </w:p>
        </w:tc>
      </w:tr>
    </w:tbl>
    <w:p w14:paraId="29BB82AC" w14:textId="77777777" w:rsidR="002350B9" w:rsidRPr="00193822" w:rsidRDefault="002350B9" w:rsidP="002350B9">
      <w:pPr>
        <w:pStyle w:val="Titre1"/>
        <w:spacing w:before="120" w:after="120"/>
        <w:rPr>
          <w:sz w:val="40"/>
          <w:lang w:val="fr-CA"/>
        </w:rPr>
      </w:pPr>
      <w:r w:rsidRPr="00193822">
        <w:rPr>
          <w:sz w:val="40"/>
          <w:lang w:val="fr-CA"/>
        </w:rPr>
        <w:lastRenderedPageBreak/>
        <w:t>Dotation selon le type de nomination</w:t>
      </w:r>
    </w:p>
    <w:p w14:paraId="097986BB" w14:textId="16325820" w:rsidR="00AB77B1" w:rsidRPr="00193822" w:rsidRDefault="00862C57" w:rsidP="00AB77B1">
      <w:pPr>
        <w:pStyle w:val="Titre3"/>
        <w:jc w:val="center"/>
        <w:rPr>
          <w:lang w:val="fr-CA"/>
        </w:rPr>
      </w:pPr>
      <w:r w:rsidRPr="00193822">
        <w:rPr>
          <w:rStyle w:val="lev"/>
          <w:noProof/>
          <w:lang w:val="en-CA" w:eastAsia="en-CA"/>
        </w:rPr>
        <w:drawing>
          <wp:inline distT="0" distB="0" distL="0" distR="0" wp14:anchorId="2D0FB5FA" wp14:editId="13E56A95">
            <wp:extent cx="5648400" cy="3049200"/>
            <wp:effectExtent l="0" t="0" r="9525" b="18415"/>
            <wp:docPr id="9" name="Chart 9" descr="Dotation selon le type de nomin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A902D30" w14:textId="15CF3FC1" w:rsidR="006A2671" w:rsidRPr="00193822" w:rsidRDefault="00AB77B1" w:rsidP="00B209B8">
      <w:pPr>
        <w:pStyle w:val="Lgende"/>
        <w:spacing w:after="240"/>
        <w:jc w:val="center"/>
        <w:rPr>
          <w:lang w:val="fr-CA"/>
        </w:rPr>
      </w:pPr>
      <w:r w:rsidRPr="00193822">
        <w:rPr>
          <w:lang w:val="fr-CA"/>
        </w:rPr>
        <w:t xml:space="preserve">Figure </w:t>
      </w:r>
      <w:r w:rsidRPr="00193822">
        <w:rPr>
          <w:lang w:val="fr-CA"/>
        </w:rPr>
        <w:fldChar w:fldCharType="begin"/>
      </w:r>
      <w:r w:rsidRPr="00193822">
        <w:rPr>
          <w:lang w:val="fr-CA"/>
        </w:rPr>
        <w:instrText xml:space="preserve"> SEQ Figure \* ARABIC </w:instrText>
      </w:r>
      <w:r w:rsidRPr="00193822">
        <w:rPr>
          <w:lang w:val="fr-CA"/>
        </w:rPr>
        <w:fldChar w:fldCharType="separate"/>
      </w:r>
      <w:r w:rsidR="002B3DED" w:rsidRPr="00193822">
        <w:rPr>
          <w:noProof/>
          <w:lang w:val="fr-CA"/>
        </w:rPr>
        <w:t>8</w:t>
      </w:r>
      <w:r w:rsidRPr="00193822">
        <w:rPr>
          <w:lang w:val="fr-CA"/>
        </w:rPr>
        <w:fldChar w:fldCharType="end"/>
      </w:r>
      <w:r w:rsidRPr="00193822">
        <w:rPr>
          <w:lang w:val="fr-CA"/>
        </w:rPr>
        <w:t xml:space="preserve"> - Dotation selon le type de nomination</w:t>
      </w:r>
    </w:p>
    <w:p w14:paraId="47AAC4F6" w14:textId="62996ADD" w:rsidR="006A2671" w:rsidRPr="00193822" w:rsidRDefault="006A2671" w:rsidP="006A2671">
      <w:pPr>
        <w:pStyle w:val="Lgende"/>
        <w:keepNext/>
        <w:jc w:val="center"/>
        <w:rPr>
          <w:lang w:val="fr-CA"/>
        </w:rPr>
      </w:pPr>
      <w:r w:rsidRPr="00193822">
        <w:rPr>
          <w:lang w:val="fr-CA"/>
        </w:rPr>
        <w:t xml:space="preserve">Tableau </w:t>
      </w:r>
      <w:r w:rsidRPr="00193822">
        <w:rPr>
          <w:lang w:val="fr-CA"/>
        </w:rPr>
        <w:fldChar w:fldCharType="begin"/>
      </w:r>
      <w:r w:rsidRPr="00193822">
        <w:rPr>
          <w:lang w:val="fr-CA"/>
        </w:rPr>
        <w:instrText xml:space="preserve"> SEQ Tableau \* ARABIC </w:instrText>
      </w:r>
      <w:r w:rsidRPr="00193822">
        <w:rPr>
          <w:lang w:val="fr-CA"/>
        </w:rPr>
        <w:fldChar w:fldCharType="separate"/>
      </w:r>
      <w:r w:rsidR="00211837" w:rsidRPr="00193822">
        <w:rPr>
          <w:noProof/>
          <w:lang w:val="fr-CA"/>
        </w:rPr>
        <w:t>11</w:t>
      </w:r>
      <w:r w:rsidRPr="00193822">
        <w:rPr>
          <w:lang w:val="fr-CA"/>
        </w:rPr>
        <w:fldChar w:fldCharType="end"/>
      </w:r>
      <w:r w:rsidRPr="00193822">
        <w:rPr>
          <w:lang w:val="fr-CA"/>
        </w:rPr>
        <w:t xml:space="preserve"> - Activités de dotation selon le type de nomination et exercice financier</w:t>
      </w:r>
    </w:p>
    <w:tbl>
      <w:tblPr>
        <w:tblStyle w:val="Grilledutableau"/>
        <w:tblW w:w="0" w:type="auto"/>
        <w:jc w:val="center"/>
        <w:tblLook w:val="04A0" w:firstRow="1" w:lastRow="0" w:firstColumn="1" w:lastColumn="0" w:noHBand="0" w:noVBand="1"/>
        <w:tblDescription w:val="Dotation par type de nomination de 2014 à 2019"/>
      </w:tblPr>
      <w:tblGrid>
        <w:gridCol w:w="1386"/>
        <w:gridCol w:w="1376"/>
        <w:gridCol w:w="2381"/>
        <w:gridCol w:w="3924"/>
        <w:gridCol w:w="3402"/>
        <w:gridCol w:w="1201"/>
      </w:tblGrid>
      <w:tr w:rsidR="006A2671" w:rsidRPr="00193822" w14:paraId="65C45D7D" w14:textId="77777777" w:rsidTr="003F6509">
        <w:trPr>
          <w:cantSplit/>
          <w:tblHeader/>
          <w:jc w:val="center"/>
        </w:trPr>
        <w:tc>
          <w:tcPr>
            <w:tcW w:w="0" w:type="auto"/>
            <w:hideMark/>
          </w:tcPr>
          <w:p w14:paraId="282251FF" w14:textId="77777777" w:rsidR="006A2671" w:rsidRPr="00193822" w:rsidRDefault="006A2671" w:rsidP="006A2671">
            <w:pPr>
              <w:pStyle w:val="TableTitle"/>
              <w:rPr>
                <w:szCs w:val="22"/>
                <w:lang w:val="fr-CA"/>
              </w:rPr>
            </w:pPr>
            <w:r w:rsidRPr="00193822">
              <w:rPr>
                <w:szCs w:val="22"/>
                <w:lang w:val="fr-CA"/>
              </w:rPr>
              <w:t>Exercice financier</w:t>
            </w:r>
          </w:p>
        </w:tc>
        <w:tc>
          <w:tcPr>
            <w:tcW w:w="0" w:type="auto"/>
            <w:hideMark/>
          </w:tcPr>
          <w:p w14:paraId="47B06905" w14:textId="77777777" w:rsidR="006A2671" w:rsidRPr="00193822" w:rsidRDefault="006A2671" w:rsidP="006A2671">
            <w:pPr>
              <w:pStyle w:val="TableTitle"/>
              <w:rPr>
                <w:szCs w:val="22"/>
                <w:lang w:val="fr-CA"/>
              </w:rPr>
            </w:pPr>
            <w:r w:rsidRPr="00193822">
              <w:rPr>
                <w:szCs w:val="22"/>
                <w:lang w:val="fr-CA"/>
              </w:rPr>
              <w:t>Promotions</w:t>
            </w:r>
          </w:p>
        </w:tc>
        <w:tc>
          <w:tcPr>
            <w:tcW w:w="0" w:type="auto"/>
            <w:hideMark/>
          </w:tcPr>
          <w:p w14:paraId="55B9C64C" w14:textId="77777777" w:rsidR="006A2671" w:rsidRPr="00193822" w:rsidRDefault="006A2671" w:rsidP="006A2671">
            <w:pPr>
              <w:pStyle w:val="TableTitle"/>
              <w:rPr>
                <w:szCs w:val="22"/>
                <w:lang w:val="fr-CA"/>
              </w:rPr>
            </w:pPr>
            <w:r w:rsidRPr="00193822">
              <w:rPr>
                <w:szCs w:val="22"/>
                <w:lang w:val="fr-CA"/>
              </w:rPr>
              <w:t>Déplacements latéraux et régressifs</w:t>
            </w:r>
          </w:p>
        </w:tc>
        <w:tc>
          <w:tcPr>
            <w:tcW w:w="3924" w:type="dxa"/>
            <w:hideMark/>
          </w:tcPr>
          <w:p w14:paraId="52F93783" w14:textId="77777777" w:rsidR="006A2671" w:rsidRPr="00193822" w:rsidRDefault="006A2671" w:rsidP="006A2671">
            <w:pPr>
              <w:pStyle w:val="TableTitle"/>
              <w:rPr>
                <w:szCs w:val="22"/>
                <w:lang w:val="fr-CA"/>
              </w:rPr>
            </w:pPr>
            <w:r w:rsidRPr="00193822">
              <w:rPr>
                <w:szCs w:val="22"/>
                <w:lang w:val="fr-CA"/>
              </w:rPr>
              <w:t>Nominations à la fonction publique (y compris les employés occasionnels et les étudiants)</w:t>
            </w:r>
          </w:p>
        </w:tc>
        <w:tc>
          <w:tcPr>
            <w:tcW w:w="3402" w:type="dxa"/>
            <w:hideMark/>
          </w:tcPr>
          <w:p w14:paraId="3DD377A1" w14:textId="77777777" w:rsidR="006A2671" w:rsidRPr="00193822" w:rsidRDefault="006A2671" w:rsidP="006A2671">
            <w:pPr>
              <w:pStyle w:val="TableTitle"/>
              <w:rPr>
                <w:szCs w:val="22"/>
                <w:lang w:val="fr-CA"/>
              </w:rPr>
            </w:pPr>
            <w:r w:rsidRPr="00193822">
              <w:rPr>
                <w:szCs w:val="22"/>
                <w:lang w:val="fr-CA"/>
              </w:rPr>
              <w:t>Nominations intérimaires (Excluant les nominations de moins de 4 mois)</w:t>
            </w:r>
          </w:p>
        </w:tc>
        <w:tc>
          <w:tcPr>
            <w:tcW w:w="1201" w:type="dxa"/>
            <w:hideMark/>
          </w:tcPr>
          <w:p w14:paraId="74A12990" w14:textId="77777777" w:rsidR="006A2671" w:rsidRPr="00193822" w:rsidRDefault="006A2671" w:rsidP="006A2671">
            <w:pPr>
              <w:pStyle w:val="TableTitle"/>
              <w:rPr>
                <w:szCs w:val="22"/>
                <w:lang w:val="fr-CA"/>
              </w:rPr>
            </w:pPr>
            <w:r w:rsidRPr="00193822">
              <w:rPr>
                <w:szCs w:val="22"/>
                <w:lang w:val="fr-CA"/>
              </w:rPr>
              <w:t>Total</w:t>
            </w:r>
          </w:p>
        </w:tc>
      </w:tr>
      <w:tr w:rsidR="006A2671" w:rsidRPr="00193822" w14:paraId="1008505B" w14:textId="77777777" w:rsidTr="003F6509">
        <w:trPr>
          <w:cantSplit/>
          <w:tblHeader/>
          <w:jc w:val="center"/>
        </w:trPr>
        <w:tc>
          <w:tcPr>
            <w:tcW w:w="0" w:type="auto"/>
            <w:hideMark/>
          </w:tcPr>
          <w:p w14:paraId="39437F12" w14:textId="77777777" w:rsidR="006A2671" w:rsidRPr="00193822" w:rsidRDefault="006A2671">
            <w:pPr>
              <w:autoSpaceDE w:val="0"/>
              <w:autoSpaceDN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 xml:space="preserve">2014 à 2015 </w:t>
            </w:r>
          </w:p>
        </w:tc>
        <w:tc>
          <w:tcPr>
            <w:tcW w:w="0" w:type="auto"/>
            <w:hideMark/>
          </w:tcPr>
          <w:p w14:paraId="6D6E9646" w14:textId="77777777" w:rsidR="006A2671" w:rsidRPr="00193822" w:rsidRDefault="006A2671">
            <w:pPr>
              <w:autoSpaceDE w:val="0"/>
              <w:autoSpaceDN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70</w:t>
            </w:r>
          </w:p>
        </w:tc>
        <w:tc>
          <w:tcPr>
            <w:tcW w:w="0" w:type="auto"/>
            <w:hideMark/>
          </w:tcPr>
          <w:p w14:paraId="4687F93C" w14:textId="77777777" w:rsidR="006A2671" w:rsidRPr="00193822" w:rsidRDefault="006A2671">
            <w:pPr>
              <w:autoSpaceDE w:val="0"/>
              <w:autoSpaceDN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111</w:t>
            </w:r>
          </w:p>
        </w:tc>
        <w:tc>
          <w:tcPr>
            <w:tcW w:w="3924" w:type="dxa"/>
            <w:hideMark/>
          </w:tcPr>
          <w:p w14:paraId="69714BBC" w14:textId="77777777" w:rsidR="006A2671" w:rsidRPr="00193822" w:rsidRDefault="006A2671">
            <w:pPr>
              <w:autoSpaceDE w:val="0"/>
              <w:autoSpaceDN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396</w:t>
            </w:r>
          </w:p>
        </w:tc>
        <w:tc>
          <w:tcPr>
            <w:tcW w:w="3402" w:type="dxa"/>
            <w:hideMark/>
          </w:tcPr>
          <w:p w14:paraId="3A735C70" w14:textId="77777777" w:rsidR="006A2671" w:rsidRPr="00193822" w:rsidRDefault="006A2671">
            <w:pPr>
              <w:autoSpaceDE w:val="0"/>
              <w:autoSpaceDN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123</w:t>
            </w:r>
          </w:p>
        </w:tc>
        <w:tc>
          <w:tcPr>
            <w:tcW w:w="1201" w:type="dxa"/>
            <w:hideMark/>
          </w:tcPr>
          <w:p w14:paraId="76AE192A" w14:textId="77777777" w:rsidR="006A2671" w:rsidRPr="00193822" w:rsidRDefault="006A2671">
            <w:pPr>
              <w:autoSpaceDE w:val="0"/>
              <w:autoSpaceDN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700</w:t>
            </w:r>
          </w:p>
        </w:tc>
      </w:tr>
      <w:tr w:rsidR="006A2671" w:rsidRPr="00193822" w14:paraId="573A469E" w14:textId="77777777" w:rsidTr="003F6509">
        <w:trPr>
          <w:cantSplit/>
          <w:tblHeader/>
          <w:jc w:val="center"/>
        </w:trPr>
        <w:tc>
          <w:tcPr>
            <w:tcW w:w="0" w:type="auto"/>
            <w:hideMark/>
          </w:tcPr>
          <w:p w14:paraId="29FF5C59" w14:textId="77777777" w:rsidR="006A2671" w:rsidRPr="00193822" w:rsidRDefault="006A2671">
            <w:pPr>
              <w:autoSpaceDE w:val="0"/>
              <w:autoSpaceDN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2015 à 2016</w:t>
            </w:r>
          </w:p>
        </w:tc>
        <w:tc>
          <w:tcPr>
            <w:tcW w:w="0" w:type="auto"/>
            <w:hideMark/>
          </w:tcPr>
          <w:p w14:paraId="44867908" w14:textId="77777777" w:rsidR="006A2671" w:rsidRPr="00193822" w:rsidRDefault="006A2671">
            <w:pPr>
              <w:autoSpaceDE w:val="0"/>
              <w:autoSpaceDN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48</w:t>
            </w:r>
          </w:p>
        </w:tc>
        <w:tc>
          <w:tcPr>
            <w:tcW w:w="0" w:type="auto"/>
            <w:hideMark/>
          </w:tcPr>
          <w:p w14:paraId="75DDF24F" w14:textId="77777777" w:rsidR="006A2671" w:rsidRPr="00193822" w:rsidRDefault="006A2671">
            <w:pPr>
              <w:autoSpaceDE w:val="0"/>
              <w:autoSpaceDN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68</w:t>
            </w:r>
          </w:p>
        </w:tc>
        <w:tc>
          <w:tcPr>
            <w:tcW w:w="3924" w:type="dxa"/>
            <w:hideMark/>
          </w:tcPr>
          <w:p w14:paraId="5EA5A8B3" w14:textId="77777777" w:rsidR="006A2671" w:rsidRPr="00193822" w:rsidRDefault="006A2671">
            <w:pPr>
              <w:autoSpaceDE w:val="0"/>
              <w:autoSpaceDN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240</w:t>
            </w:r>
          </w:p>
        </w:tc>
        <w:tc>
          <w:tcPr>
            <w:tcW w:w="3402" w:type="dxa"/>
            <w:hideMark/>
          </w:tcPr>
          <w:p w14:paraId="1445B95D" w14:textId="77777777" w:rsidR="006A2671" w:rsidRPr="00193822" w:rsidRDefault="006A2671">
            <w:pPr>
              <w:autoSpaceDE w:val="0"/>
              <w:autoSpaceDN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105</w:t>
            </w:r>
          </w:p>
        </w:tc>
        <w:tc>
          <w:tcPr>
            <w:tcW w:w="1201" w:type="dxa"/>
            <w:hideMark/>
          </w:tcPr>
          <w:p w14:paraId="51E4F28F" w14:textId="77777777" w:rsidR="006A2671" w:rsidRPr="00193822" w:rsidRDefault="006A2671">
            <w:pPr>
              <w:autoSpaceDE w:val="0"/>
              <w:autoSpaceDN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461</w:t>
            </w:r>
          </w:p>
        </w:tc>
      </w:tr>
      <w:tr w:rsidR="006A2671" w:rsidRPr="00193822" w14:paraId="3FBA4FF6" w14:textId="77777777" w:rsidTr="003F6509">
        <w:trPr>
          <w:cantSplit/>
          <w:tblHeader/>
          <w:jc w:val="center"/>
        </w:trPr>
        <w:tc>
          <w:tcPr>
            <w:tcW w:w="0" w:type="auto"/>
            <w:hideMark/>
          </w:tcPr>
          <w:p w14:paraId="71B40019" w14:textId="77777777" w:rsidR="006A2671" w:rsidRPr="00193822" w:rsidRDefault="006A2671">
            <w:pPr>
              <w:autoSpaceDE w:val="0"/>
              <w:autoSpaceDN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 xml:space="preserve">2016 à 2017 </w:t>
            </w:r>
          </w:p>
        </w:tc>
        <w:tc>
          <w:tcPr>
            <w:tcW w:w="0" w:type="auto"/>
            <w:hideMark/>
          </w:tcPr>
          <w:p w14:paraId="2174C415" w14:textId="77777777" w:rsidR="006A2671" w:rsidRPr="00193822" w:rsidRDefault="006A2671">
            <w:pPr>
              <w:autoSpaceDE w:val="0"/>
              <w:autoSpaceDN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95</w:t>
            </w:r>
          </w:p>
        </w:tc>
        <w:tc>
          <w:tcPr>
            <w:tcW w:w="0" w:type="auto"/>
            <w:hideMark/>
          </w:tcPr>
          <w:p w14:paraId="17931CFE" w14:textId="77777777" w:rsidR="006A2671" w:rsidRPr="00193822" w:rsidRDefault="006A2671">
            <w:pPr>
              <w:autoSpaceDE w:val="0"/>
              <w:autoSpaceDN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128</w:t>
            </w:r>
          </w:p>
        </w:tc>
        <w:tc>
          <w:tcPr>
            <w:tcW w:w="3924" w:type="dxa"/>
            <w:hideMark/>
          </w:tcPr>
          <w:p w14:paraId="01CBFB11" w14:textId="77777777" w:rsidR="006A2671" w:rsidRPr="00193822" w:rsidRDefault="006A2671">
            <w:pPr>
              <w:autoSpaceDE w:val="0"/>
              <w:autoSpaceDN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297</w:t>
            </w:r>
          </w:p>
        </w:tc>
        <w:tc>
          <w:tcPr>
            <w:tcW w:w="3402" w:type="dxa"/>
            <w:hideMark/>
          </w:tcPr>
          <w:p w14:paraId="096B76E6" w14:textId="77777777" w:rsidR="006A2671" w:rsidRPr="00193822" w:rsidRDefault="006A2671">
            <w:pPr>
              <w:autoSpaceDE w:val="0"/>
              <w:autoSpaceDN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39</w:t>
            </w:r>
          </w:p>
        </w:tc>
        <w:tc>
          <w:tcPr>
            <w:tcW w:w="1201" w:type="dxa"/>
            <w:hideMark/>
          </w:tcPr>
          <w:p w14:paraId="7ABD001D" w14:textId="77777777" w:rsidR="006A2671" w:rsidRPr="00193822" w:rsidRDefault="006A2671">
            <w:pPr>
              <w:autoSpaceDE w:val="0"/>
              <w:autoSpaceDN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559</w:t>
            </w:r>
          </w:p>
        </w:tc>
      </w:tr>
      <w:tr w:rsidR="006A2671" w:rsidRPr="00193822" w14:paraId="79946269" w14:textId="77777777" w:rsidTr="003F6509">
        <w:trPr>
          <w:cantSplit/>
          <w:tblHeader/>
          <w:jc w:val="center"/>
        </w:trPr>
        <w:tc>
          <w:tcPr>
            <w:tcW w:w="0" w:type="auto"/>
            <w:hideMark/>
          </w:tcPr>
          <w:p w14:paraId="699A6F99" w14:textId="77777777" w:rsidR="006A2671" w:rsidRPr="00193822" w:rsidRDefault="006A2671">
            <w:pPr>
              <w:autoSpaceDE w:val="0"/>
              <w:autoSpaceDN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2017 à 2018</w:t>
            </w:r>
          </w:p>
        </w:tc>
        <w:tc>
          <w:tcPr>
            <w:tcW w:w="0" w:type="auto"/>
            <w:hideMark/>
          </w:tcPr>
          <w:p w14:paraId="64B83B9D" w14:textId="77777777" w:rsidR="006A2671" w:rsidRPr="00193822" w:rsidRDefault="006A2671">
            <w:pPr>
              <w:autoSpaceDE w:val="0"/>
              <w:autoSpaceDN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75</w:t>
            </w:r>
          </w:p>
        </w:tc>
        <w:tc>
          <w:tcPr>
            <w:tcW w:w="0" w:type="auto"/>
            <w:hideMark/>
          </w:tcPr>
          <w:p w14:paraId="0AD3D99E" w14:textId="77777777" w:rsidR="006A2671" w:rsidRPr="00193822" w:rsidRDefault="006A2671">
            <w:pPr>
              <w:autoSpaceDE w:val="0"/>
              <w:autoSpaceDN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77</w:t>
            </w:r>
          </w:p>
        </w:tc>
        <w:tc>
          <w:tcPr>
            <w:tcW w:w="3924" w:type="dxa"/>
            <w:hideMark/>
          </w:tcPr>
          <w:p w14:paraId="7C50453B" w14:textId="77777777" w:rsidR="006A2671" w:rsidRPr="00193822" w:rsidRDefault="006A2671">
            <w:pPr>
              <w:autoSpaceDE w:val="0"/>
              <w:autoSpaceDN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255</w:t>
            </w:r>
          </w:p>
        </w:tc>
        <w:tc>
          <w:tcPr>
            <w:tcW w:w="3402" w:type="dxa"/>
            <w:hideMark/>
          </w:tcPr>
          <w:p w14:paraId="2E7CE989" w14:textId="77777777" w:rsidR="006A2671" w:rsidRPr="00193822" w:rsidRDefault="006A2671">
            <w:pPr>
              <w:autoSpaceDE w:val="0"/>
              <w:autoSpaceDN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35</w:t>
            </w:r>
          </w:p>
        </w:tc>
        <w:tc>
          <w:tcPr>
            <w:tcW w:w="1201" w:type="dxa"/>
            <w:hideMark/>
          </w:tcPr>
          <w:p w14:paraId="0918056A" w14:textId="77777777" w:rsidR="006A2671" w:rsidRPr="00193822" w:rsidRDefault="006A2671">
            <w:pPr>
              <w:autoSpaceDE w:val="0"/>
              <w:autoSpaceDN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442</w:t>
            </w:r>
          </w:p>
        </w:tc>
      </w:tr>
      <w:tr w:rsidR="006A2671" w:rsidRPr="00193822" w14:paraId="5E94326A" w14:textId="77777777" w:rsidTr="003F6509">
        <w:trPr>
          <w:cantSplit/>
          <w:tblHeader/>
          <w:jc w:val="center"/>
        </w:trPr>
        <w:tc>
          <w:tcPr>
            <w:tcW w:w="0" w:type="auto"/>
            <w:hideMark/>
          </w:tcPr>
          <w:p w14:paraId="4C904B1B" w14:textId="77777777" w:rsidR="006A2671" w:rsidRPr="00193822" w:rsidRDefault="006A2671">
            <w:pPr>
              <w:autoSpaceDE w:val="0"/>
              <w:autoSpaceDN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2018 à 2019</w:t>
            </w:r>
          </w:p>
        </w:tc>
        <w:tc>
          <w:tcPr>
            <w:tcW w:w="0" w:type="auto"/>
            <w:hideMark/>
          </w:tcPr>
          <w:p w14:paraId="569E397A" w14:textId="77777777" w:rsidR="006A2671" w:rsidRPr="00193822" w:rsidRDefault="006A2671">
            <w:pPr>
              <w:autoSpaceDE w:val="0"/>
              <w:autoSpaceDN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122</w:t>
            </w:r>
          </w:p>
        </w:tc>
        <w:tc>
          <w:tcPr>
            <w:tcW w:w="0" w:type="auto"/>
            <w:hideMark/>
          </w:tcPr>
          <w:p w14:paraId="0F0FE207" w14:textId="77777777" w:rsidR="006A2671" w:rsidRPr="00193822" w:rsidRDefault="006A2671">
            <w:pPr>
              <w:autoSpaceDE w:val="0"/>
              <w:autoSpaceDN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145</w:t>
            </w:r>
          </w:p>
        </w:tc>
        <w:tc>
          <w:tcPr>
            <w:tcW w:w="3924" w:type="dxa"/>
            <w:hideMark/>
          </w:tcPr>
          <w:p w14:paraId="6F5EDED0" w14:textId="77777777" w:rsidR="006A2671" w:rsidRPr="00193822" w:rsidRDefault="006A2671">
            <w:pPr>
              <w:autoSpaceDE w:val="0"/>
              <w:autoSpaceDN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306</w:t>
            </w:r>
          </w:p>
        </w:tc>
        <w:tc>
          <w:tcPr>
            <w:tcW w:w="3402" w:type="dxa"/>
            <w:hideMark/>
          </w:tcPr>
          <w:p w14:paraId="2596BB37" w14:textId="77777777" w:rsidR="006A2671" w:rsidRPr="00193822" w:rsidRDefault="006A2671">
            <w:pPr>
              <w:autoSpaceDE w:val="0"/>
              <w:autoSpaceDN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121</w:t>
            </w:r>
          </w:p>
        </w:tc>
        <w:tc>
          <w:tcPr>
            <w:tcW w:w="1201" w:type="dxa"/>
            <w:hideMark/>
          </w:tcPr>
          <w:p w14:paraId="2298E4F4" w14:textId="77777777" w:rsidR="006A2671" w:rsidRPr="00193822" w:rsidRDefault="006A2671">
            <w:pPr>
              <w:autoSpaceDE w:val="0"/>
              <w:autoSpaceDN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694</w:t>
            </w:r>
          </w:p>
        </w:tc>
      </w:tr>
    </w:tbl>
    <w:p w14:paraId="34EE4FE6" w14:textId="77777777" w:rsidR="002350B9" w:rsidRPr="00193822" w:rsidRDefault="002350B9" w:rsidP="002350B9">
      <w:pPr>
        <w:pStyle w:val="Titre1"/>
        <w:spacing w:before="120" w:after="120"/>
        <w:rPr>
          <w:sz w:val="40"/>
          <w:lang w:val="fr-CA"/>
        </w:rPr>
      </w:pPr>
      <w:r w:rsidRPr="00193822">
        <w:rPr>
          <w:rFonts w:eastAsia="Times New Roman"/>
          <w:sz w:val="40"/>
          <w:lang w:val="fr-CA"/>
        </w:rPr>
        <w:lastRenderedPageBreak/>
        <w:t>Dotation selon la durée d'emploi</w:t>
      </w:r>
    </w:p>
    <w:p w14:paraId="4B96EBD4" w14:textId="77777777" w:rsidR="006A2566" w:rsidRPr="00193822" w:rsidRDefault="00AB77B1" w:rsidP="006A2566">
      <w:pPr>
        <w:keepNext/>
        <w:jc w:val="center"/>
        <w:rPr>
          <w:lang w:val="fr-CA"/>
        </w:rPr>
      </w:pPr>
      <w:r w:rsidRPr="00193822">
        <w:rPr>
          <w:rStyle w:val="lev"/>
          <w:noProof/>
          <w:lang w:val="en-CA" w:eastAsia="en-CA"/>
        </w:rPr>
        <w:drawing>
          <wp:inline distT="0" distB="0" distL="0" distR="0" wp14:anchorId="4633C8A5" wp14:editId="06E17F83">
            <wp:extent cx="5648325" cy="3049200"/>
            <wp:effectExtent l="0" t="0" r="9525" b="18415"/>
            <wp:docPr id="3" name="Chart 3" descr="Dotation selon la durée d'emploi&#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A2E117F" w14:textId="374C5319" w:rsidR="00AB77B1" w:rsidRPr="00193822" w:rsidRDefault="006A2566" w:rsidP="00DB7D7C">
      <w:pPr>
        <w:pStyle w:val="Lgende"/>
        <w:spacing w:after="120"/>
        <w:jc w:val="center"/>
        <w:rPr>
          <w:lang w:val="fr-CA"/>
        </w:rPr>
      </w:pPr>
      <w:r w:rsidRPr="00193822">
        <w:rPr>
          <w:lang w:val="fr-CA"/>
        </w:rPr>
        <w:t xml:space="preserve">Figure </w:t>
      </w:r>
      <w:r w:rsidRPr="00193822">
        <w:rPr>
          <w:lang w:val="fr-CA"/>
        </w:rPr>
        <w:fldChar w:fldCharType="begin"/>
      </w:r>
      <w:r w:rsidRPr="00193822">
        <w:rPr>
          <w:lang w:val="fr-CA"/>
        </w:rPr>
        <w:instrText xml:space="preserve"> SEQ Figure \* ARABIC </w:instrText>
      </w:r>
      <w:r w:rsidRPr="00193822">
        <w:rPr>
          <w:lang w:val="fr-CA"/>
        </w:rPr>
        <w:fldChar w:fldCharType="separate"/>
      </w:r>
      <w:r w:rsidR="002B3DED" w:rsidRPr="00193822">
        <w:rPr>
          <w:noProof/>
          <w:lang w:val="fr-CA"/>
        </w:rPr>
        <w:t>9</w:t>
      </w:r>
      <w:r w:rsidRPr="00193822">
        <w:rPr>
          <w:lang w:val="fr-CA"/>
        </w:rPr>
        <w:fldChar w:fldCharType="end"/>
      </w:r>
      <w:r w:rsidRPr="00193822">
        <w:rPr>
          <w:lang w:val="fr-CA"/>
        </w:rPr>
        <w:t xml:space="preserve"> - Dotation selon la durée d'emploi</w:t>
      </w:r>
    </w:p>
    <w:p w14:paraId="3907B1F1" w14:textId="77777777" w:rsidR="00AB77B1" w:rsidRPr="00193822" w:rsidRDefault="00AB77B1" w:rsidP="00C85704">
      <w:pPr>
        <w:pStyle w:val="Lgende"/>
        <w:keepNext/>
        <w:jc w:val="center"/>
        <w:rPr>
          <w:lang w:val="fr-CA"/>
        </w:rPr>
      </w:pPr>
      <w:r w:rsidRPr="00193822">
        <w:rPr>
          <w:lang w:val="fr-CA"/>
        </w:rPr>
        <w:t xml:space="preserve">Tableau </w:t>
      </w:r>
      <w:r w:rsidRPr="00193822">
        <w:rPr>
          <w:lang w:val="fr-CA"/>
        </w:rPr>
        <w:fldChar w:fldCharType="begin"/>
      </w:r>
      <w:r w:rsidRPr="00193822">
        <w:rPr>
          <w:lang w:val="fr-CA"/>
        </w:rPr>
        <w:instrText xml:space="preserve"> SEQ Tableau \* ARABIC </w:instrText>
      </w:r>
      <w:r w:rsidRPr="00193822">
        <w:rPr>
          <w:lang w:val="fr-CA"/>
        </w:rPr>
        <w:fldChar w:fldCharType="separate"/>
      </w:r>
      <w:r w:rsidR="00211837" w:rsidRPr="00193822">
        <w:rPr>
          <w:noProof/>
          <w:lang w:val="fr-CA"/>
        </w:rPr>
        <w:t>12</w:t>
      </w:r>
      <w:r w:rsidRPr="00193822">
        <w:rPr>
          <w:lang w:val="fr-CA"/>
        </w:rPr>
        <w:fldChar w:fldCharType="end"/>
      </w:r>
      <w:r w:rsidRPr="00193822">
        <w:rPr>
          <w:lang w:val="fr-CA"/>
        </w:rPr>
        <w:t xml:space="preserve"> - Activités de dotation selon la durée d’emploi et l’exercice financier</w:t>
      </w:r>
    </w:p>
    <w:tbl>
      <w:tblPr>
        <w:tblStyle w:val="Grilledutableau"/>
        <w:tblW w:w="0" w:type="auto"/>
        <w:jc w:val="center"/>
        <w:tblLook w:val="0000" w:firstRow="0" w:lastRow="0" w:firstColumn="0" w:lastColumn="0" w:noHBand="0" w:noVBand="0"/>
        <w:tblDescription w:val="Dotation selon la durée d'emploi de 2014 à 2019"/>
      </w:tblPr>
      <w:tblGrid>
        <w:gridCol w:w="1320"/>
        <w:gridCol w:w="3086"/>
        <w:gridCol w:w="2665"/>
        <w:gridCol w:w="2803"/>
        <w:gridCol w:w="2211"/>
        <w:gridCol w:w="1585"/>
      </w:tblGrid>
      <w:tr w:rsidR="00AB77B1" w:rsidRPr="00193822" w14:paraId="3ADA02B9" w14:textId="77777777" w:rsidTr="008C52C5">
        <w:trPr>
          <w:cantSplit/>
          <w:tblHeader/>
          <w:jc w:val="center"/>
        </w:trPr>
        <w:tc>
          <w:tcPr>
            <w:tcW w:w="0" w:type="auto"/>
          </w:tcPr>
          <w:p w14:paraId="77423F37" w14:textId="77777777" w:rsidR="00AB77B1" w:rsidRPr="00193822" w:rsidRDefault="00AB77B1" w:rsidP="008C52C5">
            <w:pPr>
              <w:pStyle w:val="TableTitle"/>
              <w:rPr>
                <w:lang w:val="fr-CA"/>
              </w:rPr>
            </w:pPr>
            <w:r w:rsidRPr="00193822">
              <w:rPr>
                <w:lang w:val="fr-CA"/>
              </w:rPr>
              <w:t>Exercice financier</w:t>
            </w:r>
          </w:p>
        </w:tc>
        <w:tc>
          <w:tcPr>
            <w:tcW w:w="0" w:type="auto"/>
          </w:tcPr>
          <w:p w14:paraId="43802AEC" w14:textId="77777777" w:rsidR="00AB77B1" w:rsidRPr="00193822" w:rsidRDefault="00AB77B1" w:rsidP="008C52C5">
            <w:pPr>
              <w:pStyle w:val="TableTitle"/>
              <w:rPr>
                <w:lang w:val="fr-CA"/>
              </w:rPr>
            </w:pPr>
            <w:r w:rsidRPr="00193822">
              <w:rPr>
                <w:lang w:val="fr-CA"/>
              </w:rPr>
              <w:t>Activités de dotation pour des postes pour une période indéterminée</w:t>
            </w:r>
          </w:p>
        </w:tc>
        <w:tc>
          <w:tcPr>
            <w:tcW w:w="0" w:type="auto"/>
          </w:tcPr>
          <w:p w14:paraId="26FB8903" w14:textId="77777777" w:rsidR="00AB77B1" w:rsidRPr="00193822" w:rsidRDefault="00AB77B1" w:rsidP="008C52C5">
            <w:pPr>
              <w:pStyle w:val="TableTitle"/>
              <w:rPr>
                <w:lang w:val="fr-CA"/>
              </w:rPr>
            </w:pPr>
            <w:r w:rsidRPr="00193822">
              <w:rPr>
                <w:lang w:val="fr-CA"/>
              </w:rPr>
              <w:t>Activités de dotation pour des postes de durée déterminée</w:t>
            </w:r>
          </w:p>
        </w:tc>
        <w:tc>
          <w:tcPr>
            <w:tcW w:w="0" w:type="auto"/>
          </w:tcPr>
          <w:p w14:paraId="1AC3F370" w14:textId="77777777" w:rsidR="00AB77B1" w:rsidRPr="00193822" w:rsidRDefault="00AB77B1" w:rsidP="008C52C5">
            <w:pPr>
              <w:pStyle w:val="TableTitle"/>
              <w:rPr>
                <w:lang w:val="fr-CA"/>
              </w:rPr>
            </w:pPr>
            <w:r w:rsidRPr="00193822">
              <w:rPr>
                <w:lang w:val="fr-CA"/>
              </w:rPr>
              <w:t>Activités de dotation de durée pour les emplois occasionnels</w:t>
            </w:r>
          </w:p>
        </w:tc>
        <w:tc>
          <w:tcPr>
            <w:tcW w:w="0" w:type="auto"/>
          </w:tcPr>
          <w:p w14:paraId="6A5EBDC4" w14:textId="77777777" w:rsidR="00AB77B1" w:rsidRPr="00193822" w:rsidRDefault="00AB77B1" w:rsidP="008C52C5">
            <w:pPr>
              <w:pStyle w:val="TableTitle"/>
              <w:rPr>
                <w:lang w:val="fr-CA"/>
              </w:rPr>
            </w:pPr>
            <w:r w:rsidRPr="00193822">
              <w:rPr>
                <w:lang w:val="fr-CA"/>
              </w:rPr>
              <w:t>Activités de dotation pour les emplois étudiants</w:t>
            </w:r>
          </w:p>
        </w:tc>
        <w:tc>
          <w:tcPr>
            <w:tcW w:w="0" w:type="auto"/>
          </w:tcPr>
          <w:p w14:paraId="4FA2FD3E" w14:textId="77777777" w:rsidR="00AB77B1" w:rsidRPr="00193822" w:rsidRDefault="00AB77B1" w:rsidP="008C52C5">
            <w:pPr>
              <w:pStyle w:val="TableTitle"/>
              <w:rPr>
                <w:lang w:val="fr-CA"/>
              </w:rPr>
            </w:pPr>
            <w:r w:rsidRPr="00193822">
              <w:rPr>
                <w:lang w:val="fr-CA"/>
              </w:rPr>
              <w:t>Activités de dotation totale</w:t>
            </w:r>
          </w:p>
        </w:tc>
      </w:tr>
      <w:tr w:rsidR="00AB77B1" w:rsidRPr="00193822" w14:paraId="68C10DF4" w14:textId="77777777" w:rsidTr="008C52C5">
        <w:trPr>
          <w:cantSplit/>
          <w:tblHeader/>
          <w:jc w:val="center"/>
        </w:trPr>
        <w:tc>
          <w:tcPr>
            <w:tcW w:w="0" w:type="auto"/>
          </w:tcPr>
          <w:p w14:paraId="58A74CD2" w14:textId="77777777" w:rsidR="00AB77B1" w:rsidRPr="00193822" w:rsidRDefault="00AB77B1"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2014 à 2015</w:t>
            </w:r>
          </w:p>
        </w:tc>
        <w:tc>
          <w:tcPr>
            <w:tcW w:w="0" w:type="auto"/>
          </w:tcPr>
          <w:p w14:paraId="253AF76C" w14:textId="77777777" w:rsidR="00AB77B1" w:rsidRPr="00193822" w:rsidRDefault="00AB77B1"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284</w:t>
            </w:r>
          </w:p>
        </w:tc>
        <w:tc>
          <w:tcPr>
            <w:tcW w:w="0" w:type="auto"/>
          </w:tcPr>
          <w:p w14:paraId="6232A99F" w14:textId="77777777" w:rsidR="00AB77B1" w:rsidRPr="00193822" w:rsidRDefault="00AB77B1"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144</w:t>
            </w:r>
          </w:p>
        </w:tc>
        <w:tc>
          <w:tcPr>
            <w:tcW w:w="0" w:type="auto"/>
          </w:tcPr>
          <w:p w14:paraId="4CA22C3A" w14:textId="77777777" w:rsidR="00AB77B1" w:rsidRPr="00193822" w:rsidRDefault="00AB77B1"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221</w:t>
            </w:r>
          </w:p>
        </w:tc>
        <w:tc>
          <w:tcPr>
            <w:tcW w:w="0" w:type="auto"/>
          </w:tcPr>
          <w:p w14:paraId="04878364" w14:textId="77777777" w:rsidR="00AB77B1" w:rsidRPr="00193822" w:rsidRDefault="00AB77B1"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51</w:t>
            </w:r>
          </w:p>
        </w:tc>
        <w:tc>
          <w:tcPr>
            <w:tcW w:w="0" w:type="auto"/>
          </w:tcPr>
          <w:p w14:paraId="5DC85065" w14:textId="77777777" w:rsidR="00AB77B1" w:rsidRPr="00193822" w:rsidRDefault="00AB77B1"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700</w:t>
            </w:r>
          </w:p>
        </w:tc>
      </w:tr>
      <w:tr w:rsidR="00AB77B1" w:rsidRPr="00193822" w14:paraId="22CE021A" w14:textId="77777777" w:rsidTr="008C52C5">
        <w:trPr>
          <w:cantSplit/>
          <w:tblHeader/>
          <w:jc w:val="center"/>
        </w:trPr>
        <w:tc>
          <w:tcPr>
            <w:tcW w:w="0" w:type="auto"/>
          </w:tcPr>
          <w:p w14:paraId="51412C9F" w14:textId="77777777" w:rsidR="00AB77B1" w:rsidRPr="00193822" w:rsidRDefault="00AB77B1"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2015 à 2016</w:t>
            </w:r>
          </w:p>
        </w:tc>
        <w:tc>
          <w:tcPr>
            <w:tcW w:w="0" w:type="auto"/>
          </w:tcPr>
          <w:p w14:paraId="4C59A794" w14:textId="77777777" w:rsidR="00AB77B1" w:rsidRPr="00193822" w:rsidRDefault="00AB77B1"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193</w:t>
            </w:r>
          </w:p>
        </w:tc>
        <w:tc>
          <w:tcPr>
            <w:tcW w:w="0" w:type="auto"/>
          </w:tcPr>
          <w:p w14:paraId="267EAE1C" w14:textId="77777777" w:rsidR="00AB77B1" w:rsidRPr="00193822" w:rsidRDefault="00AB77B1"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105</w:t>
            </w:r>
          </w:p>
        </w:tc>
        <w:tc>
          <w:tcPr>
            <w:tcW w:w="0" w:type="auto"/>
          </w:tcPr>
          <w:p w14:paraId="64EA3DBD" w14:textId="77777777" w:rsidR="00AB77B1" w:rsidRPr="00193822" w:rsidRDefault="00AB77B1"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140</w:t>
            </w:r>
          </w:p>
        </w:tc>
        <w:tc>
          <w:tcPr>
            <w:tcW w:w="0" w:type="auto"/>
          </w:tcPr>
          <w:p w14:paraId="094F6623" w14:textId="77777777" w:rsidR="00AB77B1" w:rsidRPr="00193822" w:rsidRDefault="00AB77B1"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23</w:t>
            </w:r>
          </w:p>
        </w:tc>
        <w:tc>
          <w:tcPr>
            <w:tcW w:w="0" w:type="auto"/>
          </w:tcPr>
          <w:p w14:paraId="460E0476" w14:textId="77777777" w:rsidR="00AB77B1" w:rsidRPr="00193822" w:rsidRDefault="00AB77B1"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461</w:t>
            </w:r>
          </w:p>
        </w:tc>
      </w:tr>
      <w:tr w:rsidR="00AB77B1" w:rsidRPr="00193822" w14:paraId="39BA65CB" w14:textId="77777777" w:rsidTr="008C52C5">
        <w:trPr>
          <w:cantSplit/>
          <w:tblHeader/>
          <w:jc w:val="center"/>
        </w:trPr>
        <w:tc>
          <w:tcPr>
            <w:tcW w:w="0" w:type="auto"/>
          </w:tcPr>
          <w:p w14:paraId="5433741D" w14:textId="77777777" w:rsidR="00AB77B1" w:rsidRPr="00193822" w:rsidRDefault="00AB77B1"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2016 à 2017</w:t>
            </w:r>
          </w:p>
        </w:tc>
        <w:tc>
          <w:tcPr>
            <w:tcW w:w="0" w:type="auto"/>
          </w:tcPr>
          <w:p w14:paraId="54FA601D" w14:textId="77777777" w:rsidR="00AB77B1" w:rsidRPr="00193822" w:rsidRDefault="00AB77B1"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253</w:t>
            </w:r>
          </w:p>
        </w:tc>
        <w:tc>
          <w:tcPr>
            <w:tcW w:w="0" w:type="auto"/>
          </w:tcPr>
          <w:p w14:paraId="244621BD" w14:textId="77777777" w:rsidR="00AB77B1" w:rsidRPr="00193822" w:rsidRDefault="00AB77B1"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78</w:t>
            </w:r>
          </w:p>
        </w:tc>
        <w:tc>
          <w:tcPr>
            <w:tcW w:w="0" w:type="auto"/>
          </w:tcPr>
          <w:p w14:paraId="31890409" w14:textId="77777777" w:rsidR="00AB77B1" w:rsidRPr="00193822" w:rsidRDefault="00AB77B1"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177</w:t>
            </w:r>
          </w:p>
        </w:tc>
        <w:tc>
          <w:tcPr>
            <w:tcW w:w="0" w:type="auto"/>
          </w:tcPr>
          <w:p w14:paraId="706CA5D5" w14:textId="77777777" w:rsidR="00AB77B1" w:rsidRPr="00193822" w:rsidRDefault="00AB77B1"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51</w:t>
            </w:r>
          </w:p>
        </w:tc>
        <w:tc>
          <w:tcPr>
            <w:tcW w:w="0" w:type="auto"/>
          </w:tcPr>
          <w:p w14:paraId="1322D10C" w14:textId="77777777" w:rsidR="00AB77B1" w:rsidRPr="00193822" w:rsidRDefault="00AB77B1"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559</w:t>
            </w:r>
          </w:p>
        </w:tc>
      </w:tr>
      <w:tr w:rsidR="00AB77B1" w:rsidRPr="00193822" w14:paraId="3F0FA644" w14:textId="77777777" w:rsidTr="008C52C5">
        <w:trPr>
          <w:cantSplit/>
          <w:tblHeader/>
          <w:jc w:val="center"/>
        </w:trPr>
        <w:tc>
          <w:tcPr>
            <w:tcW w:w="0" w:type="auto"/>
          </w:tcPr>
          <w:p w14:paraId="3EDFEB92" w14:textId="77777777" w:rsidR="00AB77B1" w:rsidRPr="00193822" w:rsidRDefault="00AB77B1"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2017 à 2018</w:t>
            </w:r>
          </w:p>
        </w:tc>
        <w:tc>
          <w:tcPr>
            <w:tcW w:w="0" w:type="auto"/>
          </w:tcPr>
          <w:p w14:paraId="2F5D1D2D" w14:textId="77777777" w:rsidR="00AB77B1" w:rsidRPr="00193822" w:rsidRDefault="00AB77B1"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178</w:t>
            </w:r>
          </w:p>
        </w:tc>
        <w:tc>
          <w:tcPr>
            <w:tcW w:w="0" w:type="auto"/>
          </w:tcPr>
          <w:p w14:paraId="223518B9" w14:textId="77777777" w:rsidR="00AB77B1" w:rsidRPr="00193822" w:rsidRDefault="00AB77B1"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98</w:t>
            </w:r>
          </w:p>
        </w:tc>
        <w:tc>
          <w:tcPr>
            <w:tcW w:w="0" w:type="auto"/>
          </w:tcPr>
          <w:p w14:paraId="6A022EB9" w14:textId="77777777" w:rsidR="00AB77B1" w:rsidRPr="00193822" w:rsidRDefault="00AB77B1"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122</w:t>
            </w:r>
          </w:p>
        </w:tc>
        <w:tc>
          <w:tcPr>
            <w:tcW w:w="0" w:type="auto"/>
          </w:tcPr>
          <w:p w14:paraId="70C74DEA" w14:textId="77777777" w:rsidR="00AB77B1" w:rsidRPr="00193822" w:rsidRDefault="00AB77B1"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44</w:t>
            </w:r>
          </w:p>
        </w:tc>
        <w:tc>
          <w:tcPr>
            <w:tcW w:w="0" w:type="auto"/>
          </w:tcPr>
          <w:p w14:paraId="2904FAA0" w14:textId="77777777" w:rsidR="00AB77B1" w:rsidRPr="00193822" w:rsidRDefault="00AB77B1"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442</w:t>
            </w:r>
          </w:p>
        </w:tc>
      </w:tr>
      <w:tr w:rsidR="00AB77B1" w:rsidRPr="00193822" w14:paraId="112EB75D" w14:textId="77777777" w:rsidTr="008C52C5">
        <w:trPr>
          <w:cantSplit/>
          <w:tblHeader/>
          <w:jc w:val="center"/>
        </w:trPr>
        <w:tc>
          <w:tcPr>
            <w:tcW w:w="0" w:type="auto"/>
          </w:tcPr>
          <w:p w14:paraId="566A45E2" w14:textId="77777777" w:rsidR="00AB77B1" w:rsidRPr="00193822" w:rsidRDefault="00AB77B1"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2018 à 2019</w:t>
            </w:r>
          </w:p>
        </w:tc>
        <w:tc>
          <w:tcPr>
            <w:tcW w:w="0" w:type="auto"/>
          </w:tcPr>
          <w:p w14:paraId="4607DE5F" w14:textId="77777777" w:rsidR="00AB77B1" w:rsidRPr="00193822" w:rsidRDefault="00AB77B1"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389</w:t>
            </w:r>
          </w:p>
        </w:tc>
        <w:tc>
          <w:tcPr>
            <w:tcW w:w="0" w:type="auto"/>
          </w:tcPr>
          <w:p w14:paraId="36EAB23C" w14:textId="77777777" w:rsidR="00AB77B1" w:rsidRPr="00193822" w:rsidRDefault="00AB77B1"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119</w:t>
            </w:r>
          </w:p>
        </w:tc>
        <w:tc>
          <w:tcPr>
            <w:tcW w:w="0" w:type="auto"/>
          </w:tcPr>
          <w:p w14:paraId="64C48BD3" w14:textId="77777777" w:rsidR="00AB77B1" w:rsidRPr="00193822" w:rsidRDefault="00AB77B1"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146</w:t>
            </w:r>
          </w:p>
        </w:tc>
        <w:tc>
          <w:tcPr>
            <w:tcW w:w="0" w:type="auto"/>
          </w:tcPr>
          <w:p w14:paraId="63350A4C" w14:textId="77777777" w:rsidR="00AB77B1" w:rsidRPr="00193822" w:rsidRDefault="00AB77B1"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40</w:t>
            </w:r>
          </w:p>
        </w:tc>
        <w:tc>
          <w:tcPr>
            <w:tcW w:w="0" w:type="auto"/>
          </w:tcPr>
          <w:p w14:paraId="04D8EDFD" w14:textId="77777777" w:rsidR="00AB77B1" w:rsidRPr="00193822" w:rsidRDefault="00AB77B1"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694</w:t>
            </w:r>
          </w:p>
        </w:tc>
      </w:tr>
    </w:tbl>
    <w:p w14:paraId="39ED1BE1" w14:textId="77777777" w:rsidR="002350B9" w:rsidRPr="00193822" w:rsidRDefault="002350B9" w:rsidP="00AB77B1">
      <w:pPr>
        <w:spacing w:before="120"/>
        <w:rPr>
          <w:rStyle w:val="lev"/>
          <w:lang w:val="fr-CA"/>
        </w:rPr>
        <w:sectPr w:rsidR="002350B9" w:rsidRPr="00193822" w:rsidSect="003F6509">
          <w:pgSz w:w="15840" w:h="12240" w:orient="landscape"/>
          <w:pgMar w:top="1440" w:right="1080" w:bottom="1440" w:left="1080" w:header="708" w:footer="283" w:gutter="0"/>
          <w:cols w:space="708"/>
          <w:titlePg/>
          <w:docGrid w:linePitch="360"/>
        </w:sectPr>
      </w:pPr>
    </w:p>
    <w:p w14:paraId="483D23F5" w14:textId="3775B6A8" w:rsidR="00AB77B1" w:rsidRPr="00193822" w:rsidRDefault="00AB77B1" w:rsidP="00AB77B1">
      <w:pPr>
        <w:spacing w:before="120"/>
        <w:rPr>
          <w:rStyle w:val="lev"/>
          <w:lang w:val="fr-CA"/>
        </w:rPr>
      </w:pPr>
      <w:r w:rsidRPr="00193822">
        <w:rPr>
          <w:rStyle w:val="lev"/>
          <w:lang w:val="fr-CA"/>
        </w:rPr>
        <w:lastRenderedPageBreak/>
        <w:t>Sondage sur la dotation et l’impartialité politique (2018) – Principales constatations</w:t>
      </w:r>
    </w:p>
    <w:p w14:paraId="6C99382E" w14:textId="77777777" w:rsidR="00AB77B1" w:rsidRPr="00193822" w:rsidRDefault="00AB77B1" w:rsidP="002B3DED">
      <w:pPr>
        <w:pStyle w:val="Paragraphedeliste"/>
        <w:numPr>
          <w:ilvl w:val="0"/>
          <w:numId w:val="13"/>
        </w:numPr>
        <w:spacing w:after="0"/>
        <w:contextualSpacing w:val="0"/>
        <w:jc w:val="both"/>
        <w:rPr>
          <w:rFonts w:asciiTheme="minorHAnsi" w:hAnsiTheme="minorHAnsi" w:cstheme="minorHAnsi"/>
          <w:sz w:val="22"/>
          <w:szCs w:val="22"/>
          <w:lang w:val="fr-CA"/>
        </w:rPr>
      </w:pPr>
      <w:r w:rsidRPr="00193822">
        <w:rPr>
          <w:rFonts w:asciiTheme="minorHAnsi" w:hAnsiTheme="minorHAnsi" w:cstheme="minorHAnsi"/>
          <w:sz w:val="22"/>
          <w:szCs w:val="22"/>
          <w:lang w:val="fr-CA"/>
        </w:rPr>
        <w:t xml:space="preserve">66,8% des </w:t>
      </w:r>
      <w:r w:rsidRPr="00193822">
        <w:rPr>
          <w:rStyle w:val="lev"/>
          <w:lang w:val="fr-CA"/>
        </w:rPr>
        <w:t>employés</w:t>
      </w:r>
      <w:r w:rsidRPr="00193822">
        <w:rPr>
          <w:rFonts w:asciiTheme="minorHAnsi" w:hAnsiTheme="minorHAnsi" w:cstheme="minorHAnsi"/>
          <w:sz w:val="22"/>
          <w:szCs w:val="22"/>
          <w:lang w:val="fr-CA"/>
        </w:rPr>
        <w:t xml:space="preserve"> estiment que les personnes embauchées peuvent effectuer le travail, comparativement à 67,6% dans les organisations de même taille et à 53,8% dans la fonction publique fédérale.</w:t>
      </w:r>
    </w:p>
    <w:p w14:paraId="4D0D362B" w14:textId="77777777" w:rsidR="00AB77B1" w:rsidRPr="00193822" w:rsidRDefault="00AB77B1" w:rsidP="002B3DED">
      <w:pPr>
        <w:pStyle w:val="Paragraphedeliste"/>
        <w:numPr>
          <w:ilvl w:val="0"/>
          <w:numId w:val="13"/>
        </w:numPr>
        <w:spacing w:after="0"/>
        <w:contextualSpacing w:val="0"/>
        <w:jc w:val="both"/>
        <w:rPr>
          <w:rFonts w:asciiTheme="minorHAnsi" w:hAnsiTheme="minorHAnsi" w:cstheme="minorHAnsi"/>
          <w:sz w:val="22"/>
          <w:szCs w:val="22"/>
          <w:lang w:val="fr-CA"/>
        </w:rPr>
      </w:pPr>
      <w:r w:rsidRPr="00193822">
        <w:rPr>
          <w:rFonts w:asciiTheme="minorHAnsi" w:hAnsiTheme="minorHAnsi" w:cstheme="minorHAnsi"/>
          <w:sz w:val="22"/>
          <w:szCs w:val="22"/>
          <w:lang w:val="fr-CA"/>
        </w:rPr>
        <w:t xml:space="preserve">65,9% des </w:t>
      </w:r>
      <w:r w:rsidRPr="00193822">
        <w:rPr>
          <w:rStyle w:val="lev"/>
          <w:lang w:val="fr-CA"/>
        </w:rPr>
        <w:t>gestionnaires</w:t>
      </w:r>
      <w:r w:rsidRPr="00193822">
        <w:rPr>
          <w:rFonts w:asciiTheme="minorHAnsi" w:hAnsiTheme="minorHAnsi" w:cstheme="minorHAnsi"/>
          <w:sz w:val="22"/>
          <w:szCs w:val="22"/>
          <w:lang w:val="fr-CA"/>
        </w:rPr>
        <w:t xml:space="preserve"> estiment que la Nouvelle orientation en dotation a amélioré la façon d'embaucher et de nommer les candidats au sein de leur organisation, comparativement à 69,4% dans les organisations de même taille et à 56,1% dans la fonction publique fédérale.</w:t>
      </w:r>
    </w:p>
    <w:p w14:paraId="228AE191" w14:textId="78E28DDB" w:rsidR="00AB77B1" w:rsidRPr="00193822" w:rsidRDefault="00AB77B1" w:rsidP="002B3DED">
      <w:pPr>
        <w:pStyle w:val="Paragraphedeliste"/>
        <w:numPr>
          <w:ilvl w:val="0"/>
          <w:numId w:val="13"/>
        </w:numPr>
        <w:spacing w:after="0"/>
        <w:contextualSpacing w:val="0"/>
        <w:jc w:val="both"/>
        <w:rPr>
          <w:rFonts w:asciiTheme="minorHAnsi" w:hAnsiTheme="minorHAnsi" w:cstheme="minorHAnsi"/>
          <w:sz w:val="22"/>
          <w:szCs w:val="22"/>
          <w:lang w:val="fr-CA"/>
        </w:rPr>
      </w:pPr>
      <w:r w:rsidRPr="00193822">
        <w:rPr>
          <w:rFonts w:asciiTheme="minorHAnsi" w:hAnsiTheme="minorHAnsi" w:cstheme="minorHAnsi"/>
          <w:sz w:val="22"/>
          <w:szCs w:val="22"/>
          <w:lang w:val="fr-CA"/>
        </w:rPr>
        <w:t xml:space="preserve">85,3% des </w:t>
      </w:r>
      <w:r w:rsidRPr="00193822">
        <w:rPr>
          <w:rStyle w:val="lev"/>
          <w:lang w:val="fr-CA"/>
        </w:rPr>
        <w:t>gestionnaires</w:t>
      </w:r>
      <w:r w:rsidRPr="00193822">
        <w:rPr>
          <w:rFonts w:asciiTheme="minorHAnsi" w:hAnsiTheme="minorHAnsi" w:cstheme="minorHAnsi"/>
          <w:sz w:val="22"/>
          <w:szCs w:val="22"/>
          <w:lang w:val="fr-CA"/>
        </w:rPr>
        <w:t xml:space="preserve"> estiment qu'au sein de leur organisation, le processus administratif visant à pourvoir un poste est </w:t>
      </w:r>
      <w:r w:rsidRPr="00193822">
        <w:rPr>
          <w:rStyle w:val="lev"/>
          <w:lang w:val="fr-CA"/>
        </w:rPr>
        <w:t>lourd,</w:t>
      </w:r>
      <w:r w:rsidRPr="00193822">
        <w:rPr>
          <w:rFonts w:asciiTheme="minorHAnsi" w:hAnsiTheme="minorHAnsi" w:cstheme="minorHAnsi"/>
          <w:sz w:val="22"/>
          <w:szCs w:val="22"/>
          <w:lang w:val="fr-CA"/>
        </w:rPr>
        <w:t xml:space="preserve"> comparativement à 84,0% dans les organisations de même taille et à 87,9% dans la fonction publique fédérale.</w:t>
      </w:r>
    </w:p>
    <w:p w14:paraId="47D29ABE" w14:textId="77777777" w:rsidR="00C85704" w:rsidRPr="00193822" w:rsidRDefault="00C85704" w:rsidP="002B3DED">
      <w:pPr>
        <w:jc w:val="center"/>
        <w:rPr>
          <w:lang w:val="fr-CA"/>
        </w:rPr>
        <w:sectPr w:rsidR="00C85704" w:rsidRPr="00193822" w:rsidSect="003F6509">
          <w:pgSz w:w="15840" w:h="12240" w:orient="landscape"/>
          <w:pgMar w:top="1440" w:right="1080" w:bottom="1440" w:left="1080" w:header="708" w:footer="283" w:gutter="0"/>
          <w:cols w:space="708"/>
          <w:titlePg/>
          <w:docGrid w:linePitch="360"/>
        </w:sectPr>
      </w:pPr>
    </w:p>
    <w:p w14:paraId="3FEBF5ED" w14:textId="77777777" w:rsidR="002350B9" w:rsidRPr="00193822" w:rsidRDefault="002350B9" w:rsidP="002350B9">
      <w:pPr>
        <w:pStyle w:val="Titre1"/>
        <w:spacing w:before="120" w:after="120"/>
        <w:rPr>
          <w:sz w:val="40"/>
          <w:lang w:val="fr-CA"/>
        </w:rPr>
      </w:pPr>
      <w:r w:rsidRPr="00193822">
        <w:rPr>
          <w:rFonts w:eastAsia="Times New Roman"/>
          <w:sz w:val="40"/>
          <w:lang w:val="fr-CA"/>
        </w:rPr>
        <w:lastRenderedPageBreak/>
        <w:t>Embauche d'étudiants</w:t>
      </w:r>
    </w:p>
    <w:p w14:paraId="284998DC" w14:textId="77777777" w:rsidR="00210078" w:rsidRPr="00193822" w:rsidRDefault="00C85704" w:rsidP="00210078">
      <w:pPr>
        <w:keepNext/>
        <w:jc w:val="center"/>
        <w:rPr>
          <w:lang w:val="fr-CA"/>
        </w:rPr>
      </w:pPr>
      <w:r w:rsidRPr="00193822">
        <w:rPr>
          <w:rStyle w:val="lev"/>
          <w:noProof/>
          <w:lang w:val="en-CA" w:eastAsia="en-CA"/>
        </w:rPr>
        <w:drawing>
          <wp:inline distT="0" distB="0" distL="0" distR="0" wp14:anchorId="73CB7235" wp14:editId="11305960">
            <wp:extent cx="5648400" cy="3049200"/>
            <wp:effectExtent l="0" t="0" r="9525" b="18415"/>
            <wp:docPr id="17" name="Chart 17" descr="Embauche d'étudiants"/>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F54BE4A" w14:textId="2847CC09" w:rsidR="00210078" w:rsidRPr="00193822" w:rsidRDefault="00210078" w:rsidP="00210078">
      <w:pPr>
        <w:pStyle w:val="Lgende"/>
        <w:spacing w:after="240"/>
        <w:jc w:val="center"/>
        <w:rPr>
          <w:lang w:val="fr-CA"/>
        </w:rPr>
      </w:pPr>
      <w:r w:rsidRPr="00193822">
        <w:rPr>
          <w:lang w:val="fr-CA"/>
        </w:rPr>
        <w:t xml:space="preserve">Figure </w:t>
      </w:r>
      <w:r w:rsidRPr="00193822">
        <w:rPr>
          <w:lang w:val="fr-CA"/>
        </w:rPr>
        <w:fldChar w:fldCharType="begin"/>
      </w:r>
      <w:r w:rsidRPr="00193822">
        <w:rPr>
          <w:lang w:val="fr-CA"/>
        </w:rPr>
        <w:instrText xml:space="preserve"> SEQ Figure \* ARABIC </w:instrText>
      </w:r>
      <w:r w:rsidRPr="00193822">
        <w:rPr>
          <w:lang w:val="fr-CA"/>
        </w:rPr>
        <w:fldChar w:fldCharType="separate"/>
      </w:r>
      <w:r w:rsidR="002B3DED" w:rsidRPr="00193822">
        <w:rPr>
          <w:noProof/>
          <w:lang w:val="fr-CA"/>
        </w:rPr>
        <w:t>10</w:t>
      </w:r>
      <w:r w:rsidRPr="00193822">
        <w:rPr>
          <w:lang w:val="fr-CA"/>
        </w:rPr>
        <w:fldChar w:fldCharType="end"/>
      </w:r>
      <w:r w:rsidRPr="00193822">
        <w:rPr>
          <w:lang w:val="fr-CA"/>
        </w:rPr>
        <w:t xml:space="preserve"> - Embauche d'étudiants</w:t>
      </w:r>
    </w:p>
    <w:p w14:paraId="459382A0" w14:textId="591C4E62" w:rsidR="00210078" w:rsidRPr="00193822" w:rsidRDefault="00210078" w:rsidP="00210078">
      <w:pPr>
        <w:pStyle w:val="Lgende"/>
        <w:keepNext/>
        <w:jc w:val="center"/>
        <w:rPr>
          <w:lang w:val="fr-CA"/>
        </w:rPr>
      </w:pPr>
      <w:r w:rsidRPr="00193822">
        <w:rPr>
          <w:lang w:val="fr-CA"/>
        </w:rPr>
        <w:t xml:space="preserve">Tableau </w:t>
      </w:r>
      <w:r w:rsidRPr="00193822">
        <w:rPr>
          <w:lang w:val="fr-CA"/>
        </w:rPr>
        <w:fldChar w:fldCharType="begin"/>
      </w:r>
      <w:r w:rsidRPr="00193822">
        <w:rPr>
          <w:lang w:val="fr-CA"/>
        </w:rPr>
        <w:instrText xml:space="preserve"> SEQ Tableau \* ARABIC </w:instrText>
      </w:r>
      <w:r w:rsidRPr="00193822">
        <w:rPr>
          <w:lang w:val="fr-CA"/>
        </w:rPr>
        <w:fldChar w:fldCharType="separate"/>
      </w:r>
      <w:r w:rsidR="00211837" w:rsidRPr="00193822">
        <w:rPr>
          <w:noProof/>
          <w:lang w:val="fr-CA"/>
        </w:rPr>
        <w:t>13</w:t>
      </w:r>
      <w:r w:rsidRPr="00193822">
        <w:rPr>
          <w:lang w:val="fr-CA"/>
        </w:rPr>
        <w:fldChar w:fldCharType="end"/>
      </w:r>
      <w:r w:rsidRPr="00193822">
        <w:rPr>
          <w:lang w:val="fr-CA"/>
        </w:rPr>
        <w:t xml:space="preserve"> - Activités d’embauche d’étudiants selon le programme de recrutement et l’exercice financier</w:t>
      </w:r>
    </w:p>
    <w:tbl>
      <w:tblPr>
        <w:tblStyle w:val="Grilledutableau"/>
        <w:tblW w:w="0" w:type="auto"/>
        <w:jc w:val="center"/>
        <w:tblLook w:val="0000" w:firstRow="0" w:lastRow="0" w:firstColumn="0" w:lastColumn="0" w:noHBand="0" w:noVBand="0"/>
        <w:tblDescription w:val="Embauches dans le cadre de programmes d'étudiants - 2014 à 2019"/>
      </w:tblPr>
      <w:tblGrid>
        <w:gridCol w:w="1585"/>
        <w:gridCol w:w="3751"/>
        <w:gridCol w:w="4157"/>
        <w:gridCol w:w="3456"/>
        <w:gridCol w:w="721"/>
      </w:tblGrid>
      <w:tr w:rsidR="00210078" w:rsidRPr="00193822" w14:paraId="5F8CF4BB" w14:textId="77777777" w:rsidTr="008260A4">
        <w:trPr>
          <w:cantSplit/>
          <w:tblHeader/>
          <w:jc w:val="center"/>
        </w:trPr>
        <w:tc>
          <w:tcPr>
            <w:tcW w:w="0" w:type="auto"/>
          </w:tcPr>
          <w:p w14:paraId="01150DBB" w14:textId="77777777" w:rsidR="00210078" w:rsidRPr="00193822" w:rsidRDefault="00210078" w:rsidP="00210078">
            <w:pPr>
              <w:pStyle w:val="TableTitle"/>
              <w:rPr>
                <w:szCs w:val="22"/>
                <w:lang w:val="fr-CA"/>
              </w:rPr>
            </w:pPr>
            <w:r w:rsidRPr="00193822">
              <w:rPr>
                <w:szCs w:val="22"/>
                <w:lang w:val="fr-CA"/>
              </w:rPr>
              <w:t>Exercice financier</w:t>
            </w:r>
          </w:p>
        </w:tc>
        <w:tc>
          <w:tcPr>
            <w:tcW w:w="0" w:type="auto"/>
          </w:tcPr>
          <w:p w14:paraId="1FBC612E" w14:textId="77777777" w:rsidR="00210078" w:rsidRPr="00193822" w:rsidRDefault="00210078" w:rsidP="00210078">
            <w:pPr>
              <w:pStyle w:val="TableTitle"/>
              <w:rPr>
                <w:szCs w:val="22"/>
                <w:lang w:val="fr-CA"/>
              </w:rPr>
            </w:pPr>
            <w:r w:rsidRPr="00193822">
              <w:rPr>
                <w:szCs w:val="22"/>
                <w:lang w:val="fr-CA"/>
              </w:rPr>
              <w:t xml:space="preserve">Programme fédéral d’expérience de travail étudiant </w:t>
            </w:r>
          </w:p>
        </w:tc>
        <w:tc>
          <w:tcPr>
            <w:tcW w:w="4157" w:type="dxa"/>
          </w:tcPr>
          <w:p w14:paraId="18E8D591" w14:textId="77777777" w:rsidR="00210078" w:rsidRPr="00193822" w:rsidRDefault="00210078" w:rsidP="00210078">
            <w:pPr>
              <w:pStyle w:val="TableTitle"/>
              <w:rPr>
                <w:szCs w:val="22"/>
                <w:lang w:val="fr-CA"/>
              </w:rPr>
            </w:pPr>
            <w:r w:rsidRPr="00193822">
              <w:rPr>
                <w:szCs w:val="22"/>
                <w:lang w:val="fr-CA"/>
              </w:rPr>
              <w:t xml:space="preserve">Programme postsecondaire d'enseignement coopératif/de stages </w:t>
            </w:r>
          </w:p>
        </w:tc>
        <w:tc>
          <w:tcPr>
            <w:tcW w:w="3456" w:type="dxa"/>
          </w:tcPr>
          <w:p w14:paraId="3755CEF7" w14:textId="77777777" w:rsidR="00210078" w:rsidRPr="00193822" w:rsidRDefault="00210078" w:rsidP="00210078">
            <w:pPr>
              <w:pStyle w:val="TableTitle"/>
              <w:rPr>
                <w:szCs w:val="22"/>
                <w:lang w:val="fr-CA"/>
              </w:rPr>
            </w:pPr>
            <w:r w:rsidRPr="00193822">
              <w:rPr>
                <w:szCs w:val="22"/>
                <w:lang w:val="fr-CA"/>
              </w:rPr>
              <w:t>Programme des adjoints de recherche</w:t>
            </w:r>
          </w:p>
        </w:tc>
        <w:tc>
          <w:tcPr>
            <w:tcW w:w="0" w:type="auto"/>
          </w:tcPr>
          <w:p w14:paraId="71F1AD29" w14:textId="77777777" w:rsidR="00210078" w:rsidRPr="00193822" w:rsidRDefault="00210078" w:rsidP="00210078">
            <w:pPr>
              <w:pStyle w:val="TableTitle"/>
              <w:rPr>
                <w:szCs w:val="22"/>
                <w:lang w:val="fr-CA"/>
              </w:rPr>
            </w:pPr>
            <w:r w:rsidRPr="00193822">
              <w:rPr>
                <w:szCs w:val="22"/>
                <w:lang w:val="fr-CA"/>
              </w:rPr>
              <w:t>Total</w:t>
            </w:r>
          </w:p>
        </w:tc>
      </w:tr>
      <w:tr w:rsidR="00210078" w:rsidRPr="00193822" w14:paraId="75B3DB31" w14:textId="77777777" w:rsidTr="008260A4">
        <w:trPr>
          <w:cantSplit/>
          <w:tblHeader/>
          <w:jc w:val="center"/>
        </w:trPr>
        <w:tc>
          <w:tcPr>
            <w:tcW w:w="0" w:type="auto"/>
          </w:tcPr>
          <w:p w14:paraId="3D958712" w14:textId="77777777" w:rsidR="00210078" w:rsidRPr="00193822" w:rsidRDefault="00210078"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2014 à 2015</w:t>
            </w:r>
          </w:p>
        </w:tc>
        <w:tc>
          <w:tcPr>
            <w:tcW w:w="0" w:type="auto"/>
          </w:tcPr>
          <w:p w14:paraId="2C6B8EEA" w14:textId="77777777" w:rsidR="00210078" w:rsidRPr="00193822" w:rsidRDefault="00210078"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29</w:t>
            </w:r>
          </w:p>
        </w:tc>
        <w:tc>
          <w:tcPr>
            <w:tcW w:w="4157" w:type="dxa"/>
          </w:tcPr>
          <w:p w14:paraId="35566486" w14:textId="77777777" w:rsidR="00210078" w:rsidRPr="00193822" w:rsidRDefault="00210078"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22</w:t>
            </w:r>
          </w:p>
        </w:tc>
        <w:tc>
          <w:tcPr>
            <w:tcW w:w="3456" w:type="dxa"/>
          </w:tcPr>
          <w:p w14:paraId="4E5B4763" w14:textId="77777777" w:rsidR="00210078" w:rsidRPr="00193822" w:rsidRDefault="00210078"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w:t>
            </w:r>
          </w:p>
        </w:tc>
        <w:tc>
          <w:tcPr>
            <w:tcW w:w="0" w:type="auto"/>
          </w:tcPr>
          <w:p w14:paraId="1ECE9196" w14:textId="77777777" w:rsidR="00210078" w:rsidRPr="00193822" w:rsidRDefault="00210078"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51</w:t>
            </w:r>
          </w:p>
        </w:tc>
      </w:tr>
      <w:tr w:rsidR="00210078" w:rsidRPr="00193822" w14:paraId="2704024C" w14:textId="77777777" w:rsidTr="008260A4">
        <w:trPr>
          <w:cantSplit/>
          <w:tblHeader/>
          <w:jc w:val="center"/>
        </w:trPr>
        <w:tc>
          <w:tcPr>
            <w:tcW w:w="0" w:type="auto"/>
          </w:tcPr>
          <w:p w14:paraId="0FECCD62" w14:textId="77777777" w:rsidR="00210078" w:rsidRPr="00193822" w:rsidRDefault="00210078"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2015 à 2016</w:t>
            </w:r>
          </w:p>
        </w:tc>
        <w:tc>
          <w:tcPr>
            <w:tcW w:w="0" w:type="auto"/>
          </w:tcPr>
          <w:p w14:paraId="0A8FCF58" w14:textId="77777777" w:rsidR="00210078" w:rsidRPr="00193822" w:rsidRDefault="00210078"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19</w:t>
            </w:r>
          </w:p>
        </w:tc>
        <w:tc>
          <w:tcPr>
            <w:tcW w:w="4157" w:type="dxa"/>
          </w:tcPr>
          <w:p w14:paraId="4A1212EC" w14:textId="77777777" w:rsidR="00210078" w:rsidRPr="00193822" w:rsidRDefault="00210078"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4</w:t>
            </w:r>
          </w:p>
        </w:tc>
        <w:tc>
          <w:tcPr>
            <w:tcW w:w="3456" w:type="dxa"/>
          </w:tcPr>
          <w:p w14:paraId="326CCB2A" w14:textId="77777777" w:rsidR="00210078" w:rsidRPr="00193822" w:rsidRDefault="00210078"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w:t>
            </w:r>
          </w:p>
        </w:tc>
        <w:tc>
          <w:tcPr>
            <w:tcW w:w="0" w:type="auto"/>
          </w:tcPr>
          <w:p w14:paraId="12BAE586" w14:textId="77777777" w:rsidR="00210078" w:rsidRPr="00193822" w:rsidRDefault="00210078"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23</w:t>
            </w:r>
          </w:p>
        </w:tc>
      </w:tr>
      <w:tr w:rsidR="00210078" w:rsidRPr="00193822" w14:paraId="2F528700" w14:textId="77777777" w:rsidTr="008260A4">
        <w:trPr>
          <w:cantSplit/>
          <w:tblHeader/>
          <w:jc w:val="center"/>
        </w:trPr>
        <w:tc>
          <w:tcPr>
            <w:tcW w:w="0" w:type="auto"/>
          </w:tcPr>
          <w:p w14:paraId="5FD8F56C" w14:textId="77777777" w:rsidR="00210078" w:rsidRPr="00193822" w:rsidRDefault="00210078"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2016 à 2017</w:t>
            </w:r>
          </w:p>
        </w:tc>
        <w:tc>
          <w:tcPr>
            <w:tcW w:w="0" w:type="auto"/>
          </w:tcPr>
          <w:p w14:paraId="214C2BF1" w14:textId="77777777" w:rsidR="00210078" w:rsidRPr="00193822" w:rsidRDefault="00210078"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30</w:t>
            </w:r>
          </w:p>
        </w:tc>
        <w:tc>
          <w:tcPr>
            <w:tcW w:w="4157" w:type="dxa"/>
          </w:tcPr>
          <w:p w14:paraId="023E921F" w14:textId="77777777" w:rsidR="00210078" w:rsidRPr="00193822" w:rsidRDefault="00210078"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21</w:t>
            </w:r>
          </w:p>
        </w:tc>
        <w:tc>
          <w:tcPr>
            <w:tcW w:w="3456" w:type="dxa"/>
          </w:tcPr>
          <w:p w14:paraId="3578735F" w14:textId="77777777" w:rsidR="00210078" w:rsidRPr="00193822" w:rsidRDefault="00210078"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w:t>
            </w:r>
          </w:p>
        </w:tc>
        <w:tc>
          <w:tcPr>
            <w:tcW w:w="0" w:type="auto"/>
          </w:tcPr>
          <w:p w14:paraId="68EEE19F" w14:textId="77777777" w:rsidR="00210078" w:rsidRPr="00193822" w:rsidRDefault="00210078"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51</w:t>
            </w:r>
          </w:p>
        </w:tc>
      </w:tr>
      <w:tr w:rsidR="00210078" w:rsidRPr="00193822" w14:paraId="13370BD4" w14:textId="77777777" w:rsidTr="008260A4">
        <w:trPr>
          <w:cantSplit/>
          <w:tblHeader/>
          <w:jc w:val="center"/>
        </w:trPr>
        <w:tc>
          <w:tcPr>
            <w:tcW w:w="0" w:type="auto"/>
          </w:tcPr>
          <w:p w14:paraId="0C11D69B" w14:textId="77777777" w:rsidR="00210078" w:rsidRPr="00193822" w:rsidRDefault="00210078"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2017 à 2018</w:t>
            </w:r>
          </w:p>
        </w:tc>
        <w:tc>
          <w:tcPr>
            <w:tcW w:w="0" w:type="auto"/>
          </w:tcPr>
          <w:p w14:paraId="2362B65A" w14:textId="77777777" w:rsidR="00210078" w:rsidRPr="00193822" w:rsidRDefault="00210078"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28</w:t>
            </w:r>
          </w:p>
        </w:tc>
        <w:tc>
          <w:tcPr>
            <w:tcW w:w="4157" w:type="dxa"/>
          </w:tcPr>
          <w:p w14:paraId="1CFA5D75" w14:textId="77777777" w:rsidR="00210078" w:rsidRPr="00193822" w:rsidRDefault="00210078"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16</w:t>
            </w:r>
          </w:p>
        </w:tc>
        <w:tc>
          <w:tcPr>
            <w:tcW w:w="3456" w:type="dxa"/>
          </w:tcPr>
          <w:p w14:paraId="4BE02546" w14:textId="77777777" w:rsidR="00210078" w:rsidRPr="00193822" w:rsidRDefault="00210078"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w:t>
            </w:r>
          </w:p>
        </w:tc>
        <w:tc>
          <w:tcPr>
            <w:tcW w:w="0" w:type="auto"/>
          </w:tcPr>
          <w:p w14:paraId="7102CB1D" w14:textId="77777777" w:rsidR="00210078" w:rsidRPr="00193822" w:rsidRDefault="00210078"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44</w:t>
            </w:r>
          </w:p>
        </w:tc>
      </w:tr>
      <w:tr w:rsidR="00210078" w:rsidRPr="00193822" w14:paraId="523E0997" w14:textId="77777777" w:rsidTr="008260A4">
        <w:trPr>
          <w:cantSplit/>
          <w:tblHeader/>
          <w:jc w:val="center"/>
        </w:trPr>
        <w:tc>
          <w:tcPr>
            <w:tcW w:w="0" w:type="auto"/>
          </w:tcPr>
          <w:p w14:paraId="41CD73E5" w14:textId="77777777" w:rsidR="00210078" w:rsidRPr="00193822" w:rsidRDefault="00210078"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2018 à 2019</w:t>
            </w:r>
          </w:p>
        </w:tc>
        <w:tc>
          <w:tcPr>
            <w:tcW w:w="0" w:type="auto"/>
          </w:tcPr>
          <w:p w14:paraId="01E3F4A8" w14:textId="77777777" w:rsidR="00210078" w:rsidRPr="00193822" w:rsidRDefault="00210078"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29</w:t>
            </w:r>
          </w:p>
        </w:tc>
        <w:tc>
          <w:tcPr>
            <w:tcW w:w="4157" w:type="dxa"/>
          </w:tcPr>
          <w:p w14:paraId="212D8A0E" w14:textId="77777777" w:rsidR="00210078" w:rsidRPr="00193822" w:rsidRDefault="00210078"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11</w:t>
            </w:r>
          </w:p>
        </w:tc>
        <w:tc>
          <w:tcPr>
            <w:tcW w:w="3456" w:type="dxa"/>
          </w:tcPr>
          <w:p w14:paraId="6B15F754" w14:textId="77777777" w:rsidR="00210078" w:rsidRPr="00193822" w:rsidRDefault="00210078"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w:t>
            </w:r>
          </w:p>
        </w:tc>
        <w:tc>
          <w:tcPr>
            <w:tcW w:w="0" w:type="auto"/>
          </w:tcPr>
          <w:p w14:paraId="44BE43DB" w14:textId="77777777" w:rsidR="00210078" w:rsidRPr="00193822" w:rsidRDefault="00210078"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40</w:t>
            </w:r>
          </w:p>
        </w:tc>
      </w:tr>
    </w:tbl>
    <w:p w14:paraId="55E810F1" w14:textId="77777777" w:rsidR="002350B9" w:rsidRPr="00193822" w:rsidRDefault="002350B9" w:rsidP="002350B9">
      <w:pPr>
        <w:pStyle w:val="Titre1"/>
        <w:spacing w:before="120" w:after="120"/>
        <w:rPr>
          <w:sz w:val="40"/>
          <w:lang w:val="fr-CA"/>
        </w:rPr>
      </w:pPr>
      <w:r w:rsidRPr="00193822">
        <w:rPr>
          <w:rFonts w:eastAsia="Times New Roman"/>
          <w:sz w:val="40"/>
          <w:lang w:val="fr-CA"/>
        </w:rPr>
        <w:lastRenderedPageBreak/>
        <w:t>Programme de recrutement postsecondaire et embauche d'anciens étudiants</w:t>
      </w:r>
    </w:p>
    <w:p w14:paraId="2E7E8BBB" w14:textId="77777777" w:rsidR="00210078" w:rsidRPr="00193822" w:rsidRDefault="00C85704" w:rsidP="00210078">
      <w:pPr>
        <w:keepNext/>
        <w:jc w:val="center"/>
        <w:rPr>
          <w:lang w:val="fr-CA"/>
        </w:rPr>
      </w:pPr>
      <w:r w:rsidRPr="00193822">
        <w:rPr>
          <w:rStyle w:val="lev"/>
          <w:noProof/>
          <w:lang w:val="en-CA" w:eastAsia="en-CA"/>
        </w:rPr>
        <w:drawing>
          <wp:inline distT="0" distB="0" distL="0" distR="0" wp14:anchorId="7BE170F2" wp14:editId="3ED0EAE7">
            <wp:extent cx="5648400" cy="3049200"/>
            <wp:effectExtent l="0" t="0" r="9525" b="18415"/>
            <wp:docPr id="2" name="Chart 2" descr="Programme de recrutement postsecondaire et embauche d'anciens étudiant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034D136" w14:textId="5B4930D9" w:rsidR="00210078" w:rsidRPr="00193822" w:rsidRDefault="00210078" w:rsidP="00210078">
      <w:pPr>
        <w:pStyle w:val="Lgende"/>
        <w:spacing w:after="240"/>
        <w:jc w:val="center"/>
        <w:rPr>
          <w:lang w:val="fr-CA"/>
        </w:rPr>
      </w:pPr>
      <w:r w:rsidRPr="00193822">
        <w:rPr>
          <w:lang w:val="fr-CA"/>
        </w:rPr>
        <w:t xml:space="preserve">Figure </w:t>
      </w:r>
      <w:r w:rsidRPr="00193822">
        <w:rPr>
          <w:lang w:val="fr-CA"/>
        </w:rPr>
        <w:fldChar w:fldCharType="begin"/>
      </w:r>
      <w:r w:rsidRPr="00193822">
        <w:rPr>
          <w:lang w:val="fr-CA"/>
        </w:rPr>
        <w:instrText xml:space="preserve"> SEQ Figure \* ARABIC </w:instrText>
      </w:r>
      <w:r w:rsidRPr="00193822">
        <w:rPr>
          <w:lang w:val="fr-CA"/>
        </w:rPr>
        <w:fldChar w:fldCharType="separate"/>
      </w:r>
      <w:r w:rsidR="002B3DED" w:rsidRPr="00193822">
        <w:rPr>
          <w:noProof/>
          <w:lang w:val="fr-CA"/>
        </w:rPr>
        <w:t>11</w:t>
      </w:r>
      <w:r w:rsidRPr="00193822">
        <w:rPr>
          <w:lang w:val="fr-CA"/>
        </w:rPr>
        <w:fldChar w:fldCharType="end"/>
      </w:r>
      <w:r w:rsidRPr="00193822">
        <w:rPr>
          <w:lang w:val="fr-CA"/>
        </w:rPr>
        <w:t xml:space="preserve"> - Activités d'embauche externe pour une période indéterminée et d'une durée déterminée : Programme de recrutement postsecondaire et embauche d'anciens étudiants</w:t>
      </w:r>
    </w:p>
    <w:p w14:paraId="2F6A8EDE" w14:textId="11F643DC" w:rsidR="00210078" w:rsidRPr="00193822" w:rsidRDefault="00210078" w:rsidP="00210078">
      <w:pPr>
        <w:pStyle w:val="Lgende"/>
        <w:keepNext/>
        <w:jc w:val="center"/>
        <w:rPr>
          <w:lang w:val="fr-CA"/>
        </w:rPr>
      </w:pPr>
      <w:r w:rsidRPr="00193822">
        <w:rPr>
          <w:lang w:val="fr-CA"/>
        </w:rPr>
        <w:t xml:space="preserve">Tableau </w:t>
      </w:r>
      <w:r w:rsidRPr="00193822">
        <w:rPr>
          <w:lang w:val="fr-CA"/>
        </w:rPr>
        <w:fldChar w:fldCharType="begin"/>
      </w:r>
      <w:r w:rsidRPr="00193822">
        <w:rPr>
          <w:lang w:val="fr-CA"/>
        </w:rPr>
        <w:instrText xml:space="preserve"> SEQ Tableau \* ARABIC </w:instrText>
      </w:r>
      <w:r w:rsidRPr="00193822">
        <w:rPr>
          <w:lang w:val="fr-CA"/>
        </w:rPr>
        <w:fldChar w:fldCharType="separate"/>
      </w:r>
      <w:r w:rsidR="00211837" w:rsidRPr="00193822">
        <w:rPr>
          <w:noProof/>
          <w:lang w:val="fr-CA"/>
        </w:rPr>
        <w:t>14</w:t>
      </w:r>
      <w:r w:rsidRPr="00193822">
        <w:rPr>
          <w:lang w:val="fr-CA"/>
        </w:rPr>
        <w:fldChar w:fldCharType="end"/>
      </w:r>
      <w:r w:rsidRPr="00193822">
        <w:rPr>
          <w:lang w:val="fr-CA"/>
        </w:rPr>
        <w:t xml:space="preserve"> - Activités d'embauche externe pour une période indéterminée et d'une durée déterminée : Programme de recrutement postsecondaire et embauche d'anciens étudiants selon l’exercice financier</w:t>
      </w:r>
    </w:p>
    <w:tbl>
      <w:tblPr>
        <w:tblStyle w:val="Grilledutableau"/>
        <w:tblW w:w="5000" w:type="pct"/>
        <w:jc w:val="center"/>
        <w:tblLook w:val="0000" w:firstRow="0" w:lastRow="0" w:firstColumn="0" w:lastColumn="0" w:noHBand="0" w:noVBand="0"/>
        <w:tblDescription w:val="Activités d'embauche externe - durée déterminée et indéterminée&#10;"/>
      </w:tblPr>
      <w:tblGrid>
        <w:gridCol w:w="2340"/>
        <w:gridCol w:w="7322"/>
        <w:gridCol w:w="4008"/>
      </w:tblGrid>
      <w:tr w:rsidR="00210078" w:rsidRPr="00193822" w14:paraId="5E2FBF26" w14:textId="77777777" w:rsidTr="00627ED6">
        <w:trPr>
          <w:cantSplit/>
          <w:tblHeader/>
          <w:jc w:val="center"/>
        </w:trPr>
        <w:tc>
          <w:tcPr>
            <w:tcW w:w="856" w:type="pct"/>
          </w:tcPr>
          <w:p w14:paraId="654AE593" w14:textId="77777777" w:rsidR="00210078" w:rsidRPr="00193822" w:rsidRDefault="00210078" w:rsidP="00210078">
            <w:pPr>
              <w:pStyle w:val="TableTitle"/>
              <w:rPr>
                <w:lang w:val="fr-CA"/>
              </w:rPr>
            </w:pPr>
            <w:r w:rsidRPr="00193822">
              <w:rPr>
                <w:lang w:val="fr-CA"/>
              </w:rPr>
              <w:t>Exercice financier</w:t>
            </w:r>
          </w:p>
        </w:tc>
        <w:tc>
          <w:tcPr>
            <w:tcW w:w="2677" w:type="pct"/>
          </w:tcPr>
          <w:p w14:paraId="055613E5" w14:textId="77777777" w:rsidR="00210078" w:rsidRPr="00193822" w:rsidRDefault="00210078" w:rsidP="00210078">
            <w:pPr>
              <w:pStyle w:val="TableTitle"/>
              <w:rPr>
                <w:lang w:val="fr-CA"/>
              </w:rPr>
            </w:pPr>
            <w:r w:rsidRPr="00193822">
              <w:rPr>
                <w:lang w:val="fr-CA"/>
              </w:rPr>
              <w:t>Embauches du programme de recrutement postsecondaire</w:t>
            </w:r>
          </w:p>
        </w:tc>
        <w:tc>
          <w:tcPr>
            <w:tcW w:w="1466" w:type="pct"/>
          </w:tcPr>
          <w:p w14:paraId="5245E359" w14:textId="77777777" w:rsidR="00210078" w:rsidRPr="00193822" w:rsidRDefault="00210078" w:rsidP="00210078">
            <w:pPr>
              <w:pStyle w:val="TableTitle"/>
              <w:rPr>
                <w:lang w:val="fr-CA"/>
              </w:rPr>
            </w:pPr>
            <w:r w:rsidRPr="00193822">
              <w:rPr>
                <w:lang w:val="fr-CA"/>
              </w:rPr>
              <w:t>Embauches d’anciens étudiants</w:t>
            </w:r>
          </w:p>
        </w:tc>
      </w:tr>
      <w:tr w:rsidR="00210078" w:rsidRPr="00193822" w14:paraId="160BB3B4" w14:textId="77777777" w:rsidTr="00627ED6">
        <w:trPr>
          <w:cantSplit/>
          <w:tblHeader/>
          <w:jc w:val="center"/>
        </w:trPr>
        <w:tc>
          <w:tcPr>
            <w:tcW w:w="856" w:type="pct"/>
          </w:tcPr>
          <w:p w14:paraId="68C4EB45" w14:textId="77777777" w:rsidR="00210078" w:rsidRPr="00193822" w:rsidRDefault="00210078"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2014 à 2015</w:t>
            </w:r>
          </w:p>
        </w:tc>
        <w:tc>
          <w:tcPr>
            <w:tcW w:w="2677" w:type="pct"/>
          </w:tcPr>
          <w:p w14:paraId="6582A76E" w14:textId="77777777" w:rsidR="00210078" w:rsidRPr="00193822" w:rsidRDefault="00210078"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3</w:t>
            </w:r>
          </w:p>
        </w:tc>
        <w:tc>
          <w:tcPr>
            <w:tcW w:w="1466" w:type="pct"/>
          </w:tcPr>
          <w:p w14:paraId="605E2058" w14:textId="77777777" w:rsidR="00210078" w:rsidRPr="00193822" w:rsidRDefault="00210078"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28</w:t>
            </w:r>
          </w:p>
        </w:tc>
      </w:tr>
      <w:tr w:rsidR="00210078" w:rsidRPr="00193822" w14:paraId="457B4667" w14:textId="77777777" w:rsidTr="00627ED6">
        <w:trPr>
          <w:cantSplit/>
          <w:tblHeader/>
          <w:jc w:val="center"/>
        </w:trPr>
        <w:tc>
          <w:tcPr>
            <w:tcW w:w="856" w:type="pct"/>
          </w:tcPr>
          <w:p w14:paraId="59F9AACC" w14:textId="77777777" w:rsidR="00210078" w:rsidRPr="00193822" w:rsidRDefault="00210078"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2015 à 2016</w:t>
            </w:r>
          </w:p>
        </w:tc>
        <w:tc>
          <w:tcPr>
            <w:tcW w:w="2677" w:type="pct"/>
          </w:tcPr>
          <w:p w14:paraId="5A1A4CF8" w14:textId="77777777" w:rsidR="00210078" w:rsidRPr="00193822" w:rsidRDefault="00210078"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w:t>
            </w:r>
          </w:p>
        </w:tc>
        <w:tc>
          <w:tcPr>
            <w:tcW w:w="1466" w:type="pct"/>
          </w:tcPr>
          <w:p w14:paraId="3E079F69" w14:textId="77777777" w:rsidR="00210078" w:rsidRPr="00193822" w:rsidRDefault="00210078"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9</w:t>
            </w:r>
          </w:p>
        </w:tc>
      </w:tr>
      <w:tr w:rsidR="00210078" w:rsidRPr="00193822" w14:paraId="4C84B4EC" w14:textId="77777777" w:rsidTr="00627ED6">
        <w:trPr>
          <w:cantSplit/>
          <w:tblHeader/>
          <w:jc w:val="center"/>
        </w:trPr>
        <w:tc>
          <w:tcPr>
            <w:tcW w:w="856" w:type="pct"/>
          </w:tcPr>
          <w:p w14:paraId="2548AD4B" w14:textId="77777777" w:rsidR="00210078" w:rsidRPr="00193822" w:rsidRDefault="00210078"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2016 à 2017</w:t>
            </w:r>
          </w:p>
        </w:tc>
        <w:tc>
          <w:tcPr>
            <w:tcW w:w="2677" w:type="pct"/>
          </w:tcPr>
          <w:p w14:paraId="702CE1D9" w14:textId="77777777" w:rsidR="00210078" w:rsidRPr="00193822" w:rsidRDefault="00210078"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4</w:t>
            </w:r>
          </w:p>
        </w:tc>
        <w:tc>
          <w:tcPr>
            <w:tcW w:w="1466" w:type="pct"/>
          </w:tcPr>
          <w:p w14:paraId="04E1263D" w14:textId="77777777" w:rsidR="00210078" w:rsidRPr="00193822" w:rsidRDefault="00210078"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15</w:t>
            </w:r>
          </w:p>
        </w:tc>
      </w:tr>
      <w:tr w:rsidR="00210078" w:rsidRPr="00193822" w14:paraId="0D4FBD0D" w14:textId="77777777" w:rsidTr="00627ED6">
        <w:trPr>
          <w:cantSplit/>
          <w:tblHeader/>
          <w:jc w:val="center"/>
        </w:trPr>
        <w:tc>
          <w:tcPr>
            <w:tcW w:w="856" w:type="pct"/>
          </w:tcPr>
          <w:p w14:paraId="1A1D9582" w14:textId="77777777" w:rsidR="00210078" w:rsidRPr="00193822" w:rsidRDefault="00210078"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2017 à 2018</w:t>
            </w:r>
          </w:p>
        </w:tc>
        <w:tc>
          <w:tcPr>
            <w:tcW w:w="2677" w:type="pct"/>
          </w:tcPr>
          <w:p w14:paraId="7BFD528C" w14:textId="77777777" w:rsidR="00210078" w:rsidRPr="00193822" w:rsidRDefault="00210078"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5</w:t>
            </w:r>
          </w:p>
        </w:tc>
        <w:tc>
          <w:tcPr>
            <w:tcW w:w="1466" w:type="pct"/>
          </w:tcPr>
          <w:p w14:paraId="4054B926" w14:textId="77777777" w:rsidR="00210078" w:rsidRPr="00193822" w:rsidRDefault="00210078"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9</w:t>
            </w:r>
          </w:p>
        </w:tc>
      </w:tr>
      <w:tr w:rsidR="00210078" w:rsidRPr="00193822" w14:paraId="35EA96B2" w14:textId="77777777" w:rsidTr="00627ED6">
        <w:trPr>
          <w:cantSplit/>
          <w:tblHeader/>
          <w:jc w:val="center"/>
        </w:trPr>
        <w:tc>
          <w:tcPr>
            <w:tcW w:w="856" w:type="pct"/>
          </w:tcPr>
          <w:p w14:paraId="471451D2" w14:textId="77777777" w:rsidR="00210078" w:rsidRPr="00193822" w:rsidRDefault="00210078"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2018 à 2019</w:t>
            </w:r>
          </w:p>
        </w:tc>
        <w:tc>
          <w:tcPr>
            <w:tcW w:w="2677" w:type="pct"/>
          </w:tcPr>
          <w:p w14:paraId="7193C4AC" w14:textId="77777777" w:rsidR="00210078" w:rsidRPr="00193822" w:rsidRDefault="00210078"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12</w:t>
            </w:r>
          </w:p>
        </w:tc>
        <w:tc>
          <w:tcPr>
            <w:tcW w:w="1466" w:type="pct"/>
          </w:tcPr>
          <w:p w14:paraId="4CECDD17" w14:textId="77777777" w:rsidR="00210078" w:rsidRPr="00193822" w:rsidRDefault="00210078"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22</w:t>
            </w:r>
          </w:p>
        </w:tc>
      </w:tr>
    </w:tbl>
    <w:p w14:paraId="0CC0A489" w14:textId="77777777" w:rsidR="002B3DED" w:rsidRPr="00193822" w:rsidRDefault="002B3DED" w:rsidP="00D60C4D">
      <w:pPr>
        <w:pStyle w:val="Titre3"/>
        <w:rPr>
          <w:rFonts w:cs="Arial"/>
          <w:lang w:val="fr-CA" w:eastAsia="en-CA"/>
        </w:rPr>
        <w:sectPr w:rsidR="002B3DED" w:rsidRPr="00193822" w:rsidSect="003F6509">
          <w:pgSz w:w="15840" w:h="12240" w:orient="landscape"/>
          <w:pgMar w:top="1440" w:right="1080" w:bottom="1440" w:left="1080" w:header="708" w:footer="708" w:gutter="0"/>
          <w:cols w:space="708"/>
          <w:titlePg/>
          <w:docGrid w:linePitch="360"/>
        </w:sectPr>
      </w:pPr>
    </w:p>
    <w:p w14:paraId="77D915E5" w14:textId="06E0C580" w:rsidR="002350B9" w:rsidRPr="00193822" w:rsidRDefault="002350B9" w:rsidP="002350B9">
      <w:pPr>
        <w:pStyle w:val="Titre1"/>
        <w:spacing w:before="120" w:after="120"/>
        <w:rPr>
          <w:sz w:val="40"/>
          <w:lang w:val="fr-CA"/>
        </w:rPr>
      </w:pPr>
      <w:r w:rsidRPr="00193822">
        <w:rPr>
          <w:sz w:val="40"/>
          <w:lang w:val="fr-CA"/>
        </w:rPr>
        <w:lastRenderedPageBreak/>
        <w:t>Durée de dotation interne</w:t>
      </w:r>
    </w:p>
    <w:p w14:paraId="40229990" w14:textId="3C17CAA5" w:rsidR="002B3DED" w:rsidRPr="00193822" w:rsidRDefault="00862C57" w:rsidP="002B3DED">
      <w:pPr>
        <w:pStyle w:val="Titre3"/>
        <w:rPr>
          <w:lang w:val="fr-CA"/>
        </w:rPr>
      </w:pPr>
      <w:r w:rsidRPr="00193822">
        <w:rPr>
          <w:rStyle w:val="lev"/>
          <w:noProof/>
          <w:lang w:val="en-CA" w:eastAsia="en-CA"/>
        </w:rPr>
        <w:drawing>
          <wp:inline distT="0" distB="0" distL="0" distR="0" wp14:anchorId="62CA7027" wp14:editId="17A5F139">
            <wp:extent cx="5648400" cy="3049200"/>
            <wp:effectExtent l="0" t="0" r="9525" b="18415"/>
            <wp:docPr id="22" name="Chart 22" descr="Durée de dotation interne,Médiane pour la FP =176 jours, 2018-19&#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2B3DED" w:rsidRPr="00193822">
        <w:rPr>
          <w:rStyle w:val="lev"/>
          <w:noProof/>
          <w:lang w:val="en-CA" w:eastAsia="en-CA"/>
        </w:rPr>
        <w:drawing>
          <wp:inline distT="0" distB="0" distL="0" distR="0" wp14:anchorId="77C60271" wp14:editId="76DC62F8">
            <wp:extent cx="5648400" cy="3049200"/>
            <wp:effectExtent l="0" t="0" r="9525" b="18415"/>
            <wp:docPr id="23" name="Chart 23" descr="Durée de dotation interne,Médiane pour BAC = 145 jours, 2018-19&#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38A203E" w14:textId="4ECE6402" w:rsidR="00B5229C" w:rsidRPr="00193822" w:rsidRDefault="002B3DED" w:rsidP="00B5229C">
      <w:pPr>
        <w:pStyle w:val="Lgende"/>
        <w:tabs>
          <w:tab w:val="left" w:pos="8931"/>
        </w:tabs>
        <w:rPr>
          <w:lang w:val="fr-CA"/>
        </w:rPr>
      </w:pPr>
      <w:r w:rsidRPr="00193822">
        <w:rPr>
          <w:lang w:val="fr-CA"/>
        </w:rPr>
        <w:t xml:space="preserve">Figure </w:t>
      </w:r>
      <w:r w:rsidR="00572094" w:rsidRPr="00193822">
        <w:rPr>
          <w:lang w:val="fr-CA"/>
        </w:rPr>
        <w:t>12</w:t>
      </w:r>
      <w:r w:rsidRPr="00193822">
        <w:rPr>
          <w:lang w:val="fr-CA"/>
        </w:rPr>
        <w:t xml:space="preserve"> - Durée de dotation interne médiane pour la fonction publique = 176 jours 2018-2019</w:t>
      </w:r>
      <w:r w:rsidRPr="00193822">
        <w:rPr>
          <w:lang w:val="fr-CA"/>
        </w:rPr>
        <w:tab/>
      </w:r>
      <w:r w:rsidR="00B5229C" w:rsidRPr="00193822">
        <w:rPr>
          <w:lang w:val="fr-CA"/>
        </w:rPr>
        <w:t xml:space="preserve">Figure </w:t>
      </w:r>
      <w:r w:rsidR="00B5229C" w:rsidRPr="00193822">
        <w:rPr>
          <w:lang w:val="fr-CA"/>
        </w:rPr>
        <w:fldChar w:fldCharType="begin"/>
      </w:r>
      <w:r w:rsidR="00B5229C" w:rsidRPr="00193822">
        <w:rPr>
          <w:lang w:val="fr-CA"/>
        </w:rPr>
        <w:instrText xml:space="preserve"> SEQ Figure \* ARABIC </w:instrText>
      </w:r>
      <w:r w:rsidR="00B5229C" w:rsidRPr="00193822">
        <w:rPr>
          <w:lang w:val="fr-CA"/>
        </w:rPr>
        <w:fldChar w:fldCharType="separate"/>
      </w:r>
      <w:r w:rsidR="00B5229C" w:rsidRPr="00193822">
        <w:rPr>
          <w:noProof/>
          <w:lang w:val="fr-CA"/>
        </w:rPr>
        <w:t>1</w:t>
      </w:r>
      <w:r w:rsidR="00572094" w:rsidRPr="00193822">
        <w:rPr>
          <w:noProof/>
          <w:lang w:val="fr-CA"/>
        </w:rPr>
        <w:t>3</w:t>
      </w:r>
      <w:r w:rsidR="00B5229C" w:rsidRPr="00193822">
        <w:rPr>
          <w:lang w:val="fr-CA"/>
        </w:rPr>
        <w:fldChar w:fldCharType="end"/>
      </w:r>
      <w:r w:rsidR="00B5229C" w:rsidRPr="00193822">
        <w:rPr>
          <w:lang w:val="fr-CA"/>
        </w:rPr>
        <w:t xml:space="preserve"> - Durée de dotation interne médiane pour la fonction publique = 176 jours 2018-2019</w:t>
      </w:r>
    </w:p>
    <w:p w14:paraId="35CC7056" w14:textId="20D1A83E" w:rsidR="002B3DED" w:rsidRPr="00193822" w:rsidRDefault="00A336D2" w:rsidP="002475AF">
      <w:pPr>
        <w:pStyle w:val="Lgende"/>
        <w:tabs>
          <w:tab w:val="left" w:pos="8931"/>
        </w:tabs>
        <w:spacing w:before="120"/>
        <w:rPr>
          <w:rFonts w:cstheme="minorHAnsi"/>
          <w:sz w:val="22"/>
          <w:szCs w:val="22"/>
          <w:lang w:val="fr-CA"/>
        </w:rPr>
      </w:pPr>
      <w:hyperlink w:anchor="Dotation_interne_externe" w:history="1">
        <w:r w:rsidR="00627ED6" w:rsidRPr="00193822">
          <w:rPr>
            <w:rStyle w:val="Lienhypertexte"/>
            <w:rFonts w:cstheme="minorHAnsi"/>
            <w:sz w:val="22"/>
            <w:szCs w:val="22"/>
            <w:lang w:val="fr-CA"/>
          </w:rPr>
          <w:t>Tableau des données sur la durée de dotation interne disponible ici</w:t>
        </w:r>
      </w:hyperlink>
      <w:r w:rsidR="002B3DED" w:rsidRPr="00193822">
        <w:rPr>
          <w:rFonts w:cstheme="minorHAnsi"/>
          <w:sz w:val="22"/>
          <w:szCs w:val="22"/>
          <w:lang w:val="fr-CA"/>
        </w:rPr>
        <w:t>.</w:t>
      </w:r>
    </w:p>
    <w:p w14:paraId="347A6264" w14:textId="77777777" w:rsidR="00627ED6" w:rsidRPr="00193822" w:rsidRDefault="00627ED6" w:rsidP="00A945F3">
      <w:pPr>
        <w:spacing w:before="120"/>
        <w:rPr>
          <w:rFonts w:asciiTheme="minorHAnsi" w:hAnsiTheme="minorHAnsi" w:cstheme="minorHAnsi"/>
          <w:sz w:val="22"/>
          <w:szCs w:val="22"/>
          <w:lang w:val="fr-CA"/>
        </w:rPr>
        <w:sectPr w:rsidR="00627ED6" w:rsidRPr="00193822" w:rsidSect="003F6509">
          <w:pgSz w:w="20160" w:h="12240" w:orient="landscape" w:code="5"/>
          <w:pgMar w:top="1440" w:right="1080" w:bottom="1440" w:left="1080" w:header="708" w:footer="708" w:gutter="0"/>
          <w:cols w:space="708"/>
          <w:titlePg/>
          <w:docGrid w:linePitch="360"/>
        </w:sectPr>
      </w:pPr>
    </w:p>
    <w:p w14:paraId="629F24B4" w14:textId="770C7892" w:rsidR="00862C57" w:rsidRPr="00193822" w:rsidRDefault="00862C57" w:rsidP="00627ED6">
      <w:pPr>
        <w:spacing w:before="120" w:after="120"/>
        <w:rPr>
          <w:rFonts w:asciiTheme="minorHAnsi" w:hAnsiTheme="minorHAnsi" w:cstheme="minorHAnsi"/>
          <w:sz w:val="22"/>
          <w:szCs w:val="22"/>
          <w:lang w:val="fr-CA"/>
        </w:rPr>
      </w:pPr>
      <w:r w:rsidRPr="00193822">
        <w:rPr>
          <w:rFonts w:asciiTheme="minorHAnsi" w:hAnsiTheme="minorHAnsi" w:cstheme="minorHAnsi"/>
          <w:sz w:val="22"/>
          <w:szCs w:val="22"/>
          <w:lang w:val="fr-CA"/>
        </w:rPr>
        <w:t>La durée de dotation interne correspond au nombre de jours civils entre la date d'ouverture de l'annonce et la date de la première notification.</w:t>
      </w:r>
    </w:p>
    <w:p w14:paraId="05BC3D1E" w14:textId="77777777" w:rsidR="00627ED6" w:rsidRPr="00193822" w:rsidRDefault="00627ED6" w:rsidP="00627ED6">
      <w:pPr>
        <w:spacing w:after="120"/>
        <w:rPr>
          <w:rFonts w:asciiTheme="minorHAnsi" w:hAnsiTheme="minorHAnsi" w:cstheme="minorHAnsi"/>
          <w:sz w:val="22"/>
          <w:szCs w:val="22"/>
          <w:lang w:val="fr-CA"/>
        </w:rPr>
      </w:pPr>
      <w:r w:rsidRPr="00193822">
        <w:rPr>
          <w:rFonts w:asciiTheme="minorHAnsi" w:hAnsiTheme="minorHAnsi" w:cstheme="minorHAnsi"/>
          <w:sz w:val="22"/>
          <w:szCs w:val="22"/>
          <w:lang w:val="fr-CA"/>
        </w:rPr>
        <w:t xml:space="preserve">La durée médiane de dotation interne pour la fonction publique (organisations assujetties à la </w:t>
      </w:r>
      <w:r w:rsidRPr="001A6E33">
        <w:rPr>
          <w:rStyle w:val="Accentuation"/>
          <w:lang w:val="fr-CA"/>
        </w:rPr>
        <w:t>Loi sur l’emploi dans la fonction publique</w:t>
      </w:r>
      <w:r w:rsidRPr="00193822">
        <w:rPr>
          <w:rFonts w:asciiTheme="minorHAnsi" w:hAnsiTheme="minorHAnsi" w:cstheme="minorHAnsi"/>
          <w:sz w:val="22"/>
          <w:szCs w:val="22"/>
          <w:lang w:val="fr-CA"/>
        </w:rPr>
        <w:t>) pour l’exercice financier 2018 à 2019 est 176 jours</w:t>
      </w:r>
    </w:p>
    <w:p w14:paraId="714BD510" w14:textId="77777777" w:rsidR="002B3DED" w:rsidRPr="00193822" w:rsidRDefault="002B3DED" w:rsidP="002B3DED">
      <w:pPr>
        <w:spacing w:before="120" w:after="120"/>
        <w:rPr>
          <w:rStyle w:val="lev"/>
          <w:lang w:val="fr-CA"/>
        </w:rPr>
      </w:pPr>
      <w:r w:rsidRPr="00193822">
        <w:rPr>
          <w:rStyle w:val="lev"/>
          <w:lang w:val="fr-CA"/>
        </w:rPr>
        <w:t>Durée de dotation interne pour l’exercice financier de 2018 à 2019</w:t>
      </w:r>
    </w:p>
    <w:p w14:paraId="11D755C2" w14:textId="77777777" w:rsidR="002B3DED" w:rsidRPr="00193822" w:rsidRDefault="002B3DED" w:rsidP="008C52C5">
      <w:pPr>
        <w:rPr>
          <w:rFonts w:asciiTheme="minorHAnsi" w:hAnsiTheme="minorHAnsi" w:cstheme="minorHAnsi"/>
          <w:sz w:val="22"/>
          <w:szCs w:val="22"/>
          <w:lang w:val="fr-CA"/>
        </w:rPr>
      </w:pPr>
      <w:r w:rsidRPr="00193822">
        <w:rPr>
          <w:rFonts w:asciiTheme="minorHAnsi" w:hAnsiTheme="minorHAnsi" w:cstheme="minorHAnsi"/>
          <w:sz w:val="22"/>
          <w:szCs w:val="22"/>
          <w:lang w:val="fr-CA"/>
        </w:rPr>
        <w:t>La durée médiane de dotation interne à Bibliothèque et Archives Canada pour l’exercice financier 2018 à 2019 est 145 jours</w:t>
      </w:r>
    </w:p>
    <w:p w14:paraId="3EE41BA5" w14:textId="77777777" w:rsidR="00627ED6" w:rsidRPr="00193822" w:rsidRDefault="00627ED6" w:rsidP="002B3DED">
      <w:pPr>
        <w:rPr>
          <w:lang w:val="fr-CA"/>
        </w:rPr>
        <w:sectPr w:rsidR="00627ED6" w:rsidRPr="00193822" w:rsidSect="00627ED6">
          <w:type w:val="continuous"/>
          <w:pgSz w:w="20160" w:h="12240" w:orient="landscape" w:code="5"/>
          <w:pgMar w:top="1440" w:right="1080" w:bottom="1440" w:left="1080" w:header="708" w:footer="708" w:gutter="0"/>
          <w:cols w:num="2" w:space="708"/>
          <w:titlePg/>
          <w:docGrid w:linePitch="360"/>
        </w:sectPr>
      </w:pPr>
    </w:p>
    <w:p w14:paraId="33A33C88" w14:textId="561D58CA" w:rsidR="002B3DED" w:rsidRPr="00193822" w:rsidRDefault="002B3DED" w:rsidP="002B3DED">
      <w:pPr>
        <w:rPr>
          <w:lang w:val="fr-CA"/>
        </w:rPr>
      </w:pPr>
    </w:p>
    <w:p w14:paraId="0E4FFAF0" w14:textId="77777777" w:rsidR="00862C57" w:rsidRPr="00193822" w:rsidRDefault="00862C57" w:rsidP="00D60C4D">
      <w:pPr>
        <w:rPr>
          <w:rFonts w:asciiTheme="minorHAnsi" w:hAnsiTheme="minorHAnsi" w:cstheme="minorHAnsi"/>
          <w:b/>
          <w:bCs/>
          <w:sz w:val="22"/>
          <w:szCs w:val="22"/>
          <w:lang w:val="fr-CA"/>
        </w:rPr>
        <w:sectPr w:rsidR="00862C57" w:rsidRPr="00193822" w:rsidSect="00627ED6">
          <w:type w:val="continuous"/>
          <w:pgSz w:w="20160" w:h="12240" w:orient="landscape" w:code="5"/>
          <w:pgMar w:top="1440" w:right="1080" w:bottom="1440" w:left="1080" w:header="708" w:footer="708" w:gutter="0"/>
          <w:cols w:space="708"/>
          <w:titlePg/>
          <w:docGrid w:linePitch="360"/>
        </w:sectPr>
      </w:pPr>
    </w:p>
    <w:p w14:paraId="6188D940" w14:textId="1B8CBFF7" w:rsidR="00C85BD9" w:rsidRPr="00193822" w:rsidRDefault="00C85BD9" w:rsidP="00C85BD9">
      <w:pPr>
        <w:pStyle w:val="Titre1"/>
        <w:spacing w:before="120" w:after="120"/>
        <w:rPr>
          <w:sz w:val="40"/>
          <w:lang w:val="fr-CA"/>
        </w:rPr>
      </w:pPr>
      <w:r w:rsidRPr="00193822">
        <w:rPr>
          <w:sz w:val="40"/>
          <w:lang w:val="fr-CA"/>
        </w:rPr>
        <w:lastRenderedPageBreak/>
        <w:t>Durée de dotation interne et externe</w:t>
      </w:r>
    </w:p>
    <w:p w14:paraId="6C877B61" w14:textId="36BE6BF0" w:rsidR="00211837" w:rsidRPr="00193822" w:rsidRDefault="00211837" w:rsidP="00211837">
      <w:pPr>
        <w:pStyle w:val="Lgende"/>
        <w:keepNext/>
        <w:rPr>
          <w:lang w:val="fr-CA"/>
        </w:rPr>
      </w:pPr>
      <w:r w:rsidRPr="00193822">
        <w:rPr>
          <w:lang w:val="fr-CA"/>
        </w:rPr>
        <w:t xml:space="preserve">Tableau </w:t>
      </w:r>
      <w:r w:rsidRPr="00193822">
        <w:rPr>
          <w:lang w:val="fr-CA"/>
        </w:rPr>
        <w:fldChar w:fldCharType="begin"/>
      </w:r>
      <w:r w:rsidRPr="00193822">
        <w:rPr>
          <w:lang w:val="fr-CA"/>
        </w:rPr>
        <w:instrText xml:space="preserve"> SEQ Tableau \* ARABIC </w:instrText>
      </w:r>
      <w:r w:rsidRPr="00193822">
        <w:rPr>
          <w:lang w:val="fr-CA"/>
        </w:rPr>
        <w:fldChar w:fldCharType="separate"/>
      </w:r>
      <w:r w:rsidRPr="00193822">
        <w:rPr>
          <w:noProof/>
          <w:lang w:val="fr-CA"/>
        </w:rPr>
        <w:t>15</w:t>
      </w:r>
      <w:r w:rsidRPr="00193822">
        <w:rPr>
          <w:lang w:val="fr-CA"/>
        </w:rPr>
        <w:fldChar w:fldCharType="end"/>
      </w:r>
      <w:r w:rsidRPr="00193822">
        <w:rPr>
          <w:lang w:val="fr-CA"/>
        </w:rPr>
        <w:t xml:space="preserve"> - Durée de dotation interne et externe</w:t>
      </w:r>
    </w:p>
    <w:tbl>
      <w:tblPr>
        <w:tblStyle w:val="Grilledutableau"/>
        <w:tblW w:w="5000" w:type="pct"/>
        <w:jc w:val="center"/>
        <w:tblLook w:val="0000" w:firstRow="0" w:lastRow="0" w:firstColumn="0" w:lastColumn="0" w:noHBand="0" w:noVBand="0"/>
        <w:tblDescription w:val="Durée des processus de dotation interne et externe"/>
      </w:tblPr>
      <w:tblGrid>
        <w:gridCol w:w="4159"/>
        <w:gridCol w:w="6068"/>
        <w:gridCol w:w="6068"/>
        <w:gridCol w:w="6015"/>
      </w:tblGrid>
      <w:tr w:rsidR="00211837" w:rsidRPr="00A336D2" w14:paraId="5C28261D" w14:textId="77777777" w:rsidTr="00322780">
        <w:trPr>
          <w:cantSplit/>
          <w:trHeight w:val="290"/>
          <w:tblHeader/>
          <w:jc w:val="center"/>
        </w:trPr>
        <w:tc>
          <w:tcPr>
            <w:tcW w:w="932" w:type="pct"/>
          </w:tcPr>
          <w:p w14:paraId="410627EF" w14:textId="77777777" w:rsidR="00211837" w:rsidRPr="00193822" w:rsidRDefault="00211837" w:rsidP="00211837">
            <w:pPr>
              <w:pStyle w:val="TableTitle"/>
              <w:rPr>
                <w:lang w:val="fr-CA"/>
              </w:rPr>
            </w:pPr>
            <w:bookmarkStart w:id="3" w:name="Dotation_interne_externe"/>
            <w:r w:rsidRPr="00193822">
              <w:rPr>
                <w:lang w:val="fr-CA"/>
              </w:rPr>
              <w:t>Nombre de jours civils</w:t>
            </w:r>
            <w:bookmarkEnd w:id="3"/>
          </w:p>
        </w:tc>
        <w:tc>
          <w:tcPr>
            <w:tcW w:w="1360" w:type="pct"/>
          </w:tcPr>
          <w:p w14:paraId="2436DAE9" w14:textId="77777777" w:rsidR="00211837" w:rsidRPr="00193822" w:rsidRDefault="00211837" w:rsidP="00211837">
            <w:pPr>
              <w:pStyle w:val="TableTitle"/>
              <w:rPr>
                <w:lang w:val="fr-CA"/>
              </w:rPr>
            </w:pPr>
            <w:r w:rsidRPr="00193822">
              <w:rPr>
                <w:lang w:val="fr-CA"/>
              </w:rPr>
              <w:t xml:space="preserve">Le nombre de premières embauches internes dans un processus interne (durée de dotation interne) dans les organisations assujetties à la </w:t>
            </w:r>
            <w:r w:rsidRPr="00193822">
              <w:rPr>
                <w:i/>
                <w:lang w:val="fr-CA"/>
              </w:rPr>
              <w:t>Loi sur l’emploi dans la fonction publique</w:t>
            </w:r>
            <w:r w:rsidRPr="00193822">
              <w:rPr>
                <w:lang w:val="fr-CA"/>
              </w:rPr>
              <w:t>, dans le nombre de jours civils spécifié</w:t>
            </w:r>
          </w:p>
        </w:tc>
        <w:tc>
          <w:tcPr>
            <w:tcW w:w="1360" w:type="pct"/>
          </w:tcPr>
          <w:p w14:paraId="6778E360" w14:textId="77777777" w:rsidR="00211837" w:rsidRPr="00193822" w:rsidRDefault="00211837" w:rsidP="00211837">
            <w:pPr>
              <w:pStyle w:val="TableTitle"/>
              <w:rPr>
                <w:lang w:val="fr-CA"/>
              </w:rPr>
            </w:pPr>
            <w:r w:rsidRPr="00193822">
              <w:rPr>
                <w:lang w:val="fr-CA"/>
              </w:rPr>
              <w:t>Le nombre de premières embauches internes dans un processus interne (durée de dotation interne) dans l’organisation spécifiée, dans le nombre de jours civils spécifié</w:t>
            </w:r>
          </w:p>
        </w:tc>
        <w:tc>
          <w:tcPr>
            <w:tcW w:w="1348" w:type="pct"/>
          </w:tcPr>
          <w:p w14:paraId="23B7C5B3" w14:textId="77777777" w:rsidR="00211837" w:rsidRPr="00193822" w:rsidRDefault="00211837" w:rsidP="00211837">
            <w:pPr>
              <w:pStyle w:val="TableTitle"/>
              <w:rPr>
                <w:lang w:val="fr-CA"/>
              </w:rPr>
            </w:pPr>
            <w:r w:rsidRPr="00193822">
              <w:rPr>
                <w:lang w:val="fr-CA"/>
              </w:rPr>
              <w:t>Le nombre de premières embauches externes dans un processus externe (durée de dotation externe) dans les organisations assujetties à la</w:t>
            </w:r>
            <w:r w:rsidRPr="00193822">
              <w:rPr>
                <w:i/>
                <w:lang w:val="fr-CA"/>
              </w:rPr>
              <w:t xml:space="preserve"> Loi sur l’emploi dans la fonction publique, </w:t>
            </w:r>
            <w:r w:rsidRPr="00193822">
              <w:rPr>
                <w:lang w:val="fr-CA"/>
              </w:rPr>
              <w:t>dans le nombre de jours civils spécifié</w:t>
            </w:r>
          </w:p>
        </w:tc>
      </w:tr>
      <w:tr w:rsidR="00211837" w:rsidRPr="00193822" w14:paraId="004F6A31" w14:textId="77777777" w:rsidTr="00322780">
        <w:trPr>
          <w:cantSplit/>
          <w:trHeight w:val="290"/>
          <w:tblHeader/>
          <w:jc w:val="center"/>
        </w:trPr>
        <w:tc>
          <w:tcPr>
            <w:tcW w:w="932" w:type="pct"/>
          </w:tcPr>
          <w:p w14:paraId="0B4B0852" w14:textId="77777777" w:rsidR="00211837" w:rsidRPr="00193822" w:rsidRDefault="00211837"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 jours civils</w:t>
            </w:r>
          </w:p>
        </w:tc>
        <w:tc>
          <w:tcPr>
            <w:tcW w:w="1360" w:type="pct"/>
          </w:tcPr>
          <w:p w14:paraId="588AE6D6"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w:t>
            </w:r>
          </w:p>
        </w:tc>
        <w:tc>
          <w:tcPr>
            <w:tcW w:w="1360" w:type="pct"/>
          </w:tcPr>
          <w:p w14:paraId="63C690A8"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w:t>
            </w:r>
          </w:p>
        </w:tc>
        <w:tc>
          <w:tcPr>
            <w:tcW w:w="1348" w:type="pct"/>
          </w:tcPr>
          <w:p w14:paraId="53A872F8"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w:t>
            </w:r>
          </w:p>
        </w:tc>
      </w:tr>
      <w:tr w:rsidR="00211837" w:rsidRPr="00193822" w14:paraId="60F47341" w14:textId="77777777" w:rsidTr="00322780">
        <w:trPr>
          <w:cantSplit/>
          <w:trHeight w:val="290"/>
          <w:tblHeader/>
          <w:jc w:val="center"/>
        </w:trPr>
        <w:tc>
          <w:tcPr>
            <w:tcW w:w="932" w:type="pct"/>
          </w:tcPr>
          <w:p w14:paraId="01A981F7" w14:textId="77777777" w:rsidR="00211837" w:rsidRPr="00193822" w:rsidRDefault="00211837"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 à 29 jours civils</w:t>
            </w:r>
          </w:p>
        </w:tc>
        <w:tc>
          <w:tcPr>
            <w:tcW w:w="1360" w:type="pct"/>
          </w:tcPr>
          <w:p w14:paraId="5EEBA1FE"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15</w:t>
            </w:r>
          </w:p>
        </w:tc>
        <w:tc>
          <w:tcPr>
            <w:tcW w:w="1360" w:type="pct"/>
          </w:tcPr>
          <w:p w14:paraId="10B27D82"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w:t>
            </w:r>
          </w:p>
        </w:tc>
        <w:tc>
          <w:tcPr>
            <w:tcW w:w="1348" w:type="pct"/>
          </w:tcPr>
          <w:p w14:paraId="2A859010"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49</w:t>
            </w:r>
          </w:p>
        </w:tc>
      </w:tr>
      <w:tr w:rsidR="00211837" w:rsidRPr="00193822" w14:paraId="14608912" w14:textId="77777777" w:rsidTr="00322780">
        <w:trPr>
          <w:cantSplit/>
          <w:trHeight w:val="290"/>
          <w:tblHeader/>
          <w:jc w:val="center"/>
        </w:trPr>
        <w:tc>
          <w:tcPr>
            <w:tcW w:w="932" w:type="pct"/>
          </w:tcPr>
          <w:p w14:paraId="1CF65C5B" w14:textId="77777777" w:rsidR="00211837" w:rsidRPr="00193822" w:rsidRDefault="00211837"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30 à 59 jours civils</w:t>
            </w:r>
          </w:p>
        </w:tc>
        <w:tc>
          <w:tcPr>
            <w:tcW w:w="1360" w:type="pct"/>
          </w:tcPr>
          <w:p w14:paraId="3241DD6F"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130</w:t>
            </w:r>
          </w:p>
        </w:tc>
        <w:tc>
          <w:tcPr>
            <w:tcW w:w="1360" w:type="pct"/>
          </w:tcPr>
          <w:p w14:paraId="23D8C504"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w:t>
            </w:r>
          </w:p>
        </w:tc>
        <w:tc>
          <w:tcPr>
            <w:tcW w:w="1348" w:type="pct"/>
          </w:tcPr>
          <w:p w14:paraId="4E0AEE30"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82</w:t>
            </w:r>
          </w:p>
        </w:tc>
      </w:tr>
      <w:tr w:rsidR="00211837" w:rsidRPr="00193822" w14:paraId="6870F601" w14:textId="77777777" w:rsidTr="00322780">
        <w:trPr>
          <w:cantSplit/>
          <w:trHeight w:val="290"/>
          <w:tblHeader/>
          <w:jc w:val="center"/>
        </w:trPr>
        <w:tc>
          <w:tcPr>
            <w:tcW w:w="932" w:type="pct"/>
          </w:tcPr>
          <w:p w14:paraId="56774504" w14:textId="77777777" w:rsidR="00211837" w:rsidRPr="00193822" w:rsidRDefault="00211837"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60 à 89 jours civils</w:t>
            </w:r>
          </w:p>
        </w:tc>
        <w:tc>
          <w:tcPr>
            <w:tcW w:w="1360" w:type="pct"/>
          </w:tcPr>
          <w:p w14:paraId="389F7D40"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277</w:t>
            </w:r>
          </w:p>
        </w:tc>
        <w:tc>
          <w:tcPr>
            <w:tcW w:w="1360" w:type="pct"/>
          </w:tcPr>
          <w:p w14:paraId="5994CF13"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w:t>
            </w:r>
          </w:p>
        </w:tc>
        <w:tc>
          <w:tcPr>
            <w:tcW w:w="1348" w:type="pct"/>
          </w:tcPr>
          <w:p w14:paraId="3CD8E90A"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124</w:t>
            </w:r>
          </w:p>
        </w:tc>
      </w:tr>
      <w:tr w:rsidR="00211837" w:rsidRPr="00193822" w14:paraId="42F2DE99" w14:textId="77777777" w:rsidTr="00322780">
        <w:trPr>
          <w:cantSplit/>
          <w:trHeight w:val="290"/>
          <w:tblHeader/>
          <w:jc w:val="center"/>
        </w:trPr>
        <w:tc>
          <w:tcPr>
            <w:tcW w:w="932" w:type="pct"/>
          </w:tcPr>
          <w:p w14:paraId="509A683E" w14:textId="77777777" w:rsidR="00211837" w:rsidRPr="00193822" w:rsidRDefault="00211837"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90 à 119 jours civils</w:t>
            </w:r>
          </w:p>
        </w:tc>
        <w:tc>
          <w:tcPr>
            <w:tcW w:w="1360" w:type="pct"/>
          </w:tcPr>
          <w:p w14:paraId="4E9DF13B"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391</w:t>
            </w:r>
          </w:p>
        </w:tc>
        <w:tc>
          <w:tcPr>
            <w:tcW w:w="1360" w:type="pct"/>
          </w:tcPr>
          <w:p w14:paraId="1C3C550E"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8</w:t>
            </w:r>
          </w:p>
        </w:tc>
        <w:tc>
          <w:tcPr>
            <w:tcW w:w="1348" w:type="pct"/>
          </w:tcPr>
          <w:p w14:paraId="5197ADC9"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160</w:t>
            </w:r>
          </w:p>
        </w:tc>
      </w:tr>
      <w:tr w:rsidR="00211837" w:rsidRPr="00193822" w14:paraId="2BFCA5AA" w14:textId="77777777" w:rsidTr="00322780">
        <w:trPr>
          <w:cantSplit/>
          <w:trHeight w:val="290"/>
          <w:tblHeader/>
          <w:jc w:val="center"/>
        </w:trPr>
        <w:tc>
          <w:tcPr>
            <w:tcW w:w="932" w:type="pct"/>
          </w:tcPr>
          <w:p w14:paraId="7A52609B" w14:textId="77777777" w:rsidR="00211837" w:rsidRPr="00193822" w:rsidRDefault="00211837"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120 à 149 jours civils</w:t>
            </w:r>
          </w:p>
        </w:tc>
        <w:tc>
          <w:tcPr>
            <w:tcW w:w="1360" w:type="pct"/>
          </w:tcPr>
          <w:p w14:paraId="45511005"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367</w:t>
            </w:r>
          </w:p>
        </w:tc>
        <w:tc>
          <w:tcPr>
            <w:tcW w:w="1360" w:type="pct"/>
          </w:tcPr>
          <w:p w14:paraId="51E07771"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5</w:t>
            </w:r>
          </w:p>
        </w:tc>
        <w:tc>
          <w:tcPr>
            <w:tcW w:w="1348" w:type="pct"/>
          </w:tcPr>
          <w:p w14:paraId="2B530BE9"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181</w:t>
            </w:r>
          </w:p>
        </w:tc>
      </w:tr>
      <w:tr w:rsidR="00211837" w:rsidRPr="00193822" w14:paraId="0137FA1E" w14:textId="77777777" w:rsidTr="00322780">
        <w:trPr>
          <w:cantSplit/>
          <w:trHeight w:val="290"/>
          <w:tblHeader/>
          <w:jc w:val="center"/>
        </w:trPr>
        <w:tc>
          <w:tcPr>
            <w:tcW w:w="932" w:type="pct"/>
          </w:tcPr>
          <w:p w14:paraId="166C3131" w14:textId="77777777" w:rsidR="00211837" w:rsidRPr="00193822" w:rsidRDefault="00211837"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150 à 179 jours civils</w:t>
            </w:r>
          </w:p>
        </w:tc>
        <w:tc>
          <w:tcPr>
            <w:tcW w:w="1360" w:type="pct"/>
          </w:tcPr>
          <w:p w14:paraId="4FA7F4C0"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322</w:t>
            </w:r>
          </w:p>
        </w:tc>
        <w:tc>
          <w:tcPr>
            <w:tcW w:w="1360" w:type="pct"/>
          </w:tcPr>
          <w:p w14:paraId="79653C51"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3</w:t>
            </w:r>
          </w:p>
        </w:tc>
        <w:tc>
          <w:tcPr>
            <w:tcW w:w="1348" w:type="pct"/>
          </w:tcPr>
          <w:p w14:paraId="3BC7F613"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179</w:t>
            </w:r>
          </w:p>
        </w:tc>
      </w:tr>
      <w:tr w:rsidR="00211837" w:rsidRPr="00193822" w14:paraId="49255894" w14:textId="77777777" w:rsidTr="00322780">
        <w:trPr>
          <w:cantSplit/>
          <w:trHeight w:val="290"/>
          <w:tblHeader/>
          <w:jc w:val="center"/>
        </w:trPr>
        <w:tc>
          <w:tcPr>
            <w:tcW w:w="932" w:type="pct"/>
          </w:tcPr>
          <w:p w14:paraId="5B8301C0" w14:textId="77777777" w:rsidR="00211837" w:rsidRPr="00193822" w:rsidRDefault="00211837"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180 à 209 jours civils</w:t>
            </w:r>
          </w:p>
        </w:tc>
        <w:tc>
          <w:tcPr>
            <w:tcW w:w="1360" w:type="pct"/>
          </w:tcPr>
          <w:p w14:paraId="4BE70D13"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278</w:t>
            </w:r>
          </w:p>
        </w:tc>
        <w:tc>
          <w:tcPr>
            <w:tcW w:w="1360" w:type="pct"/>
          </w:tcPr>
          <w:p w14:paraId="79ED6D89"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4</w:t>
            </w:r>
          </w:p>
        </w:tc>
        <w:tc>
          <w:tcPr>
            <w:tcW w:w="1348" w:type="pct"/>
          </w:tcPr>
          <w:p w14:paraId="24902698"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160</w:t>
            </w:r>
          </w:p>
        </w:tc>
      </w:tr>
      <w:tr w:rsidR="00211837" w:rsidRPr="00193822" w14:paraId="05EE61F7" w14:textId="77777777" w:rsidTr="00322780">
        <w:trPr>
          <w:cantSplit/>
          <w:trHeight w:val="290"/>
          <w:tblHeader/>
          <w:jc w:val="center"/>
        </w:trPr>
        <w:tc>
          <w:tcPr>
            <w:tcW w:w="932" w:type="pct"/>
          </w:tcPr>
          <w:p w14:paraId="38C40AEB" w14:textId="77777777" w:rsidR="00211837" w:rsidRPr="00193822" w:rsidRDefault="00211837"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210 à 239 jours civils</w:t>
            </w:r>
          </w:p>
        </w:tc>
        <w:tc>
          <w:tcPr>
            <w:tcW w:w="1360" w:type="pct"/>
          </w:tcPr>
          <w:p w14:paraId="53E3BB74"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241</w:t>
            </w:r>
          </w:p>
        </w:tc>
        <w:tc>
          <w:tcPr>
            <w:tcW w:w="1360" w:type="pct"/>
          </w:tcPr>
          <w:p w14:paraId="629B2210"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w:t>
            </w:r>
          </w:p>
        </w:tc>
        <w:tc>
          <w:tcPr>
            <w:tcW w:w="1348" w:type="pct"/>
          </w:tcPr>
          <w:p w14:paraId="7476A03E"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139</w:t>
            </w:r>
          </w:p>
        </w:tc>
      </w:tr>
      <w:tr w:rsidR="00211837" w:rsidRPr="00193822" w14:paraId="2C6675E3" w14:textId="77777777" w:rsidTr="00322780">
        <w:trPr>
          <w:cantSplit/>
          <w:trHeight w:val="290"/>
          <w:tblHeader/>
          <w:jc w:val="center"/>
        </w:trPr>
        <w:tc>
          <w:tcPr>
            <w:tcW w:w="932" w:type="pct"/>
          </w:tcPr>
          <w:p w14:paraId="2530E286" w14:textId="77777777" w:rsidR="00211837" w:rsidRPr="00193822" w:rsidRDefault="00211837"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240 à 269 jours civils</w:t>
            </w:r>
          </w:p>
        </w:tc>
        <w:tc>
          <w:tcPr>
            <w:tcW w:w="1360" w:type="pct"/>
          </w:tcPr>
          <w:p w14:paraId="5F6F0572"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165</w:t>
            </w:r>
          </w:p>
        </w:tc>
        <w:tc>
          <w:tcPr>
            <w:tcW w:w="1360" w:type="pct"/>
          </w:tcPr>
          <w:p w14:paraId="4130CD4A"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w:t>
            </w:r>
          </w:p>
        </w:tc>
        <w:tc>
          <w:tcPr>
            <w:tcW w:w="1348" w:type="pct"/>
          </w:tcPr>
          <w:p w14:paraId="084078C9"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84</w:t>
            </w:r>
          </w:p>
        </w:tc>
      </w:tr>
      <w:tr w:rsidR="00211837" w:rsidRPr="00193822" w14:paraId="3AB1F440" w14:textId="77777777" w:rsidTr="00322780">
        <w:trPr>
          <w:cantSplit/>
          <w:trHeight w:val="290"/>
          <w:tblHeader/>
          <w:jc w:val="center"/>
        </w:trPr>
        <w:tc>
          <w:tcPr>
            <w:tcW w:w="932" w:type="pct"/>
          </w:tcPr>
          <w:p w14:paraId="71C54826" w14:textId="77777777" w:rsidR="00211837" w:rsidRPr="00193822" w:rsidRDefault="00211837"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270 à 299 jours civils</w:t>
            </w:r>
          </w:p>
        </w:tc>
        <w:tc>
          <w:tcPr>
            <w:tcW w:w="1360" w:type="pct"/>
          </w:tcPr>
          <w:p w14:paraId="386DCCF8"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134</w:t>
            </w:r>
          </w:p>
        </w:tc>
        <w:tc>
          <w:tcPr>
            <w:tcW w:w="1360" w:type="pct"/>
          </w:tcPr>
          <w:p w14:paraId="675D26F9"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w:t>
            </w:r>
          </w:p>
        </w:tc>
        <w:tc>
          <w:tcPr>
            <w:tcW w:w="1348" w:type="pct"/>
          </w:tcPr>
          <w:p w14:paraId="7BAD1956"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73</w:t>
            </w:r>
          </w:p>
        </w:tc>
      </w:tr>
      <w:tr w:rsidR="00211837" w:rsidRPr="00193822" w14:paraId="6650E326" w14:textId="77777777" w:rsidTr="00322780">
        <w:trPr>
          <w:cantSplit/>
          <w:trHeight w:val="290"/>
          <w:tblHeader/>
          <w:jc w:val="center"/>
        </w:trPr>
        <w:tc>
          <w:tcPr>
            <w:tcW w:w="932" w:type="pct"/>
          </w:tcPr>
          <w:p w14:paraId="57F40667" w14:textId="77777777" w:rsidR="00211837" w:rsidRPr="00193822" w:rsidRDefault="00211837"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300 à 329 jours civils</w:t>
            </w:r>
          </w:p>
        </w:tc>
        <w:tc>
          <w:tcPr>
            <w:tcW w:w="1360" w:type="pct"/>
          </w:tcPr>
          <w:p w14:paraId="47A67E60"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107</w:t>
            </w:r>
          </w:p>
        </w:tc>
        <w:tc>
          <w:tcPr>
            <w:tcW w:w="1360" w:type="pct"/>
          </w:tcPr>
          <w:p w14:paraId="594B045C"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w:t>
            </w:r>
          </w:p>
        </w:tc>
        <w:tc>
          <w:tcPr>
            <w:tcW w:w="1348" w:type="pct"/>
          </w:tcPr>
          <w:p w14:paraId="2DF3354F"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61</w:t>
            </w:r>
          </w:p>
        </w:tc>
      </w:tr>
      <w:tr w:rsidR="00211837" w:rsidRPr="00193822" w14:paraId="70C6BBB9" w14:textId="77777777" w:rsidTr="00322780">
        <w:trPr>
          <w:cantSplit/>
          <w:trHeight w:val="290"/>
          <w:tblHeader/>
          <w:jc w:val="center"/>
        </w:trPr>
        <w:tc>
          <w:tcPr>
            <w:tcW w:w="932" w:type="pct"/>
          </w:tcPr>
          <w:p w14:paraId="482725A3" w14:textId="77777777" w:rsidR="00211837" w:rsidRPr="00193822" w:rsidRDefault="00211837"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330 à 359 jours civils</w:t>
            </w:r>
          </w:p>
        </w:tc>
        <w:tc>
          <w:tcPr>
            <w:tcW w:w="1360" w:type="pct"/>
          </w:tcPr>
          <w:p w14:paraId="20DBA938"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77</w:t>
            </w:r>
          </w:p>
        </w:tc>
        <w:tc>
          <w:tcPr>
            <w:tcW w:w="1360" w:type="pct"/>
          </w:tcPr>
          <w:p w14:paraId="25F79C5E"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w:t>
            </w:r>
          </w:p>
        </w:tc>
        <w:tc>
          <w:tcPr>
            <w:tcW w:w="1348" w:type="pct"/>
          </w:tcPr>
          <w:p w14:paraId="27367F84"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41</w:t>
            </w:r>
          </w:p>
        </w:tc>
      </w:tr>
      <w:tr w:rsidR="00211837" w:rsidRPr="00193822" w14:paraId="55D5E989" w14:textId="77777777" w:rsidTr="00322780">
        <w:trPr>
          <w:cantSplit/>
          <w:trHeight w:val="290"/>
          <w:tblHeader/>
          <w:jc w:val="center"/>
        </w:trPr>
        <w:tc>
          <w:tcPr>
            <w:tcW w:w="932" w:type="pct"/>
          </w:tcPr>
          <w:p w14:paraId="131CA112" w14:textId="77777777" w:rsidR="00211837" w:rsidRPr="00193822" w:rsidRDefault="00211837"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360 à 389 jours civils</w:t>
            </w:r>
          </w:p>
        </w:tc>
        <w:tc>
          <w:tcPr>
            <w:tcW w:w="1360" w:type="pct"/>
          </w:tcPr>
          <w:p w14:paraId="4C5BE291"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61</w:t>
            </w:r>
          </w:p>
        </w:tc>
        <w:tc>
          <w:tcPr>
            <w:tcW w:w="1360" w:type="pct"/>
          </w:tcPr>
          <w:p w14:paraId="7C0FA2E6"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w:t>
            </w:r>
          </w:p>
        </w:tc>
        <w:tc>
          <w:tcPr>
            <w:tcW w:w="1348" w:type="pct"/>
          </w:tcPr>
          <w:p w14:paraId="7EE943AB"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43</w:t>
            </w:r>
          </w:p>
        </w:tc>
      </w:tr>
      <w:tr w:rsidR="00211837" w:rsidRPr="00193822" w14:paraId="209DA16E" w14:textId="77777777" w:rsidTr="00322780">
        <w:trPr>
          <w:cantSplit/>
          <w:trHeight w:val="290"/>
          <w:tblHeader/>
          <w:jc w:val="center"/>
        </w:trPr>
        <w:tc>
          <w:tcPr>
            <w:tcW w:w="932" w:type="pct"/>
          </w:tcPr>
          <w:p w14:paraId="0A6D14B3" w14:textId="77777777" w:rsidR="00211837" w:rsidRPr="00193822" w:rsidRDefault="00211837"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390 à 419 jours civils</w:t>
            </w:r>
          </w:p>
        </w:tc>
        <w:tc>
          <w:tcPr>
            <w:tcW w:w="1360" w:type="pct"/>
          </w:tcPr>
          <w:p w14:paraId="15BFC809"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53</w:t>
            </w:r>
          </w:p>
        </w:tc>
        <w:tc>
          <w:tcPr>
            <w:tcW w:w="1360" w:type="pct"/>
          </w:tcPr>
          <w:p w14:paraId="7969ACCD"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w:t>
            </w:r>
          </w:p>
        </w:tc>
        <w:tc>
          <w:tcPr>
            <w:tcW w:w="1348" w:type="pct"/>
          </w:tcPr>
          <w:p w14:paraId="661722C4"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49</w:t>
            </w:r>
          </w:p>
        </w:tc>
      </w:tr>
      <w:tr w:rsidR="00211837" w:rsidRPr="00193822" w14:paraId="50655839" w14:textId="77777777" w:rsidTr="00322780">
        <w:trPr>
          <w:cantSplit/>
          <w:trHeight w:val="290"/>
          <w:tblHeader/>
          <w:jc w:val="center"/>
        </w:trPr>
        <w:tc>
          <w:tcPr>
            <w:tcW w:w="932" w:type="pct"/>
          </w:tcPr>
          <w:p w14:paraId="5A46C5D6" w14:textId="77777777" w:rsidR="00211837" w:rsidRPr="00193822" w:rsidRDefault="00211837"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420 à 449 jours civils</w:t>
            </w:r>
          </w:p>
        </w:tc>
        <w:tc>
          <w:tcPr>
            <w:tcW w:w="1360" w:type="pct"/>
          </w:tcPr>
          <w:p w14:paraId="68208A84"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51</w:t>
            </w:r>
          </w:p>
        </w:tc>
        <w:tc>
          <w:tcPr>
            <w:tcW w:w="1360" w:type="pct"/>
          </w:tcPr>
          <w:p w14:paraId="436ED9BF"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w:t>
            </w:r>
          </w:p>
        </w:tc>
        <w:tc>
          <w:tcPr>
            <w:tcW w:w="1348" w:type="pct"/>
          </w:tcPr>
          <w:p w14:paraId="0EA44E87"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35</w:t>
            </w:r>
          </w:p>
        </w:tc>
      </w:tr>
      <w:tr w:rsidR="00211837" w:rsidRPr="00193822" w14:paraId="61E2CC87" w14:textId="77777777" w:rsidTr="00322780">
        <w:trPr>
          <w:cantSplit/>
          <w:trHeight w:val="290"/>
          <w:tblHeader/>
          <w:jc w:val="center"/>
        </w:trPr>
        <w:tc>
          <w:tcPr>
            <w:tcW w:w="932" w:type="pct"/>
          </w:tcPr>
          <w:p w14:paraId="5AF671F9" w14:textId="77777777" w:rsidR="00211837" w:rsidRPr="00193822" w:rsidRDefault="00211837"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450 à 479 jours civils</w:t>
            </w:r>
          </w:p>
        </w:tc>
        <w:tc>
          <w:tcPr>
            <w:tcW w:w="1360" w:type="pct"/>
          </w:tcPr>
          <w:p w14:paraId="3B7F538B"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42</w:t>
            </w:r>
          </w:p>
        </w:tc>
        <w:tc>
          <w:tcPr>
            <w:tcW w:w="1360" w:type="pct"/>
          </w:tcPr>
          <w:p w14:paraId="1EB4DF87"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w:t>
            </w:r>
          </w:p>
        </w:tc>
        <w:tc>
          <w:tcPr>
            <w:tcW w:w="1348" w:type="pct"/>
          </w:tcPr>
          <w:p w14:paraId="1BF00454"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22</w:t>
            </w:r>
          </w:p>
        </w:tc>
      </w:tr>
      <w:tr w:rsidR="00211837" w:rsidRPr="00193822" w14:paraId="7DEF1500" w14:textId="77777777" w:rsidTr="00322780">
        <w:trPr>
          <w:cantSplit/>
          <w:trHeight w:val="290"/>
          <w:tblHeader/>
          <w:jc w:val="center"/>
        </w:trPr>
        <w:tc>
          <w:tcPr>
            <w:tcW w:w="932" w:type="pct"/>
          </w:tcPr>
          <w:p w14:paraId="54CD31DB" w14:textId="77777777" w:rsidR="00211837" w:rsidRPr="00193822" w:rsidRDefault="00211837"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480 à 509 jours civils</w:t>
            </w:r>
          </w:p>
        </w:tc>
        <w:tc>
          <w:tcPr>
            <w:tcW w:w="1360" w:type="pct"/>
          </w:tcPr>
          <w:p w14:paraId="5EFE7E17"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40</w:t>
            </w:r>
          </w:p>
        </w:tc>
        <w:tc>
          <w:tcPr>
            <w:tcW w:w="1360" w:type="pct"/>
          </w:tcPr>
          <w:p w14:paraId="643828E5"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w:t>
            </w:r>
          </w:p>
        </w:tc>
        <w:tc>
          <w:tcPr>
            <w:tcW w:w="1348" w:type="pct"/>
          </w:tcPr>
          <w:p w14:paraId="5985D2A6"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27</w:t>
            </w:r>
          </w:p>
        </w:tc>
      </w:tr>
      <w:tr w:rsidR="00211837" w:rsidRPr="00193822" w14:paraId="56011569" w14:textId="77777777" w:rsidTr="00322780">
        <w:trPr>
          <w:cantSplit/>
          <w:trHeight w:val="290"/>
          <w:tblHeader/>
          <w:jc w:val="center"/>
        </w:trPr>
        <w:tc>
          <w:tcPr>
            <w:tcW w:w="932" w:type="pct"/>
          </w:tcPr>
          <w:p w14:paraId="58059404" w14:textId="77777777" w:rsidR="00211837" w:rsidRPr="00193822" w:rsidRDefault="00211837"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 xml:space="preserve">510 à 539 jours civils </w:t>
            </w:r>
          </w:p>
        </w:tc>
        <w:tc>
          <w:tcPr>
            <w:tcW w:w="1360" w:type="pct"/>
          </w:tcPr>
          <w:p w14:paraId="690C3066"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32</w:t>
            </w:r>
          </w:p>
        </w:tc>
        <w:tc>
          <w:tcPr>
            <w:tcW w:w="1360" w:type="pct"/>
          </w:tcPr>
          <w:p w14:paraId="13A995D2"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w:t>
            </w:r>
          </w:p>
        </w:tc>
        <w:tc>
          <w:tcPr>
            <w:tcW w:w="1348" w:type="pct"/>
          </w:tcPr>
          <w:p w14:paraId="6BE547D1"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17</w:t>
            </w:r>
          </w:p>
        </w:tc>
      </w:tr>
      <w:tr w:rsidR="00211837" w:rsidRPr="00193822" w14:paraId="5D83B57D" w14:textId="77777777" w:rsidTr="00322780">
        <w:trPr>
          <w:cantSplit/>
          <w:trHeight w:val="290"/>
          <w:tblHeader/>
          <w:jc w:val="center"/>
        </w:trPr>
        <w:tc>
          <w:tcPr>
            <w:tcW w:w="932" w:type="pct"/>
          </w:tcPr>
          <w:p w14:paraId="029F39FC" w14:textId="77777777" w:rsidR="00211837" w:rsidRPr="00193822" w:rsidRDefault="00211837"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540 à 569 jours civils</w:t>
            </w:r>
          </w:p>
        </w:tc>
        <w:tc>
          <w:tcPr>
            <w:tcW w:w="1360" w:type="pct"/>
          </w:tcPr>
          <w:p w14:paraId="31802E0C"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24</w:t>
            </w:r>
          </w:p>
        </w:tc>
        <w:tc>
          <w:tcPr>
            <w:tcW w:w="1360" w:type="pct"/>
          </w:tcPr>
          <w:p w14:paraId="1D73505D"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w:t>
            </w:r>
          </w:p>
        </w:tc>
        <w:tc>
          <w:tcPr>
            <w:tcW w:w="1348" w:type="pct"/>
          </w:tcPr>
          <w:p w14:paraId="6BDECDA2"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15</w:t>
            </w:r>
          </w:p>
        </w:tc>
      </w:tr>
      <w:tr w:rsidR="00211837" w:rsidRPr="00193822" w14:paraId="75D1DEE4" w14:textId="77777777" w:rsidTr="00322780">
        <w:trPr>
          <w:cantSplit/>
          <w:trHeight w:val="290"/>
          <w:tblHeader/>
          <w:jc w:val="center"/>
        </w:trPr>
        <w:tc>
          <w:tcPr>
            <w:tcW w:w="932" w:type="pct"/>
          </w:tcPr>
          <w:p w14:paraId="20D65D25" w14:textId="77777777" w:rsidR="00211837" w:rsidRPr="00193822" w:rsidRDefault="00211837"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570 à 599 jours civils</w:t>
            </w:r>
          </w:p>
        </w:tc>
        <w:tc>
          <w:tcPr>
            <w:tcW w:w="1360" w:type="pct"/>
          </w:tcPr>
          <w:p w14:paraId="5AC01B06"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21</w:t>
            </w:r>
          </w:p>
        </w:tc>
        <w:tc>
          <w:tcPr>
            <w:tcW w:w="1360" w:type="pct"/>
          </w:tcPr>
          <w:p w14:paraId="16D99311"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w:t>
            </w:r>
          </w:p>
        </w:tc>
        <w:tc>
          <w:tcPr>
            <w:tcW w:w="1348" w:type="pct"/>
          </w:tcPr>
          <w:p w14:paraId="33EBBD81"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14</w:t>
            </w:r>
          </w:p>
        </w:tc>
      </w:tr>
      <w:tr w:rsidR="00211837" w:rsidRPr="00193822" w14:paraId="08528E13" w14:textId="77777777" w:rsidTr="00322780">
        <w:trPr>
          <w:cantSplit/>
          <w:trHeight w:val="290"/>
          <w:tblHeader/>
          <w:jc w:val="center"/>
        </w:trPr>
        <w:tc>
          <w:tcPr>
            <w:tcW w:w="932" w:type="pct"/>
          </w:tcPr>
          <w:p w14:paraId="0F60D9A7" w14:textId="77777777" w:rsidR="00211837" w:rsidRPr="00193822" w:rsidRDefault="00211837"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600 à 629 jours civils</w:t>
            </w:r>
          </w:p>
        </w:tc>
        <w:tc>
          <w:tcPr>
            <w:tcW w:w="1360" w:type="pct"/>
          </w:tcPr>
          <w:p w14:paraId="118A82DC"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11</w:t>
            </w:r>
          </w:p>
        </w:tc>
        <w:tc>
          <w:tcPr>
            <w:tcW w:w="1360" w:type="pct"/>
          </w:tcPr>
          <w:p w14:paraId="09CAE554"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w:t>
            </w:r>
          </w:p>
        </w:tc>
        <w:tc>
          <w:tcPr>
            <w:tcW w:w="1348" w:type="pct"/>
          </w:tcPr>
          <w:p w14:paraId="47CC6BDB"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12</w:t>
            </w:r>
          </w:p>
        </w:tc>
      </w:tr>
      <w:tr w:rsidR="00211837" w:rsidRPr="00193822" w14:paraId="024FCBDB" w14:textId="77777777" w:rsidTr="00322780">
        <w:trPr>
          <w:cantSplit/>
          <w:trHeight w:val="290"/>
          <w:tblHeader/>
          <w:jc w:val="center"/>
        </w:trPr>
        <w:tc>
          <w:tcPr>
            <w:tcW w:w="932" w:type="pct"/>
          </w:tcPr>
          <w:p w14:paraId="62211663" w14:textId="77777777" w:rsidR="00211837" w:rsidRPr="00193822" w:rsidRDefault="00211837"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630 à 659 jours civils</w:t>
            </w:r>
          </w:p>
        </w:tc>
        <w:tc>
          <w:tcPr>
            <w:tcW w:w="1360" w:type="pct"/>
          </w:tcPr>
          <w:p w14:paraId="2A64C99B"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19</w:t>
            </w:r>
          </w:p>
        </w:tc>
        <w:tc>
          <w:tcPr>
            <w:tcW w:w="1360" w:type="pct"/>
          </w:tcPr>
          <w:p w14:paraId="7796F986"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w:t>
            </w:r>
          </w:p>
        </w:tc>
        <w:tc>
          <w:tcPr>
            <w:tcW w:w="1348" w:type="pct"/>
          </w:tcPr>
          <w:p w14:paraId="75EF8F0D"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7</w:t>
            </w:r>
          </w:p>
        </w:tc>
      </w:tr>
      <w:tr w:rsidR="00211837" w:rsidRPr="00193822" w14:paraId="7C52BDC6" w14:textId="77777777" w:rsidTr="00322780">
        <w:trPr>
          <w:cantSplit/>
          <w:trHeight w:val="290"/>
          <w:tblHeader/>
          <w:jc w:val="center"/>
        </w:trPr>
        <w:tc>
          <w:tcPr>
            <w:tcW w:w="932" w:type="pct"/>
          </w:tcPr>
          <w:p w14:paraId="4A4C33D9" w14:textId="77777777" w:rsidR="00211837" w:rsidRPr="00193822" w:rsidRDefault="00211837"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660 à 689 jours civils</w:t>
            </w:r>
          </w:p>
        </w:tc>
        <w:tc>
          <w:tcPr>
            <w:tcW w:w="1360" w:type="pct"/>
          </w:tcPr>
          <w:p w14:paraId="686DFAE0"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3</w:t>
            </w:r>
          </w:p>
        </w:tc>
        <w:tc>
          <w:tcPr>
            <w:tcW w:w="1360" w:type="pct"/>
          </w:tcPr>
          <w:p w14:paraId="5E3E5B8F"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w:t>
            </w:r>
          </w:p>
        </w:tc>
        <w:tc>
          <w:tcPr>
            <w:tcW w:w="1348" w:type="pct"/>
          </w:tcPr>
          <w:p w14:paraId="194B6447"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5</w:t>
            </w:r>
          </w:p>
        </w:tc>
      </w:tr>
      <w:tr w:rsidR="00211837" w:rsidRPr="00193822" w14:paraId="778824FA" w14:textId="77777777" w:rsidTr="00322780">
        <w:trPr>
          <w:cantSplit/>
          <w:trHeight w:val="290"/>
          <w:tblHeader/>
          <w:jc w:val="center"/>
        </w:trPr>
        <w:tc>
          <w:tcPr>
            <w:tcW w:w="932" w:type="pct"/>
          </w:tcPr>
          <w:p w14:paraId="0D4747CC" w14:textId="77777777" w:rsidR="00211837" w:rsidRPr="00193822" w:rsidRDefault="00211837"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690 à 719 jours civils</w:t>
            </w:r>
          </w:p>
        </w:tc>
        <w:tc>
          <w:tcPr>
            <w:tcW w:w="1360" w:type="pct"/>
          </w:tcPr>
          <w:p w14:paraId="029A221F"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13</w:t>
            </w:r>
          </w:p>
        </w:tc>
        <w:tc>
          <w:tcPr>
            <w:tcW w:w="1360" w:type="pct"/>
          </w:tcPr>
          <w:p w14:paraId="6E1BBDE6"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w:t>
            </w:r>
          </w:p>
        </w:tc>
        <w:tc>
          <w:tcPr>
            <w:tcW w:w="1348" w:type="pct"/>
          </w:tcPr>
          <w:p w14:paraId="39511B11"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7</w:t>
            </w:r>
          </w:p>
        </w:tc>
      </w:tr>
      <w:tr w:rsidR="00211837" w:rsidRPr="00193822" w14:paraId="14A00BBB" w14:textId="77777777" w:rsidTr="00322780">
        <w:trPr>
          <w:cantSplit/>
          <w:trHeight w:val="302"/>
          <w:tblHeader/>
          <w:jc w:val="center"/>
        </w:trPr>
        <w:tc>
          <w:tcPr>
            <w:tcW w:w="932" w:type="pct"/>
          </w:tcPr>
          <w:p w14:paraId="3CFF87CD" w14:textId="77777777" w:rsidR="00211837" w:rsidRPr="00193822" w:rsidRDefault="00211837"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720 à 749 jours civils</w:t>
            </w:r>
          </w:p>
        </w:tc>
        <w:tc>
          <w:tcPr>
            <w:tcW w:w="1360" w:type="pct"/>
          </w:tcPr>
          <w:p w14:paraId="32099C6A"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6</w:t>
            </w:r>
          </w:p>
        </w:tc>
        <w:tc>
          <w:tcPr>
            <w:tcW w:w="1360" w:type="pct"/>
          </w:tcPr>
          <w:p w14:paraId="35C2594A"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w:t>
            </w:r>
          </w:p>
        </w:tc>
        <w:tc>
          <w:tcPr>
            <w:tcW w:w="1348" w:type="pct"/>
          </w:tcPr>
          <w:p w14:paraId="7BE829FF"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11</w:t>
            </w:r>
          </w:p>
        </w:tc>
      </w:tr>
      <w:tr w:rsidR="00211837" w:rsidRPr="00193822" w14:paraId="3F476E2A" w14:textId="77777777" w:rsidTr="00322780">
        <w:trPr>
          <w:cantSplit/>
          <w:trHeight w:val="290"/>
          <w:tblHeader/>
          <w:jc w:val="center"/>
        </w:trPr>
        <w:tc>
          <w:tcPr>
            <w:tcW w:w="932" w:type="pct"/>
          </w:tcPr>
          <w:p w14:paraId="5AEED495" w14:textId="77777777" w:rsidR="00211837" w:rsidRPr="00193822" w:rsidRDefault="00211837"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750 à 779 jours civils</w:t>
            </w:r>
          </w:p>
        </w:tc>
        <w:tc>
          <w:tcPr>
            <w:tcW w:w="1360" w:type="pct"/>
          </w:tcPr>
          <w:p w14:paraId="175E3531"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5</w:t>
            </w:r>
          </w:p>
        </w:tc>
        <w:tc>
          <w:tcPr>
            <w:tcW w:w="1360" w:type="pct"/>
          </w:tcPr>
          <w:p w14:paraId="142B6335"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w:t>
            </w:r>
          </w:p>
        </w:tc>
        <w:tc>
          <w:tcPr>
            <w:tcW w:w="1348" w:type="pct"/>
          </w:tcPr>
          <w:p w14:paraId="5F89A9E4"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3</w:t>
            </w:r>
          </w:p>
        </w:tc>
      </w:tr>
      <w:tr w:rsidR="00211837" w:rsidRPr="00193822" w14:paraId="19440AB4" w14:textId="77777777" w:rsidTr="00322780">
        <w:trPr>
          <w:cantSplit/>
          <w:trHeight w:val="290"/>
          <w:tblHeader/>
          <w:jc w:val="center"/>
        </w:trPr>
        <w:tc>
          <w:tcPr>
            <w:tcW w:w="932" w:type="pct"/>
          </w:tcPr>
          <w:p w14:paraId="325A0F09" w14:textId="77777777" w:rsidR="00211837" w:rsidRPr="00193822" w:rsidRDefault="00211837"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780 à 809 jours civils</w:t>
            </w:r>
          </w:p>
        </w:tc>
        <w:tc>
          <w:tcPr>
            <w:tcW w:w="1360" w:type="pct"/>
          </w:tcPr>
          <w:p w14:paraId="43FF9493"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8</w:t>
            </w:r>
          </w:p>
        </w:tc>
        <w:tc>
          <w:tcPr>
            <w:tcW w:w="1360" w:type="pct"/>
          </w:tcPr>
          <w:p w14:paraId="3EF3B01B"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w:t>
            </w:r>
          </w:p>
        </w:tc>
        <w:tc>
          <w:tcPr>
            <w:tcW w:w="1348" w:type="pct"/>
          </w:tcPr>
          <w:p w14:paraId="25B7DA72"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7</w:t>
            </w:r>
          </w:p>
        </w:tc>
      </w:tr>
      <w:tr w:rsidR="00211837" w:rsidRPr="00193822" w14:paraId="44CBCF57" w14:textId="77777777" w:rsidTr="00322780">
        <w:trPr>
          <w:cantSplit/>
          <w:trHeight w:val="290"/>
          <w:tblHeader/>
          <w:jc w:val="center"/>
        </w:trPr>
        <w:tc>
          <w:tcPr>
            <w:tcW w:w="932" w:type="pct"/>
          </w:tcPr>
          <w:p w14:paraId="625B5336" w14:textId="77777777" w:rsidR="00211837" w:rsidRPr="00193822" w:rsidRDefault="00211837"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810 à 839 jours civils</w:t>
            </w:r>
          </w:p>
        </w:tc>
        <w:tc>
          <w:tcPr>
            <w:tcW w:w="1360" w:type="pct"/>
          </w:tcPr>
          <w:p w14:paraId="649424D1"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4</w:t>
            </w:r>
          </w:p>
        </w:tc>
        <w:tc>
          <w:tcPr>
            <w:tcW w:w="1360" w:type="pct"/>
          </w:tcPr>
          <w:p w14:paraId="22555CD7"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w:t>
            </w:r>
          </w:p>
        </w:tc>
        <w:tc>
          <w:tcPr>
            <w:tcW w:w="1348" w:type="pct"/>
          </w:tcPr>
          <w:p w14:paraId="3FD761B2"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w:t>
            </w:r>
          </w:p>
        </w:tc>
      </w:tr>
      <w:tr w:rsidR="00211837" w:rsidRPr="00193822" w14:paraId="035DFAA7" w14:textId="77777777" w:rsidTr="00322780">
        <w:trPr>
          <w:cantSplit/>
          <w:trHeight w:val="290"/>
          <w:tblHeader/>
          <w:jc w:val="center"/>
        </w:trPr>
        <w:tc>
          <w:tcPr>
            <w:tcW w:w="932" w:type="pct"/>
          </w:tcPr>
          <w:p w14:paraId="59DE291A" w14:textId="77777777" w:rsidR="00211837" w:rsidRPr="00193822" w:rsidRDefault="00211837"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840 à 869 jours civils</w:t>
            </w:r>
          </w:p>
        </w:tc>
        <w:tc>
          <w:tcPr>
            <w:tcW w:w="1360" w:type="pct"/>
          </w:tcPr>
          <w:p w14:paraId="3ADBA4E2"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10</w:t>
            </w:r>
          </w:p>
        </w:tc>
        <w:tc>
          <w:tcPr>
            <w:tcW w:w="1360" w:type="pct"/>
          </w:tcPr>
          <w:p w14:paraId="17515529"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w:t>
            </w:r>
          </w:p>
        </w:tc>
        <w:tc>
          <w:tcPr>
            <w:tcW w:w="1348" w:type="pct"/>
          </w:tcPr>
          <w:p w14:paraId="263CBE51"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w:t>
            </w:r>
          </w:p>
        </w:tc>
      </w:tr>
      <w:tr w:rsidR="00211837" w:rsidRPr="00193822" w14:paraId="7C12DCB7" w14:textId="77777777" w:rsidTr="00322780">
        <w:trPr>
          <w:cantSplit/>
          <w:trHeight w:val="290"/>
          <w:tblHeader/>
          <w:jc w:val="center"/>
        </w:trPr>
        <w:tc>
          <w:tcPr>
            <w:tcW w:w="932" w:type="pct"/>
          </w:tcPr>
          <w:p w14:paraId="4765883F" w14:textId="77777777" w:rsidR="00211837" w:rsidRPr="00193822" w:rsidRDefault="00211837"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870 à 899 jours civils</w:t>
            </w:r>
          </w:p>
        </w:tc>
        <w:tc>
          <w:tcPr>
            <w:tcW w:w="1360" w:type="pct"/>
          </w:tcPr>
          <w:p w14:paraId="1D28BFD7"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4</w:t>
            </w:r>
          </w:p>
        </w:tc>
        <w:tc>
          <w:tcPr>
            <w:tcW w:w="1360" w:type="pct"/>
          </w:tcPr>
          <w:p w14:paraId="3F54649C"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w:t>
            </w:r>
          </w:p>
        </w:tc>
        <w:tc>
          <w:tcPr>
            <w:tcW w:w="1348" w:type="pct"/>
          </w:tcPr>
          <w:p w14:paraId="23A495C8"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w:t>
            </w:r>
          </w:p>
        </w:tc>
      </w:tr>
      <w:tr w:rsidR="00211837" w:rsidRPr="00193822" w14:paraId="607D1C30" w14:textId="77777777" w:rsidTr="00322780">
        <w:trPr>
          <w:cantSplit/>
          <w:trHeight w:val="290"/>
          <w:tblHeader/>
          <w:jc w:val="center"/>
        </w:trPr>
        <w:tc>
          <w:tcPr>
            <w:tcW w:w="932" w:type="pct"/>
          </w:tcPr>
          <w:p w14:paraId="7AAA481F" w14:textId="77777777" w:rsidR="00211837" w:rsidRPr="00193822" w:rsidRDefault="00211837"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900 à 929 jours civils</w:t>
            </w:r>
          </w:p>
        </w:tc>
        <w:tc>
          <w:tcPr>
            <w:tcW w:w="1360" w:type="pct"/>
          </w:tcPr>
          <w:p w14:paraId="719DBFF9"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5</w:t>
            </w:r>
          </w:p>
        </w:tc>
        <w:tc>
          <w:tcPr>
            <w:tcW w:w="1360" w:type="pct"/>
          </w:tcPr>
          <w:p w14:paraId="4BDAB741"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w:t>
            </w:r>
          </w:p>
        </w:tc>
        <w:tc>
          <w:tcPr>
            <w:tcW w:w="1348" w:type="pct"/>
          </w:tcPr>
          <w:p w14:paraId="20B525F0"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3</w:t>
            </w:r>
          </w:p>
        </w:tc>
      </w:tr>
      <w:tr w:rsidR="00211837" w:rsidRPr="00193822" w14:paraId="03DA1D9B" w14:textId="77777777" w:rsidTr="00322780">
        <w:trPr>
          <w:cantSplit/>
          <w:trHeight w:val="290"/>
          <w:tblHeader/>
          <w:jc w:val="center"/>
        </w:trPr>
        <w:tc>
          <w:tcPr>
            <w:tcW w:w="932" w:type="pct"/>
          </w:tcPr>
          <w:p w14:paraId="3AAF3986" w14:textId="77777777" w:rsidR="00211837" w:rsidRPr="00193822" w:rsidRDefault="00211837"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930 à 959 jours civils</w:t>
            </w:r>
          </w:p>
        </w:tc>
        <w:tc>
          <w:tcPr>
            <w:tcW w:w="1360" w:type="pct"/>
          </w:tcPr>
          <w:p w14:paraId="6F3EAC95"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5</w:t>
            </w:r>
          </w:p>
        </w:tc>
        <w:tc>
          <w:tcPr>
            <w:tcW w:w="1360" w:type="pct"/>
          </w:tcPr>
          <w:p w14:paraId="526FC757"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w:t>
            </w:r>
          </w:p>
        </w:tc>
        <w:tc>
          <w:tcPr>
            <w:tcW w:w="1348" w:type="pct"/>
          </w:tcPr>
          <w:p w14:paraId="253F2E26"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w:t>
            </w:r>
          </w:p>
        </w:tc>
      </w:tr>
      <w:tr w:rsidR="00211837" w:rsidRPr="00193822" w14:paraId="31A510A2" w14:textId="77777777" w:rsidTr="00322780">
        <w:trPr>
          <w:cantSplit/>
          <w:trHeight w:val="290"/>
          <w:tblHeader/>
          <w:jc w:val="center"/>
        </w:trPr>
        <w:tc>
          <w:tcPr>
            <w:tcW w:w="932" w:type="pct"/>
          </w:tcPr>
          <w:p w14:paraId="61AE86D1" w14:textId="77777777" w:rsidR="00211837" w:rsidRPr="00193822" w:rsidRDefault="00211837"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960 à 989 jours civils</w:t>
            </w:r>
          </w:p>
        </w:tc>
        <w:tc>
          <w:tcPr>
            <w:tcW w:w="1360" w:type="pct"/>
          </w:tcPr>
          <w:p w14:paraId="7F76F303"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3</w:t>
            </w:r>
          </w:p>
        </w:tc>
        <w:tc>
          <w:tcPr>
            <w:tcW w:w="1360" w:type="pct"/>
          </w:tcPr>
          <w:p w14:paraId="1155BA4C"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w:t>
            </w:r>
          </w:p>
        </w:tc>
        <w:tc>
          <w:tcPr>
            <w:tcW w:w="1348" w:type="pct"/>
          </w:tcPr>
          <w:p w14:paraId="20D8A0FF"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w:t>
            </w:r>
          </w:p>
        </w:tc>
      </w:tr>
      <w:tr w:rsidR="00211837" w:rsidRPr="00193822" w14:paraId="5E0A5AB6" w14:textId="77777777" w:rsidTr="00322780">
        <w:trPr>
          <w:cantSplit/>
          <w:trHeight w:val="290"/>
          <w:tblHeader/>
          <w:jc w:val="center"/>
        </w:trPr>
        <w:tc>
          <w:tcPr>
            <w:tcW w:w="932" w:type="pct"/>
          </w:tcPr>
          <w:p w14:paraId="247BE0F5" w14:textId="77777777" w:rsidR="00211837" w:rsidRPr="00193822" w:rsidRDefault="00211837" w:rsidP="008C52C5">
            <w:pPr>
              <w:autoSpaceDE w:val="0"/>
              <w:autoSpaceDN w:val="0"/>
              <w:adjustRightInd w:val="0"/>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Plus de 990 jours civils</w:t>
            </w:r>
          </w:p>
        </w:tc>
        <w:tc>
          <w:tcPr>
            <w:tcW w:w="1360" w:type="pct"/>
          </w:tcPr>
          <w:p w14:paraId="3F71E322"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23</w:t>
            </w:r>
          </w:p>
        </w:tc>
        <w:tc>
          <w:tcPr>
            <w:tcW w:w="1360" w:type="pct"/>
          </w:tcPr>
          <w:p w14:paraId="0F2357CF"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1</w:t>
            </w:r>
          </w:p>
        </w:tc>
        <w:tc>
          <w:tcPr>
            <w:tcW w:w="1348" w:type="pct"/>
          </w:tcPr>
          <w:p w14:paraId="59EC6C7A" w14:textId="77777777" w:rsidR="00211837" w:rsidRPr="00193822" w:rsidRDefault="00211837" w:rsidP="008C52C5">
            <w:pPr>
              <w:autoSpaceDE w:val="0"/>
              <w:autoSpaceDN w:val="0"/>
              <w:adjustRightInd w:val="0"/>
              <w:jc w:val="center"/>
              <w:rPr>
                <w:rFonts w:asciiTheme="minorHAnsi" w:hAnsiTheme="minorHAnsi" w:cstheme="minorHAnsi"/>
                <w:color w:val="000000"/>
                <w:sz w:val="22"/>
                <w:szCs w:val="22"/>
                <w:lang w:val="fr-CA"/>
              </w:rPr>
            </w:pPr>
            <w:r w:rsidRPr="00193822">
              <w:rPr>
                <w:rFonts w:asciiTheme="minorHAnsi" w:hAnsiTheme="minorHAnsi" w:cstheme="minorHAnsi"/>
                <w:color w:val="000000"/>
                <w:sz w:val="22"/>
                <w:szCs w:val="22"/>
                <w:lang w:val="fr-CA"/>
              </w:rPr>
              <w:t>0</w:t>
            </w:r>
          </w:p>
        </w:tc>
      </w:tr>
    </w:tbl>
    <w:p w14:paraId="664401CA" w14:textId="77777777" w:rsidR="00211837" w:rsidRPr="00193822" w:rsidRDefault="00211837" w:rsidP="00D60C4D">
      <w:pPr>
        <w:rPr>
          <w:b/>
          <w:bCs/>
          <w:lang w:val="fr-CA"/>
        </w:rPr>
        <w:sectPr w:rsidR="00211837" w:rsidRPr="00193822" w:rsidSect="003F6509">
          <w:footnotePr>
            <w:numFmt w:val="lowerLetter"/>
          </w:footnotePr>
          <w:endnotePr>
            <w:numFmt w:val="lowerLetter"/>
          </w:endnotePr>
          <w:pgSz w:w="24480" w:h="15840" w:orient="landscape" w:code="3"/>
          <w:pgMar w:top="1440" w:right="1080" w:bottom="1440" w:left="1080" w:header="284" w:footer="284" w:gutter="0"/>
          <w:cols w:space="720"/>
          <w:docGrid w:linePitch="326"/>
        </w:sectPr>
      </w:pPr>
    </w:p>
    <w:p w14:paraId="2D5A9218" w14:textId="6C2EAE41" w:rsidR="00862C57" w:rsidRPr="00193822" w:rsidRDefault="00C85BD9" w:rsidP="00C85BD9">
      <w:pPr>
        <w:pStyle w:val="Titre1"/>
        <w:rPr>
          <w:rStyle w:val="lev"/>
          <w:rFonts w:asciiTheme="majorHAnsi" w:hAnsiTheme="majorHAnsi"/>
          <w:b w:val="0"/>
          <w:bCs w:val="0"/>
          <w:sz w:val="40"/>
          <w:lang w:val="fr-CA"/>
        </w:rPr>
      </w:pPr>
      <w:r w:rsidRPr="002475AF">
        <w:rPr>
          <w:sz w:val="40"/>
        </w:rPr>
        <w:lastRenderedPageBreak/>
        <w:t>Notes techniques</w:t>
      </w:r>
      <w:r w:rsidR="00862C57" w:rsidRPr="00193822">
        <w:rPr>
          <w:rStyle w:val="lev"/>
          <w:rFonts w:asciiTheme="majorHAnsi" w:hAnsiTheme="majorHAnsi"/>
          <w:b w:val="0"/>
          <w:bCs w:val="0"/>
          <w:sz w:val="40"/>
          <w:lang w:val="fr-CA"/>
        </w:rPr>
        <w:t>:</w:t>
      </w:r>
    </w:p>
    <w:p w14:paraId="476A3D14" w14:textId="77777777" w:rsidR="00862C57" w:rsidRPr="00193822" w:rsidRDefault="00862C57" w:rsidP="00322780">
      <w:pPr>
        <w:pStyle w:val="Paragraphedeliste"/>
        <w:numPr>
          <w:ilvl w:val="0"/>
          <w:numId w:val="10"/>
        </w:numPr>
        <w:spacing w:after="0"/>
        <w:ind w:left="426" w:hanging="426"/>
        <w:contextualSpacing w:val="0"/>
        <w:rPr>
          <w:rFonts w:asciiTheme="minorHAnsi" w:hAnsiTheme="minorHAnsi" w:cstheme="minorHAnsi"/>
          <w:sz w:val="22"/>
          <w:szCs w:val="22"/>
          <w:lang w:val="fr-CA"/>
        </w:rPr>
      </w:pPr>
      <w:r w:rsidRPr="00193822">
        <w:rPr>
          <w:rFonts w:asciiTheme="minorHAnsi" w:eastAsiaTheme="minorHAnsi" w:hAnsiTheme="minorHAnsi" w:cstheme="minorHAnsi"/>
          <w:bCs/>
          <w:sz w:val="22"/>
          <w:szCs w:val="22"/>
          <w:lang w:val="fr-CA"/>
        </w:rPr>
        <w:t xml:space="preserve">Le temps nécessaire à la dotation - Nominations internes (TND-NI) est le nombre médian de jours civils entre la date d'ouverture d'une annonce interne et la date du premier avis de nomination ou de proposition de nomination (PANA) du Système de ressourcement de la fonction publique (SRFP) pour les postes internes de durée déterminée et ceux pour une période indéterminée. </w:t>
      </w:r>
      <w:r w:rsidRPr="00193822">
        <w:rPr>
          <w:rFonts w:asciiTheme="minorHAnsi" w:hAnsiTheme="minorHAnsi" w:cstheme="minorHAnsi"/>
          <w:sz w:val="22"/>
          <w:szCs w:val="22"/>
          <w:lang w:val="fr-CA"/>
        </w:rPr>
        <w:t>Les PANA ne sont pas requis pour toutes les activités de dotation interne. Par conséquent, cette mesure se limite aux rapports sur les nominations promotionnels internes.</w:t>
      </w:r>
    </w:p>
    <w:p w14:paraId="51B614E9" w14:textId="77777777" w:rsidR="00862C57" w:rsidRPr="00193822" w:rsidRDefault="00862C57" w:rsidP="00322780">
      <w:pPr>
        <w:pStyle w:val="Paragraphedeliste"/>
        <w:numPr>
          <w:ilvl w:val="0"/>
          <w:numId w:val="9"/>
        </w:numPr>
        <w:spacing w:after="0"/>
        <w:ind w:left="360"/>
        <w:contextualSpacing w:val="0"/>
        <w:rPr>
          <w:rFonts w:asciiTheme="minorHAnsi" w:eastAsiaTheme="minorHAnsi" w:hAnsiTheme="minorHAnsi" w:cstheme="minorHAnsi"/>
          <w:bCs/>
          <w:sz w:val="22"/>
          <w:szCs w:val="22"/>
          <w:lang w:val="fr-CA"/>
        </w:rPr>
      </w:pPr>
      <w:r w:rsidRPr="00193822">
        <w:rPr>
          <w:rFonts w:asciiTheme="minorHAnsi" w:eastAsiaTheme="minorHAnsi" w:hAnsiTheme="minorHAnsi" w:cstheme="minorHAnsi"/>
          <w:bCs/>
          <w:sz w:val="22"/>
          <w:szCs w:val="22"/>
          <w:lang w:val="fr-CA"/>
        </w:rPr>
        <w:t>Seules les nominations d'une durée déterminée et les nominations pour une période indéterminée sont incluses (les mutations, les nominations d’employés occasionnels et les nominations intérimaires sont exclues).</w:t>
      </w:r>
    </w:p>
    <w:p w14:paraId="1578F5A2" w14:textId="0AD8EA58" w:rsidR="00862C57" w:rsidRPr="002475AF" w:rsidRDefault="00C85BD9" w:rsidP="002475AF">
      <w:pPr>
        <w:pStyle w:val="Titre1"/>
        <w:rPr>
          <w:rStyle w:val="lev"/>
          <w:rFonts w:asciiTheme="majorHAnsi" w:hAnsiTheme="majorHAnsi"/>
          <w:b w:val="0"/>
          <w:bCs w:val="0"/>
          <w:sz w:val="40"/>
        </w:rPr>
      </w:pPr>
      <w:r w:rsidRPr="002475AF">
        <w:rPr>
          <w:rStyle w:val="lev"/>
          <w:rFonts w:asciiTheme="majorHAnsi" w:hAnsiTheme="majorHAnsi"/>
          <w:b w:val="0"/>
          <w:bCs w:val="0"/>
          <w:sz w:val="40"/>
        </w:rPr>
        <w:t>Source</w:t>
      </w:r>
      <w:r w:rsidR="00862C57" w:rsidRPr="002475AF">
        <w:rPr>
          <w:rStyle w:val="lev"/>
          <w:rFonts w:asciiTheme="majorHAnsi" w:hAnsiTheme="majorHAnsi"/>
          <w:b w:val="0"/>
          <w:bCs w:val="0"/>
          <w:sz w:val="40"/>
        </w:rPr>
        <w:t>:</w:t>
      </w:r>
    </w:p>
    <w:p w14:paraId="5C740105" w14:textId="77777777" w:rsidR="00862C57" w:rsidRPr="00193822" w:rsidRDefault="00862C57" w:rsidP="00322780">
      <w:pPr>
        <w:pStyle w:val="Paragraphedeliste"/>
        <w:numPr>
          <w:ilvl w:val="0"/>
          <w:numId w:val="9"/>
        </w:numPr>
        <w:spacing w:after="0"/>
        <w:ind w:left="360"/>
        <w:contextualSpacing w:val="0"/>
        <w:rPr>
          <w:rFonts w:asciiTheme="minorHAnsi" w:eastAsiaTheme="minorHAnsi" w:hAnsiTheme="minorHAnsi" w:cstheme="minorHAnsi"/>
          <w:bCs/>
          <w:sz w:val="22"/>
          <w:szCs w:val="22"/>
          <w:lang w:val="fr-CA"/>
        </w:rPr>
      </w:pPr>
      <w:r w:rsidRPr="00193822">
        <w:rPr>
          <w:rFonts w:asciiTheme="minorHAnsi" w:eastAsiaTheme="minorHAnsi" w:hAnsiTheme="minorHAnsi" w:cstheme="minorHAnsi"/>
          <w:bCs/>
          <w:sz w:val="22"/>
          <w:szCs w:val="22"/>
          <w:lang w:val="fr-CA"/>
        </w:rPr>
        <w:t>Les données sur les activités d’embauche et de dotation sont tirées des renseignements du Fichier des titulaires du Secrétariat du Conseil du Trésor du Canada.  Le Fichier des titulaires est extrait du système de rémunération de Services publics et Approvisionnement Canada.  Les données constituent une estimation des activités d’embauche et de dotation des organisations.</w:t>
      </w:r>
    </w:p>
    <w:p w14:paraId="72055584" w14:textId="77777777" w:rsidR="00862C57" w:rsidRPr="00193822" w:rsidRDefault="00862C57" w:rsidP="00322780">
      <w:pPr>
        <w:pStyle w:val="Paragraphedeliste"/>
        <w:numPr>
          <w:ilvl w:val="0"/>
          <w:numId w:val="9"/>
        </w:numPr>
        <w:spacing w:after="0"/>
        <w:ind w:left="360"/>
        <w:contextualSpacing w:val="0"/>
        <w:rPr>
          <w:rFonts w:asciiTheme="minorHAnsi" w:eastAsiaTheme="minorHAnsi" w:hAnsiTheme="minorHAnsi" w:cstheme="minorHAnsi"/>
          <w:bCs/>
          <w:sz w:val="22"/>
          <w:szCs w:val="22"/>
          <w:lang w:val="fr-CA"/>
        </w:rPr>
      </w:pPr>
      <w:r w:rsidRPr="00193822">
        <w:rPr>
          <w:rFonts w:asciiTheme="minorHAnsi" w:eastAsiaTheme="minorHAnsi" w:hAnsiTheme="minorHAnsi" w:cstheme="minorHAnsi"/>
          <w:bCs/>
          <w:sz w:val="22"/>
          <w:szCs w:val="22"/>
          <w:lang w:val="fr-CA"/>
        </w:rPr>
        <w:t>L’information du Système de gestion de l’information sur les priorités et du Système de ressourcement de la fonction publique est également utilisée pour déterminer si les processus de dotation sont annoncés ou non annoncés, et pour calculer la durée du processus de dotation.</w:t>
      </w:r>
    </w:p>
    <w:p w14:paraId="08B5D2A7" w14:textId="3EA4E54A" w:rsidR="00862C57" w:rsidRPr="00193822" w:rsidRDefault="00862C57" w:rsidP="00322780">
      <w:pPr>
        <w:pStyle w:val="Paragraphedeliste"/>
        <w:numPr>
          <w:ilvl w:val="0"/>
          <w:numId w:val="9"/>
        </w:numPr>
        <w:spacing w:after="0"/>
        <w:ind w:left="360"/>
        <w:contextualSpacing w:val="0"/>
        <w:rPr>
          <w:rFonts w:cs="Arial"/>
          <w:szCs w:val="24"/>
          <w:lang w:val="fr-CA"/>
        </w:rPr>
      </w:pPr>
      <w:r w:rsidRPr="00193822">
        <w:rPr>
          <w:rFonts w:asciiTheme="minorHAnsi" w:eastAsiaTheme="minorHAnsi" w:hAnsiTheme="minorHAnsi" w:cstheme="minorHAnsi"/>
          <w:bCs/>
          <w:sz w:val="22"/>
          <w:szCs w:val="22"/>
          <w:lang w:val="fr-CA"/>
        </w:rPr>
        <w:t>Ces données ne correspondent pas nécessairement aux donnés sur les ressources humaines de chaque organisation en raison des différences de méthodologie et des périodes visées par l’analyse.</w:t>
      </w:r>
    </w:p>
    <w:p w14:paraId="6CAE538B" w14:textId="77777777" w:rsidR="00862C57" w:rsidRPr="00193822" w:rsidRDefault="00862C57" w:rsidP="00322780">
      <w:pPr>
        <w:pStyle w:val="Paragraphedeliste"/>
        <w:numPr>
          <w:ilvl w:val="0"/>
          <w:numId w:val="14"/>
        </w:numPr>
        <w:spacing w:before="240" w:after="0"/>
        <w:ind w:left="360"/>
        <w:contextualSpacing w:val="0"/>
        <w:rPr>
          <w:rFonts w:asciiTheme="minorHAnsi" w:hAnsiTheme="minorHAnsi" w:cstheme="minorHAnsi"/>
          <w:sz w:val="22"/>
          <w:szCs w:val="22"/>
          <w:lang w:val="fr-CA"/>
        </w:rPr>
      </w:pPr>
      <w:r w:rsidRPr="00193822">
        <w:rPr>
          <w:rFonts w:asciiTheme="minorHAnsi" w:hAnsiTheme="minorHAnsi" w:cstheme="minorHAnsi"/>
          <w:sz w:val="22"/>
          <w:szCs w:val="22"/>
          <w:lang w:val="fr-CA"/>
        </w:rPr>
        <w:t>Le temps nécessaire à la dotation – Nominations internes (TND-NI) est le nombre médian de jours civils entre la date d’ouverture d’une annonce interne et la date du premier avis de nomination ou de proposition de nomination (PANA) du Système de ressourcement de la fonction publique pour les postes internes de durée déterminée et indéterminée. Les PANA ne sont pas requis pour toutes les activités de dotation interne. Par conséquent, cette mesure se limite aux rapports sur les nominations promotionnels internes</w:t>
      </w:r>
    </w:p>
    <w:p w14:paraId="76C7EA50" w14:textId="77777777" w:rsidR="00862C57" w:rsidRPr="00193822" w:rsidRDefault="00862C57" w:rsidP="00D60C4D">
      <w:pPr>
        <w:pStyle w:val="Paragraphedeliste"/>
        <w:numPr>
          <w:ilvl w:val="0"/>
          <w:numId w:val="14"/>
        </w:numPr>
        <w:spacing w:after="0"/>
        <w:ind w:left="360"/>
        <w:contextualSpacing w:val="0"/>
        <w:rPr>
          <w:rFonts w:asciiTheme="minorHAnsi" w:hAnsiTheme="minorHAnsi" w:cstheme="minorHAnsi"/>
          <w:sz w:val="22"/>
          <w:szCs w:val="22"/>
          <w:lang w:val="fr-CA"/>
        </w:rPr>
      </w:pPr>
      <w:r w:rsidRPr="00193822">
        <w:rPr>
          <w:rFonts w:asciiTheme="minorHAnsi" w:hAnsiTheme="minorHAnsi" w:cstheme="minorHAnsi"/>
          <w:sz w:val="22"/>
          <w:szCs w:val="22"/>
          <w:lang w:val="fr-CA"/>
        </w:rPr>
        <w:t>Seules les nominations à des postes de durée déterminée et les nominations à des postes pour une période indéterminée sont incluses (les mutations, les nominations occasionnelles et les nominations intérimaires sont exclues)</w:t>
      </w:r>
    </w:p>
    <w:p w14:paraId="6E74F1C6" w14:textId="77777777" w:rsidR="00862C57" w:rsidRPr="00193822" w:rsidRDefault="00862C57" w:rsidP="00D60C4D">
      <w:pPr>
        <w:pStyle w:val="Paragraphedeliste"/>
        <w:numPr>
          <w:ilvl w:val="0"/>
          <w:numId w:val="14"/>
        </w:numPr>
        <w:spacing w:after="0"/>
        <w:ind w:left="360"/>
        <w:contextualSpacing w:val="0"/>
        <w:rPr>
          <w:rFonts w:asciiTheme="minorHAnsi" w:hAnsiTheme="minorHAnsi" w:cstheme="minorHAnsi"/>
          <w:sz w:val="22"/>
          <w:szCs w:val="22"/>
          <w:lang w:val="fr-CA"/>
        </w:rPr>
      </w:pPr>
      <w:r w:rsidRPr="00193822">
        <w:rPr>
          <w:rFonts w:asciiTheme="minorHAnsi" w:hAnsiTheme="minorHAnsi" w:cstheme="minorHAnsi"/>
          <w:sz w:val="22"/>
          <w:szCs w:val="22"/>
          <w:lang w:val="fr-CA"/>
        </w:rPr>
        <w:t>Parce que le lien des données entre les systèmes utilise un jumelage probabiliste, des erreurs de mesure sont donc possibles</w:t>
      </w:r>
    </w:p>
    <w:p w14:paraId="2E6298E4" w14:textId="77777777" w:rsidR="00862C57" w:rsidRPr="00193822" w:rsidRDefault="00862C57" w:rsidP="00D60C4D">
      <w:pPr>
        <w:pStyle w:val="Paragraphedeliste"/>
        <w:numPr>
          <w:ilvl w:val="0"/>
          <w:numId w:val="14"/>
        </w:numPr>
        <w:spacing w:after="0"/>
        <w:ind w:left="360"/>
        <w:contextualSpacing w:val="0"/>
        <w:rPr>
          <w:rFonts w:asciiTheme="minorHAnsi" w:hAnsiTheme="minorHAnsi" w:cstheme="minorHAnsi"/>
          <w:sz w:val="22"/>
          <w:szCs w:val="22"/>
          <w:lang w:val="fr-CA"/>
        </w:rPr>
      </w:pPr>
      <w:r w:rsidRPr="00193822">
        <w:rPr>
          <w:rFonts w:asciiTheme="minorHAnsi" w:hAnsiTheme="minorHAnsi" w:cstheme="minorHAnsi"/>
          <w:sz w:val="22"/>
          <w:szCs w:val="22"/>
          <w:lang w:val="fr-CA"/>
        </w:rPr>
        <w:t>Les données sur les activités d’embauche et de dotation sont tirées des renseignements du Fichier des titulaires du Secrétariat du Conseil du Trésor du Canada.  Le Fichier des titulaires est extrait du système de rémunération de Services publics et Approvisionnement Canada.  Les données constituent une estimation des activités d’embauche et de dotation des organisations.</w:t>
      </w:r>
    </w:p>
    <w:p w14:paraId="17903D32" w14:textId="77777777" w:rsidR="00862C57" w:rsidRPr="00193822" w:rsidRDefault="00862C57" w:rsidP="00D60C4D">
      <w:pPr>
        <w:pStyle w:val="Paragraphedeliste"/>
        <w:numPr>
          <w:ilvl w:val="0"/>
          <w:numId w:val="14"/>
        </w:numPr>
        <w:spacing w:after="0"/>
        <w:ind w:left="360"/>
        <w:contextualSpacing w:val="0"/>
        <w:rPr>
          <w:rFonts w:asciiTheme="minorHAnsi" w:hAnsiTheme="minorHAnsi" w:cstheme="minorHAnsi"/>
          <w:sz w:val="22"/>
          <w:szCs w:val="22"/>
          <w:lang w:val="fr-CA"/>
        </w:rPr>
      </w:pPr>
      <w:r w:rsidRPr="00193822">
        <w:rPr>
          <w:rFonts w:asciiTheme="minorHAnsi" w:hAnsiTheme="minorHAnsi" w:cstheme="minorHAnsi"/>
          <w:sz w:val="22"/>
          <w:szCs w:val="22"/>
          <w:lang w:val="fr-CA"/>
        </w:rPr>
        <w:t>L’information du Système de gestion de l’information sur les priorités et du Système de ressourcement de la fonction publique est également utilisée pour déterminer si les processus de dotation sont annoncés ou non annoncés, et pour calculer la durée du processus de dotation.</w:t>
      </w:r>
    </w:p>
    <w:p w14:paraId="13885CE4" w14:textId="77777777" w:rsidR="00862C57" w:rsidRPr="00193822" w:rsidRDefault="00862C57" w:rsidP="00D60C4D">
      <w:pPr>
        <w:pStyle w:val="Paragraphedeliste"/>
        <w:numPr>
          <w:ilvl w:val="0"/>
          <w:numId w:val="14"/>
        </w:numPr>
        <w:spacing w:after="0"/>
        <w:ind w:left="360"/>
        <w:contextualSpacing w:val="0"/>
        <w:rPr>
          <w:rFonts w:asciiTheme="minorHAnsi" w:hAnsiTheme="minorHAnsi" w:cstheme="minorHAnsi"/>
          <w:sz w:val="22"/>
          <w:szCs w:val="22"/>
          <w:lang w:val="fr-CA"/>
        </w:rPr>
      </w:pPr>
      <w:r w:rsidRPr="00193822">
        <w:rPr>
          <w:rFonts w:asciiTheme="minorHAnsi" w:hAnsiTheme="minorHAnsi" w:cstheme="minorHAnsi"/>
          <w:sz w:val="22"/>
          <w:szCs w:val="22"/>
          <w:lang w:val="fr-CA"/>
        </w:rPr>
        <w:t>Ces données ne correspondent pas nécessairement aux donnés sur les ressources humaines de chaque organisation en raison des différences de méthodologie et des périodes visées par l’analyse.</w:t>
      </w:r>
    </w:p>
    <w:sectPr w:rsidR="00862C57" w:rsidRPr="00193822" w:rsidSect="003F6509">
      <w:headerReference w:type="default" r:id="rId25"/>
      <w:footerReference w:type="default" r:id="rId26"/>
      <w:pgSz w:w="12240" w:h="15840"/>
      <w:pgMar w:top="1440" w:right="1080" w:bottom="1440" w:left="1080" w:header="708"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BE925" w14:textId="77777777" w:rsidR="00954825" w:rsidRDefault="00954825" w:rsidP="0051557E">
      <w:r>
        <w:separator/>
      </w:r>
    </w:p>
  </w:endnote>
  <w:endnote w:type="continuationSeparator" w:id="0">
    <w:p w14:paraId="353623DA" w14:textId="77777777" w:rsidR="00954825" w:rsidRDefault="00954825" w:rsidP="0051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8648B" w14:textId="77777777" w:rsidR="00954825" w:rsidRPr="00ED49DF" w:rsidRDefault="00954825" w:rsidP="0023110A">
    <w:pPr>
      <w:pStyle w:val="Pieddepage"/>
      <w:jc w:val="center"/>
      <w:rPr>
        <w:sz w:val="20"/>
        <w:lang w:val="fr-CA"/>
      </w:rPr>
    </w:pPr>
    <w:r w:rsidRPr="0079292E">
      <w:rPr>
        <w:sz w:val="20"/>
        <w:lang w:val="fr-CA"/>
      </w:rPr>
      <w:t xml:space="preserve">Produit par la Direction des services de données et de l’analyse de la Commission de la fonction publique du Canada – Mise à jour le </w:t>
    </w:r>
    <w:r>
      <w:rPr>
        <w:sz w:val="20"/>
        <w:lang w:val="fr-CA"/>
      </w:rPr>
      <w:t xml:space="preserve">26 août </w:t>
    </w:r>
    <w:r w:rsidRPr="0079292E">
      <w:rPr>
        <w:sz w:val="20"/>
        <w:lang w:val="fr-CA"/>
      </w:rPr>
      <w:t>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AD30D" w14:textId="77777777" w:rsidR="00954825" w:rsidRDefault="00954825" w:rsidP="00370A29">
    <w:pPr>
      <w:pBdr>
        <w:top w:val="single" w:sz="4" w:space="1" w:color="D9D9D9"/>
      </w:pBdr>
      <w:tabs>
        <w:tab w:val="center" w:pos="4680"/>
        <w:tab w:val="right" w:pos="9360"/>
      </w:tabs>
    </w:pPr>
    <w:r w:rsidRPr="006B2FDC">
      <w:rPr>
        <w:rFonts w:ascii="Calibri" w:eastAsia="Calibri" w:hAnsi="Calibri" w:cs="Arial"/>
        <w:sz w:val="16"/>
        <w:szCs w:val="22"/>
        <w:lang w:val="fr-CA"/>
      </w:rPr>
      <w:fldChar w:fldCharType="begin"/>
    </w:r>
    <w:r w:rsidRPr="006B2FDC">
      <w:rPr>
        <w:rFonts w:ascii="Calibri" w:eastAsia="Calibri" w:hAnsi="Calibri" w:cs="Arial"/>
        <w:sz w:val="16"/>
        <w:szCs w:val="22"/>
        <w:lang w:val="en-CA"/>
      </w:rPr>
      <w:instrText xml:space="preserve"> PAGE   \* MERGEFORMAT </w:instrText>
    </w:r>
    <w:r w:rsidRPr="006B2FDC">
      <w:rPr>
        <w:rFonts w:ascii="Calibri" w:eastAsia="Calibri" w:hAnsi="Calibri" w:cs="Arial"/>
        <w:sz w:val="16"/>
        <w:szCs w:val="22"/>
        <w:lang w:val="fr-CA"/>
      </w:rPr>
      <w:fldChar w:fldCharType="separate"/>
    </w:r>
    <w:r w:rsidR="00A336D2" w:rsidRPr="00A336D2">
      <w:rPr>
        <w:rFonts w:ascii="Calibri" w:eastAsia="Calibri" w:hAnsi="Calibri" w:cs="Arial"/>
        <w:b/>
        <w:bCs/>
        <w:noProof/>
        <w:sz w:val="16"/>
        <w:szCs w:val="22"/>
        <w:lang w:val="en-CA"/>
      </w:rPr>
      <w:t>2</w:t>
    </w:r>
    <w:r w:rsidRPr="006B2FDC">
      <w:rPr>
        <w:rFonts w:ascii="Calibri" w:eastAsia="Calibri" w:hAnsi="Calibri" w:cs="Arial"/>
        <w:b/>
        <w:bCs/>
        <w:noProof/>
        <w:sz w:val="16"/>
        <w:szCs w:val="22"/>
        <w:lang w:val="fr-CA"/>
      </w:rPr>
      <w:fldChar w:fldCharType="end"/>
    </w:r>
    <w:r w:rsidRPr="006B2FDC">
      <w:rPr>
        <w:rFonts w:ascii="Calibri" w:eastAsia="Calibri" w:hAnsi="Calibri" w:cs="Arial"/>
        <w:b/>
        <w:bCs/>
        <w:sz w:val="16"/>
        <w:szCs w:val="22"/>
        <w:lang w:val="en-CA"/>
      </w:rPr>
      <w:t xml:space="preserve"> </w:t>
    </w:r>
    <w:r>
      <w:rPr>
        <w:rFonts w:ascii="Calibri" w:eastAsia="Calibri" w:hAnsi="Calibri" w:cs="Arial"/>
        <w:color w:val="7F7F7F"/>
        <w:spacing w:val="60"/>
        <w:sz w:val="16"/>
        <w:szCs w:val="22"/>
        <w:lang w:val="en-CA"/>
      </w:rPr>
      <w:tab/>
    </w:r>
    <w:r>
      <w:rPr>
        <w:rFonts w:ascii="Calibri" w:eastAsia="Calibri" w:hAnsi="Calibri" w:cs="Arial"/>
        <w:color w:val="7F7F7F"/>
        <w:spacing w:val="60"/>
        <w:sz w:val="16"/>
        <w:szCs w:val="22"/>
        <w:lang w:val="en-CA"/>
      </w:rPr>
      <w:tab/>
    </w:r>
    <w:r w:rsidRPr="006B2FDC">
      <w:rPr>
        <w:rFonts w:ascii="Calibri" w:eastAsia="Calibri" w:hAnsi="Calibri" w:cs="Arial"/>
        <w:sz w:val="16"/>
        <w:szCs w:val="22"/>
        <w:lang w:val="en-CA"/>
      </w:rPr>
      <w:t xml:space="preserve">GCDOCS </w:t>
    </w:r>
    <w:r w:rsidRPr="006E7753">
      <w:rPr>
        <w:rFonts w:ascii="Calibri" w:eastAsia="Calibri" w:hAnsi="Calibri" w:cs="Arial"/>
        <w:sz w:val="16"/>
        <w:szCs w:val="22"/>
        <w:lang w:val="en-CA"/>
      </w:rPr>
      <w:t>10011124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57480" w14:textId="432E5DC8" w:rsidR="00954825" w:rsidRPr="00370A29" w:rsidRDefault="00954825" w:rsidP="00370A29">
    <w:pPr>
      <w:pBdr>
        <w:top w:val="single" w:sz="4" w:space="1" w:color="D9D9D9"/>
      </w:pBdr>
      <w:tabs>
        <w:tab w:val="center" w:pos="4680"/>
        <w:tab w:val="right" w:pos="9360"/>
      </w:tabs>
      <w:rPr>
        <w:vanish/>
      </w:rPr>
    </w:pPr>
    <w:r w:rsidRPr="006B2FDC">
      <w:rPr>
        <w:rFonts w:ascii="Calibri" w:eastAsia="Calibri" w:hAnsi="Calibri" w:cs="Arial"/>
        <w:sz w:val="16"/>
        <w:szCs w:val="22"/>
        <w:lang w:val="fr-CA"/>
      </w:rPr>
      <w:fldChar w:fldCharType="begin"/>
    </w:r>
    <w:r w:rsidRPr="006B2FDC">
      <w:rPr>
        <w:rFonts w:ascii="Calibri" w:eastAsia="Calibri" w:hAnsi="Calibri" w:cs="Arial"/>
        <w:sz w:val="16"/>
        <w:szCs w:val="22"/>
        <w:lang w:val="en-CA"/>
      </w:rPr>
      <w:instrText xml:space="preserve"> PAGE   \* MERGEFORMAT </w:instrText>
    </w:r>
    <w:r w:rsidRPr="006B2FDC">
      <w:rPr>
        <w:rFonts w:ascii="Calibri" w:eastAsia="Calibri" w:hAnsi="Calibri" w:cs="Arial"/>
        <w:sz w:val="16"/>
        <w:szCs w:val="22"/>
        <w:lang w:val="fr-CA"/>
      </w:rPr>
      <w:fldChar w:fldCharType="separate"/>
    </w:r>
    <w:r w:rsidR="00A336D2" w:rsidRPr="00A336D2">
      <w:rPr>
        <w:rFonts w:ascii="Calibri" w:eastAsia="Calibri" w:hAnsi="Calibri" w:cs="Arial"/>
        <w:b/>
        <w:bCs/>
        <w:noProof/>
        <w:sz w:val="16"/>
        <w:szCs w:val="22"/>
        <w:lang w:val="en-CA"/>
      </w:rPr>
      <w:t>1</w:t>
    </w:r>
    <w:r w:rsidRPr="006B2FDC">
      <w:rPr>
        <w:rFonts w:ascii="Calibri" w:eastAsia="Calibri" w:hAnsi="Calibri" w:cs="Arial"/>
        <w:b/>
        <w:bCs/>
        <w:noProof/>
        <w:sz w:val="16"/>
        <w:szCs w:val="22"/>
        <w:lang w:val="fr-CA"/>
      </w:rPr>
      <w:fldChar w:fldCharType="end"/>
    </w:r>
    <w:r w:rsidRPr="006B2FDC">
      <w:rPr>
        <w:rFonts w:ascii="Calibri" w:eastAsia="Calibri" w:hAnsi="Calibri" w:cs="Arial"/>
        <w:b/>
        <w:bCs/>
        <w:sz w:val="16"/>
        <w:szCs w:val="22"/>
        <w:lang w:val="en-CA"/>
      </w:rPr>
      <w:t xml:space="preserve"> </w:t>
    </w:r>
    <w:r>
      <w:rPr>
        <w:rFonts w:ascii="Calibri" w:eastAsia="Calibri" w:hAnsi="Calibri" w:cs="Arial"/>
        <w:color w:val="7F7F7F"/>
        <w:spacing w:val="60"/>
        <w:sz w:val="16"/>
        <w:szCs w:val="22"/>
        <w:lang w:val="en-CA"/>
      </w:rPr>
      <w:tab/>
    </w:r>
    <w:r>
      <w:rPr>
        <w:rFonts w:ascii="Calibri" w:eastAsia="Calibri" w:hAnsi="Calibri" w:cs="Arial"/>
        <w:color w:val="7F7F7F"/>
        <w:spacing w:val="60"/>
        <w:sz w:val="16"/>
        <w:szCs w:val="22"/>
        <w:lang w:val="en-CA"/>
      </w:rPr>
      <w:tab/>
    </w:r>
    <w:r w:rsidRPr="006B2FDC">
      <w:rPr>
        <w:rFonts w:ascii="Calibri" w:eastAsia="Calibri" w:hAnsi="Calibri" w:cs="Arial"/>
        <w:sz w:val="16"/>
        <w:szCs w:val="22"/>
        <w:lang w:val="en-CA"/>
      </w:rPr>
      <w:t xml:space="preserve">GCDOCS </w:t>
    </w:r>
    <w:r w:rsidRPr="006E7753">
      <w:rPr>
        <w:rFonts w:ascii="Calibri" w:eastAsia="Calibri" w:hAnsi="Calibri" w:cs="Arial"/>
        <w:sz w:val="16"/>
        <w:szCs w:val="22"/>
        <w:lang w:val="en-CA"/>
      </w:rPr>
      <w:t>10011124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B4733" w14:textId="6411C5F2" w:rsidR="00954825" w:rsidRDefault="00954825" w:rsidP="000B519E">
    <w:pPr>
      <w:pBdr>
        <w:top w:val="single" w:sz="4" w:space="1" w:color="D9D9D9"/>
      </w:pBdr>
      <w:tabs>
        <w:tab w:val="center" w:pos="4680"/>
        <w:tab w:val="right" w:pos="9360"/>
      </w:tabs>
    </w:pPr>
    <w:r w:rsidRPr="006B2FDC">
      <w:rPr>
        <w:rFonts w:ascii="Calibri" w:eastAsia="Calibri" w:hAnsi="Calibri" w:cs="Arial"/>
        <w:sz w:val="16"/>
        <w:szCs w:val="22"/>
        <w:lang w:val="fr-CA"/>
      </w:rPr>
      <w:fldChar w:fldCharType="begin"/>
    </w:r>
    <w:r w:rsidRPr="006B2FDC">
      <w:rPr>
        <w:rFonts w:ascii="Calibri" w:eastAsia="Calibri" w:hAnsi="Calibri" w:cs="Arial"/>
        <w:sz w:val="16"/>
        <w:szCs w:val="22"/>
        <w:lang w:val="en-CA"/>
      </w:rPr>
      <w:instrText xml:space="preserve"> PAGE   \* MERGEFORMAT </w:instrText>
    </w:r>
    <w:r w:rsidRPr="006B2FDC">
      <w:rPr>
        <w:rFonts w:ascii="Calibri" w:eastAsia="Calibri" w:hAnsi="Calibri" w:cs="Arial"/>
        <w:sz w:val="16"/>
        <w:szCs w:val="22"/>
        <w:lang w:val="fr-CA"/>
      </w:rPr>
      <w:fldChar w:fldCharType="separate"/>
    </w:r>
    <w:r w:rsidR="002475AF" w:rsidRPr="002475AF">
      <w:rPr>
        <w:rFonts w:ascii="Calibri" w:eastAsia="Calibri" w:hAnsi="Calibri" w:cs="Arial"/>
        <w:b/>
        <w:bCs/>
        <w:noProof/>
        <w:sz w:val="16"/>
        <w:szCs w:val="22"/>
        <w:lang w:val="en-CA"/>
      </w:rPr>
      <w:t>27</w:t>
    </w:r>
    <w:r w:rsidRPr="006B2FDC">
      <w:rPr>
        <w:rFonts w:ascii="Calibri" w:eastAsia="Calibri" w:hAnsi="Calibri" w:cs="Arial"/>
        <w:b/>
        <w:bCs/>
        <w:noProof/>
        <w:sz w:val="16"/>
        <w:szCs w:val="22"/>
        <w:lang w:val="fr-CA"/>
      </w:rPr>
      <w:fldChar w:fldCharType="end"/>
    </w:r>
    <w:r w:rsidRPr="006B2FDC">
      <w:rPr>
        <w:rFonts w:ascii="Calibri" w:eastAsia="Calibri" w:hAnsi="Calibri" w:cs="Arial"/>
        <w:b/>
        <w:bCs/>
        <w:sz w:val="16"/>
        <w:szCs w:val="22"/>
        <w:lang w:val="en-CA"/>
      </w:rPr>
      <w:t xml:space="preserve"> </w:t>
    </w:r>
    <w:r>
      <w:rPr>
        <w:rFonts w:ascii="Calibri" w:eastAsia="Calibri" w:hAnsi="Calibri" w:cs="Arial"/>
        <w:color w:val="7F7F7F"/>
        <w:spacing w:val="60"/>
        <w:sz w:val="16"/>
        <w:szCs w:val="22"/>
        <w:lang w:val="en-CA"/>
      </w:rPr>
      <w:tab/>
    </w:r>
    <w:r>
      <w:rPr>
        <w:rFonts w:ascii="Calibri" w:eastAsia="Calibri" w:hAnsi="Calibri" w:cs="Arial"/>
        <w:color w:val="7F7F7F"/>
        <w:spacing w:val="60"/>
        <w:sz w:val="16"/>
        <w:szCs w:val="22"/>
        <w:lang w:val="en-CA"/>
      </w:rPr>
      <w:tab/>
    </w:r>
    <w:r w:rsidRPr="006B2FDC">
      <w:rPr>
        <w:rFonts w:ascii="Calibri" w:eastAsia="Calibri" w:hAnsi="Calibri" w:cs="Arial"/>
        <w:sz w:val="16"/>
        <w:szCs w:val="22"/>
        <w:lang w:val="en-CA"/>
      </w:rPr>
      <w:t xml:space="preserve">GCDOCS </w:t>
    </w:r>
    <w:r w:rsidRPr="006E7753">
      <w:rPr>
        <w:rFonts w:ascii="Calibri" w:eastAsia="Calibri" w:hAnsi="Calibri" w:cs="Arial"/>
        <w:sz w:val="16"/>
        <w:szCs w:val="22"/>
        <w:lang w:val="en-CA"/>
      </w:rPr>
      <w:t>10011124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16D0A" w14:textId="77777777" w:rsidR="00954825" w:rsidRDefault="00954825" w:rsidP="0051557E">
      <w:r>
        <w:separator/>
      </w:r>
    </w:p>
  </w:footnote>
  <w:footnote w:type="continuationSeparator" w:id="0">
    <w:p w14:paraId="448E696A" w14:textId="77777777" w:rsidR="00954825" w:rsidRDefault="00954825" w:rsidP="00515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4316B" w14:textId="77777777" w:rsidR="00954825" w:rsidRDefault="00954825" w:rsidP="0051557E">
    <w:pPr>
      <w:pStyle w:val="En-tte"/>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4C48"/>
    <w:multiLevelType w:val="hybridMultilevel"/>
    <w:tmpl w:val="6E1460B4"/>
    <w:lvl w:ilvl="0" w:tplc="10090003">
      <w:start w:val="1"/>
      <w:numFmt w:val="bullet"/>
      <w:lvlText w:val="o"/>
      <w:lvlJc w:val="left"/>
      <w:pPr>
        <w:ind w:left="2061" w:hanging="360"/>
      </w:pPr>
      <w:rPr>
        <w:rFonts w:ascii="Courier New" w:hAnsi="Courier New" w:cs="Courier New" w:hint="default"/>
        <w:color w:val="54575A" w:themeColor="text1"/>
      </w:rPr>
    </w:lvl>
    <w:lvl w:ilvl="1" w:tplc="7C82211A">
      <w:start w:val="1"/>
      <w:numFmt w:val="bullet"/>
      <w:lvlText w:val=""/>
      <w:lvlJc w:val="left"/>
      <w:pPr>
        <w:ind w:left="2781" w:hanging="360"/>
      </w:pPr>
      <w:rPr>
        <w:rFonts w:ascii="Symbol" w:hAnsi="Symbol" w:hint="default"/>
      </w:rPr>
    </w:lvl>
    <w:lvl w:ilvl="2" w:tplc="10090005" w:tentative="1">
      <w:start w:val="1"/>
      <w:numFmt w:val="bullet"/>
      <w:lvlText w:val=""/>
      <w:lvlJc w:val="left"/>
      <w:pPr>
        <w:ind w:left="3501" w:hanging="360"/>
      </w:pPr>
      <w:rPr>
        <w:rFonts w:ascii="Wingdings" w:hAnsi="Wingdings" w:hint="default"/>
      </w:rPr>
    </w:lvl>
    <w:lvl w:ilvl="3" w:tplc="10090001" w:tentative="1">
      <w:start w:val="1"/>
      <w:numFmt w:val="bullet"/>
      <w:lvlText w:val=""/>
      <w:lvlJc w:val="left"/>
      <w:pPr>
        <w:ind w:left="4221" w:hanging="360"/>
      </w:pPr>
      <w:rPr>
        <w:rFonts w:ascii="Symbol" w:hAnsi="Symbol" w:hint="default"/>
      </w:rPr>
    </w:lvl>
    <w:lvl w:ilvl="4" w:tplc="10090003" w:tentative="1">
      <w:start w:val="1"/>
      <w:numFmt w:val="bullet"/>
      <w:lvlText w:val="o"/>
      <w:lvlJc w:val="left"/>
      <w:pPr>
        <w:ind w:left="4941" w:hanging="360"/>
      </w:pPr>
      <w:rPr>
        <w:rFonts w:ascii="Courier New" w:hAnsi="Courier New" w:cs="Courier New" w:hint="default"/>
      </w:rPr>
    </w:lvl>
    <w:lvl w:ilvl="5" w:tplc="10090005" w:tentative="1">
      <w:start w:val="1"/>
      <w:numFmt w:val="bullet"/>
      <w:lvlText w:val=""/>
      <w:lvlJc w:val="left"/>
      <w:pPr>
        <w:ind w:left="5661" w:hanging="360"/>
      </w:pPr>
      <w:rPr>
        <w:rFonts w:ascii="Wingdings" w:hAnsi="Wingdings" w:hint="default"/>
      </w:rPr>
    </w:lvl>
    <w:lvl w:ilvl="6" w:tplc="10090001" w:tentative="1">
      <w:start w:val="1"/>
      <w:numFmt w:val="bullet"/>
      <w:lvlText w:val=""/>
      <w:lvlJc w:val="left"/>
      <w:pPr>
        <w:ind w:left="6381" w:hanging="360"/>
      </w:pPr>
      <w:rPr>
        <w:rFonts w:ascii="Symbol" w:hAnsi="Symbol" w:hint="default"/>
      </w:rPr>
    </w:lvl>
    <w:lvl w:ilvl="7" w:tplc="10090003" w:tentative="1">
      <w:start w:val="1"/>
      <w:numFmt w:val="bullet"/>
      <w:lvlText w:val="o"/>
      <w:lvlJc w:val="left"/>
      <w:pPr>
        <w:ind w:left="7101" w:hanging="360"/>
      </w:pPr>
      <w:rPr>
        <w:rFonts w:ascii="Courier New" w:hAnsi="Courier New" w:cs="Courier New" w:hint="default"/>
      </w:rPr>
    </w:lvl>
    <w:lvl w:ilvl="8" w:tplc="10090005" w:tentative="1">
      <w:start w:val="1"/>
      <w:numFmt w:val="bullet"/>
      <w:lvlText w:val=""/>
      <w:lvlJc w:val="left"/>
      <w:pPr>
        <w:ind w:left="7821" w:hanging="360"/>
      </w:pPr>
      <w:rPr>
        <w:rFonts w:ascii="Wingdings" w:hAnsi="Wingdings" w:hint="default"/>
      </w:rPr>
    </w:lvl>
  </w:abstractNum>
  <w:abstractNum w:abstractNumId="1" w15:restartNumberingAfterBreak="0">
    <w:nsid w:val="02CF6E65"/>
    <w:multiLevelType w:val="hybridMultilevel"/>
    <w:tmpl w:val="56AEBF50"/>
    <w:lvl w:ilvl="0" w:tplc="CF92CBCA">
      <w:start w:val="1"/>
      <w:numFmt w:val="bullet"/>
      <w:lvlText w:val=""/>
      <w:lvlJc w:val="left"/>
      <w:pPr>
        <w:ind w:left="360" w:hanging="360"/>
      </w:pPr>
      <w:rPr>
        <w:rFonts w:ascii="Symbol" w:hAnsi="Symbol" w:hint="default"/>
        <w:color w:val="54575A" w:themeColor="text1"/>
      </w:rPr>
    </w:lvl>
    <w:lvl w:ilvl="1" w:tplc="7C82211A">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2D72EB4"/>
    <w:multiLevelType w:val="hybridMultilevel"/>
    <w:tmpl w:val="D22EB260"/>
    <w:lvl w:ilvl="0" w:tplc="10090001">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D558A6"/>
    <w:multiLevelType w:val="hybridMultilevel"/>
    <w:tmpl w:val="2E8E42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9663C21"/>
    <w:multiLevelType w:val="hybridMultilevel"/>
    <w:tmpl w:val="0256ED0E"/>
    <w:lvl w:ilvl="0" w:tplc="CE5C5B68">
      <w:start w:val="1"/>
      <w:numFmt w:val="bullet"/>
      <w:lvlText w:val="•"/>
      <w:lvlJc w:val="left"/>
      <w:pPr>
        <w:ind w:left="1004" w:hanging="360"/>
      </w:pPr>
      <w:rPr>
        <w:rFonts w:ascii="Arial" w:hAnsi="Aria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5" w15:restartNumberingAfterBreak="0">
    <w:nsid w:val="14745A0D"/>
    <w:multiLevelType w:val="hybridMultilevel"/>
    <w:tmpl w:val="CFE4E61A"/>
    <w:lvl w:ilvl="0" w:tplc="4D7CDC26">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A6E2164"/>
    <w:multiLevelType w:val="hybridMultilevel"/>
    <w:tmpl w:val="528AF900"/>
    <w:lvl w:ilvl="0" w:tplc="3DE84C70">
      <w:start w:val="1"/>
      <w:numFmt w:val="bullet"/>
      <w:lvlText w:val=""/>
      <w:lvlJc w:val="left"/>
      <w:pPr>
        <w:ind w:left="720" w:hanging="360"/>
      </w:pPr>
      <w:rPr>
        <w:rFonts w:ascii="Wingdings" w:hAnsi="Wingdings"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BB64CBB"/>
    <w:multiLevelType w:val="hybridMultilevel"/>
    <w:tmpl w:val="F43C42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BE710FF"/>
    <w:multiLevelType w:val="hybridMultilevel"/>
    <w:tmpl w:val="6F5211AC"/>
    <w:lvl w:ilvl="0" w:tplc="309E786C">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C2C6BF6"/>
    <w:multiLevelType w:val="hybridMultilevel"/>
    <w:tmpl w:val="56FA14D2"/>
    <w:lvl w:ilvl="0" w:tplc="3FAE77F8">
      <w:numFmt w:val="bullet"/>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7966E7"/>
    <w:multiLevelType w:val="hybridMultilevel"/>
    <w:tmpl w:val="F76C962E"/>
    <w:lvl w:ilvl="0" w:tplc="CE5C5B68">
      <w:start w:val="1"/>
      <w:numFmt w:val="bullet"/>
      <w:lvlText w:val="•"/>
      <w:lvlJc w:val="left"/>
      <w:pPr>
        <w:tabs>
          <w:tab w:val="num" w:pos="720"/>
        </w:tabs>
        <w:ind w:left="720" w:hanging="360"/>
      </w:pPr>
      <w:rPr>
        <w:rFonts w:ascii="Arial" w:hAnsi="Arial" w:hint="default"/>
      </w:rPr>
    </w:lvl>
    <w:lvl w:ilvl="1" w:tplc="F7F66436">
      <w:start w:val="76"/>
      <w:numFmt w:val="bullet"/>
      <w:lvlText w:val="•"/>
      <w:lvlJc w:val="left"/>
      <w:pPr>
        <w:tabs>
          <w:tab w:val="num" w:pos="1440"/>
        </w:tabs>
        <w:ind w:left="1440" w:hanging="360"/>
      </w:pPr>
      <w:rPr>
        <w:rFonts w:ascii="Arial" w:hAnsi="Arial" w:hint="default"/>
      </w:rPr>
    </w:lvl>
    <w:lvl w:ilvl="2" w:tplc="CEF41514" w:tentative="1">
      <w:start w:val="1"/>
      <w:numFmt w:val="bullet"/>
      <w:lvlText w:val="•"/>
      <w:lvlJc w:val="left"/>
      <w:pPr>
        <w:tabs>
          <w:tab w:val="num" w:pos="2160"/>
        </w:tabs>
        <w:ind w:left="2160" w:hanging="360"/>
      </w:pPr>
      <w:rPr>
        <w:rFonts w:ascii="Arial" w:hAnsi="Arial" w:hint="default"/>
      </w:rPr>
    </w:lvl>
    <w:lvl w:ilvl="3" w:tplc="F482A62E" w:tentative="1">
      <w:start w:val="1"/>
      <w:numFmt w:val="bullet"/>
      <w:lvlText w:val="•"/>
      <w:lvlJc w:val="left"/>
      <w:pPr>
        <w:tabs>
          <w:tab w:val="num" w:pos="2880"/>
        </w:tabs>
        <w:ind w:left="2880" w:hanging="360"/>
      </w:pPr>
      <w:rPr>
        <w:rFonts w:ascii="Arial" w:hAnsi="Arial" w:hint="default"/>
      </w:rPr>
    </w:lvl>
    <w:lvl w:ilvl="4" w:tplc="9AFC614C" w:tentative="1">
      <w:start w:val="1"/>
      <w:numFmt w:val="bullet"/>
      <w:lvlText w:val="•"/>
      <w:lvlJc w:val="left"/>
      <w:pPr>
        <w:tabs>
          <w:tab w:val="num" w:pos="3600"/>
        </w:tabs>
        <w:ind w:left="3600" w:hanging="360"/>
      </w:pPr>
      <w:rPr>
        <w:rFonts w:ascii="Arial" w:hAnsi="Arial" w:hint="default"/>
      </w:rPr>
    </w:lvl>
    <w:lvl w:ilvl="5" w:tplc="2CF65ECC" w:tentative="1">
      <w:start w:val="1"/>
      <w:numFmt w:val="bullet"/>
      <w:lvlText w:val="•"/>
      <w:lvlJc w:val="left"/>
      <w:pPr>
        <w:tabs>
          <w:tab w:val="num" w:pos="4320"/>
        </w:tabs>
        <w:ind w:left="4320" w:hanging="360"/>
      </w:pPr>
      <w:rPr>
        <w:rFonts w:ascii="Arial" w:hAnsi="Arial" w:hint="default"/>
      </w:rPr>
    </w:lvl>
    <w:lvl w:ilvl="6" w:tplc="41D4D958" w:tentative="1">
      <w:start w:val="1"/>
      <w:numFmt w:val="bullet"/>
      <w:lvlText w:val="•"/>
      <w:lvlJc w:val="left"/>
      <w:pPr>
        <w:tabs>
          <w:tab w:val="num" w:pos="5040"/>
        </w:tabs>
        <w:ind w:left="5040" w:hanging="360"/>
      </w:pPr>
      <w:rPr>
        <w:rFonts w:ascii="Arial" w:hAnsi="Arial" w:hint="default"/>
      </w:rPr>
    </w:lvl>
    <w:lvl w:ilvl="7" w:tplc="C680DA1A" w:tentative="1">
      <w:start w:val="1"/>
      <w:numFmt w:val="bullet"/>
      <w:lvlText w:val="•"/>
      <w:lvlJc w:val="left"/>
      <w:pPr>
        <w:tabs>
          <w:tab w:val="num" w:pos="5760"/>
        </w:tabs>
        <w:ind w:left="5760" w:hanging="360"/>
      </w:pPr>
      <w:rPr>
        <w:rFonts w:ascii="Arial" w:hAnsi="Arial" w:hint="default"/>
      </w:rPr>
    </w:lvl>
    <w:lvl w:ilvl="8" w:tplc="BED0E66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8E5A3D"/>
    <w:multiLevelType w:val="hybridMultilevel"/>
    <w:tmpl w:val="70D89B88"/>
    <w:lvl w:ilvl="0" w:tplc="10090001">
      <w:start w:val="1"/>
      <w:numFmt w:val="bullet"/>
      <w:lvlText w:val=""/>
      <w:lvlJc w:val="left"/>
      <w:pPr>
        <w:ind w:left="360" w:hanging="360"/>
      </w:pPr>
      <w:rPr>
        <w:rFonts w:ascii="Symbol" w:hAnsi="Symbol" w:hint="default"/>
      </w:rPr>
    </w:lvl>
    <w:lvl w:ilvl="1" w:tplc="363019FC">
      <w:numFmt w:val="bullet"/>
      <w:lvlText w:val="-"/>
      <w:lvlJc w:val="left"/>
      <w:pPr>
        <w:ind w:left="1080" w:hanging="360"/>
      </w:pPr>
      <w:rPr>
        <w:rFonts w:ascii="Arial" w:eastAsia="Times New Roman"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2AAE2091"/>
    <w:multiLevelType w:val="hybridMultilevel"/>
    <w:tmpl w:val="C7DAA57A"/>
    <w:lvl w:ilvl="0" w:tplc="EAFC6892">
      <w:start w:val="1"/>
      <w:numFmt w:val="bullet"/>
      <w:lvlText w:val=""/>
      <w:lvlJc w:val="left"/>
      <w:pPr>
        <w:ind w:left="720" w:hanging="360"/>
      </w:pPr>
      <w:rPr>
        <w:rFonts w:ascii="Wingdings" w:hAnsi="Wingdings" w:hint="default"/>
        <w:color w:val="auto"/>
      </w:rPr>
    </w:lvl>
    <w:lvl w:ilvl="1" w:tplc="7C82211A">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ABC2F79"/>
    <w:multiLevelType w:val="hybridMultilevel"/>
    <w:tmpl w:val="C28C30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BC84B0D"/>
    <w:multiLevelType w:val="hybridMultilevel"/>
    <w:tmpl w:val="EEFE1F2C"/>
    <w:lvl w:ilvl="0" w:tplc="4D7CDC26">
      <w:start w:val="1"/>
      <w:numFmt w:val="bullet"/>
      <w:lvlText w:val=""/>
      <w:lvlJc w:val="left"/>
      <w:pPr>
        <w:ind w:left="1083" w:hanging="360"/>
      </w:pPr>
      <w:rPr>
        <w:rFonts w:ascii="Symbol" w:hAnsi="Symbol" w:hint="default"/>
        <w:color w:val="auto"/>
      </w:rPr>
    </w:lvl>
    <w:lvl w:ilvl="1" w:tplc="10090003" w:tentative="1">
      <w:start w:val="1"/>
      <w:numFmt w:val="bullet"/>
      <w:lvlText w:val="o"/>
      <w:lvlJc w:val="left"/>
      <w:pPr>
        <w:ind w:left="1803" w:hanging="360"/>
      </w:pPr>
      <w:rPr>
        <w:rFonts w:ascii="Courier New" w:hAnsi="Courier New" w:cs="Courier New" w:hint="default"/>
      </w:rPr>
    </w:lvl>
    <w:lvl w:ilvl="2" w:tplc="10090005" w:tentative="1">
      <w:start w:val="1"/>
      <w:numFmt w:val="bullet"/>
      <w:lvlText w:val=""/>
      <w:lvlJc w:val="left"/>
      <w:pPr>
        <w:ind w:left="2523" w:hanging="360"/>
      </w:pPr>
      <w:rPr>
        <w:rFonts w:ascii="Wingdings" w:hAnsi="Wingdings" w:hint="default"/>
      </w:rPr>
    </w:lvl>
    <w:lvl w:ilvl="3" w:tplc="10090001" w:tentative="1">
      <w:start w:val="1"/>
      <w:numFmt w:val="bullet"/>
      <w:lvlText w:val=""/>
      <w:lvlJc w:val="left"/>
      <w:pPr>
        <w:ind w:left="3243" w:hanging="360"/>
      </w:pPr>
      <w:rPr>
        <w:rFonts w:ascii="Symbol" w:hAnsi="Symbol" w:hint="default"/>
      </w:rPr>
    </w:lvl>
    <w:lvl w:ilvl="4" w:tplc="10090003" w:tentative="1">
      <w:start w:val="1"/>
      <w:numFmt w:val="bullet"/>
      <w:lvlText w:val="o"/>
      <w:lvlJc w:val="left"/>
      <w:pPr>
        <w:ind w:left="3963" w:hanging="360"/>
      </w:pPr>
      <w:rPr>
        <w:rFonts w:ascii="Courier New" w:hAnsi="Courier New" w:cs="Courier New" w:hint="default"/>
      </w:rPr>
    </w:lvl>
    <w:lvl w:ilvl="5" w:tplc="10090005" w:tentative="1">
      <w:start w:val="1"/>
      <w:numFmt w:val="bullet"/>
      <w:lvlText w:val=""/>
      <w:lvlJc w:val="left"/>
      <w:pPr>
        <w:ind w:left="4683" w:hanging="360"/>
      </w:pPr>
      <w:rPr>
        <w:rFonts w:ascii="Wingdings" w:hAnsi="Wingdings" w:hint="default"/>
      </w:rPr>
    </w:lvl>
    <w:lvl w:ilvl="6" w:tplc="10090001" w:tentative="1">
      <w:start w:val="1"/>
      <w:numFmt w:val="bullet"/>
      <w:lvlText w:val=""/>
      <w:lvlJc w:val="left"/>
      <w:pPr>
        <w:ind w:left="5403" w:hanging="360"/>
      </w:pPr>
      <w:rPr>
        <w:rFonts w:ascii="Symbol" w:hAnsi="Symbol" w:hint="default"/>
      </w:rPr>
    </w:lvl>
    <w:lvl w:ilvl="7" w:tplc="10090003" w:tentative="1">
      <w:start w:val="1"/>
      <w:numFmt w:val="bullet"/>
      <w:lvlText w:val="o"/>
      <w:lvlJc w:val="left"/>
      <w:pPr>
        <w:ind w:left="6123" w:hanging="360"/>
      </w:pPr>
      <w:rPr>
        <w:rFonts w:ascii="Courier New" w:hAnsi="Courier New" w:cs="Courier New" w:hint="default"/>
      </w:rPr>
    </w:lvl>
    <w:lvl w:ilvl="8" w:tplc="10090005" w:tentative="1">
      <w:start w:val="1"/>
      <w:numFmt w:val="bullet"/>
      <w:lvlText w:val=""/>
      <w:lvlJc w:val="left"/>
      <w:pPr>
        <w:ind w:left="6843" w:hanging="360"/>
      </w:pPr>
      <w:rPr>
        <w:rFonts w:ascii="Wingdings" w:hAnsi="Wingdings" w:hint="default"/>
      </w:rPr>
    </w:lvl>
  </w:abstractNum>
  <w:abstractNum w:abstractNumId="15" w15:restartNumberingAfterBreak="0">
    <w:nsid w:val="2E040480"/>
    <w:multiLevelType w:val="hybridMultilevel"/>
    <w:tmpl w:val="878682A0"/>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05B4CB3"/>
    <w:multiLevelType w:val="hybridMultilevel"/>
    <w:tmpl w:val="4B383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07A6417"/>
    <w:multiLevelType w:val="hybridMultilevel"/>
    <w:tmpl w:val="39FABF78"/>
    <w:lvl w:ilvl="0" w:tplc="2AA66DAA">
      <w:numFmt w:val="bullet"/>
      <w:lvlText w:val="-"/>
      <w:lvlJc w:val="left"/>
      <w:pPr>
        <w:ind w:left="1080" w:hanging="360"/>
      </w:pPr>
      <w:rPr>
        <w:rFonts w:ascii="Arial" w:eastAsiaTheme="minorHAnsi" w:hAnsi="Arial" w:cs="Arial"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3112405F"/>
    <w:multiLevelType w:val="hybridMultilevel"/>
    <w:tmpl w:val="68A28780"/>
    <w:lvl w:ilvl="0" w:tplc="7C82211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6ED6957"/>
    <w:multiLevelType w:val="hybridMultilevel"/>
    <w:tmpl w:val="EDBCE650"/>
    <w:lvl w:ilvl="0" w:tplc="4D7CDC26">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DBD2DBF"/>
    <w:multiLevelType w:val="hybridMultilevel"/>
    <w:tmpl w:val="D8AE19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E44718C"/>
    <w:multiLevelType w:val="hybridMultilevel"/>
    <w:tmpl w:val="DF1E189A"/>
    <w:lvl w:ilvl="0" w:tplc="E084BE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DC19D5"/>
    <w:multiLevelType w:val="hybridMultilevel"/>
    <w:tmpl w:val="6AFE0EFA"/>
    <w:lvl w:ilvl="0" w:tplc="05D4CF08">
      <w:start w:val="1"/>
      <w:numFmt w:val="bullet"/>
      <w:lvlText w:val=""/>
      <w:lvlJc w:val="left"/>
      <w:pPr>
        <w:ind w:left="1212" w:hanging="360"/>
      </w:pPr>
      <w:rPr>
        <w:rFonts w:ascii="Wingdings" w:hAnsi="Wingdings" w:hint="default"/>
        <w:color w:val="auto"/>
        <w:sz w:val="24"/>
        <w:szCs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2595C82"/>
    <w:multiLevelType w:val="hybridMultilevel"/>
    <w:tmpl w:val="6772D8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5392DC6"/>
    <w:multiLevelType w:val="hybridMultilevel"/>
    <w:tmpl w:val="2090ADEA"/>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6C33C16"/>
    <w:multiLevelType w:val="hybridMultilevel"/>
    <w:tmpl w:val="B2560B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2603743"/>
    <w:multiLevelType w:val="hybridMultilevel"/>
    <w:tmpl w:val="80F83E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3656CB2"/>
    <w:multiLevelType w:val="hybridMultilevel"/>
    <w:tmpl w:val="6DFE1124"/>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CBA6217"/>
    <w:multiLevelType w:val="hybridMultilevel"/>
    <w:tmpl w:val="EAC4FDE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29" w15:restartNumberingAfterBreak="0">
    <w:nsid w:val="7276730E"/>
    <w:multiLevelType w:val="hybridMultilevel"/>
    <w:tmpl w:val="97562B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3333A32"/>
    <w:multiLevelType w:val="hybridMultilevel"/>
    <w:tmpl w:val="877639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B8F7E94"/>
    <w:multiLevelType w:val="hybridMultilevel"/>
    <w:tmpl w:val="AE2670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F857333"/>
    <w:multiLevelType w:val="hybridMultilevel"/>
    <w:tmpl w:val="564E671E"/>
    <w:lvl w:ilvl="0" w:tplc="2AA66DAA">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9"/>
  </w:num>
  <w:num w:numId="2">
    <w:abstractNumId w:val="8"/>
  </w:num>
  <w:num w:numId="3">
    <w:abstractNumId w:val="21"/>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7"/>
  </w:num>
  <w:num w:numId="7">
    <w:abstractNumId w:val="25"/>
  </w:num>
  <w:num w:numId="8">
    <w:abstractNumId w:val="29"/>
  </w:num>
  <w:num w:numId="9">
    <w:abstractNumId w:val="10"/>
  </w:num>
  <w:num w:numId="10">
    <w:abstractNumId w:val="4"/>
  </w:num>
  <w:num w:numId="11">
    <w:abstractNumId w:val="11"/>
  </w:num>
  <w:num w:numId="12">
    <w:abstractNumId w:val="30"/>
  </w:num>
  <w:num w:numId="13">
    <w:abstractNumId w:val="26"/>
  </w:num>
  <w:num w:numId="14">
    <w:abstractNumId w:val="16"/>
  </w:num>
  <w:num w:numId="15">
    <w:abstractNumId w:val="3"/>
  </w:num>
  <w:num w:numId="16">
    <w:abstractNumId w:val="1"/>
  </w:num>
  <w:num w:numId="17">
    <w:abstractNumId w:val="23"/>
  </w:num>
  <w:num w:numId="18">
    <w:abstractNumId w:val="22"/>
  </w:num>
  <w:num w:numId="19">
    <w:abstractNumId w:val="13"/>
  </w:num>
  <w:num w:numId="20">
    <w:abstractNumId w:val="12"/>
  </w:num>
  <w:num w:numId="21">
    <w:abstractNumId w:val="31"/>
  </w:num>
  <w:num w:numId="22">
    <w:abstractNumId w:val="6"/>
  </w:num>
  <w:num w:numId="23">
    <w:abstractNumId w:val="2"/>
  </w:num>
  <w:num w:numId="24">
    <w:abstractNumId w:val="0"/>
  </w:num>
  <w:num w:numId="25">
    <w:abstractNumId w:val="32"/>
  </w:num>
  <w:num w:numId="26">
    <w:abstractNumId w:val="24"/>
  </w:num>
  <w:num w:numId="27">
    <w:abstractNumId w:val="17"/>
  </w:num>
  <w:num w:numId="28">
    <w:abstractNumId w:val="19"/>
  </w:num>
  <w:num w:numId="29">
    <w:abstractNumId w:val="5"/>
  </w:num>
  <w:num w:numId="30">
    <w:abstractNumId w:val="27"/>
  </w:num>
  <w:num w:numId="31">
    <w:abstractNumId w:val="15"/>
  </w:num>
  <w:num w:numId="32">
    <w:abstractNumId w:val="14"/>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attachedTemplate r:id="rId1"/>
  <w:defaultTabStop w:val="5041"/>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C57"/>
    <w:rsid w:val="000B519E"/>
    <w:rsid w:val="00103088"/>
    <w:rsid w:val="00171B88"/>
    <w:rsid w:val="00171FA4"/>
    <w:rsid w:val="00193822"/>
    <w:rsid w:val="001A6E33"/>
    <w:rsid w:val="00210078"/>
    <w:rsid w:val="00210749"/>
    <w:rsid w:val="00211837"/>
    <w:rsid w:val="0023110A"/>
    <w:rsid w:val="002350B9"/>
    <w:rsid w:val="00244CD0"/>
    <w:rsid w:val="002475AF"/>
    <w:rsid w:val="002B3DED"/>
    <w:rsid w:val="002D2ECA"/>
    <w:rsid w:val="00305355"/>
    <w:rsid w:val="00322780"/>
    <w:rsid w:val="0032376D"/>
    <w:rsid w:val="0034756C"/>
    <w:rsid w:val="00370A29"/>
    <w:rsid w:val="00385248"/>
    <w:rsid w:val="003C5F41"/>
    <w:rsid w:val="003F6509"/>
    <w:rsid w:val="00497F21"/>
    <w:rsid w:val="004B60EA"/>
    <w:rsid w:val="0051557E"/>
    <w:rsid w:val="005413A9"/>
    <w:rsid w:val="005453C5"/>
    <w:rsid w:val="0054649F"/>
    <w:rsid w:val="00572094"/>
    <w:rsid w:val="00573DF5"/>
    <w:rsid w:val="005D131C"/>
    <w:rsid w:val="00627ED6"/>
    <w:rsid w:val="00661A5C"/>
    <w:rsid w:val="006938B7"/>
    <w:rsid w:val="006A2566"/>
    <w:rsid w:val="006A2671"/>
    <w:rsid w:val="006A7B11"/>
    <w:rsid w:val="006D1741"/>
    <w:rsid w:val="006E7753"/>
    <w:rsid w:val="007131B3"/>
    <w:rsid w:val="00731CFC"/>
    <w:rsid w:val="0079330F"/>
    <w:rsid w:val="007B66C7"/>
    <w:rsid w:val="007E17D1"/>
    <w:rsid w:val="00800A86"/>
    <w:rsid w:val="00817051"/>
    <w:rsid w:val="008260A4"/>
    <w:rsid w:val="008318FE"/>
    <w:rsid w:val="00841BD3"/>
    <w:rsid w:val="008569D0"/>
    <w:rsid w:val="00862C57"/>
    <w:rsid w:val="008C52C5"/>
    <w:rsid w:val="009226D9"/>
    <w:rsid w:val="009260FB"/>
    <w:rsid w:val="00936C7F"/>
    <w:rsid w:val="00940678"/>
    <w:rsid w:val="00941E7D"/>
    <w:rsid w:val="00954825"/>
    <w:rsid w:val="00957C2A"/>
    <w:rsid w:val="00997D3F"/>
    <w:rsid w:val="009B5F00"/>
    <w:rsid w:val="009E10B7"/>
    <w:rsid w:val="00A32456"/>
    <w:rsid w:val="00A336D2"/>
    <w:rsid w:val="00A3677B"/>
    <w:rsid w:val="00A57FD8"/>
    <w:rsid w:val="00A62AD0"/>
    <w:rsid w:val="00A77330"/>
    <w:rsid w:val="00A945F3"/>
    <w:rsid w:val="00AB0958"/>
    <w:rsid w:val="00AB77B1"/>
    <w:rsid w:val="00AE6E31"/>
    <w:rsid w:val="00B209B8"/>
    <w:rsid w:val="00B40E32"/>
    <w:rsid w:val="00B5229C"/>
    <w:rsid w:val="00BC1EE1"/>
    <w:rsid w:val="00C562F1"/>
    <w:rsid w:val="00C85704"/>
    <w:rsid w:val="00C85BD9"/>
    <w:rsid w:val="00CC3888"/>
    <w:rsid w:val="00CE1339"/>
    <w:rsid w:val="00D60C4D"/>
    <w:rsid w:val="00D90723"/>
    <w:rsid w:val="00DB0518"/>
    <w:rsid w:val="00DB3FF5"/>
    <w:rsid w:val="00DB7D7C"/>
    <w:rsid w:val="00DD62E2"/>
    <w:rsid w:val="00E01DCC"/>
    <w:rsid w:val="00E60FCA"/>
    <w:rsid w:val="00E747C9"/>
    <w:rsid w:val="00E85B12"/>
    <w:rsid w:val="00EA0EA2"/>
    <w:rsid w:val="00ED7F0A"/>
    <w:rsid w:val="00EE382C"/>
    <w:rsid w:val="00EE4574"/>
    <w:rsid w:val="00EF4B16"/>
    <w:rsid w:val="00F21AF7"/>
    <w:rsid w:val="00F667A8"/>
    <w:rsid w:val="00F745A1"/>
    <w:rsid w:val="00F86831"/>
    <w:rsid w:val="00F93712"/>
    <w:rsid w:val="00FE7B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686C6C"/>
  <w15:chartTrackingRefBased/>
  <w15:docId w15:val="{B5B4FFB1-7706-4D28-AF23-02668EA2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C57"/>
    <w:pPr>
      <w:spacing w:after="0" w:line="240" w:lineRule="auto"/>
    </w:pPr>
    <w:rPr>
      <w:rFonts w:ascii="Times New Roman" w:eastAsia="Times New Roman" w:hAnsi="Times New Roman" w:cs="Times New Roman"/>
      <w:sz w:val="24"/>
      <w:szCs w:val="20"/>
      <w:lang w:val="en-US"/>
    </w:rPr>
  </w:style>
  <w:style w:type="paragraph" w:styleId="Titre1">
    <w:name w:val="heading 1"/>
    <w:basedOn w:val="Normal"/>
    <w:next w:val="Normal"/>
    <w:link w:val="Titre1Car"/>
    <w:uiPriority w:val="9"/>
    <w:qFormat/>
    <w:rsid w:val="00210749"/>
    <w:pPr>
      <w:keepNext/>
      <w:spacing w:before="240"/>
      <w:outlineLvl w:val="0"/>
    </w:pPr>
    <w:rPr>
      <w:rFonts w:asciiTheme="majorHAnsi" w:eastAsiaTheme="majorEastAsia" w:hAnsiTheme="majorHAnsi" w:cstheme="majorBidi"/>
      <w:sz w:val="48"/>
      <w:szCs w:val="48"/>
    </w:rPr>
  </w:style>
  <w:style w:type="paragraph" w:styleId="Titre2">
    <w:name w:val="heading 2"/>
    <w:basedOn w:val="Normal"/>
    <w:next w:val="Normal"/>
    <w:link w:val="Titre2Car"/>
    <w:uiPriority w:val="9"/>
    <w:unhideWhenUsed/>
    <w:qFormat/>
    <w:rsid w:val="00210749"/>
    <w:pPr>
      <w:keepNext/>
      <w:spacing w:before="40"/>
      <w:outlineLvl w:val="1"/>
    </w:pPr>
    <w:rPr>
      <w:rFonts w:ascii="Segoe UI" w:eastAsiaTheme="majorEastAsia" w:hAnsi="Segoe UI" w:cs="Segoe UI"/>
      <w:b/>
      <w:color w:val="5B315E" w:themeColor="accent2"/>
      <w:sz w:val="32"/>
      <w:szCs w:val="32"/>
    </w:rPr>
  </w:style>
  <w:style w:type="paragraph" w:styleId="Titre3">
    <w:name w:val="heading 3"/>
    <w:basedOn w:val="Normal"/>
    <w:next w:val="Normal"/>
    <w:link w:val="Titre3Car"/>
    <w:uiPriority w:val="9"/>
    <w:unhideWhenUsed/>
    <w:qFormat/>
    <w:rsid w:val="00210749"/>
    <w:pPr>
      <w:keepNext/>
      <w:spacing w:before="40"/>
      <w:outlineLvl w:val="2"/>
    </w:pPr>
    <w:rPr>
      <w:rFonts w:ascii="Segoe UI Semibold" w:eastAsiaTheme="majorEastAsia" w:hAnsi="Segoe UI Semibold" w:cs="Segoe UI Semibold"/>
      <w:szCs w:val="24"/>
    </w:rPr>
  </w:style>
  <w:style w:type="paragraph" w:styleId="Titre4">
    <w:name w:val="heading 4"/>
    <w:basedOn w:val="Normal"/>
    <w:next w:val="Normal"/>
    <w:link w:val="Titre4Car"/>
    <w:uiPriority w:val="9"/>
    <w:unhideWhenUsed/>
    <w:qFormat/>
    <w:rsid w:val="00210749"/>
    <w:pPr>
      <w:keepNext/>
      <w:spacing w:before="40"/>
      <w:outlineLvl w:val="3"/>
    </w:pPr>
    <w:rPr>
      <w:rFonts w:asciiTheme="majorHAnsi" w:eastAsiaTheme="majorEastAsia" w:hAnsiTheme="majorHAnsi" w:cstheme="majorBidi"/>
      <w:iCs/>
      <w:color w:val="54575A" w:themeColor="text2"/>
    </w:rPr>
  </w:style>
  <w:style w:type="paragraph" w:styleId="Titre5">
    <w:name w:val="heading 5"/>
    <w:basedOn w:val="Normal"/>
    <w:next w:val="Normal"/>
    <w:link w:val="Titre5Car"/>
    <w:uiPriority w:val="9"/>
    <w:unhideWhenUsed/>
    <w:qFormat/>
    <w:rsid w:val="00210749"/>
    <w:pPr>
      <w:keepNext/>
      <w:spacing w:before="40"/>
      <w:outlineLvl w:val="4"/>
    </w:pPr>
    <w:rPr>
      <w:rFonts w:asciiTheme="majorHAnsi" w:eastAsiaTheme="majorEastAsia" w:hAnsiTheme="majorHAnsi" w:cstheme="majorBidi"/>
      <w:color w:val="9F004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10749"/>
    <w:pPr>
      <w:tabs>
        <w:tab w:val="center" w:pos="4680"/>
        <w:tab w:val="right" w:pos="9360"/>
      </w:tabs>
    </w:pPr>
  </w:style>
  <w:style w:type="character" w:customStyle="1" w:styleId="En-tteCar">
    <w:name w:val="En-tête Car"/>
    <w:basedOn w:val="Policepardfaut"/>
    <w:link w:val="En-tte"/>
    <w:uiPriority w:val="99"/>
    <w:rsid w:val="00210749"/>
    <w:rPr>
      <w:color w:val="54575A" w:themeColor="text1"/>
      <w:lang w:val="fr-CA"/>
    </w:rPr>
  </w:style>
  <w:style w:type="paragraph" w:styleId="Pieddepage">
    <w:name w:val="footer"/>
    <w:basedOn w:val="Normal"/>
    <w:link w:val="PieddepageCar"/>
    <w:uiPriority w:val="99"/>
    <w:unhideWhenUsed/>
    <w:rsid w:val="00210749"/>
    <w:pPr>
      <w:tabs>
        <w:tab w:val="center" w:pos="4680"/>
        <w:tab w:val="right" w:pos="9360"/>
      </w:tabs>
    </w:pPr>
  </w:style>
  <w:style w:type="character" w:customStyle="1" w:styleId="PieddepageCar">
    <w:name w:val="Pied de page Car"/>
    <w:basedOn w:val="Policepardfaut"/>
    <w:link w:val="Pieddepage"/>
    <w:uiPriority w:val="99"/>
    <w:rsid w:val="00210749"/>
    <w:rPr>
      <w:color w:val="54575A" w:themeColor="text1"/>
      <w:lang w:val="fr-CA"/>
    </w:rPr>
  </w:style>
  <w:style w:type="paragraph" w:styleId="Textedebulles">
    <w:name w:val="Balloon Text"/>
    <w:basedOn w:val="Normal"/>
    <w:link w:val="TextedebullesCar"/>
    <w:uiPriority w:val="99"/>
    <w:semiHidden/>
    <w:unhideWhenUsed/>
    <w:rsid w:val="00210749"/>
    <w:rPr>
      <w:rFonts w:ascii="Segoe UI" w:hAnsi="Segoe UI" w:cs="Segoe UI"/>
      <w:sz w:val="18"/>
      <w:szCs w:val="18"/>
    </w:rPr>
  </w:style>
  <w:style w:type="character" w:customStyle="1" w:styleId="TextedebullesCar">
    <w:name w:val="Texte de bulles Car"/>
    <w:basedOn w:val="Policepardfaut"/>
    <w:link w:val="Textedebulles"/>
    <w:uiPriority w:val="99"/>
    <w:semiHidden/>
    <w:rsid w:val="00210749"/>
    <w:rPr>
      <w:rFonts w:ascii="Segoe UI" w:hAnsi="Segoe UI" w:cs="Segoe UI"/>
      <w:color w:val="54575A" w:themeColor="text1"/>
      <w:sz w:val="18"/>
      <w:szCs w:val="18"/>
      <w:lang w:val="fr-CA"/>
    </w:rPr>
  </w:style>
  <w:style w:type="paragraph" w:customStyle="1" w:styleId="ColumnTitle">
    <w:name w:val="Column Title"/>
    <w:basedOn w:val="Normal"/>
    <w:qFormat/>
    <w:rsid w:val="00210749"/>
    <w:rPr>
      <w:rFonts w:ascii="Segoe UI Semibold" w:hAnsi="Segoe UI Semibold" w:cs="Segoe UI Semibold"/>
      <w:color w:val="F2F2F2" w:themeColor="background2"/>
      <w:szCs w:val="24"/>
    </w:rPr>
  </w:style>
  <w:style w:type="paragraph" w:customStyle="1" w:styleId="DataText">
    <w:name w:val="Data Text"/>
    <w:basedOn w:val="Normal"/>
    <w:qFormat/>
    <w:rsid w:val="00210749"/>
  </w:style>
  <w:style w:type="character" w:styleId="Appelnotedebasdep">
    <w:name w:val="footnote reference"/>
    <w:basedOn w:val="Policepardfaut"/>
    <w:uiPriority w:val="99"/>
    <w:semiHidden/>
    <w:unhideWhenUsed/>
    <w:rsid w:val="00210749"/>
    <w:rPr>
      <w:vertAlign w:val="superscript"/>
    </w:rPr>
  </w:style>
  <w:style w:type="paragraph" w:styleId="Notedebasdepage">
    <w:name w:val="footnote text"/>
    <w:basedOn w:val="Normal"/>
    <w:link w:val="NotedebasdepageCar"/>
    <w:uiPriority w:val="99"/>
    <w:unhideWhenUsed/>
    <w:rsid w:val="00210749"/>
    <w:rPr>
      <w:sz w:val="20"/>
    </w:rPr>
  </w:style>
  <w:style w:type="character" w:customStyle="1" w:styleId="NotedebasdepageCar">
    <w:name w:val="Note de bas de page Car"/>
    <w:basedOn w:val="Policepardfaut"/>
    <w:link w:val="Notedebasdepage"/>
    <w:uiPriority w:val="99"/>
    <w:rsid w:val="00210749"/>
    <w:rPr>
      <w:color w:val="54575A" w:themeColor="text1"/>
      <w:sz w:val="20"/>
      <w:szCs w:val="20"/>
      <w:lang w:val="fr-CA"/>
    </w:rPr>
  </w:style>
  <w:style w:type="character" w:customStyle="1" w:styleId="Titre1Car">
    <w:name w:val="Titre 1 Car"/>
    <w:basedOn w:val="Policepardfaut"/>
    <w:link w:val="Titre1"/>
    <w:uiPriority w:val="9"/>
    <w:rsid w:val="00210749"/>
    <w:rPr>
      <w:rFonts w:asciiTheme="majorHAnsi" w:eastAsiaTheme="majorEastAsia" w:hAnsiTheme="majorHAnsi" w:cstheme="majorBidi"/>
      <w:color w:val="54575A" w:themeColor="text1"/>
      <w:sz w:val="48"/>
      <w:szCs w:val="48"/>
      <w:lang w:val="fr-CA"/>
    </w:rPr>
  </w:style>
  <w:style w:type="character" w:customStyle="1" w:styleId="Titre2Car">
    <w:name w:val="Titre 2 Car"/>
    <w:basedOn w:val="Policepardfaut"/>
    <w:link w:val="Titre2"/>
    <w:uiPriority w:val="9"/>
    <w:rsid w:val="00210749"/>
    <w:rPr>
      <w:rFonts w:ascii="Segoe UI" w:eastAsiaTheme="majorEastAsia" w:hAnsi="Segoe UI" w:cs="Segoe UI"/>
      <w:b/>
      <w:color w:val="5B315E" w:themeColor="accent2"/>
      <w:sz w:val="32"/>
      <w:szCs w:val="32"/>
      <w:lang w:val="fr-CA"/>
    </w:rPr>
  </w:style>
  <w:style w:type="character" w:customStyle="1" w:styleId="Titre3Car">
    <w:name w:val="Titre 3 Car"/>
    <w:basedOn w:val="Policepardfaut"/>
    <w:link w:val="Titre3"/>
    <w:uiPriority w:val="9"/>
    <w:rsid w:val="00210749"/>
    <w:rPr>
      <w:rFonts w:ascii="Segoe UI Semibold" w:eastAsiaTheme="majorEastAsia" w:hAnsi="Segoe UI Semibold" w:cs="Segoe UI Semibold"/>
      <w:color w:val="54575A" w:themeColor="text1"/>
      <w:sz w:val="24"/>
      <w:szCs w:val="24"/>
      <w:lang w:val="fr-CA"/>
    </w:rPr>
  </w:style>
  <w:style w:type="paragraph" w:customStyle="1" w:styleId="Heading3forBox">
    <w:name w:val="Heading 3 for Box"/>
    <w:basedOn w:val="Normal"/>
    <w:qFormat/>
    <w:rsid w:val="00210749"/>
    <w:rPr>
      <w:rFonts w:ascii="Segoe UI Semibold" w:eastAsiaTheme="majorEastAsia" w:hAnsi="Segoe UI Semibold" w:cs="Segoe UI Semibold"/>
      <w:color w:val="FFFFFF" w:themeColor="background1"/>
      <w:szCs w:val="24"/>
    </w:rPr>
  </w:style>
  <w:style w:type="character" w:customStyle="1" w:styleId="Titre4Car">
    <w:name w:val="Titre 4 Car"/>
    <w:basedOn w:val="Policepardfaut"/>
    <w:link w:val="Titre4"/>
    <w:uiPriority w:val="9"/>
    <w:rsid w:val="00210749"/>
    <w:rPr>
      <w:rFonts w:asciiTheme="majorHAnsi" w:eastAsiaTheme="majorEastAsia" w:hAnsiTheme="majorHAnsi" w:cstheme="majorBidi"/>
      <w:iCs/>
      <w:color w:val="54575A" w:themeColor="text2"/>
      <w:lang w:val="fr-CA"/>
    </w:rPr>
  </w:style>
  <w:style w:type="character" w:customStyle="1" w:styleId="Titre5Car">
    <w:name w:val="Titre 5 Car"/>
    <w:basedOn w:val="Policepardfaut"/>
    <w:link w:val="Titre5"/>
    <w:uiPriority w:val="9"/>
    <w:rsid w:val="00210749"/>
    <w:rPr>
      <w:rFonts w:asciiTheme="majorHAnsi" w:eastAsiaTheme="majorEastAsia" w:hAnsiTheme="majorHAnsi" w:cstheme="majorBidi"/>
      <w:color w:val="9F0040" w:themeColor="accent1" w:themeShade="BF"/>
      <w:lang w:val="fr-CA"/>
    </w:rPr>
  </w:style>
  <w:style w:type="paragraph" w:styleId="Paragraphedeliste">
    <w:name w:val="List Paragraph"/>
    <w:aliases w:val="TBS PB List Paragraph,Table Paragraph,Dot pt,Liste 1,List Paragraph1,Recommendation,List Paragraph11,L,List Paragraph2,CV text,Table text,F5 List Paragraph,List Paragraph111,Medium Grid 1 - Accent 21,Bullet text,Bullet,table bullets"/>
    <w:basedOn w:val="Normal"/>
    <w:link w:val="ParagraphedelisteCar"/>
    <w:uiPriority w:val="34"/>
    <w:qFormat/>
    <w:rsid w:val="00210749"/>
    <w:pPr>
      <w:spacing w:after="320"/>
      <w:contextualSpacing/>
    </w:pPr>
  </w:style>
  <w:style w:type="paragraph" w:customStyle="1" w:styleId="NormalWhiteforBox">
    <w:name w:val="Normal White for Box"/>
    <w:basedOn w:val="Normal"/>
    <w:qFormat/>
    <w:rsid w:val="00210749"/>
  </w:style>
  <w:style w:type="paragraph" w:customStyle="1" w:styleId="Numberedlist">
    <w:name w:val="Numbered list"/>
    <w:basedOn w:val="Paragraphedeliste"/>
    <w:qFormat/>
    <w:rsid w:val="00210749"/>
  </w:style>
  <w:style w:type="paragraph" w:styleId="Sous-titre">
    <w:name w:val="Subtitle"/>
    <w:basedOn w:val="Normal"/>
    <w:next w:val="Normal"/>
    <w:link w:val="Sous-titreCar"/>
    <w:uiPriority w:val="11"/>
    <w:qFormat/>
    <w:rsid w:val="00210749"/>
    <w:rPr>
      <w:rFonts w:ascii="Segoe UI Light" w:hAnsi="Segoe UI Light" w:cs="Segoe UI Light"/>
      <w:sz w:val="36"/>
      <w:szCs w:val="36"/>
    </w:rPr>
  </w:style>
  <w:style w:type="character" w:customStyle="1" w:styleId="Sous-titreCar">
    <w:name w:val="Sous-titre Car"/>
    <w:basedOn w:val="Policepardfaut"/>
    <w:link w:val="Sous-titre"/>
    <w:uiPriority w:val="11"/>
    <w:rsid w:val="00210749"/>
    <w:rPr>
      <w:rFonts w:ascii="Segoe UI Light" w:hAnsi="Segoe UI Light" w:cs="Segoe UI Light"/>
      <w:color w:val="54575A" w:themeColor="text1"/>
      <w:sz w:val="36"/>
      <w:szCs w:val="36"/>
      <w:lang w:val="fr-CA"/>
    </w:rPr>
  </w:style>
  <w:style w:type="table" w:styleId="Grilledutableau">
    <w:name w:val="Table Grid"/>
    <w:basedOn w:val="TableauNormal"/>
    <w:uiPriority w:val="39"/>
    <w:rsid w:val="00210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Titre2"/>
    <w:qFormat/>
    <w:rsid w:val="00DB3FF5"/>
    <w:rPr>
      <w:rFonts w:ascii="Segoe UI Semibold" w:hAnsi="Segoe UI Semibold"/>
      <w:b w:val="0"/>
      <w:color w:val="auto"/>
      <w:sz w:val="22"/>
    </w:rPr>
  </w:style>
  <w:style w:type="paragraph" w:styleId="Titre">
    <w:name w:val="Title"/>
    <w:basedOn w:val="Normal"/>
    <w:next w:val="Normal"/>
    <w:link w:val="TitreCar"/>
    <w:autoRedefine/>
    <w:uiPriority w:val="10"/>
    <w:qFormat/>
    <w:rsid w:val="00862C57"/>
    <w:pPr>
      <w:contextualSpacing/>
      <w:jc w:val="center"/>
    </w:pPr>
    <w:rPr>
      <w:rFonts w:ascii="Segoe UI Light" w:eastAsiaTheme="majorEastAsia" w:hAnsi="Segoe UI Light" w:cs="Segoe UI Light"/>
      <w:spacing w:val="-10"/>
      <w:kern w:val="28"/>
      <w:sz w:val="52"/>
      <w:szCs w:val="52"/>
      <w:lang w:val="fr-CA"/>
    </w:rPr>
  </w:style>
  <w:style w:type="character" w:customStyle="1" w:styleId="TitreCar">
    <w:name w:val="Titre Car"/>
    <w:basedOn w:val="Policepardfaut"/>
    <w:link w:val="Titre"/>
    <w:uiPriority w:val="10"/>
    <w:rsid w:val="00862C57"/>
    <w:rPr>
      <w:rFonts w:ascii="Segoe UI Light" w:eastAsiaTheme="majorEastAsia" w:hAnsi="Segoe UI Light" w:cs="Segoe UI Light"/>
      <w:spacing w:val="-10"/>
      <w:kern w:val="28"/>
      <w:sz w:val="52"/>
      <w:szCs w:val="52"/>
      <w:lang w:val="fr-CA"/>
    </w:rPr>
  </w:style>
  <w:style w:type="paragraph" w:styleId="NormalWeb">
    <w:name w:val="Normal (Web)"/>
    <w:basedOn w:val="Normal"/>
    <w:uiPriority w:val="99"/>
    <w:unhideWhenUsed/>
    <w:rsid w:val="00862C57"/>
    <w:pPr>
      <w:spacing w:before="100" w:beforeAutospacing="1" w:after="100" w:afterAutospacing="1"/>
    </w:pPr>
    <w:rPr>
      <w:rFonts w:ascii="Verdana" w:hAnsi="Verdana"/>
      <w:szCs w:val="24"/>
    </w:rPr>
  </w:style>
  <w:style w:type="paragraph" w:customStyle="1" w:styleId="Level1">
    <w:name w:val="Level 1"/>
    <w:basedOn w:val="Normal"/>
    <w:uiPriority w:val="99"/>
    <w:rsid w:val="00862C57"/>
    <w:pPr>
      <w:widowControl w:val="0"/>
    </w:pPr>
  </w:style>
  <w:style w:type="character" w:styleId="Lienhypertexte">
    <w:name w:val="Hyperlink"/>
    <w:uiPriority w:val="99"/>
    <w:unhideWhenUsed/>
    <w:rsid w:val="00862C57"/>
    <w:rPr>
      <w:color w:val="0563C1"/>
      <w:u w:val="single"/>
    </w:rPr>
  </w:style>
  <w:style w:type="character" w:styleId="Marquedecommentaire">
    <w:name w:val="annotation reference"/>
    <w:uiPriority w:val="99"/>
    <w:semiHidden/>
    <w:unhideWhenUsed/>
    <w:rsid w:val="00862C57"/>
    <w:rPr>
      <w:sz w:val="16"/>
      <w:szCs w:val="16"/>
    </w:rPr>
  </w:style>
  <w:style w:type="paragraph" w:styleId="Commentaire">
    <w:name w:val="annotation text"/>
    <w:basedOn w:val="Normal"/>
    <w:link w:val="CommentaireCar"/>
    <w:uiPriority w:val="99"/>
    <w:semiHidden/>
    <w:unhideWhenUsed/>
    <w:rsid w:val="00862C57"/>
    <w:rPr>
      <w:sz w:val="20"/>
    </w:rPr>
  </w:style>
  <w:style w:type="character" w:customStyle="1" w:styleId="CommentaireCar">
    <w:name w:val="Commentaire Car"/>
    <w:basedOn w:val="Policepardfaut"/>
    <w:link w:val="Commentaire"/>
    <w:uiPriority w:val="99"/>
    <w:semiHidden/>
    <w:rsid w:val="00862C57"/>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862C57"/>
    <w:rPr>
      <w:b/>
      <w:bCs/>
    </w:rPr>
  </w:style>
  <w:style w:type="character" w:customStyle="1" w:styleId="ObjetducommentaireCar">
    <w:name w:val="Objet du commentaire Car"/>
    <w:basedOn w:val="CommentaireCar"/>
    <w:link w:val="Objetducommentaire"/>
    <w:uiPriority w:val="99"/>
    <w:semiHidden/>
    <w:rsid w:val="00862C57"/>
    <w:rPr>
      <w:rFonts w:ascii="Times New Roman" w:eastAsia="Times New Roman" w:hAnsi="Times New Roman" w:cs="Times New Roman"/>
      <w:b/>
      <w:bCs/>
      <w:sz w:val="20"/>
      <w:szCs w:val="20"/>
      <w:lang w:val="en-US"/>
    </w:rPr>
  </w:style>
  <w:style w:type="paragraph" w:styleId="Sansinterligne">
    <w:name w:val="No Spacing"/>
    <w:uiPriority w:val="1"/>
    <w:qFormat/>
    <w:rsid w:val="00862C57"/>
    <w:pPr>
      <w:spacing w:after="0" w:line="240" w:lineRule="auto"/>
    </w:pPr>
    <w:rPr>
      <w:rFonts w:ascii="Times New Roman" w:eastAsia="Times New Roman" w:hAnsi="Times New Roman" w:cs="Times New Roman"/>
      <w:sz w:val="24"/>
      <w:szCs w:val="20"/>
      <w:lang w:val="en-US"/>
    </w:rPr>
  </w:style>
  <w:style w:type="character" w:styleId="Lienhypertextesuivivisit">
    <w:name w:val="FollowedHyperlink"/>
    <w:uiPriority w:val="99"/>
    <w:semiHidden/>
    <w:unhideWhenUsed/>
    <w:rsid w:val="00862C57"/>
    <w:rPr>
      <w:color w:val="954F72"/>
      <w:u w:val="single"/>
    </w:rPr>
  </w:style>
  <w:style w:type="paragraph" w:styleId="Notedefin">
    <w:name w:val="endnote text"/>
    <w:basedOn w:val="Normal"/>
    <w:link w:val="NotedefinCar"/>
    <w:unhideWhenUsed/>
    <w:rsid w:val="00862C57"/>
    <w:rPr>
      <w:rFonts w:ascii="Arial" w:hAnsi="Arial"/>
      <w:sz w:val="20"/>
      <w:lang w:val="en-CA" w:eastAsia="en-CA"/>
    </w:rPr>
  </w:style>
  <w:style w:type="character" w:customStyle="1" w:styleId="NotedefinCar">
    <w:name w:val="Note de fin Car"/>
    <w:basedOn w:val="Policepardfaut"/>
    <w:link w:val="Notedefin"/>
    <w:rsid w:val="00862C57"/>
    <w:rPr>
      <w:rFonts w:ascii="Arial" w:eastAsia="Times New Roman" w:hAnsi="Arial" w:cs="Times New Roman"/>
      <w:sz w:val="20"/>
      <w:szCs w:val="20"/>
      <w:lang w:eastAsia="en-CA"/>
    </w:rPr>
  </w:style>
  <w:style w:type="character" w:styleId="Appeldenotedefin">
    <w:name w:val="endnote reference"/>
    <w:uiPriority w:val="99"/>
    <w:semiHidden/>
    <w:unhideWhenUsed/>
    <w:rsid w:val="00862C57"/>
    <w:rPr>
      <w:vertAlign w:val="superscript"/>
    </w:rPr>
  </w:style>
  <w:style w:type="paragraph" w:customStyle="1" w:styleId="Style1">
    <w:name w:val="Style1"/>
    <w:basedOn w:val="Normal"/>
    <w:link w:val="Style1Char"/>
    <w:qFormat/>
    <w:rsid w:val="00862C57"/>
    <w:pPr>
      <w:pBdr>
        <w:bottom w:val="single" w:sz="4" w:space="1" w:color="92D050"/>
      </w:pBdr>
      <w:autoSpaceDE w:val="0"/>
      <w:autoSpaceDN w:val="0"/>
      <w:adjustRightInd w:val="0"/>
      <w:ind w:right="50"/>
    </w:pPr>
    <w:rPr>
      <w:rFonts w:ascii="Arial" w:hAnsi="Arial" w:cs="Arial"/>
      <w:b/>
      <w:caps/>
      <w:color w:val="92D050"/>
      <w:sz w:val="22"/>
      <w:szCs w:val="22"/>
      <w:lang w:val="en-CA"/>
    </w:rPr>
  </w:style>
  <w:style w:type="paragraph" w:customStyle="1" w:styleId="Style2">
    <w:name w:val="Style2"/>
    <w:basedOn w:val="Normal"/>
    <w:link w:val="Style2Char"/>
    <w:qFormat/>
    <w:rsid w:val="00862C57"/>
    <w:pPr>
      <w:shd w:val="clear" w:color="auto" w:fill="F2F2F2"/>
    </w:pPr>
    <w:rPr>
      <w:rFonts w:ascii="Arial" w:hAnsi="Arial" w:cs="Arial"/>
      <w:b/>
      <w:color w:val="009999"/>
      <w:spacing w:val="-10"/>
      <w:sz w:val="22"/>
      <w:szCs w:val="22"/>
      <w:lang w:val="en-CA"/>
    </w:rPr>
  </w:style>
  <w:style w:type="character" w:customStyle="1" w:styleId="Style1Char">
    <w:name w:val="Style1 Char"/>
    <w:basedOn w:val="Policepardfaut"/>
    <w:link w:val="Style1"/>
    <w:rsid w:val="00862C57"/>
    <w:rPr>
      <w:rFonts w:ascii="Arial" w:eastAsia="Times New Roman" w:hAnsi="Arial" w:cs="Arial"/>
      <w:b/>
      <w:caps/>
      <w:color w:val="92D050"/>
    </w:rPr>
  </w:style>
  <w:style w:type="character" w:customStyle="1" w:styleId="Style2Char">
    <w:name w:val="Style2 Char"/>
    <w:basedOn w:val="Policepardfaut"/>
    <w:link w:val="Style2"/>
    <w:rsid w:val="00862C57"/>
    <w:rPr>
      <w:rFonts w:ascii="Arial" w:eastAsia="Times New Roman" w:hAnsi="Arial" w:cs="Arial"/>
      <w:b/>
      <w:color w:val="009999"/>
      <w:spacing w:val="-10"/>
      <w:shd w:val="clear" w:color="auto" w:fill="F2F2F2"/>
    </w:rPr>
  </w:style>
  <w:style w:type="paragraph" w:customStyle="1" w:styleId="Style3">
    <w:name w:val="Style3"/>
    <w:basedOn w:val="Normal"/>
    <w:link w:val="Style3Char"/>
    <w:qFormat/>
    <w:rsid w:val="00862C57"/>
    <w:pPr>
      <w:jc w:val="center"/>
    </w:pPr>
    <w:rPr>
      <w:rFonts w:ascii="Arial" w:hAnsi="Arial" w:cs="Arial"/>
      <w:b/>
      <w:sz w:val="22"/>
      <w:szCs w:val="22"/>
      <w:u w:val="single"/>
    </w:rPr>
  </w:style>
  <w:style w:type="paragraph" w:customStyle="1" w:styleId="Style4">
    <w:name w:val="Style4"/>
    <w:basedOn w:val="Normal"/>
    <w:link w:val="Style4Char"/>
    <w:qFormat/>
    <w:rsid w:val="00862C57"/>
    <w:rPr>
      <w:rFonts w:ascii="Arial" w:hAnsi="Arial" w:cs="Arial"/>
      <w:sz w:val="22"/>
      <w:szCs w:val="22"/>
      <w:u w:val="single"/>
      <w:lang w:val="en-CA" w:eastAsia="en-CA"/>
    </w:rPr>
  </w:style>
  <w:style w:type="character" w:customStyle="1" w:styleId="Style3Char">
    <w:name w:val="Style3 Char"/>
    <w:basedOn w:val="Policepardfaut"/>
    <w:link w:val="Style3"/>
    <w:rsid w:val="00862C57"/>
    <w:rPr>
      <w:rFonts w:ascii="Arial" w:eastAsia="Times New Roman" w:hAnsi="Arial" w:cs="Arial"/>
      <w:b/>
      <w:u w:val="single"/>
      <w:lang w:val="en-US"/>
    </w:rPr>
  </w:style>
  <w:style w:type="paragraph" w:customStyle="1" w:styleId="Style5">
    <w:name w:val="Style5"/>
    <w:basedOn w:val="Normal"/>
    <w:link w:val="Style5Char"/>
    <w:qFormat/>
    <w:rsid w:val="00862C57"/>
    <w:pPr>
      <w:jc w:val="center"/>
    </w:pPr>
    <w:rPr>
      <w:rFonts w:ascii="Arial" w:hAnsi="Arial" w:cs="Arial"/>
      <w:b/>
      <w:bCs/>
      <w:sz w:val="22"/>
      <w:szCs w:val="22"/>
      <w:lang w:val="en"/>
    </w:rPr>
  </w:style>
  <w:style w:type="character" w:customStyle="1" w:styleId="Style4Char">
    <w:name w:val="Style4 Char"/>
    <w:basedOn w:val="Policepardfaut"/>
    <w:link w:val="Style4"/>
    <w:rsid w:val="00862C57"/>
    <w:rPr>
      <w:rFonts w:ascii="Arial" w:eastAsia="Times New Roman" w:hAnsi="Arial" w:cs="Arial"/>
      <w:u w:val="single"/>
      <w:lang w:eastAsia="en-CA"/>
    </w:rPr>
  </w:style>
  <w:style w:type="paragraph" w:customStyle="1" w:styleId="Style6">
    <w:name w:val="Style6"/>
    <w:basedOn w:val="Normal"/>
    <w:link w:val="Style6Char"/>
    <w:qFormat/>
    <w:rsid w:val="00862C57"/>
    <w:pPr>
      <w:jc w:val="center"/>
    </w:pPr>
    <w:rPr>
      <w:rFonts w:ascii="Arial" w:hAnsi="Arial" w:cs="Arial"/>
      <w:b/>
      <w:color w:val="009999"/>
      <w:szCs w:val="24"/>
    </w:rPr>
  </w:style>
  <w:style w:type="character" w:customStyle="1" w:styleId="Style5Char">
    <w:name w:val="Style5 Char"/>
    <w:basedOn w:val="Policepardfaut"/>
    <w:link w:val="Style5"/>
    <w:rsid w:val="00862C57"/>
    <w:rPr>
      <w:rFonts w:ascii="Arial" w:eastAsia="Times New Roman" w:hAnsi="Arial" w:cs="Arial"/>
      <w:b/>
      <w:bCs/>
      <w:lang w:val="en"/>
    </w:rPr>
  </w:style>
  <w:style w:type="paragraph" w:customStyle="1" w:styleId="Style7">
    <w:name w:val="Style7"/>
    <w:basedOn w:val="Normal"/>
    <w:link w:val="Style7Char"/>
    <w:qFormat/>
    <w:rsid w:val="00862C57"/>
    <w:pPr>
      <w:jc w:val="center"/>
    </w:pPr>
    <w:rPr>
      <w:rFonts w:ascii="Arial" w:hAnsi="Arial" w:cs="Arial"/>
      <w:color w:val="009999"/>
      <w:sz w:val="22"/>
      <w:szCs w:val="32"/>
    </w:rPr>
  </w:style>
  <w:style w:type="character" w:customStyle="1" w:styleId="Style6Char">
    <w:name w:val="Style6 Char"/>
    <w:basedOn w:val="Policepardfaut"/>
    <w:link w:val="Style6"/>
    <w:rsid w:val="00862C57"/>
    <w:rPr>
      <w:rFonts w:ascii="Arial" w:eastAsia="Times New Roman" w:hAnsi="Arial" w:cs="Arial"/>
      <w:b/>
      <w:color w:val="009999"/>
      <w:sz w:val="24"/>
      <w:szCs w:val="24"/>
      <w:lang w:val="en-US"/>
    </w:rPr>
  </w:style>
  <w:style w:type="paragraph" w:customStyle="1" w:styleId="Style8">
    <w:name w:val="Style8"/>
    <w:basedOn w:val="Normal"/>
    <w:link w:val="Style8Char"/>
    <w:qFormat/>
    <w:rsid w:val="00862C57"/>
    <w:rPr>
      <w:rFonts w:ascii="Arial" w:hAnsi="Arial" w:cs="Arial"/>
      <w:color w:val="767171"/>
      <w:sz w:val="16"/>
      <w:szCs w:val="22"/>
      <w:lang w:val="en-CA"/>
    </w:rPr>
  </w:style>
  <w:style w:type="character" w:customStyle="1" w:styleId="Style7Char">
    <w:name w:val="Style7 Char"/>
    <w:basedOn w:val="Policepardfaut"/>
    <w:link w:val="Style7"/>
    <w:rsid w:val="00862C57"/>
    <w:rPr>
      <w:rFonts w:ascii="Arial" w:eastAsia="Times New Roman" w:hAnsi="Arial" w:cs="Arial"/>
      <w:color w:val="009999"/>
      <w:szCs w:val="32"/>
      <w:lang w:val="en-US"/>
    </w:rPr>
  </w:style>
  <w:style w:type="paragraph" w:customStyle="1" w:styleId="Style9">
    <w:name w:val="Style9"/>
    <w:basedOn w:val="Normal"/>
    <w:link w:val="Style9Char"/>
    <w:qFormat/>
    <w:rsid w:val="00862C57"/>
    <w:rPr>
      <w:rFonts w:ascii="Arial" w:hAnsi="Arial" w:cs="Arial"/>
      <w:b/>
      <w:color w:val="009999"/>
      <w:spacing w:val="-10"/>
      <w:sz w:val="22"/>
      <w:szCs w:val="22"/>
      <w:lang w:val="en-CA"/>
    </w:rPr>
  </w:style>
  <w:style w:type="character" w:customStyle="1" w:styleId="Style8Char">
    <w:name w:val="Style8 Char"/>
    <w:basedOn w:val="Policepardfaut"/>
    <w:link w:val="Style8"/>
    <w:rsid w:val="00862C57"/>
    <w:rPr>
      <w:rFonts w:ascii="Arial" w:eastAsia="Times New Roman" w:hAnsi="Arial" w:cs="Arial"/>
      <w:color w:val="767171"/>
      <w:sz w:val="16"/>
    </w:rPr>
  </w:style>
  <w:style w:type="character" w:customStyle="1" w:styleId="Style9Char">
    <w:name w:val="Style9 Char"/>
    <w:basedOn w:val="Policepardfaut"/>
    <w:link w:val="Style9"/>
    <w:rsid w:val="00862C57"/>
    <w:rPr>
      <w:rFonts w:ascii="Arial" w:eastAsia="Times New Roman" w:hAnsi="Arial" w:cs="Arial"/>
      <w:b/>
      <w:color w:val="009999"/>
      <w:spacing w:val="-10"/>
    </w:rPr>
  </w:style>
  <w:style w:type="character" w:customStyle="1" w:styleId="tlid-translation">
    <w:name w:val="tlid-translation"/>
    <w:basedOn w:val="Policepardfaut"/>
    <w:rsid w:val="00862C57"/>
  </w:style>
  <w:style w:type="character" w:styleId="Emphaseple">
    <w:name w:val="Subtle Emphasis"/>
    <w:basedOn w:val="Policepardfaut"/>
    <w:uiPriority w:val="19"/>
    <w:qFormat/>
    <w:rsid w:val="00862C57"/>
    <w:rPr>
      <w:i/>
      <w:iCs/>
      <w:color w:val="A8ABAE" w:themeColor="text1" w:themeTint="7F"/>
    </w:rPr>
  </w:style>
  <w:style w:type="character" w:styleId="Accentuation">
    <w:name w:val="Emphasis"/>
    <w:basedOn w:val="Policepardfaut"/>
    <w:uiPriority w:val="20"/>
    <w:qFormat/>
    <w:rsid w:val="002D2ECA"/>
    <w:rPr>
      <w:rFonts w:asciiTheme="minorHAnsi" w:hAnsiTheme="minorHAnsi"/>
      <w:i/>
      <w:iCs/>
      <w:sz w:val="22"/>
    </w:rPr>
  </w:style>
  <w:style w:type="character" w:styleId="lev">
    <w:name w:val="Strong"/>
    <w:basedOn w:val="Policepardfaut"/>
    <w:uiPriority w:val="22"/>
    <w:qFormat/>
    <w:rsid w:val="00661A5C"/>
    <w:rPr>
      <w:rFonts w:asciiTheme="minorHAnsi" w:hAnsiTheme="minorHAnsi"/>
      <w:b/>
      <w:bCs/>
      <w:sz w:val="22"/>
    </w:rPr>
  </w:style>
  <w:style w:type="table" w:styleId="TableauGrille5Fonc">
    <w:name w:val="Grid Table 5 Dark"/>
    <w:basedOn w:val="TableauNormal"/>
    <w:uiPriority w:val="50"/>
    <w:rsid w:val="00800A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DDE"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75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75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75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75A" w:themeFill="text1"/>
      </w:tcPr>
    </w:tblStylePr>
    <w:tblStylePr w:type="band1Vert">
      <w:tblPr/>
      <w:tcPr>
        <w:shd w:val="clear" w:color="auto" w:fill="B9BBBE" w:themeFill="text1" w:themeFillTint="66"/>
      </w:tcPr>
    </w:tblStylePr>
    <w:tblStylePr w:type="band1Horz">
      <w:tblPr/>
      <w:tcPr>
        <w:shd w:val="clear" w:color="auto" w:fill="B9BBBE" w:themeFill="text1" w:themeFillTint="66"/>
      </w:tcPr>
    </w:tblStylePr>
  </w:style>
  <w:style w:type="character" w:customStyle="1" w:styleId="ParagraphedelisteCar">
    <w:name w:val="Paragraphe de liste Car"/>
    <w:aliases w:val="TBS PB List Paragraph Car,Table Paragraph Car,Dot pt Car,Liste 1 Car,List Paragraph1 Car,Recommendation Car,List Paragraph11 Car,L Car,List Paragraph2 Car,CV text Car,Table text Car,F5 List Paragraph Car,List Paragraph111 Car"/>
    <w:basedOn w:val="Policepardfaut"/>
    <w:link w:val="Paragraphedeliste"/>
    <w:uiPriority w:val="34"/>
    <w:locked/>
    <w:rsid w:val="00EE4574"/>
    <w:rPr>
      <w:rFonts w:ascii="Times New Roman" w:eastAsia="Times New Roman" w:hAnsi="Times New Roman" w:cs="Times New Roman"/>
      <w:sz w:val="24"/>
      <w:szCs w:val="20"/>
      <w:lang w:val="en-US"/>
    </w:rPr>
  </w:style>
  <w:style w:type="paragraph" w:styleId="Lgende">
    <w:name w:val="caption"/>
    <w:basedOn w:val="Normal"/>
    <w:next w:val="Normal"/>
    <w:uiPriority w:val="35"/>
    <w:unhideWhenUsed/>
    <w:qFormat/>
    <w:rsid w:val="00661A5C"/>
    <w:rPr>
      <w:rFonts w:asciiTheme="minorHAnsi" w:hAnsiTheme="minorHAns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37935">
      <w:bodyDiv w:val="1"/>
      <w:marLeft w:val="0"/>
      <w:marRight w:val="0"/>
      <w:marTop w:val="0"/>
      <w:marBottom w:val="0"/>
      <w:divBdr>
        <w:top w:val="none" w:sz="0" w:space="0" w:color="auto"/>
        <w:left w:val="none" w:sz="0" w:space="0" w:color="auto"/>
        <w:bottom w:val="none" w:sz="0" w:space="0" w:color="auto"/>
        <w:right w:val="none" w:sz="0" w:space="0" w:color="auto"/>
      </w:divBdr>
    </w:div>
    <w:div w:id="750740381">
      <w:bodyDiv w:val="1"/>
      <w:marLeft w:val="0"/>
      <w:marRight w:val="0"/>
      <w:marTop w:val="0"/>
      <w:marBottom w:val="0"/>
      <w:divBdr>
        <w:top w:val="none" w:sz="0" w:space="0" w:color="auto"/>
        <w:left w:val="none" w:sz="0" w:space="0" w:color="auto"/>
        <w:bottom w:val="none" w:sz="0" w:space="0" w:color="auto"/>
        <w:right w:val="none" w:sz="0" w:space="0" w:color="auto"/>
      </w:divBdr>
    </w:div>
    <w:div w:id="942804044">
      <w:bodyDiv w:val="1"/>
      <w:marLeft w:val="0"/>
      <w:marRight w:val="0"/>
      <w:marTop w:val="0"/>
      <w:marBottom w:val="0"/>
      <w:divBdr>
        <w:top w:val="none" w:sz="0" w:space="0" w:color="auto"/>
        <w:left w:val="none" w:sz="0" w:space="0" w:color="auto"/>
        <w:bottom w:val="none" w:sz="0" w:space="0" w:color="auto"/>
        <w:right w:val="none" w:sz="0" w:space="0" w:color="auto"/>
      </w:divBdr>
    </w:div>
    <w:div w:id="1159810199">
      <w:bodyDiv w:val="1"/>
      <w:marLeft w:val="0"/>
      <w:marRight w:val="0"/>
      <w:marTop w:val="0"/>
      <w:marBottom w:val="0"/>
      <w:divBdr>
        <w:top w:val="none" w:sz="0" w:space="0" w:color="auto"/>
        <w:left w:val="none" w:sz="0" w:space="0" w:color="auto"/>
        <w:bottom w:val="none" w:sz="0" w:space="0" w:color="auto"/>
        <w:right w:val="none" w:sz="0" w:space="0" w:color="auto"/>
      </w:divBdr>
    </w:div>
    <w:div w:id="1267227773">
      <w:bodyDiv w:val="1"/>
      <w:marLeft w:val="0"/>
      <w:marRight w:val="0"/>
      <w:marTop w:val="0"/>
      <w:marBottom w:val="0"/>
      <w:divBdr>
        <w:top w:val="none" w:sz="0" w:space="0" w:color="auto"/>
        <w:left w:val="none" w:sz="0" w:space="0" w:color="auto"/>
        <w:bottom w:val="none" w:sz="0" w:space="0" w:color="auto"/>
        <w:right w:val="none" w:sz="0" w:space="0" w:color="auto"/>
      </w:divBdr>
    </w:div>
    <w:div w:id="1418013242">
      <w:bodyDiv w:val="1"/>
      <w:marLeft w:val="0"/>
      <w:marRight w:val="0"/>
      <w:marTop w:val="0"/>
      <w:marBottom w:val="0"/>
      <w:divBdr>
        <w:top w:val="none" w:sz="0" w:space="0" w:color="auto"/>
        <w:left w:val="none" w:sz="0" w:space="0" w:color="auto"/>
        <w:bottom w:val="none" w:sz="0" w:space="0" w:color="auto"/>
        <w:right w:val="none" w:sz="0" w:space="0" w:color="auto"/>
      </w:divBdr>
    </w:div>
    <w:div w:id="1425298101">
      <w:bodyDiv w:val="1"/>
      <w:marLeft w:val="0"/>
      <w:marRight w:val="0"/>
      <w:marTop w:val="0"/>
      <w:marBottom w:val="0"/>
      <w:divBdr>
        <w:top w:val="none" w:sz="0" w:space="0" w:color="auto"/>
        <w:left w:val="none" w:sz="0" w:space="0" w:color="auto"/>
        <w:bottom w:val="none" w:sz="0" w:space="0" w:color="auto"/>
        <w:right w:val="none" w:sz="0" w:space="0" w:color="auto"/>
      </w:divBdr>
    </w:div>
    <w:div w:id="1551453623">
      <w:bodyDiv w:val="1"/>
      <w:marLeft w:val="0"/>
      <w:marRight w:val="0"/>
      <w:marTop w:val="0"/>
      <w:marBottom w:val="0"/>
      <w:divBdr>
        <w:top w:val="none" w:sz="0" w:space="0" w:color="auto"/>
        <w:left w:val="none" w:sz="0" w:space="0" w:color="auto"/>
        <w:bottom w:val="none" w:sz="0" w:space="0" w:color="auto"/>
        <w:right w:val="none" w:sz="0" w:space="0" w:color="auto"/>
      </w:divBdr>
    </w:div>
    <w:div w:id="1626738540">
      <w:bodyDiv w:val="1"/>
      <w:marLeft w:val="0"/>
      <w:marRight w:val="0"/>
      <w:marTop w:val="0"/>
      <w:marBottom w:val="0"/>
      <w:divBdr>
        <w:top w:val="none" w:sz="0" w:space="0" w:color="auto"/>
        <w:left w:val="none" w:sz="0" w:space="0" w:color="auto"/>
        <w:bottom w:val="none" w:sz="0" w:space="0" w:color="auto"/>
        <w:right w:val="none" w:sz="0" w:space="0" w:color="auto"/>
      </w:divBdr>
    </w:div>
    <w:div w:id="1749115252">
      <w:bodyDiv w:val="1"/>
      <w:marLeft w:val="0"/>
      <w:marRight w:val="0"/>
      <w:marTop w:val="0"/>
      <w:marBottom w:val="0"/>
      <w:divBdr>
        <w:top w:val="none" w:sz="0" w:space="0" w:color="auto"/>
        <w:left w:val="none" w:sz="0" w:space="0" w:color="auto"/>
        <w:bottom w:val="none" w:sz="0" w:space="0" w:color="auto"/>
        <w:right w:val="none" w:sz="0" w:space="0" w:color="auto"/>
      </w:divBdr>
    </w:div>
    <w:div w:id="1813211035">
      <w:bodyDiv w:val="1"/>
      <w:marLeft w:val="0"/>
      <w:marRight w:val="0"/>
      <w:marTop w:val="0"/>
      <w:marBottom w:val="0"/>
      <w:divBdr>
        <w:top w:val="none" w:sz="0" w:space="0" w:color="auto"/>
        <w:left w:val="none" w:sz="0" w:space="0" w:color="auto"/>
        <w:bottom w:val="none" w:sz="0" w:space="0" w:color="auto"/>
        <w:right w:val="none" w:sz="0" w:space="0" w:color="auto"/>
      </w:divBdr>
    </w:div>
    <w:div w:id="1855151486">
      <w:bodyDiv w:val="1"/>
      <w:marLeft w:val="0"/>
      <w:marRight w:val="0"/>
      <w:marTop w:val="0"/>
      <w:marBottom w:val="0"/>
      <w:divBdr>
        <w:top w:val="none" w:sz="0" w:space="0" w:color="auto"/>
        <w:left w:val="none" w:sz="0" w:space="0" w:color="auto"/>
        <w:bottom w:val="none" w:sz="0" w:space="0" w:color="auto"/>
        <w:right w:val="none" w:sz="0" w:space="0" w:color="auto"/>
      </w:divBdr>
      <w:divsChild>
        <w:div w:id="27998578">
          <w:marLeft w:val="0"/>
          <w:marRight w:val="0"/>
          <w:marTop w:val="0"/>
          <w:marBottom w:val="0"/>
          <w:divBdr>
            <w:top w:val="none" w:sz="0" w:space="0" w:color="auto"/>
            <w:left w:val="none" w:sz="0" w:space="0" w:color="auto"/>
            <w:bottom w:val="none" w:sz="0" w:space="0" w:color="auto"/>
            <w:right w:val="none" w:sz="0" w:space="0" w:color="auto"/>
          </w:divBdr>
          <w:divsChild>
            <w:div w:id="1721708204">
              <w:marLeft w:val="0"/>
              <w:marRight w:val="0"/>
              <w:marTop w:val="0"/>
              <w:marBottom w:val="0"/>
              <w:divBdr>
                <w:top w:val="none" w:sz="0" w:space="0" w:color="auto"/>
                <w:left w:val="none" w:sz="0" w:space="0" w:color="auto"/>
                <w:bottom w:val="none" w:sz="0" w:space="0" w:color="auto"/>
                <w:right w:val="none" w:sz="0" w:space="0" w:color="auto"/>
              </w:divBdr>
              <w:divsChild>
                <w:div w:id="1662853865">
                  <w:marLeft w:val="0"/>
                  <w:marRight w:val="0"/>
                  <w:marTop w:val="0"/>
                  <w:marBottom w:val="0"/>
                  <w:divBdr>
                    <w:top w:val="none" w:sz="0" w:space="0" w:color="auto"/>
                    <w:left w:val="none" w:sz="0" w:space="0" w:color="auto"/>
                    <w:bottom w:val="none" w:sz="0" w:space="0" w:color="auto"/>
                    <w:right w:val="none" w:sz="0" w:space="0" w:color="auto"/>
                  </w:divBdr>
                  <w:divsChild>
                    <w:div w:id="138546883">
                      <w:marLeft w:val="0"/>
                      <w:marRight w:val="0"/>
                      <w:marTop w:val="0"/>
                      <w:marBottom w:val="0"/>
                      <w:divBdr>
                        <w:top w:val="none" w:sz="0" w:space="0" w:color="auto"/>
                        <w:left w:val="none" w:sz="0" w:space="0" w:color="auto"/>
                        <w:bottom w:val="none" w:sz="0" w:space="0" w:color="auto"/>
                        <w:right w:val="none" w:sz="0" w:space="0" w:color="auto"/>
                      </w:divBdr>
                      <w:divsChild>
                        <w:div w:id="3560250">
                          <w:marLeft w:val="0"/>
                          <w:marRight w:val="0"/>
                          <w:marTop w:val="0"/>
                          <w:marBottom w:val="0"/>
                          <w:divBdr>
                            <w:top w:val="none" w:sz="0" w:space="0" w:color="auto"/>
                            <w:left w:val="none" w:sz="0" w:space="0" w:color="auto"/>
                            <w:bottom w:val="none" w:sz="0" w:space="0" w:color="auto"/>
                            <w:right w:val="none" w:sz="0" w:space="0" w:color="auto"/>
                          </w:divBdr>
                          <w:divsChild>
                            <w:div w:id="234094795">
                              <w:marLeft w:val="0"/>
                              <w:marRight w:val="0"/>
                              <w:marTop w:val="0"/>
                              <w:marBottom w:val="0"/>
                              <w:divBdr>
                                <w:top w:val="none" w:sz="0" w:space="0" w:color="auto"/>
                                <w:left w:val="none" w:sz="0" w:space="0" w:color="auto"/>
                                <w:bottom w:val="none" w:sz="0" w:space="0" w:color="auto"/>
                                <w:right w:val="none" w:sz="0" w:space="0" w:color="auto"/>
                              </w:divBdr>
                              <w:divsChild>
                                <w:div w:id="101249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ada.ca/fr/gouvernement/fonctionpublique/mieux-etre-inclusion-diversite-fonction-publique/diversite-equite-matiere-emploi/equite-emploi-rapports-annuel/equite-emploi-fonction-publique-canada-2017-2018.html" TargetMode="External"/><Relationship Id="rId24" Type="http://schemas.openxmlformats.org/officeDocument/2006/relationships/chart" Target="charts/chart13.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CFP-Entete-Corpo2019.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5.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6.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7.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3.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4.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ysClr val="windowText" lastClr="000000"/>
                </a:solidFill>
                <a:latin typeface="+mn-lt"/>
                <a:ea typeface="+mn-ea"/>
                <a:cs typeface="+mn-cs"/>
              </a:defRPr>
            </a:pPr>
            <a:r>
              <a:rPr lang="en-CA" sz="1200" b="1" i="0" baseline="0">
                <a:solidFill>
                  <a:sysClr val="windowText" lastClr="000000"/>
                </a:solidFill>
                <a:effectLst/>
              </a:rPr>
              <a:t>Population selon la durée d'emploi au 31 mars</a:t>
            </a:r>
            <a:endParaRPr lang="en-CA" sz="1200">
              <a:solidFill>
                <a:sysClr val="windowText" lastClr="000000"/>
              </a:solidFill>
              <a:effectLst/>
            </a:endParaRPr>
          </a:p>
        </c:rich>
      </c:tx>
      <c:layout>
        <c:manualLayout>
          <c:xMode val="edge"/>
          <c:yMode val="edge"/>
          <c:x val="0.24177273793558268"/>
          <c:y val="2.391594926909912E-2"/>
        </c:manualLayout>
      </c:layout>
      <c:overlay val="1"/>
      <c:spPr>
        <a:noFill/>
        <a:ln>
          <a:noFill/>
        </a:ln>
        <a:effectLst/>
      </c:spPr>
      <c:txPr>
        <a:bodyPr rot="0" spcFirstLastPara="1" vertOverflow="ellipsis" vert="horz" wrap="square" anchor="ctr" anchorCtr="1"/>
        <a:lstStyle/>
        <a:p>
          <a:pPr algn="ct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2225561684641545"/>
          <c:y val="9.350649350649351E-2"/>
          <c:w val="0.8438565211696043"/>
          <c:h val="0.6100861028735044"/>
        </c:manualLayout>
      </c:layout>
      <c:barChart>
        <c:barDir val="col"/>
        <c:grouping val="stacked"/>
        <c:varyColors val="0"/>
        <c:ser>
          <c:idx val="0"/>
          <c:order val="0"/>
          <c:tx>
            <c:strRef>
              <c:f>Sheet1!$B$1</c:f>
              <c:strCache>
                <c:ptCount val="1"/>
                <c:pt idx="0">
                  <c:v>Indéterminée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(N=1 042) </c:v>
                </c:pt>
                <c:pt idx="1">
                  <c:v> 2015
(N=1 025) </c:v>
                </c:pt>
                <c:pt idx="2">
                  <c:v> 2016
(N=935) </c:v>
                </c:pt>
                <c:pt idx="3">
                  <c:v> 2017
(N=967) </c:v>
                </c:pt>
                <c:pt idx="4">
                  <c:v> 2018
(N=949) </c:v>
                </c:pt>
                <c:pt idx="5">
                  <c:v> 2019
(N=986) </c:v>
                </c:pt>
              </c:strCache>
            </c:strRef>
          </c:cat>
          <c:val>
            <c:numRef>
              <c:f>Sheet1!$B$2:$B$7</c:f>
              <c:numCache>
                <c:formatCode>#\ ###</c:formatCode>
                <c:ptCount val="6"/>
                <c:pt idx="0">
                  <c:v>776</c:v>
                </c:pt>
                <c:pt idx="1">
                  <c:v>776</c:v>
                </c:pt>
                <c:pt idx="2">
                  <c:v>744</c:v>
                </c:pt>
                <c:pt idx="3">
                  <c:v>767</c:v>
                </c:pt>
                <c:pt idx="4">
                  <c:v>780</c:v>
                </c:pt>
                <c:pt idx="5">
                  <c:v>808</c:v>
                </c:pt>
              </c:numCache>
            </c:numRef>
          </c:val>
        </c:ser>
        <c:ser>
          <c:idx val="1"/>
          <c:order val="1"/>
          <c:tx>
            <c:strRef>
              <c:f>Sheet1!$C$1</c:f>
              <c:strCache>
                <c:ptCount val="1"/>
                <c:pt idx="0">
                  <c:v>Déterminée</c:v>
                </c:pt>
              </c:strCache>
            </c:strRef>
          </c:tx>
          <c:spPr>
            <a:solidFill>
              <a:schemeClr val="accent2"/>
            </a:solidFill>
            <a:ln>
              <a:noFill/>
            </a:ln>
            <a:effectLst/>
          </c:spPr>
          <c:invertIfNegative val="0"/>
          <c:dLbls>
            <c:dLbl>
              <c:idx val="0"/>
              <c:layout>
                <c:manualLayout>
                  <c:x val="3.080714725816361E-3"/>
                  <c:y val="4.6753246753246727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6479117521715313E-17"/>
                  <c:y val="4.6753246753246755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4.155844155844151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4.6753246753246755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5.1948051948051951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(N=1 042) </c:v>
                </c:pt>
                <c:pt idx="1">
                  <c:v> 2015
(N=1 025) </c:v>
                </c:pt>
                <c:pt idx="2">
                  <c:v> 2016
(N=935) </c:v>
                </c:pt>
                <c:pt idx="3">
                  <c:v> 2017
(N=967) </c:v>
                </c:pt>
                <c:pt idx="4">
                  <c:v> 2018
(N=949) </c:v>
                </c:pt>
                <c:pt idx="5">
                  <c:v> 2019
(N=986) </c:v>
                </c:pt>
              </c:strCache>
            </c:strRef>
          </c:cat>
          <c:val>
            <c:numRef>
              <c:f>Sheet1!$C$2:$C$7</c:f>
              <c:numCache>
                <c:formatCode>#\ ###</c:formatCode>
                <c:ptCount val="6"/>
                <c:pt idx="0">
                  <c:v>113</c:v>
                </c:pt>
                <c:pt idx="1">
                  <c:v>126</c:v>
                </c:pt>
                <c:pt idx="2">
                  <c:v>111</c:v>
                </c:pt>
                <c:pt idx="3">
                  <c:v>92</c:v>
                </c:pt>
                <c:pt idx="4">
                  <c:v>104</c:v>
                </c:pt>
                <c:pt idx="5">
                  <c:v>92</c:v>
                </c:pt>
              </c:numCache>
            </c:numRef>
          </c:val>
        </c:ser>
        <c:ser>
          <c:idx val="2"/>
          <c:order val="2"/>
          <c:tx>
            <c:strRef>
              <c:f>Sheet1!$D$1</c:f>
              <c:strCache>
                <c:ptCount val="1"/>
                <c:pt idx="0">
                  <c:v>Occasionnel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(N=1 042) </c:v>
                </c:pt>
                <c:pt idx="1">
                  <c:v> 2015
(N=1 025) </c:v>
                </c:pt>
                <c:pt idx="2">
                  <c:v> 2016
(N=935) </c:v>
                </c:pt>
                <c:pt idx="3">
                  <c:v> 2017
(N=967) </c:v>
                </c:pt>
                <c:pt idx="4">
                  <c:v> 2018
(N=949) </c:v>
                </c:pt>
                <c:pt idx="5">
                  <c:v> 2019
(N=986) </c:v>
                </c:pt>
              </c:strCache>
            </c:strRef>
          </c:cat>
          <c:val>
            <c:numRef>
              <c:f>Sheet1!$D$2:$D$7</c:f>
              <c:numCache>
                <c:formatCode>#\ ###</c:formatCode>
                <c:ptCount val="6"/>
                <c:pt idx="0">
                  <c:v>135</c:v>
                </c:pt>
                <c:pt idx="1">
                  <c:v>105</c:v>
                </c:pt>
                <c:pt idx="2">
                  <c:v>71</c:v>
                </c:pt>
                <c:pt idx="3">
                  <c:v>91</c:v>
                </c:pt>
                <c:pt idx="4">
                  <c:v>48</c:v>
                </c:pt>
                <c:pt idx="5">
                  <c:v>64</c:v>
                </c:pt>
              </c:numCache>
            </c:numRef>
          </c:val>
        </c:ser>
        <c:ser>
          <c:idx val="3"/>
          <c:order val="3"/>
          <c:tx>
            <c:strRef>
              <c:f>Sheet1!$E$1</c:f>
              <c:strCache>
                <c:ptCount val="1"/>
                <c:pt idx="0">
                  <c:v>Étudiant</c:v>
                </c:pt>
              </c:strCache>
            </c:strRef>
          </c:tx>
          <c:spPr>
            <a:solidFill>
              <a:schemeClr val="accent4"/>
            </a:solidFill>
            <a:ln>
              <a:noFill/>
            </a:ln>
            <a:effectLst/>
          </c:spPr>
          <c:invertIfNegative val="0"/>
          <c:dLbls>
            <c:dLbl>
              <c:idx val="0"/>
              <c:layout>
                <c:manualLayout>
                  <c:x val="3.0807147258163892E-3"/>
                  <c:y val="-4.155844155844157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3.116883116883116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6479117521715313E-17"/>
                  <c:y val="-4.155844155844157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4.155844155844157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1295823504343063E-16"/>
                  <c:y val="-3.116883116883116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(N=1 042) </c:v>
                </c:pt>
                <c:pt idx="1">
                  <c:v> 2015
(N=1 025) </c:v>
                </c:pt>
                <c:pt idx="2">
                  <c:v> 2016
(N=935) </c:v>
                </c:pt>
                <c:pt idx="3">
                  <c:v> 2017
(N=967) </c:v>
                </c:pt>
                <c:pt idx="4">
                  <c:v> 2018
(N=949) </c:v>
                </c:pt>
                <c:pt idx="5">
                  <c:v> 2019
(N=986) </c:v>
                </c:pt>
              </c:strCache>
            </c:strRef>
          </c:cat>
          <c:val>
            <c:numRef>
              <c:f>Sheet1!$E$2:$E$7</c:f>
              <c:numCache>
                <c:formatCode>#\ ###</c:formatCode>
                <c:ptCount val="6"/>
                <c:pt idx="0">
                  <c:v>18</c:v>
                </c:pt>
                <c:pt idx="1">
                  <c:v>18</c:v>
                </c:pt>
                <c:pt idx="2">
                  <c:v>9</c:v>
                </c:pt>
                <c:pt idx="3">
                  <c:v>17</c:v>
                </c:pt>
                <c:pt idx="4">
                  <c:v>17</c:v>
                </c:pt>
                <c:pt idx="5">
                  <c:v>22</c:v>
                </c:pt>
              </c:numCache>
            </c:numRef>
          </c:val>
        </c:ser>
        <c:dLbls>
          <c:dLblPos val="ctr"/>
          <c:showLegendKey val="0"/>
          <c:showVal val="1"/>
          <c:showCatName val="0"/>
          <c:showSerName val="0"/>
          <c:showPercent val="0"/>
          <c:showBubbleSize val="0"/>
        </c:dLbls>
        <c:gapWidth val="150"/>
        <c:overlap val="100"/>
        <c:axId val="367978704"/>
        <c:axId val="367974392"/>
      </c:barChart>
      <c:catAx>
        <c:axId val="367978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7974392"/>
        <c:crosses val="autoZero"/>
        <c:auto val="1"/>
        <c:lblAlgn val="ctr"/>
        <c:lblOffset val="100"/>
        <c:noMultiLvlLbl val="0"/>
      </c:catAx>
      <c:valAx>
        <c:axId val="367974392"/>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7978704"/>
        <c:crosses val="autoZero"/>
        <c:crossBetween val="between"/>
      </c:valAx>
      <c:spPr>
        <a:noFill/>
        <a:ln>
          <a:noFill/>
        </a:ln>
        <a:effectLst/>
      </c:spPr>
    </c:plotArea>
    <c:legend>
      <c:legendPos val="b"/>
      <c:layout>
        <c:manualLayout>
          <c:xMode val="edge"/>
          <c:yMode val="edge"/>
          <c:x val="0.13638008742437693"/>
          <c:y val="0.88116821760916253"/>
          <c:w val="0.77653126076430834"/>
          <c:h val="8.7662951222006347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CA" sz="1200" b="1">
                <a:solidFill>
                  <a:sysClr val="windowText" lastClr="000000"/>
                </a:solidFill>
              </a:rPr>
              <a:t>Embauche</a:t>
            </a:r>
            <a:r>
              <a:rPr lang="en-CA" sz="1200" b="1" baseline="0">
                <a:solidFill>
                  <a:sysClr val="windowText" lastClr="000000"/>
                </a:solidFill>
              </a:rPr>
              <a:t> d'étudiants</a:t>
            </a:r>
            <a:endParaRPr lang="en-CA" sz="1200" b="1">
              <a:solidFill>
                <a:sysClr val="windowText" lastClr="000000"/>
              </a:solidFill>
            </a:endParaRPr>
          </a:p>
        </c:rich>
      </c:tx>
      <c:layout>
        <c:manualLayout>
          <c:xMode val="edge"/>
          <c:yMode val="edge"/>
          <c:x val="0.38012826811488359"/>
          <c:y val="3.9660700608633047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19780200324875"/>
          <c:y val="0.15727432113060438"/>
          <c:w val="0.83536289996604629"/>
          <c:h val="0.58717180352455944"/>
        </c:manualLayout>
      </c:layout>
      <c:barChart>
        <c:barDir val="col"/>
        <c:grouping val="stacked"/>
        <c:varyColors val="0"/>
        <c:ser>
          <c:idx val="0"/>
          <c:order val="0"/>
          <c:tx>
            <c:strRef>
              <c:f>Sheet1!$B$1</c:f>
              <c:strCache>
                <c:ptCount val="1"/>
                <c:pt idx="0">
                  <c:v>Programme fédéral d'expérience de travail étudiant (PFETÉ)</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(N=51)</c:v>
                </c:pt>
                <c:pt idx="1">
                  <c:v>2015-2016
 (N=23)</c:v>
                </c:pt>
                <c:pt idx="2">
                  <c:v>2016-2017
 (N=51)</c:v>
                </c:pt>
                <c:pt idx="3">
                  <c:v>2017-2018
 (N=44)</c:v>
                </c:pt>
                <c:pt idx="4">
                  <c:v>2018-2019
 (N=40)</c:v>
                </c:pt>
              </c:strCache>
            </c:strRef>
          </c:cat>
          <c:val>
            <c:numRef>
              <c:f>Sheet1!$B$2:$B$6</c:f>
              <c:numCache>
                <c:formatCode>General</c:formatCode>
                <c:ptCount val="5"/>
                <c:pt idx="0">
                  <c:v>29</c:v>
                </c:pt>
                <c:pt idx="1">
                  <c:v>19</c:v>
                </c:pt>
                <c:pt idx="2">
                  <c:v>30</c:v>
                </c:pt>
                <c:pt idx="3">
                  <c:v>28</c:v>
                </c:pt>
                <c:pt idx="4">
                  <c:v>29</c:v>
                </c:pt>
              </c:numCache>
            </c:numRef>
          </c:val>
        </c:ser>
        <c:ser>
          <c:idx val="1"/>
          <c:order val="1"/>
          <c:tx>
            <c:strRef>
              <c:f>Sheet1!$C$1</c:f>
              <c:strCache>
                <c:ptCount val="1"/>
                <c:pt idx="0">
                  <c:v>Programme post secondaire d'enseignement coopératif/stage (COOP)</c:v>
                </c:pt>
              </c:strCache>
            </c:strRef>
          </c:tx>
          <c:spPr>
            <a:solidFill>
              <a:schemeClr val="accent2"/>
            </a:solidFill>
            <a:ln>
              <a:noFill/>
            </a:ln>
            <a:effectLst/>
          </c:spPr>
          <c:invertIfNegative val="0"/>
          <c:dLbls>
            <c:dLbl>
              <c:idx val="0"/>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(N=51)</c:v>
                </c:pt>
                <c:pt idx="1">
                  <c:v>2015-2016
 (N=23)</c:v>
                </c:pt>
                <c:pt idx="2">
                  <c:v>2016-2017
 (N=51)</c:v>
                </c:pt>
                <c:pt idx="3">
                  <c:v>2017-2018
 (N=44)</c:v>
                </c:pt>
                <c:pt idx="4">
                  <c:v>2018-2019
 (N=40)</c:v>
                </c:pt>
              </c:strCache>
            </c:strRef>
          </c:cat>
          <c:val>
            <c:numRef>
              <c:f>Sheet1!$C$2:$C$6</c:f>
              <c:numCache>
                <c:formatCode>General</c:formatCode>
                <c:ptCount val="5"/>
                <c:pt idx="0">
                  <c:v>22</c:v>
                </c:pt>
                <c:pt idx="1">
                  <c:v>4</c:v>
                </c:pt>
                <c:pt idx="2">
                  <c:v>21</c:v>
                </c:pt>
                <c:pt idx="3">
                  <c:v>16</c:v>
                </c:pt>
                <c:pt idx="4">
                  <c:v>11</c:v>
                </c:pt>
              </c:numCache>
            </c:numRef>
          </c:val>
        </c:ser>
        <c:dLbls>
          <c:dLblPos val="ctr"/>
          <c:showLegendKey val="0"/>
          <c:showVal val="1"/>
          <c:showCatName val="0"/>
          <c:showSerName val="0"/>
          <c:showPercent val="0"/>
          <c:showBubbleSize val="0"/>
        </c:dLbls>
        <c:gapWidth val="150"/>
        <c:overlap val="100"/>
        <c:axId val="311927856"/>
        <c:axId val="370068344"/>
      </c:barChart>
      <c:catAx>
        <c:axId val="311927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850" b="0" i="0" u="none" strike="noStrike" kern="1200" baseline="0">
                <a:solidFill>
                  <a:sysClr val="windowText" lastClr="000000"/>
                </a:solidFill>
                <a:latin typeface="+mn-lt"/>
                <a:ea typeface="+mn-ea"/>
                <a:cs typeface="+mn-cs"/>
              </a:defRPr>
            </a:pPr>
            <a:endParaRPr lang="en-US"/>
          </a:p>
        </c:txPr>
        <c:crossAx val="370068344"/>
        <c:crosses val="autoZero"/>
        <c:auto val="1"/>
        <c:lblAlgn val="ctr"/>
        <c:lblOffset val="100"/>
        <c:noMultiLvlLbl val="0"/>
      </c:catAx>
      <c:valAx>
        <c:axId val="3700683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11927856"/>
        <c:crosses val="autoZero"/>
        <c:crossBetween val="between"/>
      </c:valAx>
      <c:spPr>
        <a:noFill/>
        <a:ln>
          <a:noFill/>
        </a:ln>
        <a:effectLst/>
      </c:spPr>
    </c:plotArea>
    <c:legend>
      <c:legendPos val="b"/>
      <c:layout>
        <c:manualLayout>
          <c:xMode val="edge"/>
          <c:yMode val="edge"/>
          <c:x val="6.6586111811908844E-3"/>
          <c:y val="0.84169013345316834"/>
          <c:w val="0.97885948034729742"/>
          <c:h val="0.1504210044214271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CA" sz="1200" b="1" i="0" baseline="0">
                <a:solidFill>
                  <a:sysClr val="windowText" lastClr="000000"/>
                </a:solidFill>
                <a:effectLst/>
              </a:rPr>
              <a:t>Programme de recrutement postsecondaire et embauche d'anciens étudiants</a:t>
            </a:r>
            <a:endParaRPr lang="en-CA" sz="1200">
              <a:solidFill>
                <a:sysClr val="windowText" lastClr="000000"/>
              </a:solidFill>
              <a:effectLst/>
            </a:endParaRPr>
          </a:p>
        </c:rich>
      </c:tx>
      <c:layout>
        <c:manualLayout>
          <c:xMode val="edge"/>
          <c:yMode val="edge"/>
          <c:x val="0.13857927786499216"/>
          <c:y val="4.340277777777778E-3"/>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3864757289954142E-2"/>
          <c:y val="0.1830599300087489"/>
          <c:w val="0.90621744112971792"/>
          <c:h val="0.54615653461071934"/>
        </c:manualLayout>
      </c:layout>
      <c:bar3DChart>
        <c:barDir val="col"/>
        <c:grouping val="clustered"/>
        <c:varyColors val="0"/>
        <c:ser>
          <c:idx val="0"/>
          <c:order val="0"/>
          <c:tx>
            <c:strRef>
              <c:f>Sheet1!$B$1</c:f>
              <c:strCache>
                <c:ptCount val="1"/>
                <c:pt idx="0">
                  <c:v>Recrutement postsecondaire (RP)</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1"/>
              <c:delete val="1"/>
              <c:extLst>
                <c:ext xmlns:c15="http://schemas.microsoft.com/office/drawing/2012/chart" uri="{CE6537A1-D6FC-4f65-9D91-7224C49458BB}"/>
              </c:extLst>
            </c:dLbl>
            <c:dLbl>
              <c:idx val="3"/>
              <c:layout>
                <c:manualLayout>
                  <c:x val="0"/>
                  <c:y val="1.1189854531891016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
                  <c:y val="1.118985453189108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Sheet1!$B$2:$B$6</c:f>
              <c:numCache>
                <c:formatCode>_-* #,##0_-;\-* #,##0_-;_-* "-"??_-;_-@_-</c:formatCode>
                <c:ptCount val="5"/>
                <c:pt idx="0">
                  <c:v>3</c:v>
                </c:pt>
                <c:pt idx="1">
                  <c:v>0</c:v>
                </c:pt>
                <c:pt idx="2">
                  <c:v>4</c:v>
                </c:pt>
                <c:pt idx="3">
                  <c:v>5</c:v>
                </c:pt>
                <c:pt idx="4">
                  <c:v>12</c:v>
                </c:pt>
              </c:numCache>
            </c:numRef>
          </c:val>
        </c:ser>
        <c:ser>
          <c:idx val="1"/>
          <c:order val="1"/>
          <c:tx>
            <c:strRef>
              <c:f>Sheet1!$C$1</c:f>
              <c:strCache>
                <c:ptCount val="1"/>
                <c:pt idx="0">
                  <c:v>Embauche d'anciens étudiants*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3.7299515106303618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6832412523020931E-3"/>
                  <c:y val="1.491980604252144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350506191347977E-16"/>
                  <c:y val="3.7299515106303961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7.4599030212607062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
                  <c:y val="1.118985453189108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Sheet1!$C$2:$C$6</c:f>
              <c:numCache>
                <c:formatCode>_-* #,##0_-;\-* #,##0_-;_-* "-"??_-;_-@_-</c:formatCode>
                <c:ptCount val="5"/>
                <c:pt idx="0">
                  <c:v>28</c:v>
                </c:pt>
                <c:pt idx="1">
                  <c:v>9</c:v>
                </c:pt>
                <c:pt idx="2">
                  <c:v>15</c:v>
                </c:pt>
                <c:pt idx="3">
                  <c:v>9</c:v>
                </c:pt>
                <c:pt idx="4">
                  <c:v>22</c:v>
                </c:pt>
              </c:numCache>
            </c:numRef>
          </c:val>
        </c:ser>
        <c:dLbls>
          <c:showLegendKey val="0"/>
          <c:showVal val="1"/>
          <c:showCatName val="0"/>
          <c:showSerName val="0"/>
          <c:showPercent val="0"/>
          <c:showBubbleSize val="0"/>
        </c:dLbls>
        <c:gapWidth val="150"/>
        <c:shape val="box"/>
        <c:axId val="370071088"/>
        <c:axId val="370071480"/>
        <c:axId val="0"/>
      </c:bar3DChart>
      <c:catAx>
        <c:axId val="3700710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0071480"/>
        <c:crosses val="autoZero"/>
        <c:auto val="1"/>
        <c:lblAlgn val="ctr"/>
        <c:lblOffset val="100"/>
        <c:noMultiLvlLbl val="0"/>
      </c:catAx>
      <c:valAx>
        <c:axId val="370071480"/>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0071088"/>
        <c:crosses val="autoZero"/>
        <c:crossBetween val="between"/>
        <c:minorUnit val="1"/>
      </c:valAx>
      <c:spPr>
        <a:noFill/>
        <a:ln>
          <a:noFill/>
        </a:ln>
        <a:effectLst/>
      </c:spPr>
    </c:plotArea>
    <c:legend>
      <c:legendPos val="r"/>
      <c:layout>
        <c:manualLayout>
          <c:xMode val="edge"/>
          <c:yMode val="edge"/>
          <c:x val="5.1192845399819525E-2"/>
          <c:y val="0.79794981681977251"/>
          <c:w val="0.88258285263088621"/>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CA" sz="1200" baseline="0">
                <a:solidFill>
                  <a:sysClr val="windowText" lastClr="000000"/>
                </a:solidFill>
              </a:rPr>
              <a:t>Durée de dotation interne</a:t>
            </a:r>
          </a:p>
          <a:p>
            <a:pPr>
              <a:defRPr sz="1100"/>
            </a:pPr>
            <a:r>
              <a:rPr lang="en-CA" sz="1200" b="1" i="0" baseline="0">
                <a:solidFill>
                  <a:sysClr val="windowText" lastClr="000000"/>
                </a:solidFill>
                <a:effectLst/>
              </a:rPr>
              <a:t>Médiane pour la fonction publique = 176 jours</a:t>
            </a:r>
            <a:endParaRPr lang="en-CA" sz="1200">
              <a:solidFill>
                <a:sysClr val="windowText" lastClr="000000"/>
              </a:solidFill>
              <a:effectLst/>
            </a:endParaRPr>
          </a:p>
          <a:p>
            <a:pPr>
              <a:defRPr sz="1100"/>
            </a:pPr>
            <a:r>
              <a:rPr lang="en-CA" sz="1200" b="1" i="0" baseline="0">
                <a:effectLst/>
              </a:rPr>
              <a:t> </a:t>
            </a:r>
            <a:r>
              <a:rPr lang="en-CA" sz="1200" baseline="0">
                <a:solidFill>
                  <a:sysClr val="windowText" lastClr="000000"/>
                </a:solidFill>
              </a:rPr>
              <a:t>2018-2019</a:t>
            </a:r>
            <a:endParaRPr lang="en-CA" sz="1200">
              <a:solidFill>
                <a:sysClr val="windowText" lastClr="000000"/>
              </a:solidFill>
            </a:endParaRPr>
          </a:p>
        </c:rich>
      </c:tx>
      <c:layout>
        <c:manualLayout>
          <c:xMode val="edge"/>
          <c:yMode val="edge"/>
          <c:x val="0.19102453102453099"/>
          <c:y val="3.6182590578239574E-3"/>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Jours civils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15</c:v>
                </c:pt>
                <c:pt idx="2">
                  <c:v>130</c:v>
                </c:pt>
                <c:pt idx="3">
                  <c:v>277</c:v>
                </c:pt>
                <c:pt idx="4">
                  <c:v>391</c:v>
                </c:pt>
                <c:pt idx="5">
                  <c:v>367</c:v>
                </c:pt>
                <c:pt idx="6">
                  <c:v>322</c:v>
                </c:pt>
                <c:pt idx="7">
                  <c:v>278</c:v>
                </c:pt>
                <c:pt idx="8">
                  <c:v>241</c:v>
                </c:pt>
                <c:pt idx="9">
                  <c:v>165</c:v>
                </c:pt>
                <c:pt idx="10">
                  <c:v>134</c:v>
                </c:pt>
                <c:pt idx="11">
                  <c:v>107</c:v>
                </c:pt>
                <c:pt idx="12">
                  <c:v>77</c:v>
                </c:pt>
                <c:pt idx="13">
                  <c:v>61</c:v>
                </c:pt>
                <c:pt idx="14">
                  <c:v>53</c:v>
                </c:pt>
                <c:pt idx="15">
                  <c:v>51</c:v>
                </c:pt>
                <c:pt idx="16">
                  <c:v>42</c:v>
                </c:pt>
                <c:pt idx="17">
                  <c:v>40</c:v>
                </c:pt>
                <c:pt idx="18">
                  <c:v>32</c:v>
                </c:pt>
                <c:pt idx="19">
                  <c:v>24</c:v>
                </c:pt>
                <c:pt idx="20">
                  <c:v>21</c:v>
                </c:pt>
                <c:pt idx="21">
                  <c:v>11</c:v>
                </c:pt>
                <c:pt idx="22">
                  <c:v>19</c:v>
                </c:pt>
                <c:pt idx="23">
                  <c:v>3</c:v>
                </c:pt>
                <c:pt idx="24">
                  <c:v>13</c:v>
                </c:pt>
                <c:pt idx="25">
                  <c:v>6</c:v>
                </c:pt>
                <c:pt idx="26">
                  <c:v>5</c:v>
                </c:pt>
                <c:pt idx="27">
                  <c:v>8</c:v>
                </c:pt>
                <c:pt idx="28">
                  <c:v>4</c:v>
                </c:pt>
                <c:pt idx="29">
                  <c:v>10</c:v>
                </c:pt>
                <c:pt idx="30">
                  <c:v>4</c:v>
                </c:pt>
                <c:pt idx="31">
                  <c:v>5</c:v>
                </c:pt>
                <c:pt idx="32">
                  <c:v>5</c:v>
                </c:pt>
                <c:pt idx="33">
                  <c:v>3</c:v>
                </c:pt>
                <c:pt idx="34">
                  <c:v>23</c:v>
                </c:pt>
              </c:numCache>
            </c:numRef>
          </c:val>
        </c:ser>
        <c:dLbls>
          <c:showLegendKey val="0"/>
          <c:showVal val="0"/>
          <c:showCatName val="0"/>
          <c:showSerName val="0"/>
          <c:showPercent val="0"/>
          <c:showBubbleSize val="0"/>
        </c:dLbls>
        <c:gapWidth val="150"/>
        <c:overlap val="100"/>
        <c:axId val="370067952"/>
        <c:axId val="370073440"/>
      </c:barChart>
      <c:catAx>
        <c:axId val="370067952"/>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solidFill>
                      <a:sysClr val="windowText" lastClr="000000"/>
                    </a:solidFill>
                  </a:rPr>
                  <a:t>Jours civils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0073440"/>
        <c:crosses val="autoZero"/>
        <c:auto val="1"/>
        <c:lblAlgn val="ctr"/>
        <c:lblOffset val="100"/>
        <c:noMultiLvlLbl val="0"/>
      </c:catAx>
      <c:valAx>
        <c:axId val="370073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solidFill>
                      <a:sysClr val="windowText" lastClr="000000"/>
                    </a:solidFill>
                  </a:rPr>
                  <a:t>Fréquence</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0067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CA" sz="1200" baseline="0">
                <a:solidFill>
                  <a:sysClr val="windowText" lastClr="000000"/>
                </a:solidFill>
                <a:latin typeface="+mn-lt"/>
              </a:rPr>
              <a:t>Durée de dotation interne - </a:t>
            </a:r>
            <a:r>
              <a:rPr lang="en-CA" sz="1200" b="1" i="0" baseline="0">
                <a:solidFill>
                  <a:sysClr val="windowText" lastClr="000000"/>
                </a:solidFill>
                <a:effectLst/>
                <a:latin typeface="+mn-lt"/>
              </a:rPr>
              <a:t>Médiane pour </a:t>
            </a:r>
          </a:p>
          <a:p>
            <a:pPr>
              <a:defRPr sz="1100"/>
            </a:pPr>
            <a:r>
              <a:rPr lang="en-CA" sz="1200" b="1" i="0" baseline="0">
                <a:solidFill>
                  <a:sysClr val="windowText" lastClr="000000"/>
                </a:solidFill>
                <a:effectLst/>
                <a:latin typeface="+mn-lt"/>
              </a:rPr>
              <a:t>Bibliothèque et Archives Canada = 145 jours</a:t>
            </a:r>
            <a:endParaRPr lang="en-CA" sz="1200" b="1">
              <a:solidFill>
                <a:sysClr val="windowText" lastClr="000000"/>
              </a:solidFill>
              <a:effectLst/>
              <a:latin typeface="+mn-lt"/>
            </a:endParaRPr>
          </a:p>
          <a:p>
            <a:pPr>
              <a:defRPr sz="1100"/>
            </a:pPr>
            <a:r>
              <a:rPr lang="en-CA" sz="1200" b="1" i="0" baseline="0">
                <a:solidFill>
                  <a:sysClr val="windowText" lastClr="000000"/>
                </a:solidFill>
                <a:effectLst/>
                <a:latin typeface="+mn-lt"/>
              </a:rPr>
              <a:t> </a:t>
            </a:r>
            <a:r>
              <a:rPr lang="en-CA" sz="1200" baseline="0">
                <a:solidFill>
                  <a:sysClr val="windowText" lastClr="000000"/>
                </a:solidFill>
                <a:latin typeface="+mn-lt"/>
              </a:rPr>
              <a:t>2018-2019</a:t>
            </a:r>
            <a:endParaRPr lang="en-CA" sz="1200">
              <a:solidFill>
                <a:sysClr val="windowText" lastClr="000000"/>
              </a:solidFill>
              <a:latin typeface="+mn-lt"/>
            </a:endParaRPr>
          </a:p>
        </c:rich>
      </c:tx>
      <c:layout>
        <c:manualLayout>
          <c:xMode val="edge"/>
          <c:yMode val="edge"/>
          <c:x val="0.22565656565656564"/>
          <c:y val="3.6182062608027653E-3"/>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4060742407199097E-2"/>
          <c:y val="0.20504375977393069"/>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1">
                  <c:v>0</c:v>
                </c:pt>
                <c:pt idx="2">
                  <c:v>2</c:v>
                </c:pt>
                <c:pt idx="3">
                  <c:v>2</c:v>
                </c:pt>
                <c:pt idx="4">
                  <c:v>8</c:v>
                </c:pt>
                <c:pt idx="5">
                  <c:v>5</c:v>
                </c:pt>
                <c:pt idx="6">
                  <c:v>3</c:v>
                </c:pt>
                <c:pt idx="7">
                  <c:v>4</c:v>
                </c:pt>
                <c:pt idx="8">
                  <c:v>1</c:v>
                </c:pt>
                <c:pt idx="9">
                  <c:v>0</c:v>
                </c:pt>
                <c:pt idx="10">
                  <c:v>2</c:v>
                </c:pt>
                <c:pt idx="11">
                  <c:v>0</c:v>
                </c:pt>
                <c:pt idx="12">
                  <c:v>0</c:v>
                </c:pt>
                <c:pt idx="13">
                  <c:v>0</c:v>
                </c:pt>
                <c:pt idx="14">
                  <c:v>0</c:v>
                </c:pt>
                <c:pt idx="15">
                  <c:v>0</c:v>
                </c:pt>
                <c:pt idx="16">
                  <c:v>0</c:v>
                </c:pt>
                <c:pt idx="17">
                  <c:v>2</c:v>
                </c:pt>
                <c:pt idx="18">
                  <c:v>0</c:v>
                </c:pt>
                <c:pt idx="19">
                  <c:v>0</c:v>
                </c:pt>
                <c:pt idx="20">
                  <c:v>0</c:v>
                </c:pt>
                <c:pt idx="21">
                  <c:v>0</c:v>
                </c:pt>
                <c:pt idx="22">
                  <c:v>1</c:v>
                </c:pt>
                <c:pt idx="23">
                  <c:v>0</c:v>
                </c:pt>
                <c:pt idx="24">
                  <c:v>0</c:v>
                </c:pt>
                <c:pt idx="25">
                  <c:v>0</c:v>
                </c:pt>
                <c:pt idx="26">
                  <c:v>0</c:v>
                </c:pt>
                <c:pt idx="27">
                  <c:v>0</c:v>
                </c:pt>
                <c:pt idx="28">
                  <c:v>0</c:v>
                </c:pt>
                <c:pt idx="29">
                  <c:v>0</c:v>
                </c:pt>
                <c:pt idx="30">
                  <c:v>0</c:v>
                </c:pt>
                <c:pt idx="31">
                  <c:v>0</c:v>
                </c:pt>
                <c:pt idx="32">
                  <c:v>0</c:v>
                </c:pt>
                <c:pt idx="33">
                  <c:v>0</c:v>
                </c:pt>
                <c:pt idx="34">
                  <c:v>1</c:v>
                </c:pt>
              </c:numCache>
            </c:numRef>
          </c:val>
        </c:ser>
        <c:dLbls>
          <c:showLegendKey val="0"/>
          <c:showVal val="0"/>
          <c:showCatName val="0"/>
          <c:showSerName val="0"/>
          <c:showPercent val="0"/>
          <c:showBubbleSize val="0"/>
        </c:dLbls>
        <c:gapWidth val="150"/>
        <c:overlap val="100"/>
        <c:axId val="370066776"/>
        <c:axId val="370069912"/>
      </c:barChart>
      <c:catAx>
        <c:axId val="37006677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solidFill>
                      <a:sysClr val="windowText" lastClr="000000"/>
                    </a:solidFill>
                  </a:rPr>
                  <a:t>Jours civils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0069912"/>
        <c:crosses val="autoZero"/>
        <c:auto val="1"/>
        <c:lblAlgn val="ctr"/>
        <c:lblOffset val="100"/>
        <c:noMultiLvlLbl val="0"/>
      </c:catAx>
      <c:valAx>
        <c:axId val="370069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CA"/>
                  <a:t>Fréquence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0066776"/>
        <c:crosses val="autoZero"/>
        <c:crossBetween val="between"/>
        <c:maj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200" b="1" i="0" baseline="0">
                <a:solidFill>
                  <a:sysClr val="windowText" lastClr="000000"/>
                </a:solidFill>
                <a:effectLst/>
              </a:rPr>
              <a:t>Population selon le profil linguistique au 31 mars 2019 (N=986)</a:t>
            </a:r>
            <a:endParaRPr lang="en-CA" sz="1200">
              <a:solidFill>
                <a:sysClr val="windowText" lastClr="000000"/>
              </a:solidFill>
              <a:effectLst/>
            </a:endParaRPr>
          </a:p>
        </c:rich>
      </c:tx>
      <c:layout>
        <c:manualLayout>
          <c:xMode val="edge"/>
          <c:yMode val="edge"/>
          <c:x val="0.14725646205219109"/>
          <c:y val="3.352977616928321E-3"/>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9.1595553173654358E-3"/>
          <c:y val="0.28853377023524235"/>
          <c:w val="0.99084044468263455"/>
          <c:h val="0.58773454948566217"/>
        </c:manualLayout>
      </c:layout>
      <c:pieChart>
        <c:varyColors val="1"/>
        <c:ser>
          <c:idx val="0"/>
          <c:order val="0"/>
          <c:tx>
            <c:strRef>
              <c:f>Sheet1!$B$1</c:f>
              <c:strCache>
                <c:ptCount val="1"/>
                <c:pt idx="0">
                  <c:v>Population selon le profil linguistique au 31 mars 2018</c:v>
                </c:pt>
              </c:strCache>
            </c:strRef>
          </c:tx>
          <c:spPr>
            <a:ln w="3175">
              <a:noFill/>
            </a:ln>
            <a:effectLst/>
          </c:spPr>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175">
                <a:noFill/>
              </a:ln>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3175">
                <a:noFill/>
              </a:ln>
              <a:effectLst/>
            </c:spPr>
          </c:dPt>
          <c:dLbls>
            <c:dLbl>
              <c:idx val="0"/>
              <c:layout>
                <c:manualLayout>
                  <c:x val="-5.7277522117099813E-2"/>
                  <c:y val="-2.6676262465837777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43717303932049817"/>
                      <c:h val="0.19191198143327398"/>
                    </c:manualLayout>
                  </c15:layout>
                </c:ext>
              </c:extLst>
            </c:dLbl>
            <c:dLbl>
              <c:idx val="1"/>
              <c:layout>
                <c:manualLayout>
                  <c:x val="0.10471238542826126"/>
                  <c:y val="4.6727311260005545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4746945898778353"/>
                      <c:h val="0.18610268825092516"/>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Unilingue</c:v>
                </c:pt>
                <c:pt idx="1">
                  <c:v>Bilingue</c:v>
                </c:pt>
              </c:strCache>
            </c:strRef>
          </c:cat>
          <c:val>
            <c:numRef>
              <c:f>Sheet1!$B$2:$B$3</c:f>
              <c:numCache>
                <c:formatCode>0</c:formatCode>
                <c:ptCount val="2"/>
                <c:pt idx="0">
                  <c:v>230</c:v>
                </c:pt>
                <c:pt idx="1">
                  <c:v>580</c:v>
                </c:pt>
              </c:numCache>
            </c:numRef>
          </c:val>
        </c:ser>
        <c:dLbls>
          <c:showLegendKey val="0"/>
          <c:showVal val="0"/>
          <c:showCatName val="0"/>
          <c:showSerName val="0"/>
          <c:showPercent val="0"/>
          <c:showBubbleSize val="0"/>
          <c:showLeaderLines val="1"/>
        </c:dLbls>
        <c:firstSliceAng val="45"/>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en-US" sz="1200">
                <a:solidFill>
                  <a:sysClr val="windowText" lastClr="000000"/>
                </a:solidFill>
              </a:rPr>
              <a:t>Population selon le groupe professionnel au 31 mars 2019</a:t>
            </a:r>
          </a:p>
        </c:rich>
      </c:tx>
      <c:layout>
        <c:manualLayout>
          <c:xMode val="edge"/>
          <c:yMode val="edge"/>
          <c:x val="0.11600531316564154"/>
          <c:y val="5.1079996323416775E-3"/>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3.2974677048050557E-2"/>
          <c:y val="0.30179943484886967"/>
          <c:w val="0.93955862026122472"/>
          <c:h val="0.62025549540682412"/>
        </c:manualLayout>
      </c:layout>
      <c:pieChart>
        <c:varyColors val="1"/>
        <c:ser>
          <c:idx val="0"/>
          <c:order val="0"/>
          <c:tx>
            <c:strRef>
              <c:f>Sheet1!$B$1</c:f>
              <c:strCache>
                <c:ptCount val="1"/>
                <c:pt idx="0">
                  <c:v>Population selon le groupe professionnel au 31 mars 2018</c:v>
                </c:pt>
              </c:strCache>
            </c:strRef>
          </c:tx>
          <c:spPr>
            <a:ln w="3175"/>
          </c:spPr>
          <c:explosion val="4"/>
          <c:dPt>
            <c:idx val="0"/>
            <c:bubble3D val="0"/>
            <c:spPr>
              <a:solidFill>
                <a:schemeClr val="accent2"/>
              </a:solidFill>
              <a:ln w="3175">
                <a:solidFill>
                  <a:schemeClr val="lt1"/>
                </a:solidFill>
              </a:ln>
              <a:effectLst/>
            </c:spPr>
          </c:dPt>
          <c:dPt>
            <c:idx val="1"/>
            <c:bubble3D val="0"/>
            <c:spPr>
              <a:solidFill>
                <a:schemeClr val="accent1"/>
              </a:solidFill>
              <a:ln w="3175">
                <a:solidFill>
                  <a:schemeClr val="lt1"/>
                </a:solidFill>
              </a:ln>
              <a:effectLst/>
            </c:spPr>
          </c:dPt>
          <c:dPt>
            <c:idx val="2"/>
            <c:bubble3D val="0"/>
            <c:spPr>
              <a:solidFill>
                <a:schemeClr val="bg2">
                  <a:lumMod val="90000"/>
                </a:schemeClr>
              </a:solidFill>
              <a:ln w="3175">
                <a:solidFill>
                  <a:schemeClr val="lt1"/>
                </a:solidFill>
              </a:ln>
              <a:effectLst/>
            </c:spPr>
          </c:dPt>
          <c:dPt>
            <c:idx val="3"/>
            <c:bubble3D val="0"/>
            <c:spPr>
              <a:solidFill>
                <a:schemeClr val="accent4">
                  <a:lumMod val="40000"/>
                  <a:lumOff val="60000"/>
                </a:schemeClr>
              </a:solidFill>
              <a:ln w="3175">
                <a:solidFill>
                  <a:schemeClr val="lt1"/>
                </a:solidFill>
              </a:ln>
              <a:effectLst/>
            </c:spPr>
          </c:dPt>
          <c:dPt>
            <c:idx val="4"/>
            <c:bubble3D val="0"/>
            <c:spPr>
              <a:solidFill>
                <a:schemeClr val="accent5"/>
              </a:solidFill>
              <a:ln w="3175">
                <a:solidFill>
                  <a:schemeClr val="lt1"/>
                </a:solidFill>
              </a:ln>
              <a:effectLst/>
            </c:spPr>
          </c:dPt>
          <c:dPt>
            <c:idx val="5"/>
            <c:bubble3D val="0"/>
            <c:spPr>
              <a:solidFill>
                <a:schemeClr val="accent6"/>
              </a:solidFill>
              <a:ln w="3175">
                <a:solidFill>
                  <a:schemeClr val="lt1"/>
                </a:solidFill>
              </a:ln>
              <a:effectLst/>
            </c:spPr>
          </c:dPt>
          <c:dLbls>
            <c:dLbl>
              <c:idx val="0"/>
              <c:layout>
                <c:manualLayout>
                  <c:x val="2.2026715934251234E-2"/>
                  <c:y val="-0.1052140077821011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5962917416542366"/>
                  <c:y val="-5.432168687380011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728211671617344"/>
                  <c:y val="0.10224842995834936"/>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705897135198526"/>
                      <c:h val="0.18653716923516855"/>
                    </c:manualLayout>
                  </c15:layout>
                </c:ext>
              </c:extLst>
            </c:dLbl>
            <c:dLbl>
              <c:idx val="3"/>
              <c:layout>
                <c:manualLayout>
                  <c:x val="0.13079441039873277"/>
                  <c:y val="0.19717041655598264"/>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0205155721690641"/>
                      <c:h val="0.20242234997519004"/>
                    </c:manualLayout>
                  </c15:layout>
                </c:ext>
              </c:extLst>
            </c:dLbl>
            <c:dLbl>
              <c:idx val="4"/>
              <c:layout>
                <c:manualLayout>
                  <c:x val="-0.18621962741967657"/>
                  <c:y val="0.18868256359211258"/>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6257005614761147"/>
                      <c:h val="0.22482695710139985"/>
                    </c:manualLayout>
                  </c15:layout>
                </c:ext>
              </c:extLst>
            </c:dLbl>
            <c:dLbl>
              <c:idx val="5"/>
              <c:layout>
                <c:manualLayout>
                  <c:x val="-0.13224931901445153"/>
                  <c:y val="2.2626142133251804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737430970786297"/>
                      <c:h val="0.20661922347588141"/>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EC</c:v>
                </c:pt>
                <c:pt idx="1">
                  <c:v>AS</c:v>
                </c:pt>
                <c:pt idx="2">
                  <c:v>HR</c:v>
                </c:pt>
                <c:pt idx="3">
                  <c:v>CR</c:v>
                </c:pt>
                <c:pt idx="4">
                  <c:v>CS</c:v>
                </c:pt>
                <c:pt idx="5">
                  <c:v>Autre</c:v>
                </c:pt>
              </c:strCache>
            </c:strRef>
          </c:cat>
          <c:val>
            <c:numRef>
              <c:f>Sheet1!$B$2:$B$7</c:f>
              <c:numCache>
                <c:formatCode>General</c:formatCode>
                <c:ptCount val="6"/>
                <c:pt idx="0">
                  <c:v>224</c:v>
                </c:pt>
                <c:pt idx="1">
                  <c:v>135</c:v>
                </c:pt>
                <c:pt idx="2">
                  <c:v>135</c:v>
                </c:pt>
                <c:pt idx="3">
                  <c:v>106</c:v>
                </c:pt>
                <c:pt idx="4">
                  <c:v>90</c:v>
                </c:pt>
                <c:pt idx="5">
                  <c:v>274</c:v>
                </c:pt>
              </c:numCache>
            </c:numRef>
          </c:val>
        </c:ser>
        <c:dLbls>
          <c:dLblPos val="bestFit"/>
          <c:showLegendKey val="0"/>
          <c:showVal val="1"/>
          <c:showCatName val="0"/>
          <c:showSerName val="0"/>
          <c:showPercent val="0"/>
          <c:showBubbleSize val="0"/>
          <c:showLeaderLines val="1"/>
        </c:dLbls>
        <c:firstSliceAng val="141"/>
      </c:pie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200" b="1" i="0" baseline="0">
                <a:solidFill>
                  <a:sysClr val="windowText" lastClr="000000"/>
                </a:solidFill>
                <a:effectLst/>
              </a:rPr>
              <a:t>Population selon la région au 31 mars 2019</a:t>
            </a:r>
          </a:p>
          <a:p>
            <a:pPr>
              <a:defRPr sz="1100">
                <a:solidFill>
                  <a:sysClr val="windowText" lastClr="000000"/>
                </a:solidFill>
              </a:defRPr>
            </a:pPr>
            <a:r>
              <a:rPr lang="en-US" sz="1200" b="1" i="0" baseline="0">
                <a:solidFill>
                  <a:sysClr val="windowText" lastClr="000000"/>
                </a:solidFill>
                <a:effectLst/>
              </a:rPr>
              <a:t> (N=986)</a:t>
            </a:r>
            <a:endParaRPr lang="en-CA" sz="1200">
              <a:solidFill>
                <a:sysClr val="windowText" lastClr="000000"/>
              </a:solidFill>
              <a:effectLst/>
            </a:endParaRPr>
          </a:p>
        </c:rich>
      </c:tx>
      <c:layout>
        <c:manualLayout>
          <c:xMode val="edge"/>
          <c:yMode val="edge"/>
          <c:x val="0.12078807552764892"/>
          <c:y val="1.4545583149555776E-3"/>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9.4147281161894705E-2"/>
          <c:y val="0.26071606304264905"/>
          <c:w val="0.74892111381940307"/>
          <c:h val="0.67371665163606231"/>
        </c:manualLayout>
      </c:layout>
      <c:pieChart>
        <c:varyColors val="1"/>
        <c:ser>
          <c:idx val="0"/>
          <c:order val="0"/>
          <c:tx>
            <c:strRef>
              <c:f>Sheet1!$B$1</c:f>
              <c:strCache>
                <c:ptCount val="1"/>
                <c:pt idx="0">
                  <c:v>Population selon la région au 31 mars 2018</c:v>
                </c:pt>
              </c:strCache>
            </c:strRef>
          </c:tx>
          <c:spPr>
            <a:effectLst/>
          </c:spPr>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175">
                <a:solidFill>
                  <a:schemeClr val="lt1"/>
                </a:solidFill>
              </a:ln>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Pt>
          <c:dLbls>
            <c:dLbl>
              <c:idx val="0"/>
              <c:layout>
                <c:manualLayout>
                  <c:x val="-0.15010783245532247"/>
                  <c:y val="0.10314379614963914"/>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7992856099834882"/>
                      <c:h val="0.283063919223764"/>
                    </c:manualLayout>
                  </c15:layout>
                </c:ext>
              </c:extLst>
            </c:dLbl>
            <c:dLbl>
              <c:idx val="1"/>
              <c:layout>
                <c:manualLayout>
                  <c:x val="0.25806451612903225"/>
                  <c:y val="-6.7144731908511432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Extérieur de la RCN</c:v>
                </c:pt>
                <c:pt idx="1">
                  <c:v>RCN</c:v>
                </c:pt>
              </c:strCache>
            </c:strRef>
          </c:cat>
          <c:val>
            <c:numRef>
              <c:f>Sheet1!$B$2:$B$3</c:f>
              <c:numCache>
                <c:formatCode>0</c:formatCode>
                <c:ptCount val="2"/>
                <c:pt idx="0">
                  <c:v>43</c:v>
                </c:pt>
                <c:pt idx="1">
                  <c:v>942</c:v>
                </c:pt>
              </c:numCache>
            </c:numRef>
          </c:val>
        </c:ser>
        <c:dLbls>
          <c:showLegendKey val="0"/>
          <c:showVal val="0"/>
          <c:showCatName val="0"/>
          <c:showSerName val="0"/>
          <c:showPercent val="0"/>
          <c:showBubbleSize val="0"/>
          <c:showLeaderLines val="1"/>
        </c:dLbls>
        <c:firstSliceAng val="75"/>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a:solidFill>
                  <a:sysClr val="windowText" lastClr="000000"/>
                </a:solidFill>
              </a:rPr>
              <a:t>Embauche externe pour une période</a:t>
            </a:r>
            <a:r>
              <a:rPr lang="en-US" sz="1200" baseline="0">
                <a:solidFill>
                  <a:sysClr val="windowText" lastClr="000000"/>
                </a:solidFill>
              </a:rPr>
              <a:t> indéterminée selon le groupe professionnel</a:t>
            </a:r>
            <a:r>
              <a:rPr lang="en-US" sz="1200">
                <a:solidFill>
                  <a:sysClr val="windowText" lastClr="000000"/>
                </a:solidFill>
              </a:rPr>
              <a:t>,</a:t>
            </a:r>
          </a:p>
          <a:p>
            <a:pPr>
              <a:defRPr sz="1200" b="1">
                <a:solidFill>
                  <a:sysClr val="windowText" lastClr="000000"/>
                </a:solidFill>
              </a:defRPr>
            </a:pPr>
            <a:r>
              <a:rPr lang="en-US" sz="1200">
                <a:solidFill>
                  <a:sysClr val="windowText" lastClr="000000"/>
                </a:solidFill>
              </a:rPr>
              <a:t> 2018-2019 (N=26)</a:t>
            </a:r>
          </a:p>
        </c:rich>
      </c:tx>
      <c:layout>
        <c:manualLayout>
          <c:xMode val="edge"/>
          <c:yMode val="edge"/>
          <c:x val="0.14262915441850646"/>
          <c:y val="5.15221551889696E-4"/>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4290088297890075"/>
          <c:y val="0.45663463639795238"/>
          <c:w val="0.8966533531134695"/>
          <c:h val="0.48715812098290862"/>
        </c:manualLayout>
      </c:layout>
      <c:doughnutChart>
        <c:varyColors val="1"/>
        <c:ser>
          <c:idx val="0"/>
          <c:order val="0"/>
          <c:tx>
            <c:strRef>
              <c:f>Sheet1!$B$1</c:f>
              <c:strCache>
                <c:ptCount val="1"/>
                <c:pt idx="0">
                  <c:v>Embauche externe pour une période indéterminée selon le groupe professionnel</c:v>
                </c:pt>
              </c:strCache>
            </c:strRef>
          </c:tx>
          <c:dPt>
            <c:idx val="0"/>
            <c:bubble3D val="0"/>
            <c:spPr>
              <a:solidFill>
                <a:schemeClr val="accent5"/>
              </a:solidFill>
              <a:ln w="19050">
                <a:solidFill>
                  <a:schemeClr val="lt1"/>
                </a:solidFill>
              </a:ln>
              <a:effectLst/>
            </c:spPr>
          </c:dPt>
          <c:dPt>
            <c:idx val="1"/>
            <c:bubble3D val="0"/>
            <c:spPr>
              <a:solidFill>
                <a:schemeClr val="accent4">
                  <a:lumMod val="40000"/>
                  <a:lumOff val="60000"/>
                </a:schemeClr>
              </a:solidFill>
              <a:ln w="19050">
                <a:solidFill>
                  <a:schemeClr val="lt1"/>
                </a:solidFill>
              </a:ln>
              <a:effectLst/>
            </c:spPr>
          </c:dPt>
          <c:dPt>
            <c:idx val="2"/>
            <c:bubble3D val="0"/>
            <c:spPr>
              <a:solidFill>
                <a:schemeClr val="accent1"/>
              </a:solidFill>
              <a:ln w="19050">
                <a:solidFill>
                  <a:schemeClr val="lt1"/>
                </a:solidFill>
              </a:ln>
              <a:effectLst/>
            </c:spPr>
          </c:dPt>
          <c:dPt>
            <c:idx val="3"/>
            <c:bubble3D val="0"/>
            <c:spPr>
              <a:solidFill>
                <a:schemeClr val="bg1">
                  <a:lumMod val="75000"/>
                </a:schemeClr>
              </a:solidFill>
              <a:ln w="19050">
                <a:solidFill>
                  <a:schemeClr val="lt1"/>
                </a:solidFill>
              </a:ln>
              <a:effectLst/>
            </c:spPr>
          </c:dPt>
          <c:dPt>
            <c:idx val="4"/>
            <c:bubble3D val="0"/>
            <c:spPr>
              <a:solidFill>
                <a:schemeClr val="accent6"/>
              </a:solidFill>
              <a:ln w="19050">
                <a:solidFill>
                  <a:schemeClr val="lt1"/>
                </a:solidFill>
              </a:ln>
              <a:effectLst/>
            </c:spPr>
          </c:dPt>
          <c:dLbls>
            <c:dLbl>
              <c:idx val="0"/>
              <c:layout>
                <c:manualLayout>
                  <c:x val="-9.6620893402817407E-3"/>
                  <c:y val="-3.283741203300744E-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4085815360036511"/>
                      <c:h val="0.13880863317282188"/>
                    </c:manualLayout>
                  </c15:layout>
                </c:ext>
              </c:extLst>
            </c:dLbl>
            <c:dLbl>
              <c:idx val="1"/>
              <c:layout>
                <c:manualLayout>
                  <c:x val="-8.4932861653162928E-3"/>
                  <c:y val="3.5162507000249649E-3"/>
                </c:manualLayout>
              </c:layout>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3123446393897562"/>
                      <c:h val="0.16763557277114552"/>
                    </c:manualLayout>
                  </c15:layout>
                </c:ext>
              </c:extLst>
            </c:dLbl>
            <c:dLbl>
              <c:idx val="2"/>
              <c:layout>
                <c:manualLayout>
                  <c:x val="-5.4542457555124598E-3"/>
                  <c:y val="-3.937696764282482E-3"/>
                </c:manualLayout>
              </c:layout>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ext>
              </c:extLst>
            </c:dLbl>
            <c:dLbl>
              <c:idx val="3"/>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dLbl>
              <c:idx val="4"/>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spPr>
              <a:solidFill>
                <a:sysClr val="window" lastClr="FFFFFF"/>
              </a:solid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Sheet1!$A$2:$A$6</c:f>
              <c:strCache>
                <c:ptCount val="5"/>
                <c:pt idx="0">
                  <c:v>CS</c:v>
                </c:pt>
                <c:pt idx="1">
                  <c:v>CR</c:v>
                </c:pt>
                <c:pt idx="2">
                  <c:v>AS</c:v>
                </c:pt>
                <c:pt idx="3">
                  <c:v>HR</c:v>
                </c:pt>
                <c:pt idx="4">
                  <c:v>Autre</c:v>
                </c:pt>
              </c:strCache>
            </c:strRef>
          </c:cat>
          <c:val>
            <c:numRef>
              <c:f>Sheet1!$B$2:$B$6</c:f>
              <c:numCache>
                <c:formatCode>General</c:formatCode>
                <c:ptCount val="5"/>
                <c:pt idx="0">
                  <c:v>6</c:v>
                </c:pt>
                <c:pt idx="1">
                  <c:v>5</c:v>
                </c:pt>
                <c:pt idx="2">
                  <c:v>4</c:v>
                </c:pt>
                <c:pt idx="3">
                  <c:v>4</c:v>
                </c:pt>
                <c:pt idx="4">
                  <c:v>7</c:v>
                </c:pt>
              </c:numCache>
            </c:numRef>
          </c:val>
        </c:ser>
        <c:dLbls>
          <c:showLegendKey val="0"/>
          <c:showVal val="0"/>
          <c:showCatName val="0"/>
          <c:showSerName val="0"/>
          <c:showPercent val="0"/>
          <c:showBubbleSize val="0"/>
          <c:showLeaderLines val="0"/>
        </c:dLbls>
        <c:firstSliceAng val="120"/>
        <c:holeSize val="50"/>
      </c:doughnut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CA" sz="1200">
                <a:solidFill>
                  <a:sysClr val="windowText" lastClr="000000"/>
                </a:solidFill>
              </a:rPr>
              <a:t>Dotation selon la région</a:t>
            </a:r>
          </a:p>
        </c:rich>
      </c:tx>
      <c:layout>
        <c:manualLayout>
          <c:xMode val="edge"/>
          <c:yMode val="edge"/>
          <c:x val="0.34677731893968561"/>
          <c:y val="1.5725398416012414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951817700419027"/>
          <c:y val="0.12158656628431981"/>
          <c:w val="0.84333349635643373"/>
          <c:h val="0.61671174519323513"/>
        </c:manualLayout>
      </c:layout>
      <c:barChart>
        <c:barDir val="col"/>
        <c:grouping val="clustered"/>
        <c:varyColors val="0"/>
        <c:ser>
          <c:idx val="0"/>
          <c:order val="0"/>
          <c:tx>
            <c:strRef>
              <c:f>Sheet1!$B$1</c:f>
              <c:strCache>
                <c:ptCount val="1"/>
                <c:pt idx="0">
                  <c:v>Région de la capitale nationale (RCN)</c:v>
                </c:pt>
              </c:strCache>
            </c:strRef>
          </c:tx>
          <c:spPr>
            <a:solidFill>
              <a:schemeClr val="accent2"/>
            </a:solidFill>
            <a:ln>
              <a:noFill/>
            </a:ln>
            <a:effectLst>
              <a:outerShdw blurRad="57150" dist="19050" dir="5400000" algn="ctr" rotWithShape="0">
                <a:srgbClr val="000000">
                  <a:alpha val="63000"/>
                </a:srgbClr>
              </a:outerShdw>
            </a:effectLst>
          </c:spPr>
          <c:invertIfNegative val="0"/>
          <c:dLbls>
            <c:dLbl>
              <c:idx val="0"/>
              <c:layout>
                <c:manualLayout>
                  <c:x val="-8.3332646246444333E-3"/>
                  <c:y val="1.049501486793772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1872265966754156E-4"/>
                  <c:y val="1.370567072126092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8428632284838744E-3"/>
                  <c:y val="1.399335315725024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5739743058433487E-3"/>
                  <c:y val="1.049509037513877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6.7804024496937879E-3"/>
                  <c:y val="1.7913419551355104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Sheet1!$B$2:$B$6</c:f>
              <c:numCache>
                <c:formatCode>0%</c:formatCode>
                <c:ptCount val="5"/>
                <c:pt idx="0">
                  <c:v>0.93</c:v>
                </c:pt>
                <c:pt idx="1">
                  <c:v>0.93</c:v>
                </c:pt>
                <c:pt idx="2">
                  <c:v>0.93</c:v>
                </c:pt>
                <c:pt idx="3">
                  <c:v>0.98</c:v>
                </c:pt>
                <c:pt idx="4">
                  <c:v>0.96</c:v>
                </c:pt>
              </c:numCache>
            </c:numRef>
          </c:val>
        </c:ser>
        <c:ser>
          <c:idx val="1"/>
          <c:order val="1"/>
          <c:tx>
            <c:strRef>
              <c:f>Sheet1!$C$1</c:f>
              <c:strCache>
                <c:ptCount val="1"/>
                <c:pt idx="0">
                  <c:v>Extérieur de la Région de la capitale nationale (RCN)</c:v>
                </c:pt>
              </c:strCache>
            </c:strRef>
          </c:tx>
          <c:spPr>
            <a:solidFill>
              <a:schemeClr val="accent1"/>
            </a:solidFill>
            <a:ln>
              <a:noFill/>
            </a:ln>
            <a:effectLst>
              <a:outerShdw blurRad="57150" dist="19050" dir="5400000" algn="ctr" rotWithShape="0">
                <a:srgbClr val="000000">
                  <a:alpha val="63000"/>
                </a:srgbClr>
              </a:outerShdw>
            </a:effectLst>
          </c:spPr>
          <c:invertIfNegative val="0"/>
          <c:dLbls>
            <c:dLbl>
              <c:idx val="0"/>
              <c:layout>
                <c:manualLayout>
                  <c:x val="1.1294147442096053E-2"/>
                  <c:y val="1.342238422013243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0800294700004537E-2"/>
                  <c:y val="7.840021367896086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9152046783625733E-2"/>
                  <c:y val="1.525862034078010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0964912280701754E-2"/>
                  <c:y val="1.525862034078010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8195883409310677E-3"/>
                  <c:y val="1.056685628875797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Sheet1!$C$2:$C$6</c:f>
              <c:numCache>
                <c:formatCode>0%</c:formatCode>
                <c:ptCount val="5"/>
                <c:pt idx="0">
                  <c:v>7.0000000000000007E-2</c:v>
                </c:pt>
                <c:pt idx="1">
                  <c:v>7.0000000000000007E-2</c:v>
                </c:pt>
                <c:pt idx="2">
                  <c:v>7.0000000000000007E-2</c:v>
                </c:pt>
                <c:pt idx="3">
                  <c:v>0.02</c:v>
                </c:pt>
                <c:pt idx="4">
                  <c:v>0.04</c:v>
                </c:pt>
              </c:numCache>
            </c:numRef>
          </c:val>
        </c:ser>
        <c:dLbls>
          <c:showLegendKey val="0"/>
          <c:showVal val="0"/>
          <c:showCatName val="0"/>
          <c:showSerName val="0"/>
          <c:showPercent val="0"/>
          <c:showBubbleSize val="0"/>
        </c:dLbls>
        <c:gapWidth val="150"/>
        <c:axId val="367977920"/>
        <c:axId val="367972432"/>
      </c:barChart>
      <c:catAx>
        <c:axId val="3679779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7972432"/>
        <c:crosses val="autoZero"/>
        <c:auto val="1"/>
        <c:lblAlgn val="ctr"/>
        <c:lblOffset val="100"/>
        <c:noMultiLvlLbl val="0"/>
      </c:catAx>
      <c:valAx>
        <c:axId val="367972432"/>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7977920"/>
        <c:crosses val="autoZero"/>
        <c:crossBetween val="between"/>
      </c:valAx>
      <c:spPr>
        <a:noFill/>
        <a:ln>
          <a:noFill/>
        </a:ln>
        <a:effectLst/>
      </c:spPr>
    </c:plotArea>
    <c:legend>
      <c:legendPos val="b"/>
      <c:layout>
        <c:manualLayout>
          <c:xMode val="edge"/>
          <c:yMode val="edge"/>
          <c:x val="8.3406144955564754E-2"/>
          <c:y val="0.83428252297655869"/>
          <c:w val="0.8251991527374869"/>
          <c:h val="0.1090787927678305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CA" sz="1200">
                <a:solidFill>
                  <a:sysClr val="windowText" lastClr="000000"/>
                </a:solidFill>
              </a:rPr>
              <a:t>Dotation selon le type de processus</a:t>
            </a:r>
          </a:p>
        </c:rich>
      </c:tx>
      <c:layout>
        <c:manualLayout>
          <c:xMode val="edge"/>
          <c:yMode val="edge"/>
          <c:x val="0.26553599648211512"/>
          <c:y val="1.7204124111863093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8.9229225927910855E-2"/>
          <c:y val="8.0469554120537051E-2"/>
          <c:w val="0.84333349635643373"/>
          <c:h val="0.54133055622630011"/>
        </c:manualLayout>
      </c:layout>
      <c:barChart>
        <c:barDir val="col"/>
        <c:grouping val="clustered"/>
        <c:varyColors val="0"/>
        <c:ser>
          <c:idx val="0"/>
          <c:order val="0"/>
          <c:tx>
            <c:strRef>
              <c:f>Sheet1!$B$1</c:f>
              <c:strCache>
                <c:ptCount val="1"/>
                <c:pt idx="0">
                  <c:v>Non annoncé (ne tient pas compte des types de processus inconnus)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8.3332646246444333E-3"/>
                  <c:y val="1.049501486793772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7.0912863640736649E-3"/>
                  <c:y val="1.027925304094569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8428632284838744E-3"/>
                  <c:y val="1.399335315725024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555509749762955E-3"/>
                  <c:y val="1.734792573576923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8.3332646246444333E-3"/>
                  <c:y val="1.791341955135512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c:v>
                </c:pt>
                <c:pt idx="1">
                  <c:v>2015-2016 </c:v>
                </c:pt>
                <c:pt idx="2">
                  <c:v>2016-2017</c:v>
                </c:pt>
                <c:pt idx="3">
                  <c:v>2017-2018</c:v>
                </c:pt>
                <c:pt idx="4">
                  <c:v>2018-2019</c:v>
                </c:pt>
              </c:strCache>
            </c:strRef>
          </c:cat>
          <c:val>
            <c:numRef>
              <c:f>Sheet1!$B$2:$B$6</c:f>
              <c:numCache>
                <c:formatCode>#\ ###</c:formatCode>
                <c:ptCount val="5"/>
                <c:pt idx="0">
                  <c:v>35</c:v>
                </c:pt>
                <c:pt idx="1">
                  <c:v>29</c:v>
                </c:pt>
                <c:pt idx="2">
                  <c:v>36</c:v>
                </c:pt>
                <c:pt idx="3">
                  <c:v>45</c:v>
                </c:pt>
                <c:pt idx="4">
                  <c:v>95</c:v>
                </c:pt>
              </c:numCache>
            </c:numRef>
          </c:val>
        </c:ser>
        <c:ser>
          <c:idx val="1"/>
          <c:order val="1"/>
          <c:tx>
            <c:strRef>
              <c:f>Sheet1!$C$1</c:f>
              <c:strCache>
                <c:ptCount val="1"/>
                <c:pt idx="0">
                  <c:v>Annoncé</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6.9808027923211171E-3"/>
                  <c:y val="2.027521958076295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4904013961605585E-3"/>
                  <c:y val="-2.4392316730496061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548748815417E-3"/>
                  <c:y val="1.525853959526705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6.9808027923209887E-3"/>
                  <c:y val="1.868503802109540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6.9808027923211171E-3"/>
                  <c:y val="1.399327396907320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c:v>
                </c:pt>
                <c:pt idx="1">
                  <c:v>2015-2016 </c:v>
                </c:pt>
                <c:pt idx="2">
                  <c:v>2016-2017</c:v>
                </c:pt>
                <c:pt idx="3">
                  <c:v>2017-2018</c:v>
                </c:pt>
                <c:pt idx="4">
                  <c:v>2018-2019</c:v>
                </c:pt>
              </c:strCache>
            </c:strRef>
          </c:cat>
          <c:val>
            <c:numRef>
              <c:f>Sheet1!$C$2:$C$6</c:f>
              <c:numCache>
                <c:formatCode>#\ ###</c:formatCode>
                <c:ptCount val="5"/>
                <c:pt idx="0">
                  <c:v>171</c:v>
                </c:pt>
                <c:pt idx="1">
                  <c:v>102</c:v>
                </c:pt>
                <c:pt idx="2">
                  <c:v>98</c:v>
                </c:pt>
                <c:pt idx="3">
                  <c:v>117</c:v>
                </c:pt>
                <c:pt idx="4">
                  <c:v>158</c:v>
                </c:pt>
              </c:numCache>
            </c:numRef>
          </c:val>
        </c:ser>
        <c:dLbls>
          <c:showLegendKey val="0"/>
          <c:showVal val="0"/>
          <c:showCatName val="0"/>
          <c:showSerName val="0"/>
          <c:showPercent val="0"/>
          <c:showBubbleSize val="0"/>
        </c:dLbls>
        <c:gapWidth val="150"/>
        <c:axId val="367977528"/>
        <c:axId val="367974784"/>
      </c:barChart>
      <c:lineChart>
        <c:grouping val="standard"/>
        <c:varyColors val="0"/>
        <c:ser>
          <c:idx val="2"/>
          <c:order val="2"/>
          <c:tx>
            <c:strRef>
              <c:f>Sheet1!$D$1</c:f>
              <c:strCache>
                <c:ptCount val="1"/>
                <c:pt idx="0">
                  <c:v>% de processus non annoncés</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dLbl>
              <c:idx val="0"/>
              <c:layout>
                <c:manualLayout>
                  <c:x val="-8.5471135479792792E-2"/>
                  <c:y val="-1.925026204001354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6574871858295196E-2"/>
                  <c:y val="-2.394175629536802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6.0618378200107188E-2"/>
                  <c:y val="-2.183815167698863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6835277789229227E-2"/>
                  <c:y val="-3.818486197876969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5.6700059089472579E-2"/>
                  <c:y val="-3.332474480607690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c:v>
                </c:pt>
                <c:pt idx="1">
                  <c:v>2015-2016 </c:v>
                </c:pt>
                <c:pt idx="2">
                  <c:v>2016-2017</c:v>
                </c:pt>
                <c:pt idx="3">
                  <c:v>2017-2018</c:v>
                </c:pt>
                <c:pt idx="4">
                  <c:v>2018-2019</c:v>
                </c:pt>
              </c:strCache>
            </c:strRef>
          </c:cat>
          <c:val>
            <c:numRef>
              <c:f>Sheet1!$D$2:$D$6</c:f>
              <c:numCache>
                <c:formatCode>0%</c:formatCode>
                <c:ptCount val="5"/>
                <c:pt idx="0">
                  <c:v>0.17</c:v>
                </c:pt>
                <c:pt idx="1">
                  <c:v>0.22</c:v>
                </c:pt>
                <c:pt idx="2">
                  <c:v>0.27</c:v>
                </c:pt>
                <c:pt idx="3">
                  <c:v>0.28000000000000003</c:v>
                </c:pt>
                <c:pt idx="4">
                  <c:v>0.38</c:v>
                </c:pt>
              </c:numCache>
            </c:numRef>
          </c:val>
          <c:smooth val="0"/>
        </c:ser>
        <c:dLbls>
          <c:showLegendKey val="0"/>
          <c:showVal val="0"/>
          <c:showCatName val="0"/>
          <c:showSerName val="0"/>
          <c:showPercent val="0"/>
          <c:showBubbleSize val="0"/>
        </c:dLbls>
        <c:marker val="1"/>
        <c:smooth val="0"/>
        <c:axId val="367978312"/>
        <c:axId val="367973608"/>
      </c:lineChart>
      <c:catAx>
        <c:axId val="3679775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7974784"/>
        <c:crosses val="autoZero"/>
        <c:auto val="1"/>
        <c:lblAlgn val="ctr"/>
        <c:lblOffset val="100"/>
        <c:noMultiLvlLbl val="0"/>
      </c:catAx>
      <c:valAx>
        <c:axId val="367974784"/>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7977528"/>
        <c:crosses val="autoZero"/>
        <c:crossBetween val="between"/>
      </c:valAx>
      <c:valAx>
        <c:axId val="367973608"/>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7978312"/>
        <c:crosses val="max"/>
        <c:crossBetween val="between"/>
        <c:majorUnit val="0.1"/>
      </c:valAx>
      <c:catAx>
        <c:axId val="367978312"/>
        <c:scaling>
          <c:orientation val="minMax"/>
        </c:scaling>
        <c:delete val="1"/>
        <c:axPos val="b"/>
        <c:numFmt formatCode="General" sourceLinked="1"/>
        <c:majorTickMark val="out"/>
        <c:minorTickMark val="none"/>
        <c:tickLblPos val="nextTo"/>
        <c:crossAx val="367973608"/>
        <c:crosses val="autoZero"/>
        <c:auto val="1"/>
        <c:lblAlgn val="ctr"/>
        <c:lblOffset val="100"/>
        <c:noMultiLvlLbl val="0"/>
      </c:catAx>
      <c:spPr>
        <a:noFill/>
        <a:ln>
          <a:noFill/>
        </a:ln>
        <a:effectLst/>
      </c:spPr>
    </c:plotArea>
    <c:legend>
      <c:legendPos val="b"/>
      <c:layout>
        <c:manualLayout>
          <c:xMode val="edge"/>
          <c:yMode val="edge"/>
          <c:x val="1.3961605584642234E-2"/>
          <c:y val="0.67666732317897038"/>
          <c:w val="0.98603839441535779"/>
          <c:h val="0.11512783396390651"/>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CA" sz="1200">
                <a:solidFill>
                  <a:sysClr val="windowText" lastClr="000000"/>
                </a:solidFill>
              </a:rPr>
              <a:t>Dotation selon le type de nomination</a:t>
            </a:r>
          </a:p>
        </c:rich>
      </c:tx>
      <c:layout>
        <c:manualLayout>
          <c:xMode val="edge"/>
          <c:yMode val="edge"/>
          <c:x val="0.27757899738380598"/>
          <c:y val="2.461533167785928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39700040434969"/>
          <c:w val="0.84333349635643373"/>
          <c:h val="0.55364490207954775"/>
        </c:manualLayout>
      </c:layout>
      <c:bar3DChart>
        <c:barDir val="col"/>
        <c:grouping val="clustered"/>
        <c:varyColors val="0"/>
        <c:ser>
          <c:idx val="0"/>
          <c:order val="0"/>
          <c:tx>
            <c:strRef>
              <c:f>Sheet1!$B$1</c:f>
              <c:strCache>
                <c:ptCount val="1"/>
                <c:pt idx="0">
                  <c:v>Promotions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6.8495188101487057E-3"/>
                  <c:y val="1.358013325257404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3333333333333332E-3"/>
                  <c:y val="1.978275792449020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5555555555555558E-3"/>
                  <c:y val="2.35202907328891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8.3333333333334356E-3"/>
                  <c:y val="2.388532202705431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(N=700)</c:v>
                </c:pt>
                <c:pt idx="1">
                  <c:v>2015-2016
(N=461)</c:v>
                </c:pt>
                <c:pt idx="2">
                  <c:v>2016-2017 
(N=559)</c:v>
                </c:pt>
                <c:pt idx="3">
                  <c:v>2017-2018
(N=442)</c:v>
                </c:pt>
                <c:pt idx="4">
                  <c:v>2018-2019
(N=694)</c:v>
                </c:pt>
              </c:strCache>
            </c:strRef>
          </c:cat>
          <c:val>
            <c:numRef>
              <c:f>Sheet1!$B$3:$B$7</c:f>
              <c:numCache>
                <c:formatCode>#\ ###</c:formatCode>
                <c:ptCount val="5"/>
                <c:pt idx="0">
                  <c:v>70</c:v>
                </c:pt>
                <c:pt idx="1">
                  <c:v>48</c:v>
                </c:pt>
                <c:pt idx="2">
                  <c:v>95</c:v>
                </c:pt>
                <c:pt idx="3">
                  <c:v>75</c:v>
                </c:pt>
                <c:pt idx="4">
                  <c:v>122</c:v>
                </c:pt>
              </c:numCache>
            </c:numRef>
          </c:val>
        </c:ser>
        <c:ser>
          <c:idx val="1"/>
          <c:order val="1"/>
          <c:tx>
            <c:strRef>
              <c:f>Sheet1!$C$1</c:f>
              <c:strCache>
                <c:ptCount val="1"/>
                <c:pt idx="0">
                  <c:v>Déplacements latéraux et régressifs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1111111111111112E-2"/>
                  <c:y val="1.568019382192610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5555555555555558E-3"/>
                  <c:y val="1.121259842519677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3333333333334356E-3"/>
                  <c:y val="1.996527357157270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777777777777779E-3"/>
                  <c:y val="1.586270946900868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1111111111111112E-2"/>
                  <c:y val="1.139511407227935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(N=700)</c:v>
                </c:pt>
                <c:pt idx="1">
                  <c:v>2015-2016
(N=461)</c:v>
                </c:pt>
                <c:pt idx="2">
                  <c:v>2016-2017 
(N=559)</c:v>
                </c:pt>
                <c:pt idx="3">
                  <c:v>2017-2018
(N=442)</c:v>
                </c:pt>
                <c:pt idx="4">
                  <c:v>2018-2019
(N=694)</c:v>
                </c:pt>
              </c:strCache>
            </c:strRef>
          </c:cat>
          <c:val>
            <c:numRef>
              <c:f>Sheet1!$C$3:$C$7</c:f>
              <c:numCache>
                <c:formatCode>#\ ###</c:formatCode>
                <c:ptCount val="5"/>
                <c:pt idx="0">
                  <c:v>111</c:v>
                </c:pt>
                <c:pt idx="1">
                  <c:v>68</c:v>
                </c:pt>
                <c:pt idx="2">
                  <c:v>128</c:v>
                </c:pt>
                <c:pt idx="3">
                  <c:v>77</c:v>
                </c:pt>
                <c:pt idx="4">
                  <c:v>145</c:v>
                </c:pt>
              </c:numCache>
            </c:numRef>
          </c:val>
        </c:ser>
        <c:ser>
          <c:idx val="2"/>
          <c:order val="2"/>
          <c:tx>
            <c:strRef>
              <c:f>Sheet1!$D$1</c:f>
              <c:strCache>
                <c:ptCount val="1"/>
                <c:pt idx="0">
                  <c:v>Nominations à la fonction publique (y compris les employés occasionnels et les étudiants)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01477892186553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2852143482059644E-4"/>
                  <c:y val="1.20050070664243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7779E-3"/>
                  <c:y val="7.475065616797900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777777777777779E-3"/>
                  <c:y val="1.54976781748434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8.285214348205456E-4"/>
                  <c:y val="1.568019382192608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(N=700)</c:v>
                </c:pt>
                <c:pt idx="1">
                  <c:v>2015-2016
(N=461)</c:v>
                </c:pt>
                <c:pt idx="2">
                  <c:v>2016-2017 
(N=559)</c:v>
                </c:pt>
                <c:pt idx="3">
                  <c:v>2017-2018
(N=442)</c:v>
                </c:pt>
                <c:pt idx="4">
                  <c:v>2018-2019
(N=694)</c:v>
                </c:pt>
              </c:strCache>
            </c:strRef>
          </c:cat>
          <c:val>
            <c:numRef>
              <c:f>Sheet1!$D$3:$D$7</c:f>
              <c:numCache>
                <c:formatCode>#\ ###</c:formatCode>
                <c:ptCount val="5"/>
                <c:pt idx="0">
                  <c:v>396</c:v>
                </c:pt>
                <c:pt idx="1">
                  <c:v>240</c:v>
                </c:pt>
                <c:pt idx="2">
                  <c:v>297</c:v>
                </c:pt>
                <c:pt idx="3">
                  <c:v>255</c:v>
                </c:pt>
                <c:pt idx="4">
                  <c:v>306</c:v>
                </c:pt>
              </c:numCache>
            </c:numRef>
          </c:val>
        </c:ser>
        <c:ser>
          <c:idx val="3"/>
          <c:order val="3"/>
          <c:tx>
            <c:strRef>
              <c:f>Sheet1!$E$1</c:f>
              <c:strCache>
                <c:ptCount val="1"/>
                <c:pt idx="0">
                  <c:v>Nominations intérimaires (Excluant les nominations de moins de quatre mois)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046E-3"/>
                  <c:y val="1.960024227740763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5555555555555558E-3"/>
                  <c:y val="2.033030486573793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676E-3"/>
                  <c:y val="2.069533615990301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6062992125984253E-3"/>
                  <c:y val="2.03926509186351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6062992125984253E-3"/>
                  <c:y val="1.978275792449013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(N=700)</c:v>
                </c:pt>
                <c:pt idx="1">
                  <c:v>2015-2016
(N=461)</c:v>
                </c:pt>
                <c:pt idx="2">
                  <c:v>2016-2017 
(N=559)</c:v>
                </c:pt>
                <c:pt idx="3">
                  <c:v>2017-2018
(N=442)</c:v>
                </c:pt>
                <c:pt idx="4">
                  <c:v>2018-2019
(N=694)</c:v>
                </c:pt>
              </c:strCache>
            </c:strRef>
          </c:cat>
          <c:val>
            <c:numRef>
              <c:f>Sheet1!$E$3:$E$7</c:f>
              <c:numCache>
                <c:formatCode>#\ ###</c:formatCode>
                <c:ptCount val="5"/>
                <c:pt idx="0">
                  <c:v>123</c:v>
                </c:pt>
                <c:pt idx="1">
                  <c:v>105</c:v>
                </c:pt>
                <c:pt idx="2">
                  <c:v>39</c:v>
                </c:pt>
                <c:pt idx="3">
                  <c:v>35</c:v>
                </c:pt>
                <c:pt idx="4">
                  <c:v>121</c:v>
                </c:pt>
              </c:numCache>
            </c:numRef>
          </c:val>
        </c:ser>
        <c:dLbls>
          <c:showLegendKey val="0"/>
          <c:showVal val="0"/>
          <c:showCatName val="0"/>
          <c:showSerName val="0"/>
          <c:showPercent val="0"/>
          <c:showBubbleSize val="0"/>
        </c:dLbls>
        <c:gapWidth val="150"/>
        <c:shape val="box"/>
        <c:axId val="367975568"/>
        <c:axId val="367975960"/>
        <c:axId val="0"/>
      </c:bar3DChart>
      <c:catAx>
        <c:axId val="3679755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7975960"/>
        <c:crosses val="autoZero"/>
        <c:auto val="0"/>
        <c:lblAlgn val="ctr"/>
        <c:lblOffset val="100"/>
        <c:noMultiLvlLbl val="0"/>
      </c:catAx>
      <c:valAx>
        <c:axId val="367975960"/>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7975568"/>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Entry>
      <c:layout>
        <c:manualLayout>
          <c:xMode val="edge"/>
          <c:yMode val="edge"/>
          <c:x val="0"/>
          <c:y val="0.80998182919442763"/>
          <c:w val="1"/>
          <c:h val="0.190018170805572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CA" sz="1200">
                <a:solidFill>
                  <a:sysClr val="windowText" lastClr="000000"/>
                </a:solidFill>
              </a:rPr>
              <a:t>Dotation selon la durée d'emploi</a:t>
            </a:r>
          </a:p>
        </c:rich>
      </c:tx>
      <c:layout>
        <c:manualLayout>
          <c:xMode val="edge"/>
          <c:yMode val="edge"/>
          <c:x val="0.32133774171989044"/>
          <c:y val="3.7492189127265152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0260975316148986"/>
          <c:w val="0.86277799650043729"/>
          <c:h val="0.60816022612558041"/>
        </c:manualLayout>
      </c:layout>
      <c:bar3DChart>
        <c:barDir val="col"/>
        <c:grouping val="clustered"/>
        <c:varyColors val="0"/>
        <c:ser>
          <c:idx val="0"/>
          <c:order val="0"/>
          <c:tx>
            <c:strRef>
              <c:f>Sheet1!$B$1</c:f>
              <c:strCache>
                <c:ptCount val="1"/>
                <c:pt idx="0">
                  <c:v>Indéterminée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558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1.960015680125441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8798E-3"/>
                  <c:y val="1.960015680125433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777777777778798E-3"/>
                  <c:y val="1.97827579244901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777777777777779E-3"/>
                  <c:y val="1.960024227740763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(N=700)</c:v>
                </c:pt>
                <c:pt idx="1">
                  <c:v>2015-2016
 (N=461)</c:v>
                </c:pt>
                <c:pt idx="2">
                  <c:v>2016-2017
 (N=559)</c:v>
                </c:pt>
                <c:pt idx="3">
                  <c:v>2017-2018
 (N=442)</c:v>
                </c:pt>
                <c:pt idx="4">
                  <c:v>2018-2019
 (N=694)</c:v>
                </c:pt>
              </c:strCache>
            </c:strRef>
          </c:cat>
          <c:val>
            <c:numRef>
              <c:f>Sheet1!$B$2:$B$6</c:f>
              <c:numCache>
                <c:formatCode>#\ ###</c:formatCode>
                <c:ptCount val="5"/>
                <c:pt idx="0">
                  <c:v>284</c:v>
                </c:pt>
                <c:pt idx="1">
                  <c:v>193</c:v>
                </c:pt>
                <c:pt idx="2">
                  <c:v>253</c:v>
                </c:pt>
                <c:pt idx="3">
                  <c:v>178</c:v>
                </c:pt>
                <c:pt idx="4">
                  <c:v>389</c:v>
                </c:pt>
              </c:numCache>
            </c:numRef>
          </c:val>
        </c:ser>
        <c:ser>
          <c:idx val="1"/>
          <c:order val="1"/>
          <c:tx>
            <c:strRef>
              <c:f>Sheet1!$C$1</c:f>
              <c:strCache>
                <c:ptCount val="1"/>
                <c:pt idx="0">
                  <c:v>Déterminée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35202907328891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7777777777778286E-3"/>
                  <c:y val="2.425035332121938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7779E-3"/>
                  <c:y val="2.370280637997181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2.370280637997181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2.370280637997165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(N=700)</c:v>
                </c:pt>
                <c:pt idx="1">
                  <c:v>2015-2016
 (N=461)</c:v>
                </c:pt>
                <c:pt idx="2">
                  <c:v>2016-2017
 (N=559)</c:v>
                </c:pt>
                <c:pt idx="3">
                  <c:v>2017-2018
 (N=442)</c:v>
                </c:pt>
                <c:pt idx="4">
                  <c:v>2018-2019
 (N=694)</c:v>
                </c:pt>
              </c:strCache>
            </c:strRef>
          </c:cat>
          <c:val>
            <c:numRef>
              <c:f>Sheet1!$C$2:$C$6</c:f>
              <c:numCache>
                <c:formatCode>#\ ###</c:formatCode>
                <c:ptCount val="5"/>
                <c:pt idx="0">
                  <c:v>144</c:v>
                </c:pt>
                <c:pt idx="1">
                  <c:v>105</c:v>
                </c:pt>
                <c:pt idx="2">
                  <c:v>78</c:v>
                </c:pt>
                <c:pt idx="3">
                  <c:v>98</c:v>
                </c:pt>
                <c:pt idx="4">
                  <c:v>119</c:v>
                </c:pt>
              </c:numCache>
            </c:numRef>
          </c:val>
        </c:ser>
        <c:ser>
          <c:idx val="2"/>
          <c:order val="2"/>
          <c:tx>
            <c:strRef>
              <c:f>Sheet1!$D$1</c:f>
              <c:strCache>
                <c:ptCount val="1"/>
                <c:pt idx="0">
                  <c:v>Occasionnel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8.3333333333333592E-3"/>
                  <c:y val="2.443286896830203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3333333333333332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3333333333333332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5555555555556572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5.5555555555555558E-3"/>
                  <c:y val="2.388532202705431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(N=700)</c:v>
                </c:pt>
                <c:pt idx="1">
                  <c:v>2015-2016
 (N=461)</c:v>
                </c:pt>
                <c:pt idx="2">
                  <c:v>2016-2017
 (N=559)</c:v>
                </c:pt>
                <c:pt idx="3">
                  <c:v>2017-2018
 (N=442)</c:v>
                </c:pt>
                <c:pt idx="4">
                  <c:v>2018-2019
 (N=694)</c:v>
                </c:pt>
              </c:strCache>
            </c:strRef>
          </c:cat>
          <c:val>
            <c:numRef>
              <c:f>Sheet1!$D$2:$D$6</c:f>
              <c:numCache>
                <c:formatCode>#\ ###</c:formatCode>
                <c:ptCount val="5"/>
                <c:pt idx="0">
                  <c:v>221</c:v>
                </c:pt>
                <c:pt idx="1">
                  <c:v>140</c:v>
                </c:pt>
                <c:pt idx="2">
                  <c:v>177</c:v>
                </c:pt>
                <c:pt idx="3">
                  <c:v>122</c:v>
                </c:pt>
                <c:pt idx="4">
                  <c:v>146</c:v>
                </c:pt>
              </c:numCache>
            </c:numRef>
          </c:val>
        </c:ser>
        <c:ser>
          <c:idx val="3"/>
          <c:order val="3"/>
          <c:tx>
            <c:strRef>
              <c:f>Sheet1!$E$1</c:f>
              <c:strCache>
                <c:ptCount val="1"/>
                <c:pt idx="0">
                  <c:v>Étudiant</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2.425035332121946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5555555555555558E-3"/>
                  <c:y val="2.352029073288908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0185067526415994E-16"/>
                  <c:y val="2.35202907328891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5555555555556572E-3"/>
                  <c:y val="2.406783767413688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777777777777779E-3"/>
                  <c:y val="2.370280637997165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(N=700)</c:v>
                </c:pt>
                <c:pt idx="1">
                  <c:v>2015-2016
 (N=461)</c:v>
                </c:pt>
                <c:pt idx="2">
                  <c:v>2016-2017
 (N=559)</c:v>
                </c:pt>
                <c:pt idx="3">
                  <c:v>2017-2018
 (N=442)</c:v>
                </c:pt>
                <c:pt idx="4">
                  <c:v>2018-2019
 (N=694)</c:v>
                </c:pt>
              </c:strCache>
            </c:strRef>
          </c:cat>
          <c:val>
            <c:numRef>
              <c:f>Sheet1!$E$2:$E$6</c:f>
              <c:numCache>
                <c:formatCode>#\ ###</c:formatCode>
                <c:ptCount val="5"/>
                <c:pt idx="0">
                  <c:v>51</c:v>
                </c:pt>
                <c:pt idx="1">
                  <c:v>23</c:v>
                </c:pt>
                <c:pt idx="2">
                  <c:v>51</c:v>
                </c:pt>
                <c:pt idx="3">
                  <c:v>44</c:v>
                </c:pt>
                <c:pt idx="4">
                  <c:v>40</c:v>
                </c:pt>
              </c:numCache>
            </c:numRef>
          </c:val>
        </c:ser>
        <c:dLbls>
          <c:showLegendKey val="0"/>
          <c:showVal val="1"/>
          <c:showCatName val="0"/>
          <c:showSerName val="0"/>
          <c:showPercent val="0"/>
          <c:showBubbleSize val="0"/>
        </c:dLbls>
        <c:gapWidth val="150"/>
        <c:shape val="box"/>
        <c:axId val="311928248"/>
        <c:axId val="311927072"/>
        <c:axId val="0"/>
      </c:bar3DChart>
      <c:catAx>
        <c:axId val="3119282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11927072"/>
        <c:crosses val="autoZero"/>
        <c:auto val="1"/>
        <c:lblAlgn val="ctr"/>
        <c:lblOffset val="100"/>
        <c:noMultiLvlLbl val="0"/>
      </c:catAx>
      <c:valAx>
        <c:axId val="311927072"/>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11928248"/>
        <c:crosses val="autoZero"/>
        <c:crossBetween val="between"/>
      </c:valAx>
      <c:spPr>
        <a:noFill/>
        <a:ln>
          <a:noFill/>
        </a:ln>
        <a:effectLst/>
      </c:spPr>
    </c:plotArea>
    <c:legend>
      <c:legendPos val="r"/>
      <c:layout>
        <c:manualLayout>
          <c:xMode val="edge"/>
          <c:yMode val="edge"/>
          <c:x val="0.1"/>
          <c:y val="0.84398433272763984"/>
          <c:w val="0.81944444444444442"/>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0.00725</cdr:x>
      <cdr:y>0.92924</cdr:y>
    </cdr:from>
    <cdr:to>
      <cdr:x>0.97183</cdr:x>
      <cdr:y>0.99965</cdr:y>
    </cdr:to>
    <cdr:sp macro="" textlink="">
      <cdr:nvSpPr>
        <cdr:cNvPr id="2" name="Text Box 1"/>
        <cdr:cNvSpPr txBox="1"/>
      </cdr:nvSpPr>
      <cdr:spPr>
        <a:xfrm xmlns:a="http://schemas.openxmlformats.org/drawingml/2006/main">
          <a:off x="25192" y="3444240"/>
          <a:ext cx="3351645" cy="260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lnSpc>
              <a:spcPts val="900"/>
            </a:lnSpc>
          </a:pPr>
          <a:r>
            <a:rPr lang="en-CA" sz="850" baseline="0"/>
            <a:t>inconnus= 176</a:t>
          </a:r>
          <a:endParaRPr lang="en-CA" sz="850"/>
        </a:p>
      </cdr:txBody>
    </cdr:sp>
  </cdr:relSizeAnchor>
</c:userShapes>
</file>

<file path=word/drawings/drawing2.xml><?xml version="1.0" encoding="utf-8"?>
<c:userShapes xmlns:c="http://schemas.openxmlformats.org/drawingml/2006/chart">
  <cdr:relSizeAnchor xmlns:cdr="http://schemas.openxmlformats.org/drawingml/2006/chartDrawing">
    <cdr:from>
      <cdr:x>0.00404</cdr:x>
      <cdr:y>0.92382</cdr:y>
    </cdr:from>
    <cdr:to>
      <cdr:x>0.96862</cdr:x>
      <cdr:y>0.99423</cdr:y>
    </cdr:to>
    <cdr:sp macro="" textlink="">
      <cdr:nvSpPr>
        <cdr:cNvPr id="2" name="Text Box 1"/>
        <cdr:cNvSpPr txBox="1"/>
      </cdr:nvSpPr>
      <cdr:spPr>
        <a:xfrm xmlns:a="http://schemas.openxmlformats.org/drawingml/2006/main">
          <a:off x="7187" y="1828518"/>
          <a:ext cx="1717473" cy="1393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lnSpc>
              <a:spcPts val="900"/>
            </a:lnSpc>
          </a:pPr>
          <a:r>
            <a:rPr lang="en-CA" sz="850" baseline="0">
              <a:solidFill>
                <a:sysClr val="windowText" lastClr="000000"/>
              </a:solidFill>
            </a:rPr>
            <a:t>inconnus</a:t>
          </a:r>
          <a:r>
            <a:rPr lang="en-CA" sz="850" baseline="0"/>
            <a:t>= 1</a:t>
          </a:r>
          <a:endParaRPr lang="en-CA" sz="850"/>
        </a:p>
      </cdr:txBody>
    </cdr:sp>
  </cdr:relSizeAnchor>
</c:userShapes>
</file>

<file path=word/drawings/drawing3.xml><?xml version="1.0" encoding="utf-8"?>
<c:userShapes xmlns:c="http://schemas.openxmlformats.org/drawingml/2006/chart">
  <cdr:relSizeAnchor xmlns:cdr="http://schemas.openxmlformats.org/drawingml/2006/chartDrawing">
    <cdr:from>
      <cdr:x>0.00725</cdr:x>
      <cdr:y>0.92924</cdr:y>
    </cdr:from>
    <cdr:to>
      <cdr:x>0.97183</cdr:x>
      <cdr:y>0.99965</cdr:y>
    </cdr:to>
    <cdr:sp macro="" textlink="">
      <cdr:nvSpPr>
        <cdr:cNvPr id="2" name="Text Box 1"/>
        <cdr:cNvSpPr txBox="1"/>
      </cdr:nvSpPr>
      <cdr:spPr>
        <a:xfrm xmlns:a="http://schemas.openxmlformats.org/drawingml/2006/main">
          <a:off x="25192" y="3444240"/>
          <a:ext cx="3351645" cy="260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nSpc>
              <a:spcPts val="900"/>
            </a:lnSpc>
          </a:pPr>
          <a:r>
            <a:rPr lang="en-CA" sz="850"/>
            <a:t>-</a:t>
          </a:r>
          <a:r>
            <a:rPr lang="en-CA" sz="850" baseline="0"/>
            <a:t>Distribution régionale exclus les inconnus</a:t>
          </a:r>
          <a:endParaRPr lang="en-CA" sz="850"/>
        </a:p>
      </cdr:txBody>
    </cdr:sp>
  </cdr:relSizeAnchor>
</c:userShapes>
</file>

<file path=word/drawings/drawing4.xml><?xml version="1.0" encoding="utf-8"?>
<c:userShapes xmlns:c="http://schemas.openxmlformats.org/drawingml/2006/chart">
  <cdr:relSizeAnchor xmlns:cdr="http://schemas.openxmlformats.org/drawingml/2006/chartDrawing">
    <cdr:from>
      <cdr:x>0.00725</cdr:x>
      <cdr:y>0.76795</cdr:y>
    </cdr:from>
    <cdr:to>
      <cdr:x>0.97183</cdr:x>
      <cdr:y>0.99965</cdr:y>
    </cdr:to>
    <cdr:sp macro="" textlink="">
      <cdr:nvSpPr>
        <cdr:cNvPr id="2" name="Text Box 1"/>
        <cdr:cNvSpPr txBox="1"/>
      </cdr:nvSpPr>
      <cdr:spPr>
        <a:xfrm xmlns:a="http://schemas.openxmlformats.org/drawingml/2006/main">
          <a:off x="29745" y="2655736"/>
          <a:ext cx="3957416" cy="8012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nSpc>
              <a:spcPts val="900"/>
            </a:lnSpc>
          </a:pPr>
          <a:r>
            <a:rPr lang="en-CA" sz="850"/>
            <a:t>-</a:t>
          </a:r>
          <a:r>
            <a:rPr lang="en-CA" sz="850" baseline="0"/>
            <a:t>comprend les nominations pour une période indéterminée et pour une période déterminée</a:t>
          </a:r>
        </a:p>
        <a:p xmlns:a="http://schemas.openxmlformats.org/drawingml/2006/main">
          <a:pPr>
            <a:lnSpc>
              <a:spcPts val="900"/>
            </a:lnSpc>
          </a:pPr>
          <a:r>
            <a:rPr lang="en-CA" sz="850" baseline="0"/>
            <a:t>-Exclut les déplacements latéraux et régressifs, les mutations et les nominations intérimaires de moins de quatre mois</a:t>
          </a:r>
        </a:p>
        <a:p xmlns:a="http://schemas.openxmlformats.org/drawingml/2006/main">
          <a:pPr>
            <a:lnSpc>
              <a:spcPts val="900"/>
            </a:lnSpc>
          </a:pPr>
          <a:r>
            <a:rPr lang="en-CA" sz="850" baseline="0"/>
            <a:t>-Inclut seulement les nominations où le type de processus est connu (57</a:t>
          </a:r>
          <a:r>
            <a:rPr lang="en-CA" sz="850" baseline="0">
              <a:solidFill>
                <a:sysClr val="windowText" lastClr="000000"/>
              </a:solidFill>
            </a:rPr>
            <a:t>% à 81</a:t>
          </a:r>
          <a:r>
            <a:rPr lang="en-CA" sz="850" baseline="0"/>
            <a:t>% des nominations)</a:t>
          </a:r>
          <a:endParaRPr lang="en-CA" sz="850"/>
        </a:p>
      </cdr:txBody>
    </cdr:sp>
  </cdr:relSizeAnchor>
</c:userShapes>
</file>

<file path=word/drawings/drawing5.xml><?xml version="1.0" encoding="utf-8"?>
<c:userShapes xmlns:c="http://schemas.openxmlformats.org/drawingml/2006/chart">
  <cdr:relSizeAnchor xmlns:cdr="http://schemas.openxmlformats.org/drawingml/2006/chartDrawing">
    <cdr:from>
      <cdr:x>0.00709</cdr:x>
      <cdr:y>0.87953</cdr:y>
    </cdr:from>
    <cdr:to>
      <cdr:x>0.9923</cdr:x>
      <cdr:y>0.99185</cdr:y>
    </cdr:to>
    <cdr:sp macro="" textlink="">
      <cdr:nvSpPr>
        <cdr:cNvPr id="2" name="Text Box 1" descr="*Aux fins du rapport, les anciens étudiants incluent les participants au programme (COOP et PFETE) nommés dans le cadre d'un processus non annoncé.&#10;&#10;"/>
        <cdr:cNvSpPr txBox="1"/>
      </cdr:nvSpPr>
      <cdr:spPr>
        <a:xfrm xmlns:a="http://schemas.openxmlformats.org/drawingml/2006/main">
          <a:off x="22930" y="2573565"/>
          <a:ext cx="3188100" cy="328661"/>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CA" sz="800"/>
            <a:t>Embauches avec expérience acquise dans les programmes fédéraux de recrutement étudiant dans les 10 dernières années</a:t>
          </a:r>
        </a:p>
      </cdr:txBody>
    </cdr:sp>
  </cdr:relSizeAnchor>
</c:userShapes>
</file>

<file path=word/drawings/drawing6.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0.26529</cdr:x>
      <cdr:y>0.19986</cdr:y>
    </cdr:from>
    <cdr:to>
      <cdr:x>0.26668</cdr:x>
      <cdr:y>0.74988</cdr:y>
    </cdr:to>
    <cdr:cxnSp macro="">
      <cdr:nvCxnSpPr>
        <cdr:cNvPr id="5" name="Straight Connector 4" descr="Median line fof the specified organization's internal time to staff graphic"/>
        <cdr:cNvCxnSpPr/>
      </cdr:nvCxnSpPr>
      <cdr:spPr>
        <a:xfrm xmlns:a="http://schemas.openxmlformats.org/drawingml/2006/main" flipV="1">
          <a:off x="1167400" y="536834"/>
          <a:ext cx="6117" cy="1477381"/>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0.23163</cdr:x>
      <cdr:y>0.19266</cdr:y>
    </cdr:from>
    <cdr:to>
      <cdr:x>0.23302</cdr:x>
      <cdr:y>0.74268</cdr:y>
    </cdr:to>
    <cdr:cxnSp macro="">
      <cdr:nvCxnSpPr>
        <cdr:cNvPr id="5" name="Straight Connector 4" descr="Median line fof the specified organization's internal time to staff graphic"/>
        <cdr:cNvCxnSpPr/>
      </cdr:nvCxnSpPr>
      <cdr:spPr>
        <a:xfrm xmlns:a="http://schemas.openxmlformats.org/drawingml/2006/main" flipV="1">
          <a:off x="1019308" y="526677"/>
          <a:ext cx="6117" cy="1503576"/>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CFP-PSC-Theme2019-fromWord">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06858-D017-4C1E-9B72-CC90C3299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CFP-Entete-Corpo2019.dotx</Template>
  <TotalTime>612</TotalTime>
  <Pages>26</Pages>
  <Words>4476</Words>
  <Characters>25518</Characters>
  <Application>Microsoft Office Word</Application>
  <DocSecurity>0</DocSecurity>
  <Lines>212</Lines>
  <Paragraphs>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CFP-PSC</Company>
  <LinksUpToDate>false</LinksUpToDate>
  <CharactersWithSpaces>29935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Lefebvre</dc:creator>
  <cp:keywords/>
  <dc:description/>
  <cp:lastModifiedBy>Nancy Ladouceur</cp:lastModifiedBy>
  <cp:revision>67</cp:revision>
  <dcterms:created xsi:type="dcterms:W3CDTF">2020-02-03T16:23:00Z</dcterms:created>
  <dcterms:modified xsi:type="dcterms:W3CDTF">2020-12-17T17:39:00Z</dcterms:modified>
</cp:coreProperties>
</file>