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365AD" w14:textId="4B9B3BB4" w:rsidR="00436F88" w:rsidRPr="00721D3B" w:rsidRDefault="00D93358" w:rsidP="00721D3B">
      <w:pPr>
        <w:pStyle w:val="Title"/>
      </w:pPr>
      <w:r w:rsidRPr="00721D3B">
        <w:t xml:space="preserve">Plan de mise en œuvre de la </w:t>
      </w:r>
      <w:r w:rsidR="00FA55DE" w:rsidRPr="00721D3B">
        <w:t xml:space="preserve">Commission de la </w:t>
      </w:r>
      <w:r w:rsidR="003376C7" w:rsidRPr="00721D3B">
        <w:t>fo</w:t>
      </w:r>
      <w:r w:rsidR="00FA55DE" w:rsidRPr="00721D3B">
        <w:t>nction publique</w:t>
      </w:r>
      <w:r w:rsidR="005E3B92" w:rsidRPr="00721D3B">
        <w:t xml:space="preserve"> </w:t>
      </w:r>
      <w:r w:rsidRPr="00721D3B">
        <w:t xml:space="preserve">du Canada </w:t>
      </w:r>
      <w:r w:rsidR="005E3B92" w:rsidRPr="00721D3B">
        <w:t xml:space="preserve">pour </w:t>
      </w:r>
      <w:r w:rsidR="00604B89" w:rsidRPr="00721D3B">
        <w:t>un gouvernement ouvert</w:t>
      </w:r>
    </w:p>
    <w:p w14:paraId="0C9F810A" w14:textId="0C8D7F7A" w:rsidR="009A75C8" w:rsidRPr="00721D3B" w:rsidRDefault="009A75C8" w:rsidP="00A2240C">
      <w:pPr>
        <w:rPr>
          <w:rStyle w:val="SubtitleChar"/>
          <w:color w:val="auto"/>
        </w:rPr>
      </w:pPr>
      <w:r w:rsidRPr="00721D3B">
        <w:rPr>
          <w:rStyle w:val="SubtitleChar"/>
          <w:color w:val="auto"/>
        </w:rPr>
        <w:br/>
      </w:r>
      <w:r w:rsidR="00436F88" w:rsidRPr="00721D3B">
        <w:rPr>
          <w:rStyle w:val="SubtitleChar"/>
          <w:color w:val="auto"/>
        </w:rPr>
        <w:t>Objecti</w:t>
      </w:r>
      <w:r w:rsidR="003376C7" w:rsidRPr="00721D3B">
        <w:rPr>
          <w:rStyle w:val="SubtitleChar"/>
          <w:color w:val="auto"/>
        </w:rPr>
        <w:t>fs et engagements pour 2020 à 2022</w:t>
      </w:r>
    </w:p>
    <w:p w14:paraId="46190A97" w14:textId="16E1CAF8" w:rsidR="009A75C8" w:rsidRDefault="009A75C8" w:rsidP="009A75C8">
      <w:pPr>
        <w:rPr>
          <w:bCs/>
          <w:color w:val="auto"/>
        </w:rPr>
      </w:pPr>
      <w:r>
        <w:rPr>
          <w:bCs/>
          <w:color w:val="auto"/>
        </w:rPr>
        <w:br/>
      </w:r>
      <w:r w:rsidRPr="003D70C7">
        <w:rPr>
          <w:bCs/>
          <w:color w:val="auto"/>
        </w:rPr>
        <w:t>Document produit par le Secrétariat du gouvernement ouvert de la Commission de la fonction publique</w:t>
      </w:r>
    </w:p>
    <w:p w14:paraId="49B8161A" w14:textId="77777777" w:rsidR="009A75C8" w:rsidRPr="00CA3F84" w:rsidRDefault="009A75C8" w:rsidP="009A75C8">
      <w:pPr>
        <w:rPr>
          <w:color w:val="auto"/>
        </w:rPr>
      </w:pPr>
      <w:r w:rsidRPr="00CA3F84">
        <w:rPr>
          <w:color w:val="auto"/>
          <w:lang w:val="fr-FR"/>
        </w:rPr>
        <w:t xml:space="preserve">Diffusion possible – Gouvernement ouvert / </w:t>
      </w:r>
      <w:r w:rsidRPr="001E5D7A">
        <w:rPr>
          <w:color w:val="auto"/>
        </w:rPr>
        <w:t xml:space="preserve">Candidate for Open </w:t>
      </w:r>
      <w:proofErr w:type="spellStart"/>
      <w:r w:rsidRPr="001E5D7A">
        <w:rPr>
          <w:color w:val="auto"/>
        </w:rPr>
        <w:t>Government</w:t>
      </w:r>
      <w:proofErr w:type="spellEnd"/>
    </w:p>
    <w:p w14:paraId="3227F865" w14:textId="32C86EAB" w:rsidR="00436F88" w:rsidRDefault="00646A04" w:rsidP="00A2240C">
      <w:pPr>
        <w:rPr>
          <w:rStyle w:val="Heading5Char"/>
          <w:rFonts w:ascii="Arial" w:hAnsi="Arial" w:cs="Arial"/>
          <w:sz w:val="24"/>
          <w:szCs w:val="24"/>
        </w:rPr>
      </w:pPr>
      <w:r w:rsidRPr="005957F6">
        <w:br w:type="page"/>
      </w:r>
      <w:r w:rsidR="00436F88" w:rsidRPr="005957F6">
        <w:lastRenderedPageBreak/>
        <w:t> </w:t>
      </w:r>
      <w:r w:rsidR="00436F88" w:rsidRPr="005957F6">
        <w:rPr>
          <w:rStyle w:val="Heading5Char"/>
          <w:sz w:val="32"/>
        </w:rPr>
        <w:t>Signatures</w:t>
      </w:r>
    </w:p>
    <w:p w14:paraId="696076AD" w14:textId="40145777" w:rsidR="0039200B" w:rsidRPr="00D60A8D" w:rsidRDefault="0039200B" w:rsidP="00D810BF">
      <w:pPr>
        <w:tabs>
          <w:tab w:val="left" w:pos="6765"/>
        </w:tabs>
        <w:rPr>
          <w:rStyle w:val="Heading5Char"/>
          <w:rFonts w:ascii="Vladimir Script" w:hAnsi="Vladimir Script" w:cs="Arial"/>
          <w:color w:val="auto"/>
          <w:sz w:val="96"/>
          <w:szCs w:val="24"/>
        </w:rPr>
      </w:pPr>
    </w:p>
    <w:p w14:paraId="46904128" w14:textId="5E0E437F" w:rsidR="009530DA" w:rsidRPr="009530DA" w:rsidRDefault="009530DA" w:rsidP="00A2240C">
      <w:pPr>
        <w:rPr>
          <w:rStyle w:val="Heading5Char"/>
          <w:rFonts w:ascii="Arial" w:hAnsi="Arial" w:cs="Arial"/>
          <w:color w:val="auto"/>
          <w:sz w:val="24"/>
          <w:szCs w:val="24"/>
        </w:rPr>
      </w:pPr>
      <w:r>
        <w:rPr>
          <w:rStyle w:val="Heading5Char"/>
          <w:rFonts w:ascii="Arial" w:hAnsi="Arial" w:cs="Arial"/>
          <w:color w:val="auto"/>
          <w:sz w:val="24"/>
          <w:szCs w:val="24"/>
        </w:rPr>
        <w:t>Elizabeth R</w:t>
      </w:r>
      <w:r w:rsidR="001D314A">
        <w:rPr>
          <w:rStyle w:val="Heading5Char"/>
          <w:rFonts w:ascii="Arial" w:hAnsi="Arial" w:cs="Arial"/>
          <w:color w:val="auto"/>
          <w:sz w:val="24"/>
          <w:szCs w:val="24"/>
        </w:rPr>
        <w:t>hodenizer</w:t>
      </w:r>
      <w:r w:rsidR="00AC6B9A">
        <w:rPr>
          <w:rStyle w:val="Heading5Char"/>
          <w:rFonts w:ascii="Arial" w:hAnsi="Arial" w:cs="Arial"/>
          <w:color w:val="auto"/>
          <w:sz w:val="24"/>
          <w:szCs w:val="24"/>
        </w:rPr>
        <w:t>, Directrice g</w:t>
      </w:r>
      <w:r>
        <w:rPr>
          <w:rStyle w:val="Heading5Char"/>
          <w:rFonts w:ascii="Arial" w:hAnsi="Arial" w:cs="Arial"/>
          <w:color w:val="auto"/>
          <w:sz w:val="24"/>
          <w:szCs w:val="24"/>
        </w:rPr>
        <w:t>énéral</w:t>
      </w:r>
      <w:r w:rsidR="00AC6B9A">
        <w:rPr>
          <w:rStyle w:val="Heading5Char"/>
          <w:rFonts w:ascii="Arial" w:hAnsi="Arial" w:cs="Arial"/>
          <w:color w:val="auto"/>
          <w:sz w:val="24"/>
          <w:szCs w:val="24"/>
        </w:rPr>
        <w:t>e</w:t>
      </w:r>
      <w:r>
        <w:rPr>
          <w:rStyle w:val="Heading5Char"/>
          <w:rFonts w:ascii="Arial" w:hAnsi="Arial" w:cs="Arial"/>
          <w:color w:val="auto"/>
          <w:sz w:val="24"/>
          <w:szCs w:val="24"/>
        </w:rPr>
        <w:t xml:space="preserve">, </w:t>
      </w:r>
      <w:r w:rsidR="001D314A" w:rsidRPr="001D314A">
        <w:rPr>
          <w:rFonts w:ascii="Arial" w:eastAsiaTheme="majorEastAsia" w:hAnsi="Arial" w:cs="Arial"/>
          <w:color w:val="auto"/>
          <w:sz w:val="24"/>
          <w:szCs w:val="24"/>
        </w:rPr>
        <w:t>Services de </w:t>
      </w:r>
      <w:r w:rsidR="001D314A">
        <w:rPr>
          <w:rFonts w:ascii="Arial" w:eastAsiaTheme="majorEastAsia" w:hAnsi="Arial" w:cs="Arial"/>
          <w:color w:val="auto"/>
          <w:sz w:val="24"/>
          <w:szCs w:val="24"/>
        </w:rPr>
        <w:t>technologie et de l'information</w:t>
      </w:r>
      <w:r>
        <w:rPr>
          <w:rStyle w:val="Heading5Char"/>
          <w:rFonts w:ascii="Arial" w:hAnsi="Arial" w:cs="Arial"/>
          <w:color w:val="auto"/>
          <w:sz w:val="24"/>
          <w:szCs w:val="24"/>
        </w:rPr>
        <w:br/>
      </w:r>
      <w:r w:rsidR="00232A5C">
        <w:rPr>
          <w:rFonts w:ascii="Arial" w:eastAsiaTheme="majorEastAsia" w:hAnsi="Arial" w:cs="Arial"/>
          <w:color w:val="auto"/>
          <w:sz w:val="24"/>
          <w:szCs w:val="24"/>
        </w:rPr>
        <w:t>D</w:t>
      </w:r>
      <w:r w:rsidR="00232A5C" w:rsidRPr="00232A5C">
        <w:rPr>
          <w:rFonts w:ascii="Arial" w:eastAsiaTheme="majorEastAsia" w:hAnsi="Arial" w:cs="Arial"/>
          <w:color w:val="auto"/>
          <w:sz w:val="24"/>
          <w:szCs w:val="24"/>
        </w:rPr>
        <w:t xml:space="preserve">irigeant principal de l’information </w:t>
      </w:r>
      <w:r>
        <w:rPr>
          <w:rStyle w:val="Heading5Char"/>
          <w:rFonts w:ascii="Arial" w:hAnsi="Arial" w:cs="Arial"/>
          <w:color w:val="auto"/>
          <w:sz w:val="24"/>
          <w:szCs w:val="24"/>
        </w:rPr>
        <w:t>et Cadre supérieur responsable de la gestion de l’information</w:t>
      </w:r>
    </w:p>
    <w:p w14:paraId="155ED38A" w14:textId="52287362" w:rsidR="009530DA" w:rsidRPr="009530DA" w:rsidRDefault="009530DA" w:rsidP="00A2240C">
      <w:pPr>
        <w:rPr>
          <w:rStyle w:val="Heading5Char"/>
          <w:rFonts w:ascii="Arial" w:hAnsi="Arial" w:cs="Arial"/>
          <w:sz w:val="96"/>
          <w:szCs w:val="96"/>
        </w:rPr>
      </w:pPr>
    </w:p>
    <w:p w14:paraId="4D53A9E2" w14:textId="7523E54B" w:rsidR="009530DA" w:rsidRPr="0029778D" w:rsidRDefault="009530DA" w:rsidP="009530DA">
      <w:pPr>
        <w:ind w:hanging="567"/>
        <w:rPr>
          <w:rFonts w:ascii="Arial" w:hAnsi="Arial" w:cs="Arial"/>
          <w:sz w:val="24"/>
          <w:szCs w:val="24"/>
        </w:rPr>
      </w:pPr>
    </w:p>
    <w:p w14:paraId="4E091E1D" w14:textId="0A1BFE8B" w:rsidR="009530DA" w:rsidRPr="00232A5C" w:rsidRDefault="009530DA" w:rsidP="009530DA">
      <w:pPr>
        <w:rPr>
          <w:rFonts w:ascii="Arial" w:hAnsi="Arial" w:cs="Arial"/>
          <w:color w:val="auto"/>
          <w:sz w:val="96"/>
          <w:szCs w:val="96"/>
        </w:rPr>
      </w:pPr>
      <w:r w:rsidRPr="00232A5C">
        <w:rPr>
          <w:rFonts w:ascii="Arial" w:hAnsi="Arial" w:cs="Arial"/>
          <w:color w:val="auto"/>
          <w:sz w:val="24"/>
          <w:szCs w:val="24"/>
        </w:rPr>
        <w:t>Stan Lee, Vice-président, Secteur de la surveillance et des enquêtes</w:t>
      </w:r>
      <w:r w:rsidRPr="00232A5C">
        <w:rPr>
          <w:rFonts w:ascii="Arial" w:hAnsi="Arial" w:cs="Arial"/>
          <w:color w:val="auto"/>
          <w:sz w:val="24"/>
          <w:szCs w:val="24"/>
        </w:rPr>
        <w:br/>
      </w:r>
      <w:r w:rsidR="00232A5C" w:rsidRPr="00232A5C">
        <w:rPr>
          <w:rFonts w:ascii="Arial" w:hAnsi="Arial" w:cs="Arial"/>
          <w:color w:val="auto"/>
          <w:sz w:val="24"/>
          <w:szCs w:val="24"/>
        </w:rPr>
        <w:t xml:space="preserve">Dirigeant principal des données </w:t>
      </w:r>
      <w:r w:rsidRPr="00232A5C">
        <w:rPr>
          <w:rFonts w:ascii="Arial" w:hAnsi="Arial" w:cs="Arial"/>
          <w:color w:val="auto"/>
          <w:sz w:val="24"/>
          <w:szCs w:val="24"/>
        </w:rPr>
        <w:t>et champion du gouvernement ouvert</w:t>
      </w:r>
    </w:p>
    <w:p w14:paraId="754762AD" w14:textId="77777777" w:rsidR="009530DA" w:rsidRPr="009530DA" w:rsidRDefault="009530DA" w:rsidP="009530DA">
      <w:pPr>
        <w:rPr>
          <w:rFonts w:ascii="Arial" w:hAnsi="Arial" w:cs="Arial"/>
          <w:sz w:val="96"/>
          <w:szCs w:val="96"/>
        </w:rPr>
      </w:pPr>
    </w:p>
    <w:p w14:paraId="4ED5281C" w14:textId="7D207796" w:rsidR="009530DA" w:rsidRPr="00816BAB" w:rsidRDefault="009530DA" w:rsidP="009530DA">
      <w:pPr>
        <w:ind w:hanging="284"/>
        <w:rPr>
          <w:rFonts w:ascii="Arial" w:hAnsi="Arial" w:cs="Arial"/>
          <w:sz w:val="24"/>
          <w:szCs w:val="24"/>
        </w:rPr>
      </w:pPr>
    </w:p>
    <w:p w14:paraId="62709163" w14:textId="77777777" w:rsidR="009530DA" w:rsidRPr="00232A5C" w:rsidRDefault="009530DA" w:rsidP="009530DA">
      <w:pPr>
        <w:rPr>
          <w:rFonts w:ascii="Arial" w:hAnsi="Arial" w:cs="Arial"/>
          <w:color w:val="auto"/>
          <w:sz w:val="24"/>
          <w:szCs w:val="24"/>
        </w:rPr>
      </w:pPr>
      <w:r w:rsidRPr="00232A5C">
        <w:rPr>
          <w:rFonts w:ascii="Arial" w:hAnsi="Arial" w:cs="Arial"/>
          <w:color w:val="auto"/>
          <w:sz w:val="24"/>
          <w:szCs w:val="24"/>
        </w:rPr>
        <w:t>Patrick </w:t>
      </w:r>
      <w:proofErr w:type="spellStart"/>
      <w:r w:rsidRPr="00232A5C">
        <w:rPr>
          <w:rFonts w:ascii="Arial" w:hAnsi="Arial" w:cs="Arial"/>
          <w:color w:val="auto"/>
          <w:sz w:val="24"/>
          <w:szCs w:val="24"/>
        </w:rPr>
        <w:t>Borbey</w:t>
      </w:r>
      <w:proofErr w:type="spellEnd"/>
      <w:r w:rsidRPr="00232A5C">
        <w:rPr>
          <w:rFonts w:ascii="Arial" w:hAnsi="Arial" w:cs="Arial"/>
          <w:color w:val="auto"/>
          <w:sz w:val="24"/>
          <w:szCs w:val="24"/>
        </w:rPr>
        <w:t>, Président, Commission de la fonction publique</w:t>
      </w:r>
    </w:p>
    <w:p w14:paraId="42711222" w14:textId="77777777" w:rsidR="00436F88" w:rsidRPr="005957F6" w:rsidRDefault="00436F88">
      <w:pPr>
        <w:keepLines w:val="0"/>
        <w:rPr>
          <w:rStyle w:val="Heading5Char"/>
          <w:sz w:val="32"/>
        </w:rPr>
      </w:pPr>
      <w:r w:rsidRPr="005957F6">
        <w:rPr>
          <w:rStyle w:val="Heading5Char"/>
          <w:sz w:val="32"/>
        </w:rPr>
        <w:br w:type="page"/>
      </w:r>
    </w:p>
    <w:sdt>
      <w:sdtPr>
        <w:rPr>
          <w:rFonts w:asciiTheme="minorHAnsi" w:eastAsiaTheme="minorHAnsi" w:hAnsiTheme="minorHAnsi" w:cstheme="minorBidi"/>
          <w:color w:val="54575A" w:themeColor="text1"/>
          <w:sz w:val="22"/>
          <w:szCs w:val="22"/>
          <w:lang w:val="fr-CA"/>
        </w:rPr>
        <w:id w:val="1676232880"/>
        <w:docPartObj>
          <w:docPartGallery w:val="Table of Contents"/>
          <w:docPartUnique/>
        </w:docPartObj>
      </w:sdtPr>
      <w:sdtEndPr>
        <w:rPr>
          <w:b/>
          <w:bCs/>
        </w:rPr>
      </w:sdtEndPr>
      <w:sdtContent>
        <w:p w14:paraId="06D17B38" w14:textId="09BED49C" w:rsidR="00436F88" w:rsidRPr="005957F6" w:rsidRDefault="00436F88">
          <w:pPr>
            <w:pStyle w:val="TOCHeading"/>
            <w:rPr>
              <w:lang w:val="fr-CA"/>
            </w:rPr>
          </w:pPr>
          <w:r w:rsidRPr="005957F6">
            <w:rPr>
              <w:lang w:val="fr-CA"/>
            </w:rPr>
            <w:t xml:space="preserve">Table </w:t>
          </w:r>
          <w:r w:rsidR="003376C7" w:rsidRPr="005957F6">
            <w:rPr>
              <w:lang w:val="fr-CA"/>
            </w:rPr>
            <w:t>des matières</w:t>
          </w:r>
        </w:p>
        <w:p w14:paraId="397B11B6" w14:textId="77777777" w:rsidR="00825433" w:rsidRDefault="00436F88">
          <w:pPr>
            <w:pStyle w:val="TOC1"/>
            <w:rPr>
              <w:rFonts w:asciiTheme="minorHAnsi" w:eastAsiaTheme="minorEastAsia" w:hAnsiTheme="minorHAnsi" w:cstheme="minorBidi"/>
              <w:lang w:val="en-CA" w:eastAsia="en-CA"/>
            </w:rPr>
          </w:pPr>
          <w:r w:rsidRPr="005957F6">
            <w:rPr>
              <w:b/>
              <w:bCs/>
            </w:rPr>
            <w:fldChar w:fldCharType="begin"/>
          </w:r>
          <w:r w:rsidRPr="005957F6">
            <w:rPr>
              <w:b/>
              <w:bCs/>
            </w:rPr>
            <w:instrText xml:space="preserve"> TOC \o "1-3" \h \z \u </w:instrText>
          </w:r>
          <w:r w:rsidRPr="005957F6">
            <w:rPr>
              <w:b/>
              <w:bCs/>
            </w:rPr>
            <w:fldChar w:fldCharType="separate"/>
          </w:r>
          <w:hyperlink w:anchor="_Toc50038746" w:history="1">
            <w:r w:rsidR="00825433" w:rsidRPr="00C40787">
              <w:rPr>
                <w:rStyle w:val="Hyperlink"/>
              </w:rPr>
              <w:t>1.  Message du président</w:t>
            </w:r>
            <w:r w:rsidR="00825433">
              <w:rPr>
                <w:webHidden/>
              </w:rPr>
              <w:tab/>
            </w:r>
            <w:r w:rsidR="00825433">
              <w:rPr>
                <w:webHidden/>
              </w:rPr>
              <w:fldChar w:fldCharType="begin"/>
            </w:r>
            <w:r w:rsidR="00825433">
              <w:rPr>
                <w:webHidden/>
              </w:rPr>
              <w:instrText xml:space="preserve"> PAGEREF _Toc50038746 \h </w:instrText>
            </w:r>
            <w:r w:rsidR="00825433">
              <w:rPr>
                <w:webHidden/>
              </w:rPr>
            </w:r>
            <w:r w:rsidR="00825433">
              <w:rPr>
                <w:webHidden/>
              </w:rPr>
              <w:fldChar w:fldCharType="separate"/>
            </w:r>
            <w:r w:rsidR="006968CC">
              <w:rPr>
                <w:webHidden/>
              </w:rPr>
              <w:t>4</w:t>
            </w:r>
            <w:r w:rsidR="00825433">
              <w:rPr>
                <w:webHidden/>
              </w:rPr>
              <w:fldChar w:fldCharType="end"/>
            </w:r>
          </w:hyperlink>
        </w:p>
        <w:p w14:paraId="416357AC" w14:textId="77777777" w:rsidR="00825433" w:rsidRDefault="002C3070">
          <w:pPr>
            <w:pStyle w:val="TOC1"/>
            <w:rPr>
              <w:rFonts w:asciiTheme="minorHAnsi" w:eastAsiaTheme="minorEastAsia" w:hAnsiTheme="minorHAnsi" w:cstheme="minorBidi"/>
              <w:lang w:val="en-CA" w:eastAsia="en-CA"/>
            </w:rPr>
          </w:pPr>
          <w:hyperlink w:anchor="_Toc50038747" w:history="1">
            <w:r w:rsidR="00825433" w:rsidRPr="00C40787">
              <w:rPr>
                <w:rStyle w:val="Hyperlink"/>
              </w:rPr>
              <w:t>2.  Renseignements généraux et contexte</w:t>
            </w:r>
            <w:r w:rsidR="00825433">
              <w:rPr>
                <w:webHidden/>
              </w:rPr>
              <w:tab/>
            </w:r>
            <w:r w:rsidR="00825433">
              <w:rPr>
                <w:webHidden/>
              </w:rPr>
              <w:fldChar w:fldCharType="begin"/>
            </w:r>
            <w:r w:rsidR="00825433">
              <w:rPr>
                <w:webHidden/>
              </w:rPr>
              <w:instrText xml:space="preserve"> PAGEREF _Toc50038747 \h </w:instrText>
            </w:r>
            <w:r w:rsidR="00825433">
              <w:rPr>
                <w:webHidden/>
              </w:rPr>
            </w:r>
            <w:r w:rsidR="00825433">
              <w:rPr>
                <w:webHidden/>
              </w:rPr>
              <w:fldChar w:fldCharType="separate"/>
            </w:r>
            <w:r w:rsidR="006968CC">
              <w:rPr>
                <w:webHidden/>
              </w:rPr>
              <w:t>5</w:t>
            </w:r>
            <w:r w:rsidR="00825433">
              <w:rPr>
                <w:webHidden/>
              </w:rPr>
              <w:fldChar w:fldCharType="end"/>
            </w:r>
          </w:hyperlink>
        </w:p>
        <w:p w14:paraId="1B27322F" w14:textId="77777777" w:rsidR="00825433" w:rsidRDefault="002C3070">
          <w:pPr>
            <w:pStyle w:val="TOC2"/>
            <w:rPr>
              <w:rFonts w:eastAsiaTheme="minorEastAsia"/>
              <w:lang w:val="en-CA" w:eastAsia="en-CA"/>
            </w:rPr>
          </w:pPr>
          <w:hyperlink w:anchor="_Toc50038748" w:history="1">
            <w:r w:rsidR="00825433" w:rsidRPr="00C40787">
              <w:rPr>
                <w:rStyle w:val="Hyperlink"/>
              </w:rPr>
              <w:t>2.1.  Partenariat pour un gouvernement ouvert</w:t>
            </w:r>
            <w:r w:rsidR="00825433">
              <w:rPr>
                <w:webHidden/>
              </w:rPr>
              <w:tab/>
            </w:r>
            <w:r w:rsidR="00825433">
              <w:rPr>
                <w:webHidden/>
              </w:rPr>
              <w:fldChar w:fldCharType="begin"/>
            </w:r>
            <w:r w:rsidR="00825433">
              <w:rPr>
                <w:webHidden/>
              </w:rPr>
              <w:instrText xml:space="preserve"> PAGEREF _Toc50038748 \h </w:instrText>
            </w:r>
            <w:r w:rsidR="00825433">
              <w:rPr>
                <w:webHidden/>
              </w:rPr>
            </w:r>
            <w:r w:rsidR="00825433">
              <w:rPr>
                <w:webHidden/>
              </w:rPr>
              <w:fldChar w:fldCharType="separate"/>
            </w:r>
            <w:r w:rsidR="006968CC">
              <w:rPr>
                <w:webHidden/>
              </w:rPr>
              <w:t>5</w:t>
            </w:r>
            <w:r w:rsidR="00825433">
              <w:rPr>
                <w:webHidden/>
              </w:rPr>
              <w:fldChar w:fldCharType="end"/>
            </w:r>
          </w:hyperlink>
        </w:p>
        <w:p w14:paraId="49BD009A" w14:textId="77777777" w:rsidR="00825433" w:rsidRDefault="002C3070">
          <w:pPr>
            <w:pStyle w:val="TOC2"/>
            <w:rPr>
              <w:rFonts w:eastAsiaTheme="minorEastAsia"/>
              <w:lang w:val="en-CA" w:eastAsia="en-CA"/>
            </w:rPr>
          </w:pPr>
          <w:hyperlink w:anchor="_Toc50038749" w:history="1">
            <w:r w:rsidR="00825433" w:rsidRPr="00C40787">
              <w:rPr>
                <w:rStyle w:val="Hyperlink"/>
              </w:rPr>
              <w:t>2.2.  Plan d’action national du Canada</w:t>
            </w:r>
            <w:r w:rsidR="00825433">
              <w:rPr>
                <w:webHidden/>
              </w:rPr>
              <w:tab/>
            </w:r>
            <w:r w:rsidR="00825433">
              <w:rPr>
                <w:webHidden/>
              </w:rPr>
              <w:fldChar w:fldCharType="begin"/>
            </w:r>
            <w:r w:rsidR="00825433">
              <w:rPr>
                <w:webHidden/>
              </w:rPr>
              <w:instrText xml:space="preserve"> PAGEREF _Toc50038749 \h </w:instrText>
            </w:r>
            <w:r w:rsidR="00825433">
              <w:rPr>
                <w:webHidden/>
              </w:rPr>
            </w:r>
            <w:r w:rsidR="00825433">
              <w:rPr>
                <w:webHidden/>
              </w:rPr>
              <w:fldChar w:fldCharType="separate"/>
            </w:r>
            <w:r w:rsidR="006968CC">
              <w:rPr>
                <w:webHidden/>
              </w:rPr>
              <w:t>6</w:t>
            </w:r>
            <w:r w:rsidR="00825433">
              <w:rPr>
                <w:webHidden/>
              </w:rPr>
              <w:fldChar w:fldCharType="end"/>
            </w:r>
          </w:hyperlink>
        </w:p>
        <w:p w14:paraId="72CCF161" w14:textId="77777777" w:rsidR="00825433" w:rsidRDefault="002C3070">
          <w:pPr>
            <w:pStyle w:val="TOC2"/>
            <w:rPr>
              <w:rFonts w:eastAsiaTheme="minorEastAsia"/>
              <w:lang w:val="en-CA" w:eastAsia="en-CA"/>
            </w:rPr>
          </w:pPr>
          <w:hyperlink w:anchor="_Toc50038750" w:history="1">
            <w:r w:rsidR="00825433" w:rsidRPr="00C40787">
              <w:rPr>
                <w:rStyle w:val="Hyperlink"/>
              </w:rPr>
              <w:t>2.3.  Directive sur le gouvernement ouvert</w:t>
            </w:r>
            <w:r w:rsidR="00825433">
              <w:rPr>
                <w:webHidden/>
              </w:rPr>
              <w:tab/>
            </w:r>
            <w:r w:rsidR="00825433">
              <w:rPr>
                <w:webHidden/>
              </w:rPr>
              <w:fldChar w:fldCharType="begin"/>
            </w:r>
            <w:r w:rsidR="00825433">
              <w:rPr>
                <w:webHidden/>
              </w:rPr>
              <w:instrText xml:space="preserve"> PAGEREF _Toc50038750 \h </w:instrText>
            </w:r>
            <w:r w:rsidR="00825433">
              <w:rPr>
                <w:webHidden/>
              </w:rPr>
            </w:r>
            <w:r w:rsidR="00825433">
              <w:rPr>
                <w:webHidden/>
              </w:rPr>
              <w:fldChar w:fldCharType="separate"/>
            </w:r>
            <w:r w:rsidR="006968CC">
              <w:rPr>
                <w:webHidden/>
              </w:rPr>
              <w:t>6</w:t>
            </w:r>
            <w:r w:rsidR="00825433">
              <w:rPr>
                <w:webHidden/>
              </w:rPr>
              <w:fldChar w:fldCharType="end"/>
            </w:r>
          </w:hyperlink>
        </w:p>
        <w:p w14:paraId="3B55037C" w14:textId="77777777" w:rsidR="00825433" w:rsidRDefault="002C3070">
          <w:pPr>
            <w:pStyle w:val="TOC2"/>
            <w:rPr>
              <w:rFonts w:eastAsiaTheme="minorEastAsia"/>
              <w:lang w:val="en-CA" w:eastAsia="en-CA"/>
            </w:rPr>
          </w:pPr>
          <w:hyperlink w:anchor="_Toc50038751" w:history="1">
            <w:r w:rsidR="00825433" w:rsidRPr="00C40787">
              <w:rPr>
                <w:rStyle w:val="Hyperlink"/>
              </w:rPr>
              <w:t>2.4  Portail du gouvernement ouvert</w:t>
            </w:r>
            <w:r w:rsidR="00825433">
              <w:rPr>
                <w:webHidden/>
              </w:rPr>
              <w:tab/>
            </w:r>
            <w:r w:rsidR="00825433">
              <w:rPr>
                <w:webHidden/>
              </w:rPr>
              <w:fldChar w:fldCharType="begin"/>
            </w:r>
            <w:r w:rsidR="00825433">
              <w:rPr>
                <w:webHidden/>
              </w:rPr>
              <w:instrText xml:space="preserve"> PAGEREF _Toc50038751 \h </w:instrText>
            </w:r>
            <w:r w:rsidR="00825433">
              <w:rPr>
                <w:webHidden/>
              </w:rPr>
            </w:r>
            <w:r w:rsidR="00825433">
              <w:rPr>
                <w:webHidden/>
              </w:rPr>
              <w:fldChar w:fldCharType="separate"/>
            </w:r>
            <w:r w:rsidR="006968CC">
              <w:rPr>
                <w:webHidden/>
              </w:rPr>
              <w:t>7</w:t>
            </w:r>
            <w:r w:rsidR="00825433">
              <w:rPr>
                <w:webHidden/>
              </w:rPr>
              <w:fldChar w:fldCharType="end"/>
            </w:r>
          </w:hyperlink>
        </w:p>
        <w:p w14:paraId="47737F97" w14:textId="77777777" w:rsidR="00825433" w:rsidRDefault="002C3070">
          <w:pPr>
            <w:pStyle w:val="TOC1"/>
            <w:rPr>
              <w:rFonts w:asciiTheme="minorHAnsi" w:eastAsiaTheme="minorEastAsia" w:hAnsiTheme="minorHAnsi" w:cstheme="minorBidi"/>
              <w:lang w:val="en-CA" w:eastAsia="en-CA"/>
            </w:rPr>
          </w:pPr>
          <w:hyperlink w:anchor="_Toc50038752" w:history="1">
            <w:r w:rsidR="00825433" w:rsidRPr="00C40787">
              <w:rPr>
                <w:rStyle w:val="Hyperlink"/>
              </w:rPr>
              <w:t>3.  Vision</w:t>
            </w:r>
            <w:r w:rsidR="00825433">
              <w:rPr>
                <w:webHidden/>
              </w:rPr>
              <w:tab/>
            </w:r>
            <w:r w:rsidR="00825433">
              <w:rPr>
                <w:webHidden/>
              </w:rPr>
              <w:fldChar w:fldCharType="begin"/>
            </w:r>
            <w:r w:rsidR="00825433">
              <w:rPr>
                <w:webHidden/>
              </w:rPr>
              <w:instrText xml:space="preserve"> PAGEREF _Toc50038752 \h </w:instrText>
            </w:r>
            <w:r w:rsidR="00825433">
              <w:rPr>
                <w:webHidden/>
              </w:rPr>
            </w:r>
            <w:r w:rsidR="00825433">
              <w:rPr>
                <w:webHidden/>
              </w:rPr>
              <w:fldChar w:fldCharType="separate"/>
            </w:r>
            <w:r w:rsidR="006968CC">
              <w:rPr>
                <w:webHidden/>
              </w:rPr>
              <w:t>7</w:t>
            </w:r>
            <w:r w:rsidR="00825433">
              <w:rPr>
                <w:webHidden/>
              </w:rPr>
              <w:fldChar w:fldCharType="end"/>
            </w:r>
          </w:hyperlink>
        </w:p>
        <w:p w14:paraId="34F2B200" w14:textId="77777777" w:rsidR="00825433" w:rsidRDefault="002C3070">
          <w:pPr>
            <w:pStyle w:val="TOC1"/>
            <w:rPr>
              <w:rFonts w:asciiTheme="minorHAnsi" w:eastAsiaTheme="minorEastAsia" w:hAnsiTheme="minorHAnsi" w:cstheme="minorBidi"/>
              <w:lang w:val="en-CA" w:eastAsia="en-CA"/>
            </w:rPr>
          </w:pPr>
          <w:hyperlink w:anchor="_Toc50038753" w:history="1">
            <w:r w:rsidR="00825433" w:rsidRPr="00C40787">
              <w:rPr>
                <w:rStyle w:val="Hyperlink"/>
              </w:rPr>
              <w:t>4.  Progrès à ce jour</w:t>
            </w:r>
            <w:r w:rsidR="00825433">
              <w:rPr>
                <w:webHidden/>
              </w:rPr>
              <w:tab/>
            </w:r>
            <w:r w:rsidR="00825433">
              <w:rPr>
                <w:webHidden/>
              </w:rPr>
              <w:fldChar w:fldCharType="begin"/>
            </w:r>
            <w:r w:rsidR="00825433">
              <w:rPr>
                <w:webHidden/>
              </w:rPr>
              <w:instrText xml:space="preserve"> PAGEREF _Toc50038753 \h </w:instrText>
            </w:r>
            <w:r w:rsidR="00825433">
              <w:rPr>
                <w:webHidden/>
              </w:rPr>
            </w:r>
            <w:r w:rsidR="00825433">
              <w:rPr>
                <w:webHidden/>
              </w:rPr>
              <w:fldChar w:fldCharType="separate"/>
            </w:r>
            <w:r w:rsidR="006968CC">
              <w:rPr>
                <w:webHidden/>
              </w:rPr>
              <w:t>8</w:t>
            </w:r>
            <w:r w:rsidR="00825433">
              <w:rPr>
                <w:webHidden/>
              </w:rPr>
              <w:fldChar w:fldCharType="end"/>
            </w:r>
          </w:hyperlink>
        </w:p>
        <w:p w14:paraId="5DA38449" w14:textId="77777777" w:rsidR="00825433" w:rsidRDefault="002C3070">
          <w:pPr>
            <w:pStyle w:val="TOC2"/>
            <w:rPr>
              <w:rFonts w:eastAsiaTheme="minorEastAsia"/>
              <w:lang w:val="en-CA" w:eastAsia="en-CA"/>
            </w:rPr>
          </w:pPr>
          <w:hyperlink w:anchor="_Toc50038754" w:history="1">
            <w:r w:rsidR="00825433" w:rsidRPr="00C40787">
              <w:rPr>
                <w:rStyle w:val="Hyperlink"/>
              </w:rPr>
              <w:t>4.1 Progrès réalisés vers l’atteinte de chaque objectif</w:t>
            </w:r>
            <w:r w:rsidR="00825433">
              <w:rPr>
                <w:webHidden/>
              </w:rPr>
              <w:tab/>
            </w:r>
            <w:r w:rsidR="00825433">
              <w:rPr>
                <w:webHidden/>
              </w:rPr>
              <w:fldChar w:fldCharType="begin"/>
            </w:r>
            <w:r w:rsidR="00825433">
              <w:rPr>
                <w:webHidden/>
              </w:rPr>
              <w:instrText xml:space="preserve"> PAGEREF _Toc50038754 \h </w:instrText>
            </w:r>
            <w:r w:rsidR="00825433">
              <w:rPr>
                <w:webHidden/>
              </w:rPr>
            </w:r>
            <w:r w:rsidR="00825433">
              <w:rPr>
                <w:webHidden/>
              </w:rPr>
              <w:fldChar w:fldCharType="separate"/>
            </w:r>
            <w:r w:rsidR="006968CC">
              <w:rPr>
                <w:webHidden/>
              </w:rPr>
              <w:t>9</w:t>
            </w:r>
            <w:r w:rsidR="00825433">
              <w:rPr>
                <w:webHidden/>
              </w:rPr>
              <w:fldChar w:fldCharType="end"/>
            </w:r>
          </w:hyperlink>
        </w:p>
        <w:p w14:paraId="0816787D" w14:textId="77777777" w:rsidR="00825433" w:rsidRDefault="002C3070">
          <w:pPr>
            <w:pStyle w:val="TOC1"/>
            <w:rPr>
              <w:rFonts w:asciiTheme="minorHAnsi" w:eastAsiaTheme="minorEastAsia" w:hAnsiTheme="minorHAnsi" w:cstheme="minorBidi"/>
              <w:lang w:val="en-CA" w:eastAsia="en-CA"/>
            </w:rPr>
          </w:pPr>
          <w:hyperlink w:anchor="_Toc50038759" w:history="1">
            <w:r w:rsidR="00825433" w:rsidRPr="00C40787">
              <w:rPr>
                <w:rStyle w:val="Hyperlink"/>
              </w:rPr>
              <w:t>5.  Méthode d’élaboration du 3</w:t>
            </w:r>
            <w:r w:rsidR="00825433" w:rsidRPr="00C40787">
              <w:rPr>
                <w:rStyle w:val="Hyperlink"/>
                <w:vertAlign w:val="superscript"/>
              </w:rPr>
              <w:t>e</w:t>
            </w:r>
            <w:r w:rsidR="00825433" w:rsidRPr="00C40787">
              <w:rPr>
                <w:rStyle w:val="Hyperlink"/>
              </w:rPr>
              <w:t xml:space="preserve"> PMOGO biennal</w:t>
            </w:r>
            <w:r w:rsidR="00825433">
              <w:rPr>
                <w:webHidden/>
              </w:rPr>
              <w:tab/>
            </w:r>
            <w:r w:rsidR="00825433">
              <w:rPr>
                <w:webHidden/>
              </w:rPr>
              <w:fldChar w:fldCharType="begin"/>
            </w:r>
            <w:r w:rsidR="00825433">
              <w:rPr>
                <w:webHidden/>
              </w:rPr>
              <w:instrText xml:space="preserve"> PAGEREF _Toc50038759 \h </w:instrText>
            </w:r>
            <w:r w:rsidR="00825433">
              <w:rPr>
                <w:webHidden/>
              </w:rPr>
            </w:r>
            <w:r w:rsidR="00825433">
              <w:rPr>
                <w:webHidden/>
              </w:rPr>
              <w:fldChar w:fldCharType="separate"/>
            </w:r>
            <w:r w:rsidR="006968CC">
              <w:rPr>
                <w:webHidden/>
              </w:rPr>
              <w:t>11</w:t>
            </w:r>
            <w:r w:rsidR="00825433">
              <w:rPr>
                <w:webHidden/>
              </w:rPr>
              <w:fldChar w:fldCharType="end"/>
            </w:r>
          </w:hyperlink>
        </w:p>
        <w:p w14:paraId="6119192B" w14:textId="77777777" w:rsidR="00825433" w:rsidRDefault="002C3070">
          <w:pPr>
            <w:pStyle w:val="TOC1"/>
            <w:rPr>
              <w:rFonts w:asciiTheme="minorHAnsi" w:eastAsiaTheme="minorEastAsia" w:hAnsiTheme="minorHAnsi" w:cstheme="minorBidi"/>
              <w:lang w:val="en-CA" w:eastAsia="en-CA"/>
            </w:rPr>
          </w:pPr>
          <w:hyperlink w:anchor="_Toc50038760" w:history="1">
            <w:r w:rsidR="00825433" w:rsidRPr="00C40787">
              <w:rPr>
                <w:rStyle w:val="Hyperlink"/>
              </w:rPr>
              <w:t>6.  Objectifs de la CFP ouverte</w:t>
            </w:r>
            <w:r w:rsidR="00825433">
              <w:rPr>
                <w:webHidden/>
              </w:rPr>
              <w:tab/>
            </w:r>
            <w:r w:rsidR="00825433">
              <w:rPr>
                <w:webHidden/>
              </w:rPr>
              <w:fldChar w:fldCharType="begin"/>
            </w:r>
            <w:r w:rsidR="00825433">
              <w:rPr>
                <w:webHidden/>
              </w:rPr>
              <w:instrText xml:space="preserve"> PAGEREF _Toc50038760 \h </w:instrText>
            </w:r>
            <w:r w:rsidR="00825433">
              <w:rPr>
                <w:webHidden/>
              </w:rPr>
            </w:r>
            <w:r w:rsidR="00825433">
              <w:rPr>
                <w:webHidden/>
              </w:rPr>
              <w:fldChar w:fldCharType="separate"/>
            </w:r>
            <w:r w:rsidR="006968CC">
              <w:rPr>
                <w:webHidden/>
              </w:rPr>
              <w:t>11</w:t>
            </w:r>
            <w:r w:rsidR="00825433">
              <w:rPr>
                <w:webHidden/>
              </w:rPr>
              <w:fldChar w:fldCharType="end"/>
            </w:r>
          </w:hyperlink>
        </w:p>
        <w:p w14:paraId="1AE76495" w14:textId="77777777" w:rsidR="00825433" w:rsidRDefault="002C3070">
          <w:pPr>
            <w:pStyle w:val="TOC2"/>
            <w:rPr>
              <w:rFonts w:eastAsiaTheme="minorEastAsia"/>
              <w:lang w:val="en-CA" w:eastAsia="en-CA"/>
            </w:rPr>
          </w:pPr>
          <w:hyperlink w:anchor="_Toc50038761" w:history="1">
            <w:r w:rsidR="00825433" w:rsidRPr="00C40787">
              <w:rPr>
                <w:rStyle w:val="Hyperlink"/>
              </w:rPr>
              <w:t>6.1.  Instaurer une culture d’ouverture par défaut</w:t>
            </w:r>
            <w:r w:rsidR="00825433">
              <w:rPr>
                <w:webHidden/>
              </w:rPr>
              <w:tab/>
            </w:r>
            <w:r w:rsidR="00825433">
              <w:rPr>
                <w:webHidden/>
              </w:rPr>
              <w:fldChar w:fldCharType="begin"/>
            </w:r>
            <w:r w:rsidR="00825433">
              <w:rPr>
                <w:webHidden/>
              </w:rPr>
              <w:instrText xml:space="preserve"> PAGEREF _Toc50038761 \h </w:instrText>
            </w:r>
            <w:r w:rsidR="00825433">
              <w:rPr>
                <w:webHidden/>
              </w:rPr>
            </w:r>
            <w:r w:rsidR="00825433">
              <w:rPr>
                <w:webHidden/>
              </w:rPr>
              <w:fldChar w:fldCharType="separate"/>
            </w:r>
            <w:r w:rsidR="006968CC">
              <w:rPr>
                <w:webHidden/>
              </w:rPr>
              <w:t>13</w:t>
            </w:r>
            <w:r w:rsidR="00825433">
              <w:rPr>
                <w:webHidden/>
              </w:rPr>
              <w:fldChar w:fldCharType="end"/>
            </w:r>
          </w:hyperlink>
        </w:p>
        <w:p w14:paraId="3A0A796D" w14:textId="77777777" w:rsidR="00825433" w:rsidRDefault="002C3070">
          <w:pPr>
            <w:pStyle w:val="TOC2"/>
            <w:rPr>
              <w:rFonts w:eastAsiaTheme="minorEastAsia"/>
              <w:lang w:val="en-CA" w:eastAsia="en-CA"/>
            </w:rPr>
          </w:pPr>
          <w:hyperlink w:anchor="_Toc50038762" w:history="1">
            <w:r w:rsidR="00825433" w:rsidRPr="00C40787">
              <w:rPr>
                <w:rStyle w:val="Hyperlink"/>
              </w:rPr>
              <w:t>6.2.  Mobiliser pour diffuser des données et de l’information à valeur ajoutée</w:t>
            </w:r>
            <w:r w:rsidR="00825433">
              <w:rPr>
                <w:webHidden/>
              </w:rPr>
              <w:tab/>
            </w:r>
            <w:r w:rsidR="00825433">
              <w:rPr>
                <w:webHidden/>
              </w:rPr>
              <w:fldChar w:fldCharType="begin"/>
            </w:r>
            <w:r w:rsidR="00825433">
              <w:rPr>
                <w:webHidden/>
              </w:rPr>
              <w:instrText xml:space="preserve"> PAGEREF _Toc50038762 \h </w:instrText>
            </w:r>
            <w:r w:rsidR="00825433">
              <w:rPr>
                <w:webHidden/>
              </w:rPr>
            </w:r>
            <w:r w:rsidR="00825433">
              <w:rPr>
                <w:webHidden/>
              </w:rPr>
              <w:fldChar w:fldCharType="separate"/>
            </w:r>
            <w:r w:rsidR="006968CC">
              <w:rPr>
                <w:webHidden/>
              </w:rPr>
              <w:t>13</w:t>
            </w:r>
            <w:r w:rsidR="00825433">
              <w:rPr>
                <w:webHidden/>
              </w:rPr>
              <w:fldChar w:fldCharType="end"/>
            </w:r>
          </w:hyperlink>
        </w:p>
        <w:p w14:paraId="3EE12782" w14:textId="77777777" w:rsidR="00825433" w:rsidRDefault="002C3070">
          <w:pPr>
            <w:pStyle w:val="TOC2"/>
            <w:rPr>
              <w:rFonts w:eastAsiaTheme="minorEastAsia"/>
              <w:lang w:val="en-CA" w:eastAsia="en-CA"/>
            </w:rPr>
          </w:pPr>
          <w:hyperlink w:anchor="_Toc50038763" w:history="1">
            <w:r w:rsidR="00825433" w:rsidRPr="00C40787">
              <w:rPr>
                <w:rStyle w:val="Hyperlink"/>
              </w:rPr>
              <w:t>6.3.  Optimiser le libre-service grâce à l’innovation</w:t>
            </w:r>
            <w:r w:rsidR="00825433">
              <w:rPr>
                <w:webHidden/>
              </w:rPr>
              <w:tab/>
            </w:r>
            <w:r w:rsidR="00825433">
              <w:rPr>
                <w:webHidden/>
              </w:rPr>
              <w:fldChar w:fldCharType="begin"/>
            </w:r>
            <w:r w:rsidR="00825433">
              <w:rPr>
                <w:webHidden/>
              </w:rPr>
              <w:instrText xml:space="preserve"> PAGEREF _Toc50038763 \h </w:instrText>
            </w:r>
            <w:r w:rsidR="00825433">
              <w:rPr>
                <w:webHidden/>
              </w:rPr>
            </w:r>
            <w:r w:rsidR="00825433">
              <w:rPr>
                <w:webHidden/>
              </w:rPr>
              <w:fldChar w:fldCharType="separate"/>
            </w:r>
            <w:r w:rsidR="006968CC">
              <w:rPr>
                <w:webHidden/>
              </w:rPr>
              <w:t>14</w:t>
            </w:r>
            <w:r w:rsidR="00825433">
              <w:rPr>
                <w:webHidden/>
              </w:rPr>
              <w:fldChar w:fldCharType="end"/>
            </w:r>
          </w:hyperlink>
        </w:p>
        <w:p w14:paraId="5EB5890E" w14:textId="77777777" w:rsidR="00825433" w:rsidRDefault="002C3070">
          <w:pPr>
            <w:pStyle w:val="TOC2"/>
            <w:rPr>
              <w:rFonts w:eastAsiaTheme="minorEastAsia"/>
              <w:lang w:val="en-CA" w:eastAsia="en-CA"/>
            </w:rPr>
          </w:pPr>
          <w:hyperlink w:anchor="_Toc50038764" w:history="1">
            <w:r w:rsidR="00825433" w:rsidRPr="00C40787">
              <w:rPr>
                <w:rStyle w:val="Hyperlink"/>
              </w:rPr>
              <w:t>6.4.  Appuyer les engagements et les attentes du gouvernement du Canada</w:t>
            </w:r>
            <w:r w:rsidR="00825433">
              <w:rPr>
                <w:webHidden/>
              </w:rPr>
              <w:tab/>
            </w:r>
            <w:r w:rsidR="00825433">
              <w:rPr>
                <w:webHidden/>
              </w:rPr>
              <w:fldChar w:fldCharType="begin"/>
            </w:r>
            <w:r w:rsidR="00825433">
              <w:rPr>
                <w:webHidden/>
              </w:rPr>
              <w:instrText xml:space="preserve"> PAGEREF _Toc50038764 \h </w:instrText>
            </w:r>
            <w:r w:rsidR="00825433">
              <w:rPr>
                <w:webHidden/>
              </w:rPr>
            </w:r>
            <w:r w:rsidR="00825433">
              <w:rPr>
                <w:webHidden/>
              </w:rPr>
              <w:fldChar w:fldCharType="separate"/>
            </w:r>
            <w:r w:rsidR="006968CC">
              <w:rPr>
                <w:webHidden/>
              </w:rPr>
              <w:t>14</w:t>
            </w:r>
            <w:r w:rsidR="00825433">
              <w:rPr>
                <w:webHidden/>
              </w:rPr>
              <w:fldChar w:fldCharType="end"/>
            </w:r>
          </w:hyperlink>
        </w:p>
        <w:p w14:paraId="7557CE53" w14:textId="77777777" w:rsidR="00825433" w:rsidRDefault="002C3070">
          <w:pPr>
            <w:pStyle w:val="TOC1"/>
            <w:rPr>
              <w:rFonts w:asciiTheme="minorHAnsi" w:eastAsiaTheme="minorEastAsia" w:hAnsiTheme="minorHAnsi" w:cstheme="minorBidi"/>
              <w:lang w:val="en-CA" w:eastAsia="en-CA"/>
            </w:rPr>
          </w:pPr>
          <w:hyperlink w:anchor="_Toc50038765" w:history="1">
            <w:r w:rsidR="00825433" w:rsidRPr="00C40787">
              <w:rPr>
                <w:rStyle w:val="Hyperlink"/>
              </w:rPr>
              <w:t>7.  Gouvernance de la CFP ouverte</w:t>
            </w:r>
            <w:r w:rsidR="00825433">
              <w:rPr>
                <w:webHidden/>
              </w:rPr>
              <w:tab/>
            </w:r>
            <w:r w:rsidR="00825433">
              <w:rPr>
                <w:webHidden/>
              </w:rPr>
              <w:fldChar w:fldCharType="begin"/>
            </w:r>
            <w:r w:rsidR="00825433">
              <w:rPr>
                <w:webHidden/>
              </w:rPr>
              <w:instrText xml:space="preserve"> PAGEREF _Toc50038765 \h </w:instrText>
            </w:r>
            <w:r w:rsidR="00825433">
              <w:rPr>
                <w:webHidden/>
              </w:rPr>
            </w:r>
            <w:r w:rsidR="00825433">
              <w:rPr>
                <w:webHidden/>
              </w:rPr>
              <w:fldChar w:fldCharType="separate"/>
            </w:r>
            <w:r w:rsidR="006968CC">
              <w:rPr>
                <w:webHidden/>
              </w:rPr>
              <w:t>15</w:t>
            </w:r>
            <w:r w:rsidR="00825433">
              <w:rPr>
                <w:webHidden/>
              </w:rPr>
              <w:fldChar w:fldCharType="end"/>
            </w:r>
          </w:hyperlink>
        </w:p>
        <w:p w14:paraId="44934A1A" w14:textId="77777777" w:rsidR="00825433" w:rsidRDefault="002C3070">
          <w:pPr>
            <w:pStyle w:val="TOC1"/>
            <w:rPr>
              <w:rFonts w:asciiTheme="minorHAnsi" w:eastAsiaTheme="minorEastAsia" w:hAnsiTheme="minorHAnsi" w:cstheme="minorBidi"/>
              <w:lang w:val="en-CA" w:eastAsia="en-CA"/>
            </w:rPr>
          </w:pPr>
          <w:hyperlink w:anchor="_Toc50038766" w:history="1">
            <w:r w:rsidR="00825433" w:rsidRPr="00C40787">
              <w:rPr>
                <w:rStyle w:val="Hyperlink"/>
              </w:rPr>
              <w:t>8.  Risques et stratégies d’atténuation</w:t>
            </w:r>
            <w:r w:rsidR="00825433">
              <w:rPr>
                <w:webHidden/>
              </w:rPr>
              <w:tab/>
            </w:r>
            <w:r w:rsidR="00825433">
              <w:rPr>
                <w:webHidden/>
              </w:rPr>
              <w:fldChar w:fldCharType="begin"/>
            </w:r>
            <w:r w:rsidR="00825433">
              <w:rPr>
                <w:webHidden/>
              </w:rPr>
              <w:instrText xml:space="preserve"> PAGEREF _Toc50038766 \h </w:instrText>
            </w:r>
            <w:r w:rsidR="00825433">
              <w:rPr>
                <w:webHidden/>
              </w:rPr>
            </w:r>
            <w:r w:rsidR="00825433">
              <w:rPr>
                <w:webHidden/>
              </w:rPr>
              <w:fldChar w:fldCharType="separate"/>
            </w:r>
            <w:r w:rsidR="006968CC">
              <w:rPr>
                <w:webHidden/>
              </w:rPr>
              <w:t>18</w:t>
            </w:r>
            <w:r w:rsidR="00825433">
              <w:rPr>
                <w:webHidden/>
              </w:rPr>
              <w:fldChar w:fldCharType="end"/>
            </w:r>
          </w:hyperlink>
        </w:p>
        <w:p w14:paraId="618E9C56" w14:textId="77777777" w:rsidR="00825433" w:rsidRDefault="002C3070">
          <w:pPr>
            <w:pStyle w:val="TOC1"/>
            <w:rPr>
              <w:rFonts w:asciiTheme="minorHAnsi" w:eastAsiaTheme="minorEastAsia" w:hAnsiTheme="minorHAnsi" w:cstheme="minorBidi"/>
              <w:lang w:val="en-CA" w:eastAsia="en-CA"/>
            </w:rPr>
          </w:pPr>
          <w:hyperlink w:anchor="_Toc50038767" w:history="1">
            <w:r w:rsidR="00825433" w:rsidRPr="00C40787">
              <w:rPr>
                <w:rStyle w:val="Hyperlink"/>
              </w:rPr>
              <w:t>9.  Tableaux d’activités — Activités et responsables proposés</w:t>
            </w:r>
            <w:r w:rsidR="00825433">
              <w:rPr>
                <w:webHidden/>
              </w:rPr>
              <w:tab/>
            </w:r>
            <w:r w:rsidR="00825433">
              <w:rPr>
                <w:webHidden/>
              </w:rPr>
              <w:fldChar w:fldCharType="begin"/>
            </w:r>
            <w:r w:rsidR="00825433">
              <w:rPr>
                <w:webHidden/>
              </w:rPr>
              <w:instrText xml:space="preserve"> PAGEREF _Toc50038767 \h </w:instrText>
            </w:r>
            <w:r w:rsidR="00825433">
              <w:rPr>
                <w:webHidden/>
              </w:rPr>
            </w:r>
            <w:r w:rsidR="00825433">
              <w:rPr>
                <w:webHidden/>
              </w:rPr>
              <w:fldChar w:fldCharType="separate"/>
            </w:r>
            <w:r w:rsidR="006968CC">
              <w:rPr>
                <w:webHidden/>
              </w:rPr>
              <w:t>22</w:t>
            </w:r>
            <w:r w:rsidR="00825433">
              <w:rPr>
                <w:webHidden/>
              </w:rPr>
              <w:fldChar w:fldCharType="end"/>
            </w:r>
          </w:hyperlink>
        </w:p>
        <w:p w14:paraId="371087BA" w14:textId="77777777" w:rsidR="00825433" w:rsidRDefault="002C3070">
          <w:pPr>
            <w:pStyle w:val="TOC2"/>
            <w:rPr>
              <w:rFonts w:eastAsiaTheme="minorEastAsia"/>
              <w:lang w:val="en-CA" w:eastAsia="en-CA"/>
            </w:rPr>
          </w:pPr>
          <w:hyperlink w:anchor="_Toc50038768" w:history="1">
            <w:r w:rsidR="00825433" w:rsidRPr="00C40787">
              <w:rPr>
                <w:rStyle w:val="Hyperlink"/>
              </w:rPr>
              <w:t>1.0 Instaurer une culture d’ouverture par défaut</w:t>
            </w:r>
            <w:r w:rsidR="00825433">
              <w:rPr>
                <w:webHidden/>
              </w:rPr>
              <w:tab/>
            </w:r>
            <w:r w:rsidR="00825433">
              <w:rPr>
                <w:webHidden/>
              </w:rPr>
              <w:fldChar w:fldCharType="begin"/>
            </w:r>
            <w:r w:rsidR="00825433">
              <w:rPr>
                <w:webHidden/>
              </w:rPr>
              <w:instrText xml:space="preserve"> PAGEREF _Toc50038768 \h </w:instrText>
            </w:r>
            <w:r w:rsidR="00825433">
              <w:rPr>
                <w:webHidden/>
              </w:rPr>
            </w:r>
            <w:r w:rsidR="00825433">
              <w:rPr>
                <w:webHidden/>
              </w:rPr>
              <w:fldChar w:fldCharType="separate"/>
            </w:r>
            <w:r w:rsidR="006968CC">
              <w:rPr>
                <w:webHidden/>
              </w:rPr>
              <w:t>22</w:t>
            </w:r>
            <w:r w:rsidR="00825433">
              <w:rPr>
                <w:webHidden/>
              </w:rPr>
              <w:fldChar w:fldCharType="end"/>
            </w:r>
          </w:hyperlink>
        </w:p>
        <w:p w14:paraId="2D75BCA5" w14:textId="77777777" w:rsidR="00825433" w:rsidRDefault="002C3070">
          <w:pPr>
            <w:pStyle w:val="TOC2"/>
            <w:rPr>
              <w:rFonts w:eastAsiaTheme="minorEastAsia"/>
              <w:lang w:val="en-CA" w:eastAsia="en-CA"/>
            </w:rPr>
          </w:pPr>
          <w:hyperlink w:anchor="_Toc50038770" w:history="1">
            <w:r w:rsidR="00825433" w:rsidRPr="00C40787">
              <w:rPr>
                <w:rStyle w:val="Hyperlink"/>
              </w:rPr>
              <w:t>2.0  Mobiliser pour diffuser des données et de l’information à valeur ajoutée</w:t>
            </w:r>
            <w:r w:rsidR="00825433">
              <w:rPr>
                <w:webHidden/>
              </w:rPr>
              <w:tab/>
            </w:r>
            <w:r w:rsidR="00825433">
              <w:rPr>
                <w:webHidden/>
              </w:rPr>
              <w:fldChar w:fldCharType="begin"/>
            </w:r>
            <w:r w:rsidR="00825433">
              <w:rPr>
                <w:webHidden/>
              </w:rPr>
              <w:instrText xml:space="preserve"> PAGEREF _Toc50038770 \h </w:instrText>
            </w:r>
            <w:r w:rsidR="00825433">
              <w:rPr>
                <w:webHidden/>
              </w:rPr>
            </w:r>
            <w:r w:rsidR="00825433">
              <w:rPr>
                <w:webHidden/>
              </w:rPr>
              <w:fldChar w:fldCharType="separate"/>
            </w:r>
            <w:r w:rsidR="006968CC">
              <w:rPr>
                <w:webHidden/>
              </w:rPr>
              <w:t>24</w:t>
            </w:r>
            <w:r w:rsidR="00825433">
              <w:rPr>
                <w:webHidden/>
              </w:rPr>
              <w:fldChar w:fldCharType="end"/>
            </w:r>
          </w:hyperlink>
        </w:p>
        <w:p w14:paraId="6B19A1C2" w14:textId="77777777" w:rsidR="00825433" w:rsidRDefault="002C3070">
          <w:pPr>
            <w:pStyle w:val="TOC2"/>
            <w:rPr>
              <w:rFonts w:eastAsiaTheme="minorEastAsia"/>
              <w:lang w:val="en-CA" w:eastAsia="en-CA"/>
            </w:rPr>
          </w:pPr>
          <w:hyperlink w:anchor="_Toc50038772" w:history="1">
            <w:r w:rsidR="00825433" w:rsidRPr="00C40787">
              <w:rPr>
                <w:rStyle w:val="Hyperlink"/>
              </w:rPr>
              <w:t>3.0 Optimiser le libre-service grâce à l’innovation</w:t>
            </w:r>
            <w:r w:rsidR="00825433">
              <w:rPr>
                <w:webHidden/>
              </w:rPr>
              <w:tab/>
            </w:r>
            <w:r w:rsidR="00825433">
              <w:rPr>
                <w:webHidden/>
              </w:rPr>
              <w:fldChar w:fldCharType="begin"/>
            </w:r>
            <w:r w:rsidR="00825433">
              <w:rPr>
                <w:webHidden/>
              </w:rPr>
              <w:instrText xml:space="preserve"> PAGEREF _Toc50038772 \h </w:instrText>
            </w:r>
            <w:r w:rsidR="00825433">
              <w:rPr>
                <w:webHidden/>
              </w:rPr>
            </w:r>
            <w:r w:rsidR="00825433">
              <w:rPr>
                <w:webHidden/>
              </w:rPr>
              <w:fldChar w:fldCharType="separate"/>
            </w:r>
            <w:r w:rsidR="006968CC">
              <w:rPr>
                <w:webHidden/>
              </w:rPr>
              <w:t>27</w:t>
            </w:r>
            <w:r w:rsidR="00825433">
              <w:rPr>
                <w:webHidden/>
              </w:rPr>
              <w:fldChar w:fldCharType="end"/>
            </w:r>
          </w:hyperlink>
        </w:p>
        <w:p w14:paraId="42446C8C" w14:textId="77777777" w:rsidR="00825433" w:rsidRDefault="002C3070">
          <w:pPr>
            <w:pStyle w:val="TOC2"/>
            <w:rPr>
              <w:rFonts w:eastAsiaTheme="minorEastAsia"/>
              <w:lang w:val="en-CA" w:eastAsia="en-CA"/>
            </w:rPr>
          </w:pPr>
          <w:hyperlink w:anchor="_Toc50038775" w:history="1">
            <w:r w:rsidR="00825433" w:rsidRPr="00C40787">
              <w:rPr>
                <w:rStyle w:val="Hyperlink"/>
              </w:rPr>
              <w:t>4.0  Appuyer les engagements et les attentes du gouvernement du Canada</w:t>
            </w:r>
            <w:r w:rsidR="00825433">
              <w:rPr>
                <w:webHidden/>
              </w:rPr>
              <w:tab/>
            </w:r>
            <w:r w:rsidR="00825433">
              <w:rPr>
                <w:webHidden/>
              </w:rPr>
              <w:fldChar w:fldCharType="begin"/>
            </w:r>
            <w:r w:rsidR="00825433">
              <w:rPr>
                <w:webHidden/>
              </w:rPr>
              <w:instrText xml:space="preserve"> PAGEREF _Toc50038775 \h </w:instrText>
            </w:r>
            <w:r w:rsidR="00825433">
              <w:rPr>
                <w:webHidden/>
              </w:rPr>
            </w:r>
            <w:r w:rsidR="00825433">
              <w:rPr>
                <w:webHidden/>
              </w:rPr>
              <w:fldChar w:fldCharType="separate"/>
            </w:r>
            <w:r w:rsidR="006968CC">
              <w:rPr>
                <w:webHidden/>
              </w:rPr>
              <w:t>29</w:t>
            </w:r>
            <w:r w:rsidR="00825433">
              <w:rPr>
                <w:webHidden/>
              </w:rPr>
              <w:fldChar w:fldCharType="end"/>
            </w:r>
          </w:hyperlink>
        </w:p>
        <w:p w14:paraId="3B12B00E" w14:textId="77777777" w:rsidR="00825433" w:rsidRDefault="002C3070">
          <w:pPr>
            <w:pStyle w:val="TOC1"/>
            <w:rPr>
              <w:rFonts w:asciiTheme="minorHAnsi" w:eastAsiaTheme="minorEastAsia" w:hAnsiTheme="minorHAnsi" w:cstheme="minorBidi"/>
              <w:lang w:val="en-CA" w:eastAsia="en-CA"/>
            </w:rPr>
          </w:pPr>
          <w:hyperlink w:anchor="_Toc50038779" w:history="1">
            <w:r w:rsidR="00825433" w:rsidRPr="00C40787">
              <w:rPr>
                <w:rStyle w:val="Hyperlink"/>
              </w:rPr>
              <w:t>ANNEXE A : Rôles et responsabilités</w:t>
            </w:r>
            <w:r w:rsidR="00825433">
              <w:rPr>
                <w:webHidden/>
              </w:rPr>
              <w:tab/>
            </w:r>
            <w:r w:rsidR="00825433">
              <w:rPr>
                <w:webHidden/>
              </w:rPr>
              <w:fldChar w:fldCharType="begin"/>
            </w:r>
            <w:r w:rsidR="00825433">
              <w:rPr>
                <w:webHidden/>
              </w:rPr>
              <w:instrText xml:space="preserve"> PAGEREF _Toc50038779 \h </w:instrText>
            </w:r>
            <w:r w:rsidR="00825433">
              <w:rPr>
                <w:webHidden/>
              </w:rPr>
            </w:r>
            <w:r w:rsidR="00825433">
              <w:rPr>
                <w:webHidden/>
              </w:rPr>
              <w:fldChar w:fldCharType="separate"/>
            </w:r>
            <w:r w:rsidR="006968CC">
              <w:rPr>
                <w:webHidden/>
              </w:rPr>
              <w:t>34</w:t>
            </w:r>
            <w:r w:rsidR="00825433">
              <w:rPr>
                <w:webHidden/>
              </w:rPr>
              <w:fldChar w:fldCharType="end"/>
            </w:r>
          </w:hyperlink>
        </w:p>
        <w:p w14:paraId="56F8E65F" w14:textId="77777777" w:rsidR="00825433" w:rsidRDefault="002C3070">
          <w:pPr>
            <w:pStyle w:val="TOC1"/>
            <w:rPr>
              <w:rFonts w:asciiTheme="minorHAnsi" w:eastAsiaTheme="minorEastAsia" w:hAnsiTheme="minorHAnsi" w:cstheme="minorBidi"/>
              <w:lang w:val="en-CA" w:eastAsia="en-CA"/>
            </w:rPr>
          </w:pPr>
          <w:hyperlink w:anchor="_Toc50038780" w:history="1">
            <w:r w:rsidR="00825433" w:rsidRPr="00C40787">
              <w:rPr>
                <w:rStyle w:val="Hyperlink"/>
              </w:rPr>
              <w:t>ANNEXE B : Sigles</w:t>
            </w:r>
            <w:r w:rsidR="00825433">
              <w:rPr>
                <w:webHidden/>
              </w:rPr>
              <w:tab/>
            </w:r>
            <w:r w:rsidR="00825433">
              <w:rPr>
                <w:webHidden/>
              </w:rPr>
              <w:fldChar w:fldCharType="begin"/>
            </w:r>
            <w:r w:rsidR="00825433">
              <w:rPr>
                <w:webHidden/>
              </w:rPr>
              <w:instrText xml:space="preserve"> PAGEREF _Toc50038780 \h </w:instrText>
            </w:r>
            <w:r w:rsidR="00825433">
              <w:rPr>
                <w:webHidden/>
              </w:rPr>
            </w:r>
            <w:r w:rsidR="00825433">
              <w:rPr>
                <w:webHidden/>
              </w:rPr>
              <w:fldChar w:fldCharType="separate"/>
            </w:r>
            <w:r w:rsidR="006968CC">
              <w:rPr>
                <w:webHidden/>
              </w:rPr>
              <w:t>39</w:t>
            </w:r>
            <w:r w:rsidR="00825433">
              <w:rPr>
                <w:webHidden/>
              </w:rPr>
              <w:fldChar w:fldCharType="end"/>
            </w:r>
          </w:hyperlink>
        </w:p>
        <w:p w14:paraId="5CFADBC4" w14:textId="087B3394" w:rsidR="00436F88" w:rsidRPr="00BD746A" w:rsidRDefault="00436F88" w:rsidP="00BD746A">
          <w:r w:rsidRPr="005957F6">
            <w:rPr>
              <w:b/>
              <w:bCs/>
            </w:rPr>
            <w:fldChar w:fldCharType="end"/>
          </w:r>
        </w:p>
      </w:sdtContent>
    </w:sdt>
    <w:p w14:paraId="2ED6376E" w14:textId="77777777" w:rsidR="00BD746A" w:rsidRDefault="00BD746A">
      <w:pPr>
        <w:keepLines w:val="0"/>
        <w:rPr>
          <w:i/>
          <w:iCs/>
          <w:color w:val="7C8085" w:themeColor="text1" w:themeTint="BF"/>
        </w:rPr>
      </w:pPr>
      <w:r>
        <w:br w:type="page"/>
      </w:r>
    </w:p>
    <w:p w14:paraId="4F416E26" w14:textId="5C09DB05" w:rsidR="004E683D" w:rsidRPr="004E26F3" w:rsidRDefault="003376C7" w:rsidP="004E26F3">
      <w:pPr>
        <w:pStyle w:val="Quote"/>
        <w:rPr>
          <w:color w:val="auto"/>
        </w:rPr>
      </w:pPr>
      <w:r w:rsidRPr="004E26F3">
        <w:rPr>
          <w:color w:val="auto"/>
        </w:rPr>
        <w:lastRenderedPageBreak/>
        <w:t>«</w:t>
      </w:r>
      <w:r w:rsidR="00133081" w:rsidRPr="004E26F3">
        <w:rPr>
          <w:color w:val="auto"/>
        </w:rPr>
        <w:t> </w:t>
      </w:r>
      <w:r w:rsidRPr="004E26F3">
        <w:rPr>
          <w:color w:val="auto"/>
        </w:rPr>
        <w:t>Les premières réformes gouvernementales ouvertes ont porté sur la publication de données et d’informations gouvernementales</w:t>
      </w:r>
      <w:r w:rsidR="00B4312D" w:rsidRPr="004E26F3">
        <w:rPr>
          <w:color w:val="auto"/>
        </w:rPr>
        <w:t xml:space="preserve">.  </w:t>
      </w:r>
      <w:r w:rsidRPr="004E26F3">
        <w:rPr>
          <w:color w:val="auto"/>
        </w:rPr>
        <w:t>Pour les gouvernements, l’objectif était simplement d’ouvrir autant d’informations que possible, avec l’espoir que les citoyens feraient le reste</w:t>
      </w:r>
      <w:r w:rsidR="00B4312D" w:rsidRPr="004E26F3">
        <w:rPr>
          <w:color w:val="auto"/>
        </w:rPr>
        <w:t xml:space="preserve">.  </w:t>
      </w:r>
    </w:p>
    <w:p w14:paraId="1C2B7548" w14:textId="43D769B1" w:rsidR="004E683D" w:rsidRPr="004E26F3" w:rsidRDefault="003376C7" w:rsidP="004E26F3">
      <w:pPr>
        <w:pStyle w:val="Quote"/>
        <w:rPr>
          <w:color w:val="auto"/>
        </w:rPr>
      </w:pPr>
      <w:r w:rsidRPr="004E26F3">
        <w:rPr>
          <w:color w:val="auto"/>
        </w:rPr>
        <w:t>De plus en plus, les gouvernements reconnaissent qu’ils doivent fournir les outils qui rendent l’information et les données gouvernementales utiles et réutilisables pour tous</w:t>
      </w:r>
      <w:r w:rsidR="00B4312D" w:rsidRPr="004E26F3">
        <w:rPr>
          <w:color w:val="auto"/>
        </w:rPr>
        <w:t xml:space="preserve">.  </w:t>
      </w:r>
      <w:r w:rsidR="004E683D" w:rsidRPr="004E26F3">
        <w:rPr>
          <w:color w:val="auto"/>
        </w:rPr>
        <w:t xml:space="preserve">(…) </w:t>
      </w:r>
      <w:r w:rsidRPr="004E26F3">
        <w:rPr>
          <w:color w:val="auto"/>
        </w:rPr>
        <w:t>On se penche également davantage sur l’importance de la participation des citoyens aux processus décisionnels du gouvernement</w:t>
      </w:r>
      <w:r w:rsidR="00B4312D" w:rsidRPr="004E26F3">
        <w:rPr>
          <w:color w:val="auto"/>
        </w:rPr>
        <w:t xml:space="preserve">.  </w:t>
      </w:r>
      <w:r w:rsidRPr="004E26F3">
        <w:rPr>
          <w:color w:val="auto"/>
        </w:rPr>
        <w:t>Les gouvernements doivent non seulement entendre les questions et les préoccupations des citoyens; ils doivent les écouter et prendre des mesures pour y remédier.</w:t>
      </w:r>
      <w:r w:rsidR="00133081" w:rsidRPr="004E26F3">
        <w:rPr>
          <w:color w:val="auto"/>
        </w:rPr>
        <w:t> </w:t>
      </w:r>
      <w:r w:rsidRPr="004E26F3">
        <w:rPr>
          <w:color w:val="auto"/>
        </w:rPr>
        <w:t>»</w:t>
      </w:r>
    </w:p>
    <w:p w14:paraId="4A3F1DF4" w14:textId="54B73B56" w:rsidR="004E683D" w:rsidRPr="004E26F3" w:rsidRDefault="003376C7" w:rsidP="004E26F3">
      <w:pPr>
        <w:pStyle w:val="Quote"/>
        <w:rPr>
          <w:color w:val="auto"/>
        </w:rPr>
      </w:pPr>
      <w:r w:rsidRPr="004E26F3">
        <w:rPr>
          <w:color w:val="auto"/>
        </w:rPr>
        <w:t>Plan d’action national du Canada pour un gouvernement ouvert de 2018-2020</w:t>
      </w:r>
    </w:p>
    <w:p w14:paraId="726CE876" w14:textId="73DF0C67" w:rsidR="004E683D" w:rsidRPr="00CA3F84" w:rsidRDefault="004E683D" w:rsidP="004E683D">
      <w:pPr>
        <w:pStyle w:val="Heading1"/>
        <w:rPr>
          <w:color w:val="auto"/>
        </w:rPr>
      </w:pPr>
      <w:bookmarkStart w:id="0" w:name="_Toc44323376"/>
      <w:bookmarkStart w:id="1" w:name="_Toc50038746"/>
      <w:r w:rsidRPr="00CA3F84">
        <w:rPr>
          <w:color w:val="auto"/>
        </w:rPr>
        <w:t>1</w:t>
      </w:r>
      <w:r w:rsidR="00B4312D" w:rsidRPr="00CA3F84">
        <w:rPr>
          <w:color w:val="auto"/>
        </w:rPr>
        <w:t xml:space="preserve">.  </w:t>
      </w:r>
      <w:r w:rsidRPr="00CA3F84">
        <w:rPr>
          <w:color w:val="auto"/>
        </w:rPr>
        <w:t xml:space="preserve">Message </w:t>
      </w:r>
      <w:r w:rsidR="003376C7" w:rsidRPr="00CA3F84">
        <w:rPr>
          <w:color w:val="auto"/>
        </w:rPr>
        <w:t>du président</w:t>
      </w:r>
      <w:bookmarkEnd w:id="0"/>
      <w:bookmarkEnd w:id="1"/>
    </w:p>
    <w:p w14:paraId="6B502431" w14:textId="5305A724" w:rsidR="00013052" w:rsidRDefault="00C23153" w:rsidP="00013052">
      <w:pPr>
        <w:keepNext/>
      </w:pPr>
      <w:r w:rsidRPr="000430A4">
        <w:rPr>
          <w:noProof/>
          <w:color w:val="auto"/>
          <w:lang w:val="en-CA" w:eastAsia="en-CA"/>
        </w:rPr>
        <w:drawing>
          <wp:inline distT="0" distB="0" distL="0" distR="0" wp14:anchorId="3669E4A1" wp14:editId="6CCAF75C">
            <wp:extent cx="1990725" cy="2920015"/>
            <wp:effectExtent l="0" t="0" r="0" b="0"/>
            <wp:docPr id="25" name="Picture 25" descr="Photo du Président de la Commission de la fonction publique Patrick Borb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cabiles\Desktop\150422291567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4014" cy="2924839"/>
                    </a:xfrm>
                    <a:prstGeom prst="rect">
                      <a:avLst/>
                    </a:prstGeom>
                    <a:noFill/>
                    <a:ln>
                      <a:noFill/>
                    </a:ln>
                  </pic:spPr>
                </pic:pic>
              </a:graphicData>
            </a:graphic>
          </wp:inline>
        </w:drawing>
      </w:r>
    </w:p>
    <w:p w14:paraId="571EFA5E" w14:textId="69DAFFFF" w:rsidR="004E683D" w:rsidRPr="00D71834" w:rsidRDefault="00013052" w:rsidP="00013052">
      <w:pPr>
        <w:pStyle w:val="Caption"/>
        <w:rPr>
          <w:color w:val="auto"/>
        </w:rPr>
      </w:pPr>
      <w:r w:rsidRPr="00D71834">
        <w:rPr>
          <w:color w:val="auto"/>
        </w:rPr>
        <w:t xml:space="preserve">Figure </w:t>
      </w:r>
      <w:r w:rsidRPr="00D71834">
        <w:rPr>
          <w:color w:val="auto"/>
        </w:rPr>
        <w:fldChar w:fldCharType="begin"/>
      </w:r>
      <w:r w:rsidRPr="00D71834">
        <w:rPr>
          <w:color w:val="auto"/>
        </w:rPr>
        <w:instrText xml:space="preserve"> SEQ Figure \* ARABIC </w:instrText>
      </w:r>
      <w:r w:rsidRPr="00D71834">
        <w:rPr>
          <w:color w:val="auto"/>
        </w:rPr>
        <w:fldChar w:fldCharType="separate"/>
      </w:r>
      <w:r w:rsidR="006968CC">
        <w:rPr>
          <w:noProof/>
          <w:color w:val="auto"/>
        </w:rPr>
        <w:t>1</w:t>
      </w:r>
      <w:r w:rsidRPr="00D71834">
        <w:rPr>
          <w:color w:val="auto"/>
        </w:rPr>
        <w:fldChar w:fldCharType="end"/>
      </w:r>
      <w:r w:rsidRPr="00D71834">
        <w:rPr>
          <w:color w:val="auto"/>
        </w:rPr>
        <w:t xml:space="preserve"> - Photo du</w:t>
      </w:r>
      <w:r w:rsidR="0017503D" w:rsidRPr="00D71834">
        <w:rPr>
          <w:color w:val="auto"/>
        </w:rPr>
        <w:t xml:space="preserve"> </w:t>
      </w:r>
      <w:r w:rsidRPr="00D71834">
        <w:rPr>
          <w:color w:val="auto"/>
        </w:rPr>
        <w:t xml:space="preserve">Président de la </w:t>
      </w:r>
      <w:r w:rsidRPr="00D71834">
        <w:rPr>
          <w:color w:val="auto"/>
        </w:rPr>
        <w:br/>
        <w:t>Co</w:t>
      </w:r>
      <w:r w:rsidR="00972178">
        <w:rPr>
          <w:color w:val="auto"/>
        </w:rPr>
        <w:t xml:space="preserve">mmission de la fonction publique, </w:t>
      </w:r>
      <w:r w:rsidR="00972178" w:rsidRPr="00D71834">
        <w:rPr>
          <w:color w:val="auto"/>
        </w:rPr>
        <w:t xml:space="preserve">Patrick </w:t>
      </w:r>
      <w:proofErr w:type="spellStart"/>
      <w:r w:rsidR="00972178" w:rsidRPr="00D71834">
        <w:rPr>
          <w:color w:val="auto"/>
        </w:rPr>
        <w:t>Borbey</w:t>
      </w:r>
      <w:proofErr w:type="spellEnd"/>
    </w:p>
    <w:p w14:paraId="5A77B998" w14:textId="36A3D6D2" w:rsidR="004E683D" w:rsidRPr="00CA3F84" w:rsidRDefault="00004709" w:rsidP="004E683D">
      <w:pPr>
        <w:rPr>
          <w:color w:val="auto"/>
        </w:rPr>
      </w:pPr>
      <w:r w:rsidRPr="00CA3F84">
        <w:rPr>
          <w:color w:val="auto"/>
        </w:rPr>
        <w:t>J’ai l</w:t>
      </w:r>
      <w:r w:rsidR="00D93358" w:rsidRPr="00CA3F84">
        <w:rPr>
          <w:color w:val="auto"/>
        </w:rPr>
        <w:t xml:space="preserve">e plaisir de vous </w:t>
      </w:r>
      <w:r w:rsidRPr="00CA3F84">
        <w:rPr>
          <w:color w:val="auto"/>
        </w:rPr>
        <w:t xml:space="preserve">présenter le troisième plan de mise en œuvre de la Commission de la fonction publique </w:t>
      </w:r>
      <w:r w:rsidR="00D93358" w:rsidRPr="00CA3F84">
        <w:rPr>
          <w:color w:val="auto"/>
        </w:rPr>
        <w:t>du Canada</w:t>
      </w:r>
      <w:r w:rsidR="00BE1576" w:rsidRPr="00CA3F84">
        <w:rPr>
          <w:color w:val="auto"/>
        </w:rPr>
        <w:t xml:space="preserve"> </w:t>
      </w:r>
      <w:r w:rsidRPr="00CA3F84">
        <w:rPr>
          <w:color w:val="auto"/>
        </w:rPr>
        <w:t>(CFP)</w:t>
      </w:r>
      <w:r w:rsidR="00D93358" w:rsidRPr="00CA3F84">
        <w:rPr>
          <w:color w:val="auto"/>
        </w:rPr>
        <w:t xml:space="preserve"> pour un gouvernement ouvert</w:t>
      </w:r>
      <w:r w:rsidR="00B4312D" w:rsidRPr="00CA3F84">
        <w:rPr>
          <w:color w:val="auto"/>
        </w:rPr>
        <w:t xml:space="preserve">.  </w:t>
      </w:r>
      <w:r w:rsidRPr="00CA3F84">
        <w:rPr>
          <w:color w:val="auto"/>
        </w:rPr>
        <w:t>Ce plan représente la poursuite de l’effort que nous fournissons pour nous transformer en CFP ouverte et devenir un chef de file du gouvernement ouvert</w:t>
      </w:r>
      <w:r w:rsidR="00B4312D" w:rsidRPr="00CA3F84">
        <w:rPr>
          <w:color w:val="auto"/>
        </w:rPr>
        <w:t xml:space="preserve">.  </w:t>
      </w:r>
    </w:p>
    <w:p w14:paraId="3E17E711" w14:textId="1440706E" w:rsidR="004E683D" w:rsidRPr="00CA3F84" w:rsidRDefault="00D93358" w:rsidP="004E683D">
      <w:pPr>
        <w:rPr>
          <w:color w:val="auto"/>
        </w:rPr>
      </w:pPr>
      <w:r w:rsidRPr="00CA3F84">
        <w:rPr>
          <w:color w:val="auto"/>
        </w:rPr>
        <w:lastRenderedPageBreak/>
        <w:t>Le</w:t>
      </w:r>
      <w:r w:rsidR="00004709" w:rsidRPr="00CA3F84">
        <w:rPr>
          <w:color w:val="auto"/>
        </w:rPr>
        <w:t xml:space="preserve"> </w:t>
      </w:r>
      <w:r w:rsidRPr="00CA3F84">
        <w:rPr>
          <w:color w:val="auto"/>
        </w:rPr>
        <w:t xml:space="preserve">présent </w:t>
      </w:r>
      <w:r w:rsidR="001A168F" w:rsidRPr="00CA3F84">
        <w:rPr>
          <w:color w:val="auto"/>
        </w:rPr>
        <w:t>P</w:t>
      </w:r>
      <w:r w:rsidRPr="00CA3F84">
        <w:rPr>
          <w:color w:val="auto"/>
        </w:rPr>
        <w:t>lan de mise en œuvre pour un gouvernement ouvert (</w:t>
      </w:r>
      <w:r w:rsidR="00004709" w:rsidRPr="00CA3F84">
        <w:rPr>
          <w:color w:val="auto"/>
        </w:rPr>
        <w:t>PMOGO</w:t>
      </w:r>
      <w:r w:rsidRPr="00CA3F84">
        <w:rPr>
          <w:color w:val="auto"/>
        </w:rPr>
        <w:t>)</w:t>
      </w:r>
      <w:r w:rsidR="00004709" w:rsidRPr="00CA3F84">
        <w:rPr>
          <w:color w:val="auto"/>
        </w:rPr>
        <w:t xml:space="preserve"> </w:t>
      </w:r>
      <w:r w:rsidRPr="00CA3F84">
        <w:rPr>
          <w:color w:val="auto"/>
        </w:rPr>
        <w:t>expose</w:t>
      </w:r>
      <w:r w:rsidR="00004709" w:rsidRPr="00CA3F84">
        <w:rPr>
          <w:color w:val="auto"/>
        </w:rPr>
        <w:t xml:space="preserve"> les objectifs, les engagements et les activités </w:t>
      </w:r>
      <w:r w:rsidRPr="00CA3F84">
        <w:rPr>
          <w:color w:val="auto"/>
        </w:rPr>
        <w:t xml:space="preserve">qui sont </w:t>
      </w:r>
      <w:r w:rsidR="00004709" w:rsidRPr="00CA3F84">
        <w:rPr>
          <w:color w:val="auto"/>
        </w:rPr>
        <w:t>nécessaires pour établir une CFP véritablement ouverte</w:t>
      </w:r>
      <w:r w:rsidR="00B4312D" w:rsidRPr="00CA3F84">
        <w:rPr>
          <w:color w:val="auto"/>
        </w:rPr>
        <w:t xml:space="preserve">.  </w:t>
      </w:r>
    </w:p>
    <w:p w14:paraId="360851C4" w14:textId="662DA5DF" w:rsidR="004E683D" w:rsidRPr="00CA3F84" w:rsidRDefault="00D93358" w:rsidP="004E683D">
      <w:pPr>
        <w:rPr>
          <w:color w:val="auto"/>
        </w:rPr>
      </w:pPr>
      <w:r w:rsidRPr="00CA3F84">
        <w:rPr>
          <w:color w:val="auto"/>
        </w:rPr>
        <w:t>La CFP continuera à favoriser</w:t>
      </w:r>
      <w:r w:rsidR="00004709" w:rsidRPr="00CA3F84">
        <w:rPr>
          <w:color w:val="auto"/>
        </w:rPr>
        <w:t xml:space="preserve"> la transparence et la r</w:t>
      </w:r>
      <w:r w:rsidR="006F3B2E" w:rsidRPr="00CA3F84">
        <w:rPr>
          <w:color w:val="auto"/>
        </w:rPr>
        <w:t>esponsabilisation pour montrer qu’elle respecte son mandat de promouvoir et de maintenir une fonction publique fondée sur le mérite, représentative et</w:t>
      </w:r>
      <w:r w:rsidR="002A2703" w:rsidRPr="00CA3F84">
        <w:rPr>
          <w:color w:val="auto"/>
        </w:rPr>
        <w:t xml:space="preserve"> non partisane</w:t>
      </w:r>
      <w:r w:rsidR="006F3B2E" w:rsidRPr="00CA3F84">
        <w:rPr>
          <w:color w:val="auto"/>
        </w:rPr>
        <w:t>, qui produit des résultats pour toute la population canadienne</w:t>
      </w:r>
      <w:r w:rsidR="00B4312D" w:rsidRPr="00CA3F84">
        <w:rPr>
          <w:color w:val="auto"/>
        </w:rPr>
        <w:t>.</w:t>
      </w:r>
      <w:r w:rsidR="004E683D" w:rsidRPr="00CA3F84">
        <w:rPr>
          <w:color w:val="auto"/>
        </w:rPr>
        <w:t xml:space="preserve"> </w:t>
      </w:r>
    </w:p>
    <w:p w14:paraId="783596D4" w14:textId="0041442B" w:rsidR="004E683D" w:rsidRPr="00CA3F84" w:rsidRDefault="006F3B2E" w:rsidP="004E683D">
      <w:pPr>
        <w:rPr>
          <w:color w:val="auto"/>
        </w:rPr>
      </w:pPr>
      <w:r w:rsidRPr="00CA3F84">
        <w:rPr>
          <w:color w:val="auto"/>
        </w:rPr>
        <w:t xml:space="preserve">S’inspirant du </w:t>
      </w:r>
      <w:r w:rsidR="004D2E38" w:rsidRPr="00CA3F84">
        <w:rPr>
          <w:color w:val="auto"/>
        </w:rPr>
        <w:t>P</w:t>
      </w:r>
      <w:r w:rsidRPr="00CA3F84">
        <w:rPr>
          <w:color w:val="auto"/>
        </w:rPr>
        <w:t>lan d’action national du Canada le plus récent, le PMOGO a été</w:t>
      </w:r>
      <w:r w:rsidR="00182D13" w:rsidRPr="00CA3F84">
        <w:rPr>
          <w:color w:val="auto"/>
        </w:rPr>
        <w:t xml:space="preserve"> </w:t>
      </w:r>
      <w:r w:rsidRPr="00CA3F84">
        <w:rPr>
          <w:color w:val="auto"/>
        </w:rPr>
        <w:t>élaboré en se basant sur les principes suivants :</w:t>
      </w:r>
      <w:r w:rsidRPr="00F14111">
        <w:rPr>
          <w:rStyle w:val="Strong"/>
          <w:color w:val="auto"/>
        </w:rPr>
        <w:t xml:space="preserve"> </w:t>
      </w:r>
      <w:r w:rsidR="004E683D" w:rsidRPr="00F14111">
        <w:rPr>
          <w:rStyle w:val="Strong"/>
          <w:color w:val="auto"/>
        </w:rPr>
        <w:t>inclus</w:t>
      </w:r>
      <w:r w:rsidR="002F7E1D" w:rsidRPr="00F14111">
        <w:rPr>
          <w:rStyle w:val="Strong"/>
          <w:color w:val="auto"/>
        </w:rPr>
        <w:t>ion</w:t>
      </w:r>
      <w:r w:rsidR="002F7E1D" w:rsidRPr="00F14111">
        <w:rPr>
          <w:b/>
          <w:color w:val="auto"/>
        </w:rPr>
        <w:t xml:space="preserve"> </w:t>
      </w:r>
      <w:r w:rsidRPr="00CA3F84">
        <w:rPr>
          <w:color w:val="auto"/>
        </w:rPr>
        <w:t>de</w:t>
      </w:r>
      <w:r w:rsidR="00290B39" w:rsidRPr="00CA3F84">
        <w:rPr>
          <w:color w:val="auto"/>
        </w:rPr>
        <w:t xml:space="preserve">s perspectives des employés et des Canadiens; </w:t>
      </w:r>
      <w:r w:rsidR="004E683D" w:rsidRPr="00F14111">
        <w:rPr>
          <w:rStyle w:val="Strong"/>
          <w:color w:val="auto"/>
        </w:rPr>
        <w:t>collaboration</w:t>
      </w:r>
      <w:r w:rsidR="00290B39" w:rsidRPr="00CA3F84">
        <w:rPr>
          <w:color w:val="auto"/>
        </w:rPr>
        <w:t xml:space="preserve"> et</w:t>
      </w:r>
      <w:r w:rsidR="004E683D" w:rsidRPr="00CA3F84">
        <w:rPr>
          <w:color w:val="auto"/>
        </w:rPr>
        <w:t xml:space="preserve"> </w:t>
      </w:r>
      <w:r w:rsidR="00290B39" w:rsidRPr="00F14111">
        <w:rPr>
          <w:rStyle w:val="Strong"/>
          <w:color w:val="auto"/>
        </w:rPr>
        <w:t xml:space="preserve">mobilisation </w:t>
      </w:r>
      <w:r w:rsidR="00290B39" w:rsidRPr="00CA3F84">
        <w:rPr>
          <w:color w:val="auto"/>
        </w:rPr>
        <w:t>accrues pour améliorer nos politiques, nos programmes et nos services</w:t>
      </w:r>
      <w:r w:rsidR="004E683D" w:rsidRPr="00CA3F84">
        <w:rPr>
          <w:color w:val="auto"/>
        </w:rPr>
        <w:t xml:space="preserve">; </w:t>
      </w:r>
      <w:r w:rsidR="002F7E1D" w:rsidRPr="00F14111">
        <w:rPr>
          <w:rStyle w:val="Strong"/>
          <w:color w:val="auto"/>
        </w:rPr>
        <w:t xml:space="preserve">orientation </w:t>
      </w:r>
      <w:r w:rsidR="008747ED" w:rsidRPr="00F14111">
        <w:rPr>
          <w:rStyle w:val="Strong"/>
          <w:color w:val="auto"/>
        </w:rPr>
        <w:t>axée sur l’</w:t>
      </w:r>
      <w:r w:rsidR="002F7E1D" w:rsidRPr="00F14111">
        <w:rPr>
          <w:rStyle w:val="Strong"/>
          <w:color w:val="auto"/>
        </w:rPr>
        <w:t>usager</w:t>
      </w:r>
      <w:r w:rsidR="00290B39" w:rsidRPr="00F14111">
        <w:rPr>
          <w:color w:val="auto"/>
        </w:rPr>
        <w:t xml:space="preserve"> </w:t>
      </w:r>
      <w:r w:rsidR="00290B39" w:rsidRPr="00CA3F84">
        <w:rPr>
          <w:color w:val="auto"/>
        </w:rPr>
        <w:t xml:space="preserve">en reconnaissance du fait que le </w:t>
      </w:r>
      <w:r w:rsidR="00604B89" w:rsidRPr="00CA3F84">
        <w:rPr>
          <w:color w:val="auto"/>
        </w:rPr>
        <w:t>gouvernement ouvert</w:t>
      </w:r>
      <w:r w:rsidR="00290B39" w:rsidRPr="00CA3F84">
        <w:rPr>
          <w:color w:val="auto"/>
        </w:rPr>
        <w:t xml:space="preserve"> tire sa valeur des utilisateurs; </w:t>
      </w:r>
      <w:r w:rsidR="004E683D" w:rsidRPr="00F14111">
        <w:rPr>
          <w:rStyle w:val="Strong"/>
          <w:color w:val="auto"/>
        </w:rPr>
        <w:t>accessib</w:t>
      </w:r>
      <w:r w:rsidR="002F7E1D" w:rsidRPr="00F14111">
        <w:rPr>
          <w:rStyle w:val="Strong"/>
          <w:color w:val="auto"/>
        </w:rPr>
        <w:t xml:space="preserve">ilité </w:t>
      </w:r>
      <w:r w:rsidR="00290B39" w:rsidRPr="00CA3F84">
        <w:rPr>
          <w:color w:val="auto"/>
        </w:rPr>
        <w:t>pour s’assurer que les</w:t>
      </w:r>
      <w:r w:rsidR="00813FB0" w:rsidRPr="00CA3F84">
        <w:rPr>
          <w:color w:val="auto"/>
        </w:rPr>
        <w:t xml:space="preserve"> </w:t>
      </w:r>
      <w:r w:rsidR="0009471B" w:rsidRPr="00CA3F84">
        <w:rPr>
          <w:color w:val="auto"/>
        </w:rPr>
        <w:t>ressources ouvertes</w:t>
      </w:r>
      <w:r w:rsidR="00290B39" w:rsidRPr="00CA3F84">
        <w:rPr>
          <w:color w:val="auto"/>
        </w:rPr>
        <w:t xml:space="preserve"> de la CFP peuvent être utilisé</w:t>
      </w:r>
      <w:r w:rsidR="0009471B" w:rsidRPr="00CA3F84">
        <w:rPr>
          <w:color w:val="auto"/>
        </w:rPr>
        <w:t>e</w:t>
      </w:r>
      <w:r w:rsidR="00290B39" w:rsidRPr="00CA3F84">
        <w:rPr>
          <w:color w:val="auto"/>
        </w:rPr>
        <w:t xml:space="preserve">s par davantage de Canadiens pour créer de la valeur; </w:t>
      </w:r>
      <w:r w:rsidR="0009471B" w:rsidRPr="00CA3F84">
        <w:rPr>
          <w:color w:val="auto"/>
        </w:rPr>
        <w:t xml:space="preserve">approche fondée sur la </w:t>
      </w:r>
      <w:r w:rsidR="004E683D" w:rsidRPr="00F14111">
        <w:rPr>
          <w:rStyle w:val="Strong"/>
          <w:color w:val="auto"/>
        </w:rPr>
        <w:t>p</w:t>
      </w:r>
      <w:r w:rsidR="00290B39" w:rsidRPr="00F14111">
        <w:rPr>
          <w:rStyle w:val="Strong"/>
          <w:color w:val="auto"/>
        </w:rPr>
        <w:t>rotection des renseignements personnels</w:t>
      </w:r>
      <w:r w:rsidR="00290B39" w:rsidRPr="00F14111">
        <w:rPr>
          <w:b/>
          <w:color w:val="auto"/>
        </w:rPr>
        <w:t xml:space="preserve"> </w:t>
      </w:r>
      <w:r w:rsidR="00290B39" w:rsidRPr="00CA3F84">
        <w:rPr>
          <w:color w:val="auto"/>
        </w:rPr>
        <w:t>dès la conception</w:t>
      </w:r>
      <w:r w:rsidR="004E683D" w:rsidRPr="00CA3F84">
        <w:rPr>
          <w:color w:val="auto"/>
        </w:rPr>
        <w:t xml:space="preserve">; </w:t>
      </w:r>
      <w:r w:rsidR="00290B39" w:rsidRPr="00CA3F84">
        <w:rPr>
          <w:color w:val="auto"/>
        </w:rPr>
        <w:t>et</w:t>
      </w:r>
      <w:r w:rsidR="004E683D" w:rsidRPr="00CA3F84">
        <w:rPr>
          <w:color w:val="auto"/>
        </w:rPr>
        <w:t xml:space="preserve"> </w:t>
      </w:r>
      <w:r w:rsidR="002F7E1D" w:rsidRPr="00F14111">
        <w:rPr>
          <w:rStyle w:val="Strong"/>
          <w:color w:val="auto"/>
        </w:rPr>
        <w:t>soutien</w:t>
      </w:r>
      <w:r w:rsidR="002F7E1D" w:rsidRPr="00CA3F84">
        <w:rPr>
          <w:b/>
          <w:color w:val="auto"/>
        </w:rPr>
        <w:t xml:space="preserve"> </w:t>
      </w:r>
      <w:r w:rsidR="002F7E1D" w:rsidRPr="00CA3F84">
        <w:rPr>
          <w:color w:val="auto"/>
        </w:rPr>
        <w:t>de</w:t>
      </w:r>
      <w:r w:rsidR="00E07096" w:rsidRPr="00CA3F84">
        <w:rPr>
          <w:color w:val="auto"/>
        </w:rPr>
        <w:t xml:space="preserve"> nos employés </w:t>
      </w:r>
      <w:r w:rsidR="00D93358" w:rsidRPr="00CA3F84">
        <w:rPr>
          <w:color w:val="auto"/>
        </w:rPr>
        <w:t xml:space="preserve">pendant que </w:t>
      </w:r>
      <w:r w:rsidR="00604B89" w:rsidRPr="00CA3F84">
        <w:rPr>
          <w:color w:val="auto"/>
        </w:rPr>
        <w:t>nous faisons progresser le gouvernement ouvert</w:t>
      </w:r>
      <w:r w:rsidR="00E07096" w:rsidRPr="00CA3F84">
        <w:rPr>
          <w:color w:val="auto"/>
        </w:rPr>
        <w:t xml:space="preserve"> à la CFP</w:t>
      </w:r>
      <w:r w:rsidR="00B4312D" w:rsidRPr="00CA3F84">
        <w:rPr>
          <w:color w:val="auto"/>
        </w:rPr>
        <w:t>.</w:t>
      </w:r>
      <w:r w:rsidR="004E683D" w:rsidRPr="00CA3F84">
        <w:rPr>
          <w:color w:val="auto"/>
        </w:rPr>
        <w:t xml:space="preserve"> </w:t>
      </w:r>
    </w:p>
    <w:p w14:paraId="3AE83FEC" w14:textId="0567D18D" w:rsidR="004E683D" w:rsidRPr="00CA3F84" w:rsidRDefault="00E07096" w:rsidP="004E683D">
      <w:pPr>
        <w:rPr>
          <w:color w:val="auto"/>
        </w:rPr>
      </w:pPr>
      <w:r w:rsidRPr="00CA3F84">
        <w:rPr>
          <w:color w:val="auto"/>
        </w:rPr>
        <w:t xml:space="preserve">Le présent PMOGO expose nos engagements pour </w:t>
      </w:r>
      <w:r w:rsidR="005D4F4A" w:rsidRPr="00CA3F84">
        <w:rPr>
          <w:color w:val="auto"/>
        </w:rPr>
        <w:t>2020-2022.</w:t>
      </w:r>
      <w:r w:rsidR="00B7761A" w:rsidRPr="00CA3F84">
        <w:rPr>
          <w:color w:val="auto"/>
        </w:rPr>
        <w:t xml:space="preserve">  </w:t>
      </w:r>
      <w:r w:rsidRPr="00CA3F84">
        <w:rPr>
          <w:color w:val="auto"/>
        </w:rPr>
        <w:t xml:space="preserve">Continuons à </w:t>
      </w:r>
      <w:r w:rsidR="008747ED" w:rsidRPr="00CA3F84">
        <w:rPr>
          <w:color w:val="auto"/>
        </w:rPr>
        <w:t xml:space="preserve">travailler ensemble </w:t>
      </w:r>
      <w:r w:rsidR="002F7E1D" w:rsidRPr="00CA3F84">
        <w:rPr>
          <w:color w:val="auto"/>
        </w:rPr>
        <w:t>p</w:t>
      </w:r>
      <w:r w:rsidRPr="00CA3F84">
        <w:rPr>
          <w:color w:val="auto"/>
        </w:rPr>
        <w:t xml:space="preserve">our nous approprier ce </w:t>
      </w:r>
      <w:r w:rsidR="00604B89" w:rsidRPr="00CA3F84">
        <w:rPr>
          <w:color w:val="auto"/>
        </w:rPr>
        <w:t>gouvernement ouvert</w:t>
      </w:r>
      <w:r w:rsidR="004E683D" w:rsidRPr="00CA3F84">
        <w:rPr>
          <w:color w:val="auto"/>
        </w:rPr>
        <w:t xml:space="preserve">!  </w:t>
      </w:r>
    </w:p>
    <w:p w14:paraId="7AE912C7" w14:textId="5FC7D37A" w:rsidR="004E683D" w:rsidRPr="00CA3F84" w:rsidRDefault="004E683D" w:rsidP="004E683D">
      <w:pPr>
        <w:pStyle w:val="Heading1"/>
        <w:rPr>
          <w:color w:val="auto"/>
        </w:rPr>
      </w:pPr>
      <w:bookmarkStart w:id="2" w:name="_Toc44323377"/>
      <w:bookmarkStart w:id="3" w:name="_Toc50038747"/>
      <w:r w:rsidRPr="00CA3F84">
        <w:rPr>
          <w:color w:val="auto"/>
        </w:rPr>
        <w:t>2</w:t>
      </w:r>
      <w:r w:rsidR="00B4312D" w:rsidRPr="00CA3F84">
        <w:rPr>
          <w:color w:val="auto"/>
        </w:rPr>
        <w:t xml:space="preserve">.  </w:t>
      </w:r>
      <w:r w:rsidR="002F7E1D" w:rsidRPr="00CA3F84">
        <w:rPr>
          <w:color w:val="auto"/>
        </w:rPr>
        <w:t xml:space="preserve">Renseignements généraux </w:t>
      </w:r>
      <w:r w:rsidR="00E07096" w:rsidRPr="00CA3F84">
        <w:rPr>
          <w:color w:val="auto"/>
        </w:rPr>
        <w:t>et contexte</w:t>
      </w:r>
      <w:bookmarkEnd w:id="2"/>
      <w:bookmarkEnd w:id="3"/>
    </w:p>
    <w:p w14:paraId="5A237DF9" w14:textId="77777777" w:rsidR="007056B3" w:rsidRDefault="00E07096" w:rsidP="00285461">
      <w:pPr>
        <w:keepLines w:val="0"/>
        <w:spacing w:after="0" w:line="240" w:lineRule="auto"/>
        <w:rPr>
          <w:rFonts w:ascii="Segoe UI Semilight" w:hAnsi="Segoe UI Semilight"/>
          <w:color w:val="auto"/>
        </w:rPr>
      </w:pPr>
      <w:r w:rsidRPr="00CA3F84">
        <w:rPr>
          <w:rFonts w:ascii="Segoe UI Semilight" w:hAnsi="Segoe UI Semilight"/>
          <w:color w:val="auto"/>
        </w:rPr>
        <w:t xml:space="preserve">Il est important de prendre en note qu’au moment de la publication du présent document, une pandémie mondiale sévissait, provoquant des perturbations </w:t>
      </w:r>
      <w:r w:rsidR="00595E63" w:rsidRPr="00CA3F84">
        <w:rPr>
          <w:rFonts w:ascii="Segoe UI Semilight" w:hAnsi="Segoe UI Semilight"/>
          <w:color w:val="auto"/>
        </w:rPr>
        <w:t xml:space="preserve">et de </w:t>
      </w:r>
      <w:r w:rsidRPr="00CA3F84">
        <w:rPr>
          <w:rFonts w:ascii="Segoe UI Semilight" w:hAnsi="Segoe UI Semilight"/>
          <w:color w:val="auto"/>
        </w:rPr>
        <w:t>l’incertitude</w:t>
      </w:r>
      <w:r w:rsidR="00DF7D19" w:rsidRPr="00CA3F84">
        <w:rPr>
          <w:rFonts w:ascii="Segoe UI Semilight" w:hAnsi="Segoe UI Semilight"/>
          <w:color w:val="auto"/>
        </w:rPr>
        <w:t xml:space="preserve">. </w:t>
      </w:r>
      <w:r w:rsidR="00B7761A" w:rsidRPr="00CA3F84">
        <w:rPr>
          <w:rFonts w:ascii="Segoe UI Semilight" w:hAnsi="Segoe UI Semilight"/>
          <w:color w:val="auto"/>
        </w:rPr>
        <w:t xml:space="preserve"> </w:t>
      </w:r>
      <w:r w:rsidRPr="00CA3F84">
        <w:rPr>
          <w:rFonts w:ascii="Segoe UI Semilight" w:hAnsi="Segoe UI Semilight"/>
          <w:color w:val="auto"/>
        </w:rPr>
        <w:t xml:space="preserve">Lorsque notre environnement se </w:t>
      </w:r>
      <w:r w:rsidR="002940B4" w:rsidRPr="00CA3F84">
        <w:rPr>
          <w:rFonts w:ascii="Segoe UI Semilight" w:hAnsi="Segoe UI Semilight"/>
          <w:color w:val="auto"/>
        </w:rPr>
        <w:t xml:space="preserve">sera </w:t>
      </w:r>
      <w:proofErr w:type="gramStart"/>
      <w:r w:rsidR="002940B4" w:rsidRPr="00CA3F84">
        <w:rPr>
          <w:rFonts w:ascii="Segoe UI Semilight" w:hAnsi="Segoe UI Semilight"/>
          <w:color w:val="auto"/>
        </w:rPr>
        <w:t>stabilisé</w:t>
      </w:r>
      <w:proofErr w:type="gramEnd"/>
      <w:r w:rsidRPr="00CA3F84">
        <w:rPr>
          <w:rFonts w:ascii="Segoe UI Semilight" w:hAnsi="Segoe UI Semilight"/>
          <w:color w:val="auto"/>
        </w:rPr>
        <w:t>, nous examinerons à nouveau notre plan et le modifiero</w:t>
      </w:r>
      <w:r w:rsidR="002F7E1D" w:rsidRPr="00CA3F84">
        <w:rPr>
          <w:rFonts w:ascii="Segoe UI Semilight" w:hAnsi="Segoe UI Semilight"/>
          <w:color w:val="auto"/>
        </w:rPr>
        <w:t>ns en conséquence</w:t>
      </w:r>
      <w:r w:rsidR="00B7761A" w:rsidRPr="00CA3F84">
        <w:rPr>
          <w:rFonts w:ascii="Segoe UI Semilight" w:hAnsi="Segoe UI Semilight"/>
          <w:color w:val="auto"/>
        </w:rPr>
        <w:t xml:space="preserve">.  </w:t>
      </w:r>
      <w:r w:rsidR="002F7E1D" w:rsidRPr="00CA3F84">
        <w:rPr>
          <w:rFonts w:ascii="Segoe UI Semilight" w:hAnsi="Segoe UI Semilight"/>
          <w:color w:val="auto"/>
        </w:rPr>
        <w:t>Dans ce contexte e</w:t>
      </w:r>
      <w:r w:rsidRPr="00CA3F84">
        <w:rPr>
          <w:rFonts w:ascii="Segoe UI Semilight" w:hAnsi="Segoe UI Semilight"/>
          <w:color w:val="auto"/>
        </w:rPr>
        <w:t xml:space="preserve">n pleine évolution, nos </w:t>
      </w:r>
      <w:r w:rsidR="002F7E1D" w:rsidRPr="00CA3F84">
        <w:rPr>
          <w:rFonts w:ascii="Segoe UI Semilight" w:hAnsi="Segoe UI Semilight"/>
          <w:color w:val="auto"/>
        </w:rPr>
        <w:t xml:space="preserve">priorités </w:t>
      </w:r>
      <w:r w:rsidR="0009471B" w:rsidRPr="00CA3F84">
        <w:rPr>
          <w:rFonts w:ascii="Segoe UI Semilight" w:hAnsi="Segoe UI Semilight"/>
          <w:color w:val="auto"/>
        </w:rPr>
        <w:t>demeurent</w:t>
      </w:r>
      <w:r w:rsidR="002F7E1D" w:rsidRPr="00CA3F84">
        <w:rPr>
          <w:rFonts w:ascii="Segoe UI Semilight" w:hAnsi="Segoe UI Semilight"/>
          <w:color w:val="auto"/>
        </w:rPr>
        <w:t xml:space="preserve"> les </w:t>
      </w:r>
      <w:r w:rsidRPr="00CA3F84">
        <w:rPr>
          <w:rFonts w:ascii="Segoe UI Semilight" w:hAnsi="Segoe UI Semilight"/>
          <w:color w:val="auto"/>
        </w:rPr>
        <w:t>employés et les services essentiels que la CFP fournit pour soutenir les nominations aux postes qui sont essentiels pour le fonctionnement efficace du gouvernement du Canada</w:t>
      </w:r>
      <w:r w:rsidR="00B4312D" w:rsidRPr="00CA3F84">
        <w:rPr>
          <w:rFonts w:ascii="Segoe UI Semilight" w:hAnsi="Segoe UI Semilight"/>
          <w:color w:val="auto"/>
        </w:rPr>
        <w:t>.</w:t>
      </w:r>
    </w:p>
    <w:p w14:paraId="4AB409CE" w14:textId="2A8E3DF7" w:rsidR="00285461" w:rsidRPr="00CA3F84" w:rsidRDefault="00285461" w:rsidP="00285461">
      <w:pPr>
        <w:keepLines w:val="0"/>
        <w:spacing w:after="0" w:line="240" w:lineRule="auto"/>
        <w:rPr>
          <w:rFonts w:ascii="Segoe UI Semilight" w:eastAsia="Times New Roman" w:hAnsi="Segoe UI Semilight" w:cs="Segoe UI Semilight"/>
          <w:color w:val="auto"/>
          <w:lang w:eastAsia="en-CA"/>
        </w:rPr>
      </w:pPr>
    </w:p>
    <w:p w14:paraId="5A825886" w14:textId="0964C905" w:rsidR="004E683D" w:rsidRPr="00CA3F84" w:rsidRDefault="001F6A3A" w:rsidP="004E683D">
      <w:pPr>
        <w:rPr>
          <w:color w:val="auto"/>
        </w:rPr>
      </w:pPr>
      <w:r w:rsidRPr="00CA3F84">
        <w:rPr>
          <w:color w:val="auto"/>
        </w:rPr>
        <w:t>Le gouvernement ouvert est une initiative internationale dirigée par le Partenariat pour un gouvernement ouvert (PGO)</w:t>
      </w:r>
      <w:r w:rsidR="004E683D" w:rsidRPr="00CA3F84">
        <w:rPr>
          <w:color w:val="auto"/>
        </w:rPr>
        <w:t xml:space="preserve">, </w:t>
      </w:r>
      <w:r w:rsidRPr="00CA3F84">
        <w:rPr>
          <w:color w:val="auto"/>
        </w:rPr>
        <w:t xml:space="preserve">organisation à laquelle le Canada </w:t>
      </w:r>
      <w:r w:rsidR="002F7E1D" w:rsidRPr="00CA3F84">
        <w:rPr>
          <w:color w:val="auto"/>
        </w:rPr>
        <w:t xml:space="preserve">adhère depuis </w:t>
      </w:r>
      <w:r w:rsidRPr="00CA3F84">
        <w:rPr>
          <w:color w:val="auto"/>
        </w:rPr>
        <w:t>2012</w:t>
      </w:r>
      <w:r w:rsidR="00DF7D19" w:rsidRPr="00CA3F84">
        <w:rPr>
          <w:color w:val="auto"/>
        </w:rPr>
        <w:t xml:space="preserve">. </w:t>
      </w:r>
      <w:r w:rsidR="00B7761A" w:rsidRPr="00CA3F84">
        <w:rPr>
          <w:color w:val="auto"/>
        </w:rPr>
        <w:t xml:space="preserve"> </w:t>
      </w:r>
      <w:r w:rsidRPr="00CA3F84">
        <w:rPr>
          <w:color w:val="auto"/>
        </w:rPr>
        <w:t>Depuis 2015, la CFP élabore des plans pour soutenir la contribution du Canada au programme du</w:t>
      </w:r>
      <w:r w:rsidR="00604B89" w:rsidRPr="00CA3F84">
        <w:rPr>
          <w:color w:val="auto"/>
        </w:rPr>
        <w:t xml:space="preserve"> gouvernement ouvert</w:t>
      </w:r>
      <w:r w:rsidR="004E683D" w:rsidRPr="00CA3F84">
        <w:rPr>
          <w:color w:val="auto"/>
        </w:rPr>
        <w:t>.</w:t>
      </w:r>
    </w:p>
    <w:p w14:paraId="38541EBC" w14:textId="64BE3619" w:rsidR="004E683D" w:rsidRPr="005957F6" w:rsidRDefault="001F6A3A" w:rsidP="004E683D">
      <w:pPr>
        <w:pStyle w:val="Heading2"/>
      </w:pPr>
      <w:bookmarkStart w:id="4" w:name="_Toc44323378"/>
      <w:bookmarkStart w:id="5" w:name="_Toc50038748"/>
      <w:r w:rsidRPr="005957F6">
        <w:t>2.1</w:t>
      </w:r>
      <w:r w:rsidR="00B4312D">
        <w:t xml:space="preserve">.  </w:t>
      </w:r>
      <w:r w:rsidRPr="005957F6">
        <w:t>Partenariat pour un gouvernement ouvert</w:t>
      </w:r>
      <w:bookmarkEnd w:id="4"/>
      <w:bookmarkEnd w:id="5"/>
    </w:p>
    <w:p w14:paraId="02771E85" w14:textId="45F73256" w:rsidR="008D3721" w:rsidRPr="00CA3F84" w:rsidRDefault="001F6A3A" w:rsidP="004E683D">
      <w:pPr>
        <w:rPr>
          <w:color w:val="auto"/>
        </w:rPr>
      </w:pPr>
      <w:r w:rsidRPr="00CA3F84">
        <w:rPr>
          <w:color w:val="auto"/>
        </w:rPr>
        <w:t xml:space="preserve">Fondé en 2011, le </w:t>
      </w:r>
      <w:r w:rsidR="00DF7D19" w:rsidRPr="00CA3F84">
        <w:rPr>
          <w:color w:val="auto"/>
        </w:rPr>
        <w:t>PGO</w:t>
      </w:r>
      <w:r w:rsidRPr="00CA3F84">
        <w:rPr>
          <w:color w:val="auto"/>
        </w:rPr>
        <w:t xml:space="preserve"> est un partenariat international qui</w:t>
      </w:r>
      <w:r w:rsidR="0009471B" w:rsidRPr="00CA3F84">
        <w:rPr>
          <w:color w:val="auto"/>
        </w:rPr>
        <w:t>,</w:t>
      </w:r>
      <w:r w:rsidRPr="00CA3F84">
        <w:rPr>
          <w:color w:val="auto"/>
        </w:rPr>
        <w:t xml:space="preserve"> en janvier 2020, se composait de 78 pays</w:t>
      </w:r>
      <w:r w:rsidR="00B4312D" w:rsidRPr="00CA3F84">
        <w:rPr>
          <w:color w:val="auto"/>
        </w:rPr>
        <w:t xml:space="preserve">.  </w:t>
      </w:r>
      <w:r w:rsidR="002F7E1D" w:rsidRPr="00CA3F84">
        <w:rPr>
          <w:color w:val="auto"/>
        </w:rPr>
        <w:t>Le PGO</w:t>
      </w:r>
      <w:r w:rsidRPr="00CA3F84">
        <w:rPr>
          <w:color w:val="auto"/>
        </w:rPr>
        <w:t xml:space="preserve"> </w:t>
      </w:r>
      <w:r w:rsidR="00064F71" w:rsidRPr="00CA3F84">
        <w:rPr>
          <w:color w:val="auto"/>
        </w:rPr>
        <w:t xml:space="preserve">exige que </w:t>
      </w:r>
      <w:r w:rsidRPr="00CA3F84">
        <w:rPr>
          <w:color w:val="auto"/>
        </w:rPr>
        <w:t>ses membres soumett</w:t>
      </w:r>
      <w:r w:rsidR="00064F71" w:rsidRPr="00CA3F84">
        <w:rPr>
          <w:color w:val="auto"/>
        </w:rPr>
        <w:t>ent</w:t>
      </w:r>
      <w:r w:rsidR="001410E3" w:rsidRPr="00CA3F84">
        <w:rPr>
          <w:color w:val="auto"/>
        </w:rPr>
        <w:t>,</w:t>
      </w:r>
      <w:r w:rsidRPr="00CA3F84">
        <w:rPr>
          <w:color w:val="auto"/>
        </w:rPr>
        <w:t xml:space="preserve"> tous les deux ans</w:t>
      </w:r>
      <w:r w:rsidR="00064F71" w:rsidRPr="00CA3F84">
        <w:rPr>
          <w:color w:val="auto"/>
        </w:rPr>
        <w:t>,</w:t>
      </w:r>
      <w:r w:rsidRPr="00CA3F84">
        <w:rPr>
          <w:color w:val="auto"/>
        </w:rPr>
        <w:t xml:space="preserve"> un plan d’action élaboré conjointement avec le public</w:t>
      </w:r>
      <w:r w:rsidR="002F7E1D" w:rsidRPr="00CA3F84">
        <w:rPr>
          <w:color w:val="auto"/>
        </w:rPr>
        <w:t xml:space="preserve">, </w:t>
      </w:r>
      <w:r w:rsidRPr="00CA3F84">
        <w:rPr>
          <w:color w:val="auto"/>
        </w:rPr>
        <w:t>qui décrit les engagements pris pour accroître la transparence, la responsabilisation et la participation du public</w:t>
      </w:r>
      <w:r w:rsidR="004E683D" w:rsidRPr="00CA3F84">
        <w:rPr>
          <w:rStyle w:val="FootnoteReference"/>
          <w:color w:val="auto"/>
        </w:rPr>
        <w:footnoteReference w:id="2"/>
      </w:r>
      <w:r w:rsidRPr="00CA3F84">
        <w:rPr>
          <w:color w:val="auto"/>
        </w:rPr>
        <w:t>.</w:t>
      </w:r>
    </w:p>
    <w:p w14:paraId="442BE21D" w14:textId="37EA7709" w:rsidR="004E683D" w:rsidRPr="00CA3F84" w:rsidRDefault="001F6A3A" w:rsidP="004E683D">
      <w:pPr>
        <w:rPr>
          <w:color w:val="auto"/>
        </w:rPr>
      </w:pPr>
      <w:r w:rsidRPr="00CA3F84">
        <w:rPr>
          <w:color w:val="auto"/>
        </w:rPr>
        <w:lastRenderedPageBreak/>
        <w:t>Le Canada a coprésid</w:t>
      </w:r>
      <w:r w:rsidR="000D4464" w:rsidRPr="00CA3F84">
        <w:rPr>
          <w:color w:val="auto"/>
        </w:rPr>
        <w:t>é</w:t>
      </w:r>
      <w:r w:rsidRPr="00CA3F84">
        <w:rPr>
          <w:color w:val="auto"/>
        </w:rPr>
        <w:t xml:space="preserve"> </w:t>
      </w:r>
      <w:r w:rsidR="00B70F12" w:rsidRPr="00CA3F84">
        <w:rPr>
          <w:color w:val="auto"/>
        </w:rPr>
        <w:t>le PGO</w:t>
      </w:r>
      <w:r w:rsidRPr="00CA3F84">
        <w:rPr>
          <w:color w:val="auto"/>
        </w:rPr>
        <w:t xml:space="preserve"> d’octobre 2018 à septembre 2019 en conjugaison avec une organisation de la société civile</w:t>
      </w:r>
      <w:r w:rsidR="005815ED" w:rsidRPr="00CA3F84">
        <w:rPr>
          <w:rStyle w:val="FootnoteReference"/>
          <w:color w:val="auto"/>
        </w:rPr>
        <w:footnoteReference w:id="3"/>
      </w:r>
      <w:r w:rsidR="00B4312D" w:rsidRPr="00CA3F84">
        <w:rPr>
          <w:color w:val="auto"/>
        </w:rPr>
        <w:t xml:space="preserve">.  </w:t>
      </w:r>
      <w:r w:rsidR="00AB4D8A" w:rsidRPr="00CA3F84">
        <w:rPr>
          <w:color w:val="auto"/>
        </w:rPr>
        <w:t>Les</w:t>
      </w:r>
      <w:r w:rsidRPr="00CA3F84">
        <w:rPr>
          <w:color w:val="auto"/>
        </w:rPr>
        <w:t xml:space="preserve"> priorités</w:t>
      </w:r>
      <w:r w:rsidR="00AB4D8A" w:rsidRPr="00CA3F84">
        <w:rPr>
          <w:color w:val="auto"/>
        </w:rPr>
        <w:t xml:space="preserve"> étaient</w:t>
      </w:r>
      <w:r w:rsidRPr="00CA3F84">
        <w:rPr>
          <w:color w:val="auto"/>
        </w:rPr>
        <w:t> :</w:t>
      </w:r>
      <w:r w:rsidR="00B70F12" w:rsidRPr="00CA3F84">
        <w:rPr>
          <w:color w:val="auto"/>
        </w:rPr>
        <w:t xml:space="preserve"> l’in</w:t>
      </w:r>
      <w:r w:rsidRPr="00CA3F84">
        <w:rPr>
          <w:color w:val="auto"/>
        </w:rPr>
        <w:t xml:space="preserve">clusion, </w:t>
      </w:r>
      <w:r w:rsidR="00B70F12" w:rsidRPr="00CA3F84">
        <w:rPr>
          <w:color w:val="auto"/>
        </w:rPr>
        <w:t xml:space="preserve">la </w:t>
      </w:r>
      <w:r w:rsidRPr="00CA3F84">
        <w:rPr>
          <w:color w:val="auto"/>
        </w:rPr>
        <w:t xml:space="preserve">participation et </w:t>
      </w:r>
      <w:r w:rsidR="00B70F12" w:rsidRPr="00CA3F84">
        <w:rPr>
          <w:color w:val="auto"/>
        </w:rPr>
        <w:t>l’impact</w:t>
      </w:r>
      <w:r w:rsidR="004E683D" w:rsidRPr="00CA3F84">
        <w:rPr>
          <w:rStyle w:val="FootnoteReference"/>
          <w:color w:val="auto"/>
        </w:rPr>
        <w:footnoteReference w:id="4"/>
      </w:r>
      <w:r w:rsidR="00B4312D" w:rsidRPr="00CA3F84">
        <w:rPr>
          <w:color w:val="auto"/>
        </w:rPr>
        <w:t xml:space="preserve">.  </w:t>
      </w:r>
      <w:r w:rsidR="00B70F12" w:rsidRPr="00CA3F84">
        <w:rPr>
          <w:color w:val="auto"/>
        </w:rPr>
        <w:t>L’Argentine a succédé au Canada en 2019 avec un nouveau responsable de la société civile</w:t>
      </w:r>
      <w:r w:rsidR="005815ED" w:rsidRPr="00CA3F84">
        <w:rPr>
          <w:rStyle w:val="FootnoteReference"/>
          <w:color w:val="auto"/>
        </w:rPr>
        <w:footnoteReference w:id="5"/>
      </w:r>
      <w:r w:rsidR="00B4312D" w:rsidRPr="00CA3F84">
        <w:rPr>
          <w:color w:val="auto"/>
        </w:rPr>
        <w:t xml:space="preserve">.  </w:t>
      </w:r>
      <w:r w:rsidR="00B70F12" w:rsidRPr="00CA3F84">
        <w:rPr>
          <w:color w:val="auto"/>
        </w:rPr>
        <w:t xml:space="preserve">Ayant décidé de </w:t>
      </w:r>
      <w:r w:rsidR="002F7E1D" w:rsidRPr="00CA3F84">
        <w:rPr>
          <w:color w:val="auto"/>
        </w:rPr>
        <w:t>fournir</w:t>
      </w:r>
      <w:r w:rsidR="00B70F12" w:rsidRPr="00CA3F84">
        <w:rPr>
          <w:color w:val="auto"/>
        </w:rPr>
        <w:t xml:space="preserve"> un effort particulier pour traiter l’inclusion et l’espace civique, ils </w:t>
      </w:r>
      <w:r w:rsidR="00AB4D8A" w:rsidRPr="00CA3F84">
        <w:rPr>
          <w:color w:val="auto"/>
        </w:rPr>
        <w:t xml:space="preserve">ont axé </w:t>
      </w:r>
      <w:r w:rsidR="00070CC4" w:rsidRPr="00CA3F84">
        <w:rPr>
          <w:color w:val="auto"/>
        </w:rPr>
        <w:t xml:space="preserve">leurs activités sur deux thèmes </w:t>
      </w:r>
      <w:r w:rsidR="00557387" w:rsidRPr="00CA3F84">
        <w:rPr>
          <w:color w:val="auto"/>
        </w:rPr>
        <w:t>: Faire</w:t>
      </w:r>
      <w:r w:rsidR="00B70F12" w:rsidRPr="00CA3F84">
        <w:rPr>
          <w:color w:val="auto"/>
        </w:rPr>
        <w:t xml:space="preserve"> progresser l’état ouvert et Construire la confiance dans la gouvernance numérique</w:t>
      </w:r>
      <w:r w:rsidR="004E683D" w:rsidRPr="00CA3F84">
        <w:rPr>
          <w:rStyle w:val="FootnoteReference"/>
          <w:color w:val="auto"/>
        </w:rPr>
        <w:footnoteReference w:id="6"/>
      </w:r>
      <w:r w:rsidR="00B70F12" w:rsidRPr="00CA3F84">
        <w:rPr>
          <w:color w:val="auto"/>
        </w:rPr>
        <w:t>.</w:t>
      </w:r>
    </w:p>
    <w:p w14:paraId="628E4DB9" w14:textId="329E2E17" w:rsidR="004E683D" w:rsidRPr="005957F6" w:rsidRDefault="004E683D" w:rsidP="004E683D">
      <w:pPr>
        <w:pStyle w:val="Heading2"/>
      </w:pPr>
      <w:bookmarkStart w:id="6" w:name="_Toc44323379"/>
      <w:bookmarkStart w:id="7" w:name="_Toc50038749"/>
      <w:r w:rsidRPr="005957F6">
        <w:t>2.2</w:t>
      </w:r>
      <w:r w:rsidR="00B4312D">
        <w:t xml:space="preserve">.  </w:t>
      </w:r>
      <w:r w:rsidR="00B70F12" w:rsidRPr="005957F6">
        <w:t>Plan d’action national du Canada</w:t>
      </w:r>
      <w:bookmarkEnd w:id="6"/>
      <w:bookmarkEnd w:id="7"/>
    </w:p>
    <w:p w14:paraId="08488E39" w14:textId="69813D3E" w:rsidR="004E683D" w:rsidRDefault="00F82D3D" w:rsidP="004E683D">
      <w:pPr>
        <w:rPr>
          <w:color w:val="auto"/>
        </w:rPr>
      </w:pPr>
      <w:r w:rsidRPr="00CA3F84">
        <w:rPr>
          <w:color w:val="auto"/>
        </w:rPr>
        <w:t>Les quatre plans d’action du Canada pour le</w:t>
      </w:r>
      <w:r w:rsidR="00604B89" w:rsidRPr="00CA3F84">
        <w:rPr>
          <w:color w:val="auto"/>
        </w:rPr>
        <w:t xml:space="preserve"> gouvernement ouvert</w:t>
      </w:r>
      <w:r w:rsidRPr="00CA3F84">
        <w:rPr>
          <w:color w:val="auto"/>
        </w:rPr>
        <w:t xml:space="preserve"> ont été élaborés à l’appui du PGO et présentent une vue d’ensemble des activités </w:t>
      </w:r>
      <w:r w:rsidR="00813FB0" w:rsidRPr="00CA3F84">
        <w:rPr>
          <w:color w:val="auto"/>
        </w:rPr>
        <w:t>entreprise</w:t>
      </w:r>
      <w:r w:rsidR="002F7E1D" w:rsidRPr="00CA3F84">
        <w:rPr>
          <w:color w:val="auto"/>
        </w:rPr>
        <w:t>s</w:t>
      </w:r>
      <w:r w:rsidRPr="00CA3F84">
        <w:rPr>
          <w:color w:val="auto"/>
        </w:rPr>
        <w:t xml:space="preserve"> par le gouvernement du Canada pour faire progresser le</w:t>
      </w:r>
      <w:r w:rsidR="00604B89" w:rsidRPr="00CA3F84">
        <w:rPr>
          <w:color w:val="auto"/>
        </w:rPr>
        <w:t xml:space="preserve"> gouvernement ouver</w:t>
      </w:r>
      <w:r w:rsidRPr="00CA3F84">
        <w:rPr>
          <w:color w:val="auto"/>
        </w:rPr>
        <w:t>t</w:t>
      </w:r>
      <w:r w:rsidR="00B4312D" w:rsidRPr="00CA3F84">
        <w:rPr>
          <w:color w:val="auto"/>
        </w:rPr>
        <w:t xml:space="preserve">.  </w:t>
      </w:r>
      <w:r w:rsidRPr="00CA3F84">
        <w:rPr>
          <w:color w:val="auto"/>
        </w:rPr>
        <w:t xml:space="preserve">Publié en avril 2018, le quatrième </w:t>
      </w:r>
      <w:r w:rsidR="00BA47B5" w:rsidRPr="00CA3F84">
        <w:rPr>
          <w:color w:val="auto"/>
        </w:rPr>
        <w:t>P</w:t>
      </w:r>
      <w:r w:rsidRPr="00CA3F84">
        <w:rPr>
          <w:color w:val="auto"/>
        </w:rPr>
        <w:t xml:space="preserve">lan d’action biennal pour un </w:t>
      </w:r>
      <w:r w:rsidR="00604B89" w:rsidRPr="00CA3F84">
        <w:rPr>
          <w:color w:val="auto"/>
        </w:rPr>
        <w:t>gouvernement ouvert</w:t>
      </w:r>
      <w:r w:rsidRPr="00CA3F84">
        <w:rPr>
          <w:color w:val="auto"/>
        </w:rPr>
        <w:t xml:space="preserve"> a été élaboré </w:t>
      </w:r>
      <w:r w:rsidR="0009471B" w:rsidRPr="00CA3F84">
        <w:rPr>
          <w:color w:val="auto"/>
        </w:rPr>
        <w:t>à la suite de</w:t>
      </w:r>
      <w:r w:rsidRPr="00CA3F84">
        <w:rPr>
          <w:color w:val="auto"/>
        </w:rPr>
        <w:t xml:space="preserve"> vastes consultations publiques </w:t>
      </w:r>
      <w:r w:rsidR="00813FB0" w:rsidRPr="00CA3F84">
        <w:rPr>
          <w:color w:val="auto"/>
        </w:rPr>
        <w:t>ayant</w:t>
      </w:r>
      <w:r w:rsidRPr="00CA3F84">
        <w:rPr>
          <w:color w:val="auto"/>
        </w:rPr>
        <w:t xml:space="preserve"> </w:t>
      </w:r>
      <w:r w:rsidR="001410E3" w:rsidRPr="00CA3F84">
        <w:rPr>
          <w:color w:val="auto"/>
        </w:rPr>
        <w:t>re</w:t>
      </w:r>
      <w:r w:rsidRPr="00CA3F84">
        <w:rPr>
          <w:color w:val="auto"/>
        </w:rPr>
        <w:t>joint plus de 10</w:t>
      </w:r>
      <w:r w:rsidR="00133081" w:rsidRPr="00CA3F84">
        <w:rPr>
          <w:color w:val="auto"/>
        </w:rPr>
        <w:t> </w:t>
      </w:r>
      <w:r w:rsidRPr="00CA3F84">
        <w:rPr>
          <w:color w:val="auto"/>
        </w:rPr>
        <w:t>000 Canadiens dans le cadre de plusieurs forums, en ligne et en personne</w:t>
      </w:r>
      <w:r w:rsidR="00B4312D" w:rsidRPr="00CA3F84">
        <w:rPr>
          <w:color w:val="auto"/>
        </w:rPr>
        <w:t xml:space="preserve">.  </w:t>
      </w:r>
      <w:r w:rsidRPr="00CA3F84">
        <w:rPr>
          <w:color w:val="auto"/>
        </w:rPr>
        <w:t>Le plan qui en découle s’</w:t>
      </w:r>
      <w:r w:rsidR="00AF08C5" w:rsidRPr="00CA3F84">
        <w:rPr>
          <w:color w:val="auto"/>
        </w:rPr>
        <w:t xml:space="preserve">est </w:t>
      </w:r>
      <w:r w:rsidRPr="00CA3F84">
        <w:rPr>
          <w:color w:val="auto"/>
        </w:rPr>
        <w:t>engag</w:t>
      </w:r>
      <w:r w:rsidR="00AF08C5" w:rsidRPr="00CA3F84">
        <w:rPr>
          <w:color w:val="auto"/>
        </w:rPr>
        <w:t>é</w:t>
      </w:r>
      <w:r w:rsidRPr="00CA3F84">
        <w:rPr>
          <w:color w:val="auto"/>
        </w:rPr>
        <w:t xml:space="preserve"> à </w:t>
      </w:r>
      <w:r w:rsidR="00AF08C5" w:rsidRPr="00CA3F84">
        <w:rPr>
          <w:color w:val="auto"/>
        </w:rPr>
        <w:t xml:space="preserve">accomplir </w:t>
      </w:r>
      <w:r w:rsidRPr="00CA3F84">
        <w:rPr>
          <w:color w:val="auto"/>
        </w:rPr>
        <w:t>des activités liées au</w:t>
      </w:r>
      <w:r w:rsidR="002F7E1D" w:rsidRPr="00CA3F84">
        <w:rPr>
          <w:color w:val="auto"/>
        </w:rPr>
        <w:t>x</w:t>
      </w:r>
      <w:r w:rsidRPr="00CA3F84">
        <w:rPr>
          <w:color w:val="auto"/>
        </w:rPr>
        <w:t xml:space="preserve"> 10 thèmes retenus pour le </w:t>
      </w:r>
      <w:r w:rsidR="00604B89" w:rsidRPr="00CA3F84">
        <w:rPr>
          <w:color w:val="auto"/>
        </w:rPr>
        <w:t>gouvernement ouvert :</w:t>
      </w:r>
      <w:r w:rsidRPr="00CA3F84">
        <w:rPr>
          <w:color w:val="auto"/>
        </w:rPr>
        <w:t xml:space="preserve"> </w:t>
      </w:r>
    </w:p>
    <w:p w14:paraId="491BA584" w14:textId="77777777" w:rsidR="004E26F3" w:rsidRDefault="004E26F3" w:rsidP="004E26F3">
      <w:pPr>
        <w:rPr>
          <w:color w:val="auto"/>
        </w:rPr>
        <w:sectPr w:rsidR="004E26F3" w:rsidSect="00DA3EFF">
          <w:footerReference w:type="even" r:id="rId9"/>
          <w:footerReference w:type="default" r:id="rId10"/>
          <w:headerReference w:type="first" r:id="rId11"/>
          <w:footerReference w:type="first" r:id="rId12"/>
          <w:type w:val="continuous"/>
          <w:pgSz w:w="12240" w:h="15840"/>
          <w:pgMar w:top="1560" w:right="1440" w:bottom="1985" w:left="1440" w:header="709" w:footer="353" w:gutter="0"/>
          <w:cols w:space="708"/>
          <w:titlePg/>
          <w:docGrid w:linePitch="360"/>
        </w:sectPr>
      </w:pPr>
    </w:p>
    <w:p w14:paraId="24811CA6" w14:textId="5663AE1E" w:rsidR="004E26F3" w:rsidRPr="004E26F3" w:rsidRDefault="004E26F3" w:rsidP="004E26F3">
      <w:pPr>
        <w:pStyle w:val="ListParagraph"/>
        <w:numPr>
          <w:ilvl w:val="0"/>
          <w:numId w:val="32"/>
        </w:numPr>
        <w:spacing w:after="0"/>
        <w:rPr>
          <w:color w:val="auto"/>
        </w:rPr>
      </w:pPr>
      <w:r w:rsidRPr="004E26F3">
        <w:rPr>
          <w:color w:val="auto"/>
        </w:rPr>
        <w:t>Gouvernement ouvert facile à comprendre</w:t>
      </w:r>
    </w:p>
    <w:p w14:paraId="0834D67D" w14:textId="0567BD2E" w:rsidR="004E26F3" w:rsidRPr="004E26F3" w:rsidRDefault="004E26F3" w:rsidP="004E26F3">
      <w:pPr>
        <w:pStyle w:val="ListParagraph"/>
        <w:numPr>
          <w:ilvl w:val="0"/>
          <w:numId w:val="32"/>
        </w:numPr>
        <w:spacing w:after="0"/>
        <w:rPr>
          <w:color w:val="auto"/>
        </w:rPr>
      </w:pPr>
      <w:r w:rsidRPr="004E26F3">
        <w:rPr>
          <w:color w:val="auto"/>
        </w:rPr>
        <w:t>Transparence financière et reddition de comptes</w:t>
      </w:r>
    </w:p>
    <w:p w14:paraId="6E153D25" w14:textId="7288CE85" w:rsidR="004E26F3" w:rsidRPr="004E26F3" w:rsidRDefault="004E26F3" w:rsidP="004E26F3">
      <w:pPr>
        <w:pStyle w:val="ListParagraph"/>
        <w:numPr>
          <w:ilvl w:val="0"/>
          <w:numId w:val="32"/>
        </w:numPr>
        <w:spacing w:after="0"/>
        <w:rPr>
          <w:color w:val="auto"/>
        </w:rPr>
      </w:pPr>
      <w:r w:rsidRPr="004E26F3">
        <w:rPr>
          <w:color w:val="auto"/>
        </w:rPr>
        <w:t>Transparence des entreprises</w:t>
      </w:r>
    </w:p>
    <w:p w14:paraId="3FD79613" w14:textId="097898C1" w:rsidR="004E26F3" w:rsidRPr="004E26F3" w:rsidRDefault="004E26F3" w:rsidP="004E26F3">
      <w:pPr>
        <w:pStyle w:val="ListParagraph"/>
        <w:numPr>
          <w:ilvl w:val="0"/>
          <w:numId w:val="32"/>
        </w:numPr>
        <w:spacing w:after="0"/>
        <w:rPr>
          <w:color w:val="auto"/>
        </w:rPr>
      </w:pPr>
      <w:r w:rsidRPr="004E26F3">
        <w:rPr>
          <w:color w:val="auto"/>
        </w:rPr>
        <w:t>Gouvernement numérique et services</w:t>
      </w:r>
    </w:p>
    <w:p w14:paraId="0DFD2A24" w14:textId="60BE8EC9" w:rsidR="004E26F3" w:rsidRPr="004E26F3" w:rsidRDefault="004E26F3" w:rsidP="004E26F3">
      <w:pPr>
        <w:pStyle w:val="ListParagraph"/>
        <w:numPr>
          <w:ilvl w:val="0"/>
          <w:numId w:val="32"/>
        </w:numPr>
        <w:spacing w:after="0"/>
        <w:rPr>
          <w:color w:val="auto"/>
        </w:rPr>
      </w:pPr>
      <w:r w:rsidRPr="004E26F3">
        <w:rPr>
          <w:color w:val="auto"/>
        </w:rPr>
        <w:t>Science ouverte</w:t>
      </w:r>
      <w:r w:rsidRPr="004E26F3">
        <w:rPr>
          <w:color w:val="auto"/>
        </w:rPr>
        <w:tab/>
      </w:r>
    </w:p>
    <w:p w14:paraId="4CA52474" w14:textId="3574E694" w:rsidR="004E26F3" w:rsidRPr="004E26F3" w:rsidRDefault="004E26F3" w:rsidP="004E26F3">
      <w:pPr>
        <w:pStyle w:val="ListParagraph"/>
        <w:numPr>
          <w:ilvl w:val="0"/>
          <w:numId w:val="32"/>
        </w:numPr>
        <w:spacing w:after="0"/>
        <w:rPr>
          <w:color w:val="auto"/>
        </w:rPr>
      </w:pPr>
      <w:r w:rsidRPr="004E26F3">
        <w:rPr>
          <w:color w:val="auto"/>
        </w:rPr>
        <w:t>Démocratie saine</w:t>
      </w:r>
    </w:p>
    <w:p w14:paraId="76744FE7" w14:textId="0AA34AB0" w:rsidR="004E26F3" w:rsidRPr="004E26F3" w:rsidRDefault="004E26F3" w:rsidP="004E26F3">
      <w:pPr>
        <w:pStyle w:val="ListParagraph"/>
        <w:numPr>
          <w:ilvl w:val="0"/>
          <w:numId w:val="32"/>
        </w:numPr>
        <w:spacing w:after="0"/>
        <w:rPr>
          <w:color w:val="auto"/>
        </w:rPr>
      </w:pPr>
      <w:r w:rsidRPr="004E26F3">
        <w:rPr>
          <w:color w:val="auto"/>
        </w:rPr>
        <w:t xml:space="preserve">Accès à l’information </w:t>
      </w:r>
    </w:p>
    <w:p w14:paraId="672A41FC" w14:textId="26A7B3A3" w:rsidR="004E26F3" w:rsidRPr="004E26F3" w:rsidRDefault="004E26F3" w:rsidP="004E26F3">
      <w:pPr>
        <w:pStyle w:val="ListParagraph"/>
        <w:numPr>
          <w:ilvl w:val="0"/>
          <w:numId w:val="32"/>
        </w:numPr>
        <w:spacing w:after="0"/>
        <w:rPr>
          <w:color w:val="auto"/>
        </w:rPr>
      </w:pPr>
      <w:r w:rsidRPr="004E26F3">
        <w:rPr>
          <w:color w:val="auto"/>
        </w:rPr>
        <w:t>Dialogue féministe et inclusif</w:t>
      </w:r>
    </w:p>
    <w:p w14:paraId="5B323E22" w14:textId="23FFC7FB" w:rsidR="004E26F3" w:rsidRPr="004E26F3" w:rsidRDefault="004E26F3" w:rsidP="004E26F3">
      <w:pPr>
        <w:pStyle w:val="ListParagraph"/>
        <w:numPr>
          <w:ilvl w:val="0"/>
          <w:numId w:val="32"/>
        </w:numPr>
        <w:spacing w:after="0"/>
        <w:rPr>
          <w:color w:val="auto"/>
        </w:rPr>
      </w:pPr>
      <w:r w:rsidRPr="004E26F3">
        <w:rPr>
          <w:color w:val="auto"/>
        </w:rPr>
        <w:t>Réconciliation et gouvernement ouvert</w:t>
      </w:r>
    </w:p>
    <w:p w14:paraId="2D9D335E" w14:textId="5B1DDEF8" w:rsidR="004E26F3" w:rsidRPr="004E26F3" w:rsidRDefault="004E26F3" w:rsidP="004E26F3">
      <w:pPr>
        <w:pStyle w:val="ListParagraph"/>
        <w:numPr>
          <w:ilvl w:val="0"/>
          <w:numId w:val="32"/>
        </w:numPr>
        <w:spacing w:after="0"/>
        <w:rPr>
          <w:color w:val="auto"/>
        </w:rPr>
      </w:pPr>
      <w:r w:rsidRPr="004E26F3">
        <w:rPr>
          <w:color w:val="auto"/>
        </w:rPr>
        <w:t>Communauté du gouvernement ouvert</w:t>
      </w:r>
    </w:p>
    <w:p w14:paraId="3879E708" w14:textId="77777777" w:rsidR="004E26F3" w:rsidRDefault="004E26F3" w:rsidP="004E683D">
      <w:pPr>
        <w:pStyle w:val="Heading2"/>
        <w:sectPr w:rsidR="004E26F3" w:rsidSect="004E26F3">
          <w:type w:val="continuous"/>
          <w:pgSz w:w="12240" w:h="15840"/>
          <w:pgMar w:top="1560" w:right="1440" w:bottom="1985" w:left="1440" w:header="709" w:footer="353" w:gutter="0"/>
          <w:cols w:num="2" w:space="708"/>
          <w:titlePg/>
          <w:docGrid w:linePitch="360"/>
        </w:sectPr>
      </w:pPr>
      <w:bookmarkStart w:id="8" w:name="_Toc44323380"/>
    </w:p>
    <w:p w14:paraId="00FBC183" w14:textId="71E38CF3" w:rsidR="004E683D" w:rsidRPr="005957F6" w:rsidRDefault="004E683D" w:rsidP="004E683D">
      <w:pPr>
        <w:pStyle w:val="Heading2"/>
      </w:pPr>
      <w:bookmarkStart w:id="9" w:name="_Toc50038750"/>
      <w:r w:rsidRPr="005957F6">
        <w:t>2.3</w:t>
      </w:r>
      <w:r w:rsidR="00B4312D">
        <w:t xml:space="preserve">.  </w:t>
      </w:r>
      <w:r w:rsidRPr="005957F6">
        <w:t xml:space="preserve">Directive </w:t>
      </w:r>
      <w:r w:rsidR="00B70F12" w:rsidRPr="005957F6">
        <w:t>sur le gouvernement ouvert</w:t>
      </w:r>
      <w:bookmarkEnd w:id="8"/>
      <w:bookmarkEnd w:id="9"/>
    </w:p>
    <w:p w14:paraId="553B73AD" w14:textId="62E4422A" w:rsidR="004E683D" w:rsidRPr="00CA3F84" w:rsidRDefault="0059476D" w:rsidP="004E683D">
      <w:pPr>
        <w:rPr>
          <w:color w:val="auto"/>
        </w:rPr>
      </w:pPr>
      <w:r w:rsidRPr="00CA3F84">
        <w:rPr>
          <w:color w:val="auto"/>
        </w:rPr>
        <w:t>«</w:t>
      </w:r>
      <w:r w:rsidR="00133081" w:rsidRPr="00CA3F84">
        <w:rPr>
          <w:color w:val="auto"/>
        </w:rPr>
        <w:t> </w:t>
      </w:r>
      <w:r w:rsidRPr="00CA3F84">
        <w:rPr>
          <w:color w:val="auto"/>
        </w:rPr>
        <w:t>La présente directive a pour objet de maximiser la communication de l’information et des données gouvernementales à valeur opérationnelle afin d’appuyer la transparence, la reddition de comptes ainsi que la mobilisation des citoyens et d’optimiser les avantages socioéconomiques au moyen de la réutilisation, sous réserve des restrictions s’appliquant à la protection de la vie privée, à la confidentialité et à la sécurité.</w:t>
      </w:r>
      <w:r w:rsidR="004E683D" w:rsidRPr="00CA3F84">
        <w:rPr>
          <w:rStyle w:val="FootnoteReference"/>
          <w:color w:val="auto"/>
        </w:rPr>
        <w:footnoteReference w:id="7"/>
      </w:r>
      <w:r w:rsidR="00133081" w:rsidRPr="00CA3F84">
        <w:rPr>
          <w:color w:val="auto"/>
        </w:rPr>
        <w:t> </w:t>
      </w:r>
      <w:r w:rsidRPr="00CA3F84">
        <w:rPr>
          <w:color w:val="auto"/>
        </w:rPr>
        <w:t>»</w:t>
      </w:r>
      <w:r w:rsidR="004E683D" w:rsidRPr="00CA3F84">
        <w:rPr>
          <w:color w:val="auto"/>
        </w:rPr>
        <w:t xml:space="preserve"> </w:t>
      </w:r>
    </w:p>
    <w:p w14:paraId="64D19511" w14:textId="209E5D2D" w:rsidR="004E683D" w:rsidRPr="00CA3F84" w:rsidRDefault="0059476D" w:rsidP="004E683D">
      <w:pPr>
        <w:rPr>
          <w:color w:val="auto"/>
        </w:rPr>
      </w:pPr>
      <w:r w:rsidRPr="00CA3F84">
        <w:rPr>
          <w:color w:val="auto"/>
        </w:rPr>
        <w:lastRenderedPageBreak/>
        <w:t xml:space="preserve">Elle </w:t>
      </w:r>
      <w:r w:rsidR="00182D13" w:rsidRPr="00CA3F84">
        <w:rPr>
          <w:color w:val="auto"/>
        </w:rPr>
        <w:t xml:space="preserve">exige que </w:t>
      </w:r>
      <w:r w:rsidR="00552276" w:rsidRPr="00CA3F84">
        <w:rPr>
          <w:color w:val="auto"/>
        </w:rPr>
        <w:t>les ministères</w:t>
      </w:r>
      <w:r w:rsidRPr="00CA3F84">
        <w:rPr>
          <w:color w:val="auto"/>
        </w:rPr>
        <w:t xml:space="preserve"> </w:t>
      </w:r>
      <w:r w:rsidR="00FA3923" w:rsidRPr="00CA3F84">
        <w:rPr>
          <w:color w:val="auto"/>
        </w:rPr>
        <w:t>créent</w:t>
      </w:r>
      <w:r w:rsidRPr="00CA3F84">
        <w:rPr>
          <w:color w:val="auto"/>
        </w:rPr>
        <w:t xml:space="preserve"> et </w:t>
      </w:r>
      <w:r w:rsidR="00182D13" w:rsidRPr="00CA3F84">
        <w:rPr>
          <w:color w:val="auto"/>
        </w:rPr>
        <w:t>tiennent</w:t>
      </w:r>
      <w:r w:rsidRPr="00CA3F84">
        <w:rPr>
          <w:color w:val="auto"/>
        </w:rPr>
        <w:t xml:space="preserve"> à jour des </w:t>
      </w:r>
      <w:r w:rsidR="00715F6E" w:rsidRPr="00CA3F84">
        <w:rPr>
          <w:color w:val="auto"/>
        </w:rPr>
        <w:t>répertoires</w:t>
      </w:r>
      <w:r w:rsidRPr="00CA3F84">
        <w:rPr>
          <w:color w:val="auto"/>
        </w:rPr>
        <w:t xml:space="preserve"> complets de</w:t>
      </w:r>
      <w:r w:rsidR="0009471B" w:rsidRPr="00CA3F84">
        <w:rPr>
          <w:color w:val="auto"/>
        </w:rPr>
        <w:t xml:space="preserve"> ressources de données et d’informations </w:t>
      </w:r>
      <w:r w:rsidRPr="00CA3F84">
        <w:rPr>
          <w:color w:val="auto"/>
        </w:rPr>
        <w:t xml:space="preserve">à valeur opérationnelle, à maximiser la communication des </w:t>
      </w:r>
      <w:r w:rsidR="0009471B" w:rsidRPr="00CA3F84">
        <w:rPr>
          <w:color w:val="auto"/>
        </w:rPr>
        <w:t>ressources de données ouvertes et d’informations ouvertes</w:t>
      </w:r>
      <w:r w:rsidRPr="00CA3F84">
        <w:rPr>
          <w:color w:val="auto"/>
        </w:rPr>
        <w:t>, et à communiquer les données et l</w:t>
      </w:r>
      <w:r w:rsidR="0009471B" w:rsidRPr="00CA3F84">
        <w:rPr>
          <w:color w:val="auto"/>
        </w:rPr>
        <w:t xml:space="preserve">es </w:t>
      </w:r>
      <w:r w:rsidRPr="00CA3F84">
        <w:rPr>
          <w:color w:val="auto"/>
        </w:rPr>
        <w:t>information</w:t>
      </w:r>
      <w:r w:rsidR="0009471B" w:rsidRPr="00CA3F84">
        <w:rPr>
          <w:color w:val="auto"/>
        </w:rPr>
        <w:t>s</w:t>
      </w:r>
      <w:r w:rsidRPr="00CA3F84">
        <w:rPr>
          <w:color w:val="auto"/>
        </w:rPr>
        <w:t xml:space="preserve"> en formats accessibles et réutilisables</w:t>
      </w:r>
      <w:r w:rsidR="00B4312D" w:rsidRPr="00CA3F84">
        <w:rPr>
          <w:color w:val="auto"/>
        </w:rPr>
        <w:t xml:space="preserve">.  </w:t>
      </w:r>
    </w:p>
    <w:p w14:paraId="5750995F" w14:textId="17AA918C" w:rsidR="004E683D" w:rsidRPr="00CA3F84" w:rsidRDefault="0059476D" w:rsidP="004E683D">
      <w:pPr>
        <w:rPr>
          <w:color w:val="auto"/>
        </w:rPr>
      </w:pPr>
      <w:r w:rsidRPr="00CA3F84">
        <w:rPr>
          <w:color w:val="auto"/>
        </w:rPr>
        <w:t xml:space="preserve">Tout au long de l’été et de l’automne 2019, le Secrétariat du Conseil du Trésor a entrepris </w:t>
      </w:r>
      <w:r w:rsidR="007F3C65" w:rsidRPr="00CA3F84">
        <w:rPr>
          <w:color w:val="auto"/>
        </w:rPr>
        <w:t>l’</w:t>
      </w:r>
      <w:r w:rsidR="002F3E17" w:rsidRPr="00CA3F84">
        <w:rPr>
          <w:color w:val="auto"/>
        </w:rPr>
        <w:t>É</w:t>
      </w:r>
      <w:r w:rsidR="007F3C65" w:rsidRPr="00CA3F84">
        <w:rPr>
          <w:color w:val="auto"/>
        </w:rPr>
        <w:t xml:space="preserve">valuation </w:t>
      </w:r>
      <w:r w:rsidRPr="00CA3F84">
        <w:rPr>
          <w:color w:val="auto"/>
        </w:rPr>
        <w:t>horizontale du</w:t>
      </w:r>
      <w:r w:rsidR="00604B89" w:rsidRPr="00CA3F84">
        <w:rPr>
          <w:color w:val="auto"/>
        </w:rPr>
        <w:t xml:space="preserve"> gouvernement ouvert</w:t>
      </w:r>
      <w:r w:rsidRPr="00CA3F84">
        <w:rPr>
          <w:color w:val="auto"/>
        </w:rPr>
        <w:t xml:space="preserve"> à l’échelle de la fonction publique pour recueillir et analyser des données probantes attestant la mise en œuvre du programme du </w:t>
      </w:r>
      <w:r w:rsidR="00604B89" w:rsidRPr="00CA3F84">
        <w:rPr>
          <w:color w:val="auto"/>
        </w:rPr>
        <w:t>gouvernement ouvert</w:t>
      </w:r>
      <w:r w:rsidRPr="00CA3F84">
        <w:rPr>
          <w:color w:val="auto"/>
        </w:rPr>
        <w:t xml:space="preserve"> depuis 2016</w:t>
      </w:r>
      <w:r w:rsidR="00552276" w:rsidRPr="00CA3F84">
        <w:rPr>
          <w:color w:val="auto"/>
        </w:rPr>
        <w:t xml:space="preserve">.  </w:t>
      </w:r>
      <w:r w:rsidRPr="00CA3F84">
        <w:rPr>
          <w:color w:val="auto"/>
        </w:rPr>
        <w:t>L’évaluation aidera à éclairer la réalisation du programme et optimisera l’obtention de résultats</w:t>
      </w:r>
      <w:r w:rsidR="00552276" w:rsidRPr="00CA3F84">
        <w:rPr>
          <w:color w:val="auto"/>
        </w:rPr>
        <w:t xml:space="preserve">. </w:t>
      </w:r>
      <w:r w:rsidRPr="00CA3F84">
        <w:rPr>
          <w:color w:val="auto"/>
        </w:rPr>
        <w:t xml:space="preserve">La CFP </w:t>
      </w:r>
      <w:r w:rsidR="00BD5441" w:rsidRPr="00CA3F84">
        <w:rPr>
          <w:color w:val="auto"/>
        </w:rPr>
        <w:t xml:space="preserve">a été </w:t>
      </w:r>
      <w:r w:rsidRPr="00CA3F84">
        <w:rPr>
          <w:color w:val="auto"/>
        </w:rPr>
        <w:t>l’un des ministères consultés pendant l’évaluation</w:t>
      </w:r>
      <w:r w:rsidR="00552276" w:rsidRPr="00CA3F84">
        <w:rPr>
          <w:color w:val="auto"/>
        </w:rPr>
        <w:t xml:space="preserve">.  </w:t>
      </w:r>
      <w:r w:rsidR="002E3F90" w:rsidRPr="00CA3F84">
        <w:rPr>
          <w:color w:val="auto"/>
        </w:rPr>
        <w:t>La publication du rapport est attendue en 2020</w:t>
      </w:r>
      <w:r w:rsidR="00B4312D" w:rsidRPr="00CA3F84">
        <w:rPr>
          <w:color w:val="auto"/>
        </w:rPr>
        <w:t xml:space="preserve">.  </w:t>
      </w:r>
    </w:p>
    <w:p w14:paraId="4A18B671" w14:textId="7E752DA2" w:rsidR="004E683D" w:rsidRPr="005957F6" w:rsidRDefault="004E683D" w:rsidP="004E683D">
      <w:pPr>
        <w:pStyle w:val="Heading2"/>
      </w:pPr>
      <w:bookmarkStart w:id="10" w:name="_Toc44323381"/>
      <w:bookmarkStart w:id="11" w:name="_Toc50038751"/>
      <w:r w:rsidRPr="005957F6">
        <w:t xml:space="preserve">2.4 </w:t>
      </w:r>
      <w:r w:rsidR="00BD746A">
        <w:t xml:space="preserve"> </w:t>
      </w:r>
      <w:r w:rsidR="002E3F90" w:rsidRPr="005957F6">
        <w:t>Portail du gouvernement ouvert</w:t>
      </w:r>
      <w:bookmarkEnd w:id="10"/>
      <w:bookmarkEnd w:id="11"/>
      <w:r w:rsidRPr="005957F6">
        <w:t xml:space="preserve"> </w:t>
      </w:r>
    </w:p>
    <w:p w14:paraId="148FC05C" w14:textId="25662662" w:rsidR="004E683D" w:rsidRPr="00CA3F84" w:rsidRDefault="004D02F1" w:rsidP="00B42354">
      <w:pPr>
        <w:rPr>
          <w:color w:val="auto"/>
        </w:rPr>
      </w:pPr>
      <w:r w:rsidRPr="00CA3F84">
        <w:rPr>
          <w:color w:val="auto"/>
        </w:rPr>
        <w:t xml:space="preserve">Le Portail du gouvernement ouvert (ouvert.canada.ca) est le guichet unique du gouvernement du Canada où les organismes fédéraux publient des données et </w:t>
      </w:r>
      <w:r w:rsidR="0009471B" w:rsidRPr="00CA3F84">
        <w:rPr>
          <w:color w:val="auto"/>
        </w:rPr>
        <w:t>des informations</w:t>
      </w:r>
      <w:r w:rsidR="00552276" w:rsidRPr="00CA3F84">
        <w:rPr>
          <w:color w:val="auto"/>
        </w:rPr>
        <w:t xml:space="preserve">. </w:t>
      </w:r>
      <w:r w:rsidR="00B7761A" w:rsidRPr="00CA3F84">
        <w:rPr>
          <w:color w:val="auto"/>
        </w:rPr>
        <w:t xml:space="preserve"> </w:t>
      </w:r>
      <w:r w:rsidRPr="00CA3F84">
        <w:rPr>
          <w:color w:val="auto"/>
        </w:rPr>
        <w:t xml:space="preserve">Il contient une liste des répertoires de données des organismes fédéraux et a la capacité </w:t>
      </w:r>
      <w:r w:rsidR="00C7189C" w:rsidRPr="00CA3F84">
        <w:rPr>
          <w:color w:val="auto"/>
        </w:rPr>
        <w:t>d’entreposer</w:t>
      </w:r>
      <w:r w:rsidRPr="00CA3F84">
        <w:rPr>
          <w:color w:val="auto"/>
        </w:rPr>
        <w:t xml:space="preserve"> des</w:t>
      </w:r>
      <w:r w:rsidR="00604B89" w:rsidRPr="00CA3F84">
        <w:rPr>
          <w:color w:val="auto"/>
        </w:rPr>
        <w:t xml:space="preserve"> </w:t>
      </w:r>
      <w:r w:rsidR="0009471B" w:rsidRPr="00CA3F84">
        <w:rPr>
          <w:color w:val="auto"/>
        </w:rPr>
        <w:t>ressources liées aux données ouvertes, aux informations ouvertes et aux consultations</w:t>
      </w:r>
      <w:r w:rsidR="00B4312D" w:rsidRPr="00CA3F84">
        <w:rPr>
          <w:color w:val="auto"/>
        </w:rPr>
        <w:t xml:space="preserve">.  </w:t>
      </w:r>
      <w:r w:rsidRPr="00CA3F84">
        <w:rPr>
          <w:color w:val="auto"/>
        </w:rPr>
        <w:t>En mars 2020, le portail hébergeait plus de 82</w:t>
      </w:r>
      <w:r w:rsidR="00133081" w:rsidRPr="00CA3F84">
        <w:rPr>
          <w:color w:val="auto"/>
        </w:rPr>
        <w:t> </w:t>
      </w:r>
      <w:r w:rsidRPr="00CA3F84">
        <w:rPr>
          <w:color w:val="auto"/>
        </w:rPr>
        <w:t>000 ensembles de données et plus de 1</w:t>
      </w:r>
      <w:r w:rsidR="00552276" w:rsidRPr="00CA3F84">
        <w:rPr>
          <w:color w:val="auto"/>
        </w:rPr>
        <w:t xml:space="preserve"> </w:t>
      </w:r>
      <w:r w:rsidRPr="00CA3F84">
        <w:rPr>
          <w:color w:val="auto"/>
        </w:rPr>
        <w:t xml:space="preserve">000 </w:t>
      </w:r>
      <w:r w:rsidR="0009471B" w:rsidRPr="00CA3F84">
        <w:rPr>
          <w:color w:val="auto"/>
        </w:rPr>
        <w:t>ressources d’information</w:t>
      </w:r>
      <w:r w:rsidR="00286F8E" w:rsidRPr="00CA3F84">
        <w:rPr>
          <w:color w:val="auto"/>
        </w:rPr>
        <w:t>s</w:t>
      </w:r>
      <w:r w:rsidR="004E683D" w:rsidRPr="00CA3F84">
        <w:rPr>
          <w:rStyle w:val="FootnoteReference"/>
          <w:color w:val="auto"/>
        </w:rPr>
        <w:footnoteReference w:id="8"/>
      </w:r>
      <w:r w:rsidR="00B4312D" w:rsidRPr="00CA3F84">
        <w:rPr>
          <w:color w:val="auto"/>
        </w:rPr>
        <w:t xml:space="preserve">.  </w:t>
      </w:r>
    </w:p>
    <w:p w14:paraId="69D3425D" w14:textId="1C1D1BF6" w:rsidR="004E683D" w:rsidRPr="00CA3F84" w:rsidRDefault="004E683D" w:rsidP="004E683D">
      <w:pPr>
        <w:pStyle w:val="Heading1"/>
        <w:rPr>
          <w:color w:val="auto"/>
        </w:rPr>
      </w:pPr>
      <w:bookmarkStart w:id="12" w:name="_Toc44323382"/>
      <w:bookmarkStart w:id="13" w:name="_Toc50038752"/>
      <w:r w:rsidRPr="00CA3F84">
        <w:rPr>
          <w:color w:val="auto"/>
        </w:rPr>
        <w:t>3</w:t>
      </w:r>
      <w:r w:rsidR="00B4312D" w:rsidRPr="00CA3F84">
        <w:rPr>
          <w:color w:val="auto"/>
        </w:rPr>
        <w:t xml:space="preserve">.  </w:t>
      </w:r>
      <w:r w:rsidRPr="00CA3F84">
        <w:rPr>
          <w:color w:val="auto"/>
        </w:rPr>
        <w:t>Vision</w:t>
      </w:r>
      <w:bookmarkEnd w:id="12"/>
      <w:bookmarkEnd w:id="13"/>
    </w:p>
    <w:p w14:paraId="68A5EBC9" w14:textId="09AE8F62" w:rsidR="004E683D" w:rsidRPr="00CA3F84" w:rsidRDefault="004D02F1" w:rsidP="004E683D">
      <w:pPr>
        <w:rPr>
          <w:color w:val="auto"/>
        </w:rPr>
      </w:pPr>
      <w:r w:rsidRPr="00CA3F84">
        <w:rPr>
          <w:color w:val="auto"/>
        </w:rPr>
        <w:t>Notre vision est de devenir un</w:t>
      </w:r>
      <w:r w:rsidRPr="00106478">
        <w:rPr>
          <w:color w:val="auto"/>
        </w:rPr>
        <w:t xml:space="preserve">e </w:t>
      </w:r>
      <w:r w:rsidRPr="00106478">
        <w:rPr>
          <w:rStyle w:val="Strong"/>
          <w:color w:val="auto"/>
        </w:rPr>
        <w:t>CFP ouverte</w:t>
      </w:r>
      <w:r w:rsidR="00B4312D" w:rsidRPr="00106478">
        <w:rPr>
          <w:color w:val="auto"/>
        </w:rPr>
        <w:t xml:space="preserve">.  </w:t>
      </w:r>
      <w:r w:rsidRPr="00106478">
        <w:rPr>
          <w:color w:val="auto"/>
        </w:rPr>
        <w:t>Nous réaliserons notre vision en dépassant les exigences de la directiv</w:t>
      </w:r>
      <w:r w:rsidR="00604B89" w:rsidRPr="00106478">
        <w:rPr>
          <w:color w:val="auto"/>
        </w:rPr>
        <w:t>e et en adaptant nos activités pour un gouvernement ouvert</w:t>
      </w:r>
      <w:r w:rsidRPr="00106478">
        <w:rPr>
          <w:color w:val="auto"/>
        </w:rPr>
        <w:t xml:space="preserve"> à nos besoins</w:t>
      </w:r>
      <w:r w:rsidR="00B4312D" w:rsidRPr="00106478">
        <w:rPr>
          <w:color w:val="auto"/>
        </w:rPr>
        <w:t xml:space="preserve">.  </w:t>
      </w:r>
      <w:r w:rsidRPr="00106478">
        <w:rPr>
          <w:color w:val="auto"/>
        </w:rPr>
        <w:t xml:space="preserve">Nous munirons les employés des outils, des connaissances et du soutien dont ils ont besoin pour </w:t>
      </w:r>
      <w:r w:rsidRPr="00106478">
        <w:rPr>
          <w:rStyle w:val="Strong"/>
          <w:color w:val="auto"/>
        </w:rPr>
        <w:t>identifier</w:t>
      </w:r>
      <w:r w:rsidR="006139A9" w:rsidRPr="00106478">
        <w:rPr>
          <w:rStyle w:val="Strong"/>
          <w:color w:val="auto"/>
        </w:rPr>
        <w:t>,</w:t>
      </w:r>
      <w:r w:rsidR="00485F11" w:rsidRPr="00106478">
        <w:rPr>
          <w:rStyle w:val="Strong"/>
          <w:color w:val="auto"/>
        </w:rPr>
        <w:t xml:space="preserve"> </w:t>
      </w:r>
      <w:r w:rsidRPr="00106478">
        <w:rPr>
          <w:rStyle w:val="Strong"/>
          <w:color w:val="auto"/>
        </w:rPr>
        <w:t>développer</w:t>
      </w:r>
      <w:r w:rsidR="003771F7" w:rsidRPr="00106478">
        <w:rPr>
          <w:rStyle w:val="Strong"/>
          <w:color w:val="auto"/>
        </w:rPr>
        <w:t xml:space="preserve"> </w:t>
      </w:r>
      <w:r w:rsidR="00813FB0" w:rsidRPr="00106478">
        <w:rPr>
          <w:rStyle w:val="Strong"/>
          <w:color w:val="auto"/>
        </w:rPr>
        <w:t xml:space="preserve">et </w:t>
      </w:r>
      <w:r w:rsidR="00455354" w:rsidRPr="00106478">
        <w:rPr>
          <w:rStyle w:val="Strong"/>
          <w:color w:val="auto"/>
        </w:rPr>
        <w:t>publier avec un but</w:t>
      </w:r>
      <w:r w:rsidR="0028670A" w:rsidRPr="00106478">
        <w:rPr>
          <w:rStyle w:val="Strong"/>
          <w:color w:val="auto"/>
        </w:rPr>
        <w:t xml:space="preserve"> </w:t>
      </w:r>
      <w:r w:rsidR="006139A9" w:rsidRPr="00106478">
        <w:rPr>
          <w:rStyle w:val="Strong"/>
          <w:color w:val="auto"/>
        </w:rPr>
        <w:t>les ressources de la CFP</w:t>
      </w:r>
      <w:r w:rsidR="006139A9" w:rsidRPr="00106478">
        <w:rPr>
          <w:b/>
          <w:color w:val="auto"/>
        </w:rPr>
        <w:t xml:space="preserve"> </w:t>
      </w:r>
      <w:r w:rsidR="0028670A" w:rsidRPr="00CA3F84">
        <w:rPr>
          <w:color w:val="auto"/>
        </w:rPr>
        <w:t xml:space="preserve">sur le </w:t>
      </w:r>
      <w:r w:rsidR="00455354" w:rsidRPr="00CA3F84">
        <w:rPr>
          <w:color w:val="auto"/>
        </w:rPr>
        <w:t>P</w:t>
      </w:r>
      <w:r w:rsidR="0028670A" w:rsidRPr="00CA3F84">
        <w:rPr>
          <w:color w:val="auto"/>
        </w:rPr>
        <w:t xml:space="preserve">ortail du gouvernement ouvert, </w:t>
      </w:r>
      <w:r w:rsidR="00552276" w:rsidRPr="00CA3F84">
        <w:rPr>
          <w:color w:val="auto"/>
        </w:rPr>
        <w:t>de manière proactive, ce qui</w:t>
      </w:r>
      <w:r w:rsidR="006139A9" w:rsidRPr="00CA3F84">
        <w:rPr>
          <w:color w:val="auto"/>
        </w:rPr>
        <w:t xml:space="preserve"> implique que les ressources </w:t>
      </w:r>
      <w:r w:rsidR="0028670A" w:rsidRPr="00CA3F84">
        <w:rPr>
          <w:color w:val="auto"/>
        </w:rPr>
        <w:t>ont de la valeur et qu’</w:t>
      </w:r>
      <w:r w:rsidR="00286F8E" w:rsidRPr="00CA3F84">
        <w:rPr>
          <w:color w:val="auto"/>
        </w:rPr>
        <w:t>elles</w:t>
      </w:r>
      <w:r w:rsidR="0028670A" w:rsidRPr="00CA3F84">
        <w:rPr>
          <w:color w:val="auto"/>
        </w:rPr>
        <w:t xml:space="preserve"> sont </w:t>
      </w:r>
      <w:r w:rsidR="003771F7" w:rsidRPr="00CA3F84">
        <w:rPr>
          <w:color w:val="auto"/>
        </w:rPr>
        <w:t>éclairé</w:t>
      </w:r>
      <w:r w:rsidR="00286F8E" w:rsidRPr="00CA3F84">
        <w:rPr>
          <w:color w:val="auto"/>
        </w:rPr>
        <w:t>e</w:t>
      </w:r>
      <w:r w:rsidR="003771F7" w:rsidRPr="00CA3F84">
        <w:rPr>
          <w:color w:val="auto"/>
        </w:rPr>
        <w:t>s par l’intérêt public</w:t>
      </w:r>
      <w:r w:rsidR="00B4312D" w:rsidRPr="00CA3F84">
        <w:rPr>
          <w:color w:val="auto"/>
        </w:rPr>
        <w:t xml:space="preserve">.  </w:t>
      </w:r>
    </w:p>
    <w:p w14:paraId="40535D7A" w14:textId="22164E07" w:rsidR="004E683D" w:rsidRPr="00CA3F84" w:rsidRDefault="004E683D" w:rsidP="004E683D">
      <w:pPr>
        <w:pStyle w:val="Heading1"/>
        <w:rPr>
          <w:color w:val="auto"/>
        </w:rPr>
      </w:pPr>
      <w:bookmarkStart w:id="14" w:name="_Toc44323383"/>
      <w:bookmarkStart w:id="15" w:name="_Toc50038753"/>
      <w:r w:rsidRPr="00CA3F84">
        <w:rPr>
          <w:color w:val="auto"/>
        </w:rPr>
        <w:lastRenderedPageBreak/>
        <w:t>4</w:t>
      </w:r>
      <w:r w:rsidR="00B4312D" w:rsidRPr="00CA3F84">
        <w:rPr>
          <w:color w:val="auto"/>
        </w:rPr>
        <w:t xml:space="preserve">.  </w:t>
      </w:r>
      <w:r w:rsidRPr="00CA3F84">
        <w:rPr>
          <w:color w:val="auto"/>
        </w:rPr>
        <w:t>Progr</w:t>
      </w:r>
      <w:r w:rsidR="002E3F90" w:rsidRPr="00CA3F84">
        <w:rPr>
          <w:color w:val="auto"/>
        </w:rPr>
        <w:t>ès à ce jour</w:t>
      </w:r>
      <w:bookmarkEnd w:id="14"/>
      <w:bookmarkEnd w:id="15"/>
    </w:p>
    <w:p w14:paraId="5935FAE5" w14:textId="75FC85F9" w:rsidR="004E683D" w:rsidRPr="00CA3F84" w:rsidRDefault="003771F7" w:rsidP="004E683D">
      <w:pPr>
        <w:rPr>
          <w:color w:val="auto"/>
        </w:rPr>
      </w:pPr>
      <w:r w:rsidRPr="00CA3F84">
        <w:rPr>
          <w:color w:val="auto"/>
        </w:rPr>
        <w:t>Le deuxième PMOGO de la CFP avait pour objet de faire en sorte que la CFP ne s’en tienne pas</w:t>
      </w:r>
      <w:r w:rsidR="00286F8E" w:rsidRPr="00CA3F84">
        <w:rPr>
          <w:color w:val="auto"/>
        </w:rPr>
        <w:t xml:space="preserve"> simplement</w:t>
      </w:r>
      <w:r w:rsidRPr="00CA3F84">
        <w:rPr>
          <w:color w:val="auto"/>
        </w:rPr>
        <w:t xml:space="preserve"> à satisfaire aux exigences de la directive, mais qu’elle </w:t>
      </w:r>
      <w:r w:rsidR="00932D15" w:rsidRPr="00CA3F84">
        <w:rPr>
          <w:color w:val="auto"/>
        </w:rPr>
        <w:t>aille au-delà</w:t>
      </w:r>
      <w:r w:rsidR="00406A26" w:rsidRPr="00CA3F84">
        <w:rPr>
          <w:color w:val="auto"/>
        </w:rPr>
        <w:t xml:space="preserve"> </w:t>
      </w:r>
      <w:r w:rsidR="00B9467D" w:rsidRPr="00CA3F84">
        <w:rPr>
          <w:color w:val="auto"/>
        </w:rPr>
        <w:t xml:space="preserve">en </w:t>
      </w:r>
      <w:r w:rsidRPr="00CA3F84">
        <w:rPr>
          <w:color w:val="auto"/>
        </w:rPr>
        <w:t>adapt</w:t>
      </w:r>
      <w:r w:rsidR="00B9467D" w:rsidRPr="00CA3F84">
        <w:rPr>
          <w:color w:val="auto"/>
        </w:rPr>
        <w:t>ant</w:t>
      </w:r>
      <w:r w:rsidRPr="00CA3F84">
        <w:rPr>
          <w:color w:val="auto"/>
        </w:rPr>
        <w:t xml:space="preserve"> </w:t>
      </w:r>
      <w:r w:rsidR="00286F8E" w:rsidRPr="00CA3F84">
        <w:rPr>
          <w:color w:val="auto"/>
        </w:rPr>
        <w:t>le</w:t>
      </w:r>
      <w:r w:rsidRPr="00CA3F84">
        <w:rPr>
          <w:color w:val="auto"/>
        </w:rPr>
        <w:t>s</w:t>
      </w:r>
      <w:r w:rsidR="00221765" w:rsidRPr="00CA3F84">
        <w:rPr>
          <w:color w:val="auto"/>
        </w:rPr>
        <w:t xml:space="preserve"> </w:t>
      </w:r>
      <w:r w:rsidRPr="00CA3F84">
        <w:rPr>
          <w:color w:val="auto"/>
        </w:rPr>
        <w:t xml:space="preserve">activités </w:t>
      </w:r>
      <w:r w:rsidR="00286F8E" w:rsidRPr="00CA3F84">
        <w:rPr>
          <w:color w:val="auto"/>
        </w:rPr>
        <w:t xml:space="preserve">qu’elle entreprend pour un gouvernement ouvert afin de satisfaire </w:t>
      </w:r>
      <w:r w:rsidR="00B9467D" w:rsidRPr="00CA3F84">
        <w:rPr>
          <w:color w:val="auto"/>
        </w:rPr>
        <w:t xml:space="preserve">les </w:t>
      </w:r>
      <w:r w:rsidR="00286F8E" w:rsidRPr="00CA3F84">
        <w:rPr>
          <w:color w:val="auto"/>
        </w:rPr>
        <w:t xml:space="preserve">besoins </w:t>
      </w:r>
      <w:r w:rsidRPr="00CA3F84">
        <w:rPr>
          <w:color w:val="auto"/>
        </w:rPr>
        <w:t>de la CFP</w:t>
      </w:r>
      <w:r w:rsidR="00B4312D" w:rsidRPr="00CA3F84">
        <w:rPr>
          <w:color w:val="auto"/>
        </w:rPr>
        <w:t xml:space="preserve">.  </w:t>
      </w:r>
      <w:r w:rsidRPr="00CA3F84">
        <w:rPr>
          <w:color w:val="auto"/>
        </w:rPr>
        <w:t xml:space="preserve">Le deuxième PMOGO de la CFP a exposé quatre principaux objectifs, huit engagements et plus de 60 activités à </w:t>
      </w:r>
      <w:r w:rsidR="00286F8E" w:rsidRPr="00CA3F84">
        <w:rPr>
          <w:color w:val="auto"/>
        </w:rPr>
        <w:t xml:space="preserve">exécuter </w:t>
      </w:r>
      <w:r w:rsidRPr="00CA3F84">
        <w:rPr>
          <w:color w:val="auto"/>
        </w:rPr>
        <w:t>entre avril 2018 et mars 2020</w:t>
      </w:r>
      <w:r w:rsidR="00B4312D" w:rsidRPr="00CA3F84">
        <w:rPr>
          <w:color w:val="auto"/>
        </w:rPr>
        <w:t xml:space="preserve">.  </w:t>
      </w:r>
      <w:r w:rsidRPr="00CA3F84">
        <w:rPr>
          <w:color w:val="auto"/>
        </w:rPr>
        <w:t xml:space="preserve">La réussite du deuxième PMOGO de la CFP a jeté les bases de la mobilisation et de l’innovation </w:t>
      </w:r>
      <w:r w:rsidR="00286F8E" w:rsidRPr="00CA3F84">
        <w:rPr>
          <w:color w:val="auto"/>
        </w:rPr>
        <w:t>futures</w:t>
      </w:r>
      <w:r w:rsidR="00B4312D" w:rsidRPr="00CA3F84">
        <w:rPr>
          <w:color w:val="auto"/>
        </w:rPr>
        <w:t xml:space="preserve">.  </w:t>
      </w:r>
    </w:p>
    <w:p w14:paraId="29539517" w14:textId="77777777" w:rsidR="00106478" w:rsidRDefault="002E537A" w:rsidP="00106478">
      <w:pPr>
        <w:keepNext/>
      </w:pPr>
      <w:r>
        <w:rPr>
          <w:noProof/>
          <w:lang w:val="en-CA" w:eastAsia="en-CA"/>
        </w:rPr>
        <w:drawing>
          <wp:inline distT="0" distB="0" distL="0" distR="0" wp14:anchorId="68899FE8" wp14:editId="615C5117">
            <wp:extent cx="6008888" cy="3730336"/>
            <wp:effectExtent l="0" t="0" r="0" b="0"/>
            <wp:docPr id="1" name="Picture 1" descr="Objectifs et engagements — Deuxième PMOGO de la CFP&#10;Objectifs et engagements d'une CFP Ouvert: &#10;1) Appuyer les engagements et les attentes du gouvernment du Canada&#10;Mettre sur pied des répertoires de données et de l’information&#10;Maximiser la publication de données et d’information&#10;2)Instaurer une culture&quot;d'ouverture par défaut'&#10;Faciliter le changement de culture&#10;Accélérer la publication de données et d’information&#10;3)Optimiser les outils libre-service grâce à l’innovation&#10;Générer les données de la CFP guidées &#10;par les besoins des utilisateurs&#10;Moderniser l’infrastructure de données de la CFP &#10;4)Mobiliser pour diffuser des données et de l'information à valeur ajoutée&#10;Mobiliser les utilisateurs pour mieux comprendre leurs besoins en données et en information&#10;Accroître l’utilisation des données de la CFP grâce à des partenariats&#10;" title="Objectifs et engagements — Deuxième PMOGO de la C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4183" cy="3752247"/>
                    </a:xfrm>
                    <a:prstGeom prst="rect">
                      <a:avLst/>
                    </a:prstGeom>
                    <a:noFill/>
                  </pic:spPr>
                </pic:pic>
              </a:graphicData>
            </a:graphic>
          </wp:inline>
        </w:drawing>
      </w:r>
    </w:p>
    <w:p w14:paraId="766AF296" w14:textId="4E7C1E4C" w:rsidR="00720472" w:rsidRPr="00720472" w:rsidRDefault="00106478" w:rsidP="00720472">
      <w:pPr>
        <w:pStyle w:val="Caption"/>
        <w:rPr>
          <w:color w:val="auto"/>
        </w:rPr>
      </w:pPr>
      <w:r w:rsidRPr="00720472">
        <w:rPr>
          <w:color w:val="auto"/>
        </w:rPr>
        <w:t xml:space="preserve">Figure </w:t>
      </w:r>
      <w:r w:rsidRPr="00720472">
        <w:rPr>
          <w:color w:val="auto"/>
        </w:rPr>
        <w:fldChar w:fldCharType="begin"/>
      </w:r>
      <w:r w:rsidRPr="00720472">
        <w:rPr>
          <w:color w:val="auto"/>
        </w:rPr>
        <w:instrText xml:space="preserve"> SEQ Figure \* ARABIC </w:instrText>
      </w:r>
      <w:r w:rsidRPr="00720472">
        <w:rPr>
          <w:color w:val="auto"/>
        </w:rPr>
        <w:fldChar w:fldCharType="separate"/>
      </w:r>
      <w:r w:rsidR="006968CC">
        <w:rPr>
          <w:noProof/>
          <w:color w:val="auto"/>
        </w:rPr>
        <w:t>2</w:t>
      </w:r>
      <w:r w:rsidRPr="00720472">
        <w:rPr>
          <w:color w:val="auto"/>
        </w:rPr>
        <w:fldChar w:fldCharType="end"/>
      </w:r>
      <w:r w:rsidRPr="00720472">
        <w:rPr>
          <w:color w:val="auto"/>
        </w:rPr>
        <w:t xml:space="preserve"> — Objectifs et engagements — Deuxième PMOGO de la CFP</w:t>
      </w:r>
      <w:r w:rsidR="00720472" w:rsidRPr="00720472">
        <w:rPr>
          <w:color w:val="auto"/>
        </w:rPr>
        <w:br/>
        <w:t xml:space="preserve">La figure 2 présente les objectifs et les engagements de la CFP ouverte à partir du deuxième PMOGO 2018-2020. L’objectif numéro 1 consiste d’appuyer les engagements et les attentes du gouvernement du Canada. Cet objectif comporte deux engagements : mettre sur pied </w:t>
      </w:r>
      <w:r w:rsidR="00720472">
        <w:rPr>
          <w:color w:val="auto"/>
        </w:rPr>
        <w:t>des répertoires de données et de l’</w:t>
      </w:r>
      <w:r w:rsidR="00720472" w:rsidRPr="00720472">
        <w:rPr>
          <w:color w:val="auto"/>
        </w:rPr>
        <w:t xml:space="preserve">information, et de maximiser la publication </w:t>
      </w:r>
      <w:r w:rsidR="00720472">
        <w:rPr>
          <w:color w:val="auto"/>
        </w:rPr>
        <w:t>de données et d’information</w:t>
      </w:r>
      <w:r w:rsidR="00720472" w:rsidRPr="00720472">
        <w:rPr>
          <w:color w:val="auto"/>
        </w:rPr>
        <w:t>. L'objectif numéro 2 est d’instaurer une culture « d'ouverture par défaut ». Cet objectif comporte deux engagements : faciliter le changement de culture, et accélérer la publication de données et d’information.  L’objectif numéro 3 propose d’optimiser les outils de libre-service grâce à l’innovation. Cet objectif comporte deux engagements : générer les données de la CFP guidées par les besoins des utilisateurs, et moderniser l’infrastructure de données de la CFP. L’objectif numéro 4 est de se mobiliser pour diffuser des données et de l'information à valeur ajoutée. Cet objectif comporte deux engagements : mobiliser les utilisateurs pour mieux comprendre leurs besoins en données et en information, et accroître l’utilisation des données de la CFP grâce à des partenariats.</w:t>
      </w:r>
    </w:p>
    <w:p w14:paraId="2757A5FC" w14:textId="568EA41C" w:rsidR="004E683D" w:rsidRPr="005957F6" w:rsidRDefault="0048700A" w:rsidP="004E683D">
      <w:pPr>
        <w:pStyle w:val="Heading2"/>
      </w:pPr>
      <w:bookmarkStart w:id="16" w:name="_Toc44323384"/>
      <w:bookmarkStart w:id="17" w:name="_Toc50038754"/>
      <w:r w:rsidRPr="005957F6">
        <w:lastRenderedPageBreak/>
        <w:t>4.1 Progr</w:t>
      </w:r>
      <w:r w:rsidR="003771F7" w:rsidRPr="005957F6">
        <w:t>ès réalisés vers l’atteinte de chaque objectif</w:t>
      </w:r>
      <w:bookmarkEnd w:id="16"/>
      <w:bookmarkEnd w:id="17"/>
    </w:p>
    <w:p w14:paraId="688775A8" w14:textId="542C68EB" w:rsidR="004E683D" w:rsidRPr="00CA3F84" w:rsidRDefault="00604B89" w:rsidP="004E683D">
      <w:pPr>
        <w:pStyle w:val="Heading3"/>
        <w:rPr>
          <w:color w:val="auto"/>
        </w:rPr>
      </w:pPr>
      <w:bookmarkStart w:id="18" w:name="_Toc44404867"/>
      <w:bookmarkStart w:id="19" w:name="_Toc44323385"/>
      <w:bookmarkStart w:id="20" w:name="_Toc46827405"/>
      <w:bookmarkStart w:id="21" w:name="_Toc49767845"/>
      <w:bookmarkStart w:id="22" w:name="_Toc50038755"/>
      <w:r w:rsidRPr="00CA3F84">
        <w:rPr>
          <w:color w:val="auto"/>
        </w:rPr>
        <w:t>Appuyer les engagements et les attentes du gouvernement du Canada</w:t>
      </w:r>
      <w:bookmarkEnd w:id="18"/>
      <w:bookmarkEnd w:id="19"/>
      <w:bookmarkEnd w:id="20"/>
      <w:bookmarkEnd w:id="21"/>
      <w:bookmarkEnd w:id="22"/>
    </w:p>
    <w:p w14:paraId="2FB9A851" w14:textId="42385154" w:rsidR="004E683D" w:rsidRPr="00CA3F84" w:rsidRDefault="00604B89" w:rsidP="004E683D">
      <w:pPr>
        <w:rPr>
          <w:color w:val="auto"/>
        </w:rPr>
      </w:pPr>
      <w:r w:rsidRPr="00CA3F84">
        <w:rPr>
          <w:color w:val="auto"/>
        </w:rPr>
        <w:t xml:space="preserve">La CFP a continué à </w:t>
      </w:r>
      <w:r w:rsidRPr="004E7269">
        <w:rPr>
          <w:rStyle w:val="Strong"/>
          <w:color w:val="auto"/>
        </w:rPr>
        <w:t>appuyer les engagements et les attentes du gouvernement du Canada</w:t>
      </w:r>
      <w:r w:rsidRPr="004E7269">
        <w:rPr>
          <w:b/>
          <w:color w:val="auto"/>
        </w:rPr>
        <w:t xml:space="preserve"> </w:t>
      </w:r>
      <w:r w:rsidRPr="00CA3F84">
        <w:rPr>
          <w:color w:val="auto"/>
        </w:rPr>
        <w:t xml:space="preserve">conformément à la </w:t>
      </w:r>
      <w:r w:rsidRPr="00CA3F84">
        <w:rPr>
          <w:i/>
          <w:color w:val="auto"/>
        </w:rPr>
        <w:t>Directive sur le gouvernement ouvert</w:t>
      </w:r>
      <w:r w:rsidR="00B4312D" w:rsidRPr="00CA3F84">
        <w:rPr>
          <w:color w:val="auto"/>
        </w:rPr>
        <w:t xml:space="preserve">.  </w:t>
      </w:r>
      <w:r w:rsidRPr="00CA3F84">
        <w:rPr>
          <w:color w:val="auto"/>
        </w:rPr>
        <w:t>En mars 2020, la CFP avait publié 104 ensembles de données et 15</w:t>
      </w:r>
      <w:r w:rsidR="00813FB0" w:rsidRPr="00CA3F84">
        <w:rPr>
          <w:color w:val="auto"/>
        </w:rPr>
        <w:t xml:space="preserve"> </w:t>
      </w:r>
      <w:r w:rsidR="00286F8E" w:rsidRPr="00CA3F84">
        <w:rPr>
          <w:color w:val="auto"/>
        </w:rPr>
        <w:t xml:space="preserve">ressources d’informations </w:t>
      </w:r>
      <w:r w:rsidRPr="00CA3F84">
        <w:rPr>
          <w:color w:val="auto"/>
        </w:rPr>
        <w:t xml:space="preserve">sur le </w:t>
      </w:r>
      <w:r w:rsidR="00221765" w:rsidRPr="00CA3F84">
        <w:rPr>
          <w:color w:val="auto"/>
        </w:rPr>
        <w:t>P</w:t>
      </w:r>
      <w:r w:rsidRPr="00CA3F84">
        <w:rPr>
          <w:color w:val="auto"/>
        </w:rPr>
        <w:t>ortail</w:t>
      </w:r>
      <w:r w:rsidR="00B4312D" w:rsidRPr="00CA3F84">
        <w:rPr>
          <w:color w:val="auto"/>
        </w:rPr>
        <w:t xml:space="preserve">.  </w:t>
      </w:r>
    </w:p>
    <w:p w14:paraId="007AEFB1" w14:textId="3C2D7006" w:rsidR="004E683D" w:rsidRPr="00CA3F84" w:rsidRDefault="005E3B92" w:rsidP="004E683D">
      <w:pPr>
        <w:rPr>
          <w:color w:val="auto"/>
        </w:rPr>
      </w:pPr>
      <w:r w:rsidRPr="00CA3F84">
        <w:rPr>
          <w:color w:val="auto"/>
        </w:rPr>
        <w:t>La Direc</w:t>
      </w:r>
      <w:r w:rsidRPr="00CA3F84">
        <w:rPr>
          <w:i/>
          <w:color w:val="auto"/>
        </w:rPr>
        <w:t xml:space="preserve">tive sur le gouvernement ouvert </w:t>
      </w:r>
      <w:r w:rsidRPr="00CA3F84">
        <w:rPr>
          <w:color w:val="auto"/>
        </w:rPr>
        <w:t xml:space="preserve">est en voie d’incorporation dans d’autres initiatives du gouvernement du Canada, dont la </w:t>
      </w:r>
      <w:hyperlink r:id="rId14" w:history="1">
        <w:r w:rsidR="00893D2B" w:rsidRPr="004E7269">
          <w:rPr>
            <w:rStyle w:val="SubtleEmphasis"/>
            <w:color w:val="auto"/>
            <w:u w:val="single"/>
          </w:rPr>
          <w:t>P</w:t>
        </w:r>
        <w:r w:rsidRPr="004E7269">
          <w:rPr>
            <w:rStyle w:val="SubtleEmphasis"/>
            <w:color w:val="auto"/>
            <w:u w:val="single"/>
          </w:rPr>
          <w:t>olitique sur les services et le numérique</w:t>
        </w:r>
      </w:hyperlink>
      <w:r w:rsidR="00893D2B" w:rsidRPr="00CA3F84">
        <w:rPr>
          <w:rStyle w:val="FootnoteReference"/>
          <w:color w:val="auto"/>
        </w:rPr>
        <w:footnoteReference w:id="9"/>
      </w:r>
      <w:r w:rsidRPr="00CA3F84">
        <w:rPr>
          <w:color w:val="auto"/>
        </w:rPr>
        <w:t xml:space="preserve"> et la </w:t>
      </w:r>
      <w:hyperlink r:id="rId15" w:history="1">
        <w:r w:rsidRPr="004E7269">
          <w:rPr>
            <w:rStyle w:val="SubtleEmphasis"/>
            <w:color w:val="auto"/>
            <w:u w:val="single"/>
          </w:rPr>
          <w:t>Directive sur les services et le numérique</w:t>
        </w:r>
      </w:hyperlink>
      <w:r w:rsidR="00893D2B" w:rsidRPr="00CA3F84">
        <w:rPr>
          <w:rStyle w:val="FootnoteReference"/>
          <w:color w:val="auto"/>
        </w:rPr>
        <w:footnoteReference w:id="10"/>
      </w:r>
      <w:r w:rsidR="00B4312D" w:rsidRPr="00CA3F84">
        <w:rPr>
          <w:color w:val="auto"/>
        </w:rPr>
        <w:t xml:space="preserve">.  </w:t>
      </w:r>
      <w:r w:rsidRPr="00CA3F84">
        <w:rPr>
          <w:color w:val="auto"/>
        </w:rPr>
        <w:t xml:space="preserve">La CFP </w:t>
      </w:r>
      <w:r w:rsidR="00003690" w:rsidRPr="00CA3F84">
        <w:rPr>
          <w:color w:val="auto"/>
        </w:rPr>
        <w:t xml:space="preserve">se </w:t>
      </w:r>
      <w:r w:rsidRPr="00CA3F84">
        <w:rPr>
          <w:color w:val="auto"/>
        </w:rPr>
        <w:t xml:space="preserve">doit </w:t>
      </w:r>
      <w:r w:rsidR="00003690" w:rsidRPr="00CA3F84">
        <w:rPr>
          <w:color w:val="auto"/>
        </w:rPr>
        <w:t xml:space="preserve">de </w:t>
      </w:r>
      <w:r w:rsidR="00816F96" w:rsidRPr="00CA3F84">
        <w:rPr>
          <w:color w:val="auto"/>
        </w:rPr>
        <w:t xml:space="preserve">rester flexible </w:t>
      </w:r>
      <w:r w:rsidRPr="00CA3F84">
        <w:rPr>
          <w:color w:val="auto"/>
        </w:rPr>
        <w:t>d</w:t>
      </w:r>
      <w:r w:rsidR="00816F96" w:rsidRPr="00CA3F84">
        <w:rPr>
          <w:color w:val="auto"/>
        </w:rPr>
        <w:t xml:space="preserve">ans </w:t>
      </w:r>
      <w:r w:rsidRPr="00CA3F84">
        <w:rPr>
          <w:color w:val="auto"/>
        </w:rPr>
        <w:t>son approche du gouvernement ouvert pour pouvoir s’adapter aux changements d’orientation du gouvernement du Canada</w:t>
      </w:r>
      <w:r w:rsidR="00B4312D" w:rsidRPr="00CA3F84">
        <w:rPr>
          <w:color w:val="auto"/>
        </w:rPr>
        <w:t xml:space="preserve">.  </w:t>
      </w:r>
    </w:p>
    <w:p w14:paraId="0749F8A0" w14:textId="58D947F2" w:rsidR="004E683D" w:rsidRPr="00CA3F84" w:rsidRDefault="005E3B92" w:rsidP="004E683D">
      <w:pPr>
        <w:pStyle w:val="Heading3"/>
        <w:rPr>
          <w:color w:val="auto"/>
        </w:rPr>
      </w:pPr>
      <w:bookmarkStart w:id="23" w:name="_Toc44404868"/>
      <w:bookmarkStart w:id="24" w:name="_Toc44323386"/>
      <w:bookmarkStart w:id="25" w:name="_Toc46827406"/>
      <w:bookmarkStart w:id="26" w:name="_Toc49767846"/>
      <w:bookmarkStart w:id="27" w:name="_Toc50038756"/>
      <w:r w:rsidRPr="00CA3F84">
        <w:rPr>
          <w:color w:val="auto"/>
        </w:rPr>
        <w:t>Instaurer une culture d’ouverture par défaut</w:t>
      </w:r>
      <w:bookmarkEnd w:id="23"/>
      <w:bookmarkEnd w:id="24"/>
      <w:bookmarkEnd w:id="25"/>
      <w:bookmarkEnd w:id="26"/>
      <w:bookmarkEnd w:id="27"/>
    </w:p>
    <w:p w14:paraId="3BD3C2C1" w14:textId="2DEBEEF8" w:rsidR="004E683D" w:rsidRPr="00CA3F84" w:rsidRDefault="005E3B92" w:rsidP="004E683D">
      <w:pPr>
        <w:rPr>
          <w:color w:val="auto"/>
        </w:rPr>
      </w:pPr>
      <w:r w:rsidRPr="00CA3F84">
        <w:rPr>
          <w:color w:val="auto"/>
        </w:rPr>
        <w:t xml:space="preserve">La CFP a réalisé des progrès vers </w:t>
      </w:r>
      <w:r w:rsidRPr="004E7269">
        <w:rPr>
          <w:rStyle w:val="Strong"/>
          <w:color w:val="auto"/>
        </w:rPr>
        <w:t>l’instauration d’une culture d’ouverture par défaut</w:t>
      </w:r>
      <w:r w:rsidR="00B4312D" w:rsidRPr="00CA3F84">
        <w:rPr>
          <w:color w:val="auto"/>
        </w:rPr>
        <w:t xml:space="preserve">.  </w:t>
      </w:r>
      <w:r w:rsidRPr="00CA3F84">
        <w:rPr>
          <w:color w:val="auto"/>
        </w:rPr>
        <w:t>Les employés se livrent davantage à des activités liées au gouvernement ouvert et recherchent activement des moyens de participer au processus</w:t>
      </w:r>
      <w:r w:rsidR="00B4312D" w:rsidRPr="00CA3F84">
        <w:rPr>
          <w:color w:val="auto"/>
        </w:rPr>
        <w:t xml:space="preserve">.  </w:t>
      </w:r>
      <w:r w:rsidRPr="00CA3F84">
        <w:rPr>
          <w:color w:val="auto"/>
        </w:rPr>
        <w:t>La participation accrue aux activités</w:t>
      </w:r>
      <w:r w:rsidR="0028670A" w:rsidRPr="00CA3F84">
        <w:rPr>
          <w:color w:val="auto"/>
        </w:rPr>
        <w:t>,</w:t>
      </w:r>
      <w:r w:rsidRPr="00CA3F84">
        <w:rPr>
          <w:color w:val="auto"/>
        </w:rPr>
        <w:t xml:space="preserve"> comme notre </w:t>
      </w:r>
      <w:r w:rsidR="00210969" w:rsidRPr="00CA3F84">
        <w:rPr>
          <w:color w:val="auto"/>
        </w:rPr>
        <w:t>activité</w:t>
      </w:r>
      <w:r w:rsidRPr="00CA3F84">
        <w:rPr>
          <w:color w:val="auto"/>
        </w:rPr>
        <w:t xml:space="preserve"> </w:t>
      </w:r>
      <w:r w:rsidR="00210969" w:rsidRPr="00CA3F84">
        <w:rPr>
          <w:color w:val="auto"/>
        </w:rPr>
        <w:t xml:space="preserve">Portes ouvertes </w:t>
      </w:r>
      <w:r w:rsidRPr="00CA3F84">
        <w:rPr>
          <w:color w:val="auto"/>
        </w:rPr>
        <w:t xml:space="preserve">annuelle, nos campagnes de communication internes, et nos pages </w:t>
      </w:r>
      <w:proofErr w:type="spellStart"/>
      <w:r w:rsidRPr="00CA3F84">
        <w:rPr>
          <w:color w:val="auto"/>
        </w:rPr>
        <w:t>GCconnex</w:t>
      </w:r>
      <w:proofErr w:type="spellEnd"/>
      <w:r w:rsidRPr="00CA3F84">
        <w:rPr>
          <w:color w:val="auto"/>
        </w:rPr>
        <w:t xml:space="preserve"> et </w:t>
      </w:r>
      <w:proofErr w:type="spellStart"/>
      <w:r w:rsidRPr="00CA3F84">
        <w:rPr>
          <w:color w:val="auto"/>
        </w:rPr>
        <w:t>GCcollab</w:t>
      </w:r>
      <w:proofErr w:type="spellEnd"/>
      <w:r w:rsidR="0028670A" w:rsidRPr="00CA3F84">
        <w:rPr>
          <w:color w:val="auto"/>
        </w:rPr>
        <w:t>,</w:t>
      </w:r>
      <w:r w:rsidRPr="00CA3F84">
        <w:rPr>
          <w:color w:val="auto"/>
        </w:rPr>
        <w:t xml:space="preserve"> nous a permis de constater </w:t>
      </w:r>
      <w:r w:rsidR="0028670A" w:rsidRPr="00CA3F84">
        <w:rPr>
          <w:color w:val="auto"/>
        </w:rPr>
        <w:t>le</w:t>
      </w:r>
      <w:r w:rsidRPr="00CA3F84">
        <w:rPr>
          <w:color w:val="auto"/>
        </w:rPr>
        <w:t xml:space="preserve"> soutien plus étendu </w:t>
      </w:r>
      <w:r w:rsidR="00286F8E" w:rsidRPr="00CA3F84">
        <w:rPr>
          <w:color w:val="auto"/>
        </w:rPr>
        <w:t>accordé au</w:t>
      </w:r>
      <w:r w:rsidRPr="00CA3F84">
        <w:rPr>
          <w:color w:val="auto"/>
        </w:rPr>
        <w:t xml:space="preserve"> programme du gouvernement ouvert</w:t>
      </w:r>
      <w:r w:rsidR="00B4312D" w:rsidRPr="00CA3F84">
        <w:rPr>
          <w:color w:val="auto"/>
        </w:rPr>
        <w:t>.</w:t>
      </w:r>
      <w:r w:rsidR="004E683D" w:rsidRPr="00CA3F84">
        <w:rPr>
          <w:color w:val="auto"/>
        </w:rPr>
        <w:t xml:space="preserve"> </w:t>
      </w:r>
    </w:p>
    <w:p w14:paraId="45E34708" w14:textId="7AD7678A" w:rsidR="004E683D" w:rsidRPr="00CA3F84" w:rsidRDefault="005E3B92" w:rsidP="00D24F4D">
      <w:pPr>
        <w:spacing w:after="0"/>
        <w:rPr>
          <w:color w:val="auto"/>
        </w:rPr>
      </w:pPr>
      <w:r w:rsidRPr="00CA3F84">
        <w:rPr>
          <w:color w:val="auto"/>
        </w:rPr>
        <w:t>Cette participation accrue a, toutefois, donné lieu à de nouveaux défis</w:t>
      </w:r>
      <w:r w:rsidR="00B4312D" w:rsidRPr="00CA3F84">
        <w:rPr>
          <w:color w:val="auto"/>
        </w:rPr>
        <w:t xml:space="preserve">.  </w:t>
      </w:r>
      <w:r w:rsidRPr="00CA3F84">
        <w:rPr>
          <w:color w:val="auto"/>
        </w:rPr>
        <w:t xml:space="preserve">Nous devons </w:t>
      </w:r>
      <w:r w:rsidR="004B1BFA" w:rsidRPr="00CA3F84">
        <w:rPr>
          <w:color w:val="auto"/>
        </w:rPr>
        <w:t xml:space="preserve">davantage préciser nos processus, nos exigences, nos rôles et nos responsabilités, en commençant par ceux qui sont associés à l’identification des </w:t>
      </w:r>
      <w:r w:rsidR="00286F8E" w:rsidRPr="00CA3F84">
        <w:rPr>
          <w:color w:val="auto"/>
        </w:rPr>
        <w:t xml:space="preserve">ressources </w:t>
      </w:r>
      <w:r w:rsidR="004B1BFA" w:rsidRPr="00CA3F84">
        <w:rPr>
          <w:color w:val="auto"/>
        </w:rPr>
        <w:t xml:space="preserve">à publier sur le </w:t>
      </w:r>
      <w:r w:rsidR="00A919AF" w:rsidRPr="00CA3F84">
        <w:rPr>
          <w:color w:val="auto"/>
        </w:rPr>
        <w:t xml:space="preserve">Portail </w:t>
      </w:r>
      <w:r w:rsidR="004B1BFA" w:rsidRPr="00CA3F84">
        <w:rPr>
          <w:color w:val="auto"/>
        </w:rPr>
        <w:t>du gouvernement ouvert</w:t>
      </w:r>
      <w:r w:rsidR="00B4312D" w:rsidRPr="00CA3F84">
        <w:rPr>
          <w:color w:val="auto"/>
        </w:rPr>
        <w:t xml:space="preserve">.  </w:t>
      </w:r>
    </w:p>
    <w:p w14:paraId="3B28E90E" w14:textId="6C46F170" w:rsidR="004E683D" w:rsidRPr="00CA3F84" w:rsidRDefault="00240906" w:rsidP="004E683D">
      <w:pPr>
        <w:pStyle w:val="Heading3"/>
        <w:rPr>
          <w:color w:val="auto"/>
        </w:rPr>
      </w:pPr>
      <w:bookmarkStart w:id="28" w:name="_Toc44404869"/>
      <w:bookmarkStart w:id="29" w:name="_Toc44323387"/>
      <w:bookmarkStart w:id="30" w:name="_Toc46827407"/>
      <w:bookmarkStart w:id="31" w:name="_Toc49767847"/>
      <w:bookmarkStart w:id="32" w:name="_Toc50038757"/>
      <w:r w:rsidRPr="00CA3F84">
        <w:rPr>
          <w:color w:val="auto"/>
        </w:rPr>
        <w:lastRenderedPageBreak/>
        <w:t>Mobiliser</w:t>
      </w:r>
      <w:r w:rsidR="00CB396C" w:rsidRPr="00CA3F84">
        <w:rPr>
          <w:color w:val="auto"/>
        </w:rPr>
        <w:t xml:space="preserve"> </w:t>
      </w:r>
      <w:r w:rsidR="004B1BFA" w:rsidRPr="00CA3F84">
        <w:rPr>
          <w:color w:val="auto"/>
        </w:rPr>
        <w:t>pour diffuser des données et d</w:t>
      </w:r>
      <w:r w:rsidR="00286F8E" w:rsidRPr="00CA3F84">
        <w:rPr>
          <w:color w:val="auto"/>
        </w:rPr>
        <w:t>e</w:t>
      </w:r>
      <w:r w:rsidR="00CB396C" w:rsidRPr="00CA3F84">
        <w:rPr>
          <w:color w:val="auto"/>
        </w:rPr>
        <w:t xml:space="preserve"> </w:t>
      </w:r>
      <w:r w:rsidR="002F3E17" w:rsidRPr="00CA3F84">
        <w:rPr>
          <w:color w:val="auto"/>
        </w:rPr>
        <w:t>l’</w:t>
      </w:r>
      <w:r w:rsidR="004B1BFA" w:rsidRPr="00CA3F84">
        <w:rPr>
          <w:color w:val="auto"/>
        </w:rPr>
        <w:t>information à valeur ajoutée</w:t>
      </w:r>
      <w:bookmarkEnd w:id="28"/>
      <w:bookmarkEnd w:id="29"/>
      <w:bookmarkEnd w:id="30"/>
      <w:bookmarkEnd w:id="31"/>
      <w:bookmarkEnd w:id="32"/>
    </w:p>
    <w:p w14:paraId="2B818E30" w14:textId="50CC8D4E" w:rsidR="004E683D" w:rsidRPr="00CA3F84" w:rsidRDefault="004E683D" w:rsidP="004E683D">
      <w:pPr>
        <w:rPr>
          <w:color w:val="auto"/>
        </w:rPr>
      </w:pPr>
      <w:r w:rsidRPr="00CA3F84">
        <w:rPr>
          <w:color w:val="auto"/>
        </w:rPr>
        <w:t>T</w:t>
      </w:r>
      <w:r w:rsidR="004B1BFA" w:rsidRPr="00CA3F84">
        <w:rPr>
          <w:color w:val="auto"/>
        </w:rPr>
        <w:t xml:space="preserve">out au long du dernier PMOGO, nous avons </w:t>
      </w:r>
      <w:r w:rsidR="00197F1C" w:rsidRPr="004E7269">
        <w:rPr>
          <w:rStyle w:val="Strong"/>
          <w:color w:val="auto"/>
        </w:rPr>
        <w:t xml:space="preserve">encouragé la </w:t>
      </w:r>
      <w:r w:rsidR="004B1BFA" w:rsidRPr="004E7269">
        <w:rPr>
          <w:rStyle w:val="Strong"/>
          <w:color w:val="auto"/>
        </w:rPr>
        <w:t>diffus</w:t>
      </w:r>
      <w:r w:rsidR="00197F1C" w:rsidRPr="004E7269">
        <w:rPr>
          <w:rStyle w:val="Strong"/>
          <w:color w:val="auto"/>
        </w:rPr>
        <w:t>ion</w:t>
      </w:r>
      <w:r w:rsidR="004B1BFA" w:rsidRPr="004E7269">
        <w:rPr>
          <w:rStyle w:val="Strong"/>
          <w:color w:val="auto"/>
        </w:rPr>
        <w:t xml:space="preserve"> de données et d</w:t>
      </w:r>
      <w:r w:rsidR="00022ECD" w:rsidRPr="004E7269">
        <w:rPr>
          <w:rStyle w:val="Strong"/>
          <w:color w:val="auto"/>
        </w:rPr>
        <w:t>’</w:t>
      </w:r>
      <w:r w:rsidR="004B1BFA" w:rsidRPr="004E7269">
        <w:rPr>
          <w:rStyle w:val="Strong"/>
          <w:color w:val="auto"/>
        </w:rPr>
        <w:t>information</w:t>
      </w:r>
      <w:r w:rsidR="00286F8E" w:rsidRPr="004E7269">
        <w:rPr>
          <w:rStyle w:val="Strong"/>
          <w:color w:val="auto"/>
        </w:rPr>
        <w:t>s</w:t>
      </w:r>
      <w:r w:rsidR="004B1BFA" w:rsidRPr="004E7269">
        <w:rPr>
          <w:rStyle w:val="Strong"/>
          <w:color w:val="auto"/>
        </w:rPr>
        <w:t xml:space="preserve"> à valeur ajoutée</w:t>
      </w:r>
      <w:r w:rsidR="00B4312D" w:rsidRPr="00CA3F84">
        <w:rPr>
          <w:color w:val="auto"/>
        </w:rPr>
        <w:t xml:space="preserve">.  </w:t>
      </w:r>
      <w:r w:rsidR="004B1BFA" w:rsidRPr="00CA3F84">
        <w:rPr>
          <w:color w:val="auto"/>
        </w:rPr>
        <w:t>Nous nous sommes d’abord livrés à une mobilisation interne au sein de la CFP pour sensibiliser les employés et solliciter leurs commentaires</w:t>
      </w:r>
      <w:r w:rsidR="00B4312D" w:rsidRPr="00CA3F84">
        <w:rPr>
          <w:color w:val="auto"/>
        </w:rPr>
        <w:t xml:space="preserve">.  </w:t>
      </w:r>
      <w:r w:rsidR="004B1BFA" w:rsidRPr="00CA3F84">
        <w:rPr>
          <w:color w:val="auto"/>
        </w:rPr>
        <w:t xml:space="preserve">L’utilisation de divers médias comme notre </w:t>
      </w:r>
      <w:proofErr w:type="spellStart"/>
      <w:r w:rsidR="00626986" w:rsidRPr="00CA3F84">
        <w:rPr>
          <w:color w:val="auto"/>
        </w:rPr>
        <w:t>Intracom</w:t>
      </w:r>
      <w:proofErr w:type="spellEnd"/>
      <w:r w:rsidR="004B1BFA" w:rsidRPr="00CA3F84">
        <w:rPr>
          <w:color w:val="auto"/>
        </w:rPr>
        <w:t xml:space="preserve">, </w:t>
      </w:r>
      <w:proofErr w:type="spellStart"/>
      <w:r w:rsidR="004B1BFA" w:rsidRPr="00CA3F84">
        <w:rPr>
          <w:color w:val="auto"/>
        </w:rPr>
        <w:t>GCconnex</w:t>
      </w:r>
      <w:proofErr w:type="spellEnd"/>
      <w:r w:rsidR="004B1BFA" w:rsidRPr="00CA3F84">
        <w:rPr>
          <w:color w:val="auto"/>
        </w:rPr>
        <w:t xml:space="preserve"> et </w:t>
      </w:r>
      <w:r w:rsidR="000D4464" w:rsidRPr="00CA3F84">
        <w:rPr>
          <w:color w:val="auto"/>
        </w:rPr>
        <w:t xml:space="preserve">les </w:t>
      </w:r>
      <w:r w:rsidR="004B1BFA" w:rsidRPr="00CA3F84">
        <w:rPr>
          <w:color w:val="auto"/>
        </w:rPr>
        <w:t xml:space="preserve">communiqués internes pour diffuser ce que nous avons publié et pour sensibiliser les employés aux initiatives du gouvernement ouvert nous a permis </w:t>
      </w:r>
      <w:r w:rsidR="00626986" w:rsidRPr="00CA3F84">
        <w:rPr>
          <w:color w:val="auto"/>
        </w:rPr>
        <w:t>de solliciter une rétroaction et d’arriver à une meilleure perspective de ce que les employés souhaitent obtenir du gouvernement ouvert</w:t>
      </w:r>
      <w:r w:rsidR="00B4312D" w:rsidRPr="00CA3F84">
        <w:rPr>
          <w:color w:val="auto"/>
        </w:rPr>
        <w:t xml:space="preserve">.  </w:t>
      </w:r>
      <w:r w:rsidR="00626986" w:rsidRPr="00CA3F84">
        <w:rPr>
          <w:color w:val="auto"/>
        </w:rPr>
        <w:t>Pendant que nous réalisions des progrès à l’interne, nous avons élargi notre mobilisation pour inclure d’autres fonctionnaires dans l’ensemble du gouvernement du Canada et même, quoiqu’à une plus petite échelle, les membres du public</w:t>
      </w:r>
      <w:r w:rsidR="00B4312D" w:rsidRPr="00CA3F84">
        <w:rPr>
          <w:color w:val="auto"/>
        </w:rPr>
        <w:t xml:space="preserve">.  </w:t>
      </w:r>
      <w:r w:rsidR="00626986" w:rsidRPr="00CA3F84">
        <w:rPr>
          <w:color w:val="auto"/>
        </w:rPr>
        <w:t xml:space="preserve">Nous avons reçu des questions de fonctionnaires des quatre coins du pays et nous y avons répondu, nous avons publié des </w:t>
      </w:r>
      <w:r w:rsidR="00D65E22" w:rsidRPr="00CA3F84">
        <w:rPr>
          <w:color w:val="auto"/>
        </w:rPr>
        <w:t xml:space="preserve">Tweets  </w:t>
      </w:r>
      <w:r w:rsidR="00626986" w:rsidRPr="00CA3F84">
        <w:rPr>
          <w:color w:val="auto"/>
        </w:rPr>
        <w:t xml:space="preserve">et des blogues, nous avons participé à une discussion informelle par l’entremise de l’École de la fonction publique du Canada, et nous avons </w:t>
      </w:r>
      <w:proofErr w:type="spellStart"/>
      <w:r w:rsidR="00626986" w:rsidRPr="00CA3F84">
        <w:rPr>
          <w:color w:val="auto"/>
        </w:rPr>
        <w:t>co</w:t>
      </w:r>
      <w:proofErr w:type="spellEnd"/>
      <w:r w:rsidR="00A91B2E" w:rsidRPr="00CA3F84">
        <w:rPr>
          <w:color w:val="auto"/>
        </w:rPr>
        <w:t>-</w:t>
      </w:r>
      <w:r w:rsidR="00626986" w:rsidRPr="00CA3F84">
        <w:rPr>
          <w:color w:val="auto"/>
        </w:rPr>
        <w:t>animé un webinaire public avec le Secrétariat du Conseil du Trésor</w:t>
      </w:r>
      <w:r w:rsidR="00B4312D" w:rsidRPr="00CA3F84">
        <w:rPr>
          <w:color w:val="auto"/>
        </w:rPr>
        <w:t xml:space="preserve">.  </w:t>
      </w:r>
      <w:r w:rsidR="00626986" w:rsidRPr="00CA3F84">
        <w:rPr>
          <w:color w:val="auto"/>
        </w:rPr>
        <w:t>Toutes ces initiatives ont étendu notre portée, ont informé les Canadiens des données ouvertes et de</w:t>
      </w:r>
      <w:r w:rsidR="006F3750" w:rsidRPr="00CA3F84">
        <w:rPr>
          <w:color w:val="auto"/>
        </w:rPr>
        <w:t xml:space="preserve"> l’</w:t>
      </w:r>
      <w:r w:rsidR="00286F8E" w:rsidRPr="00CA3F84">
        <w:rPr>
          <w:color w:val="auto"/>
        </w:rPr>
        <w:t>information ouverte</w:t>
      </w:r>
      <w:r w:rsidR="00626986" w:rsidRPr="00CA3F84">
        <w:rPr>
          <w:color w:val="auto"/>
        </w:rPr>
        <w:t xml:space="preserve"> de la CFP, et nous ont permis d’incorporer une rétroaction importante dans notre travail</w:t>
      </w:r>
      <w:r w:rsidR="00B4312D" w:rsidRPr="00CA3F84">
        <w:rPr>
          <w:color w:val="auto"/>
        </w:rPr>
        <w:t xml:space="preserve">.  </w:t>
      </w:r>
    </w:p>
    <w:p w14:paraId="24388195" w14:textId="4246C353" w:rsidR="004E683D" w:rsidRPr="00CA3F84" w:rsidRDefault="00626986" w:rsidP="004E683D">
      <w:pPr>
        <w:rPr>
          <w:color w:val="auto"/>
        </w:rPr>
      </w:pPr>
      <w:r w:rsidRPr="00CA3F84">
        <w:rPr>
          <w:color w:val="auto"/>
        </w:rPr>
        <w:t xml:space="preserve">Pendant notre mobilisation au sein de la CFP, les employés ont fait part de leur hésitation à échanger </w:t>
      </w:r>
      <w:r w:rsidR="00286F8E" w:rsidRPr="00CA3F84">
        <w:rPr>
          <w:color w:val="auto"/>
        </w:rPr>
        <w:t>de</w:t>
      </w:r>
      <w:r w:rsidR="00F133F5" w:rsidRPr="00CA3F84">
        <w:rPr>
          <w:color w:val="auto"/>
        </w:rPr>
        <w:t xml:space="preserve"> l’</w:t>
      </w:r>
      <w:r w:rsidRPr="00CA3F84">
        <w:rPr>
          <w:color w:val="auto"/>
        </w:rPr>
        <w:t>information par l’entremise du gouvernement ouvert</w:t>
      </w:r>
      <w:r w:rsidR="00B4312D" w:rsidRPr="00CA3F84">
        <w:rPr>
          <w:color w:val="auto"/>
        </w:rPr>
        <w:t xml:space="preserve">.  </w:t>
      </w:r>
      <w:r w:rsidRPr="00CA3F84">
        <w:rPr>
          <w:color w:val="auto"/>
        </w:rPr>
        <w:t>De plus, les employés de la CFP ont relevé le besoin d’une formation supplémentaire sur des questions liées au gouvernement ouvert</w:t>
      </w:r>
      <w:r w:rsidR="00B4312D" w:rsidRPr="00CA3F84">
        <w:rPr>
          <w:color w:val="auto"/>
        </w:rPr>
        <w:t xml:space="preserve">.  </w:t>
      </w:r>
    </w:p>
    <w:p w14:paraId="26D0092C" w14:textId="72019EAE" w:rsidR="004E683D" w:rsidRPr="00CA3F84" w:rsidRDefault="00626986" w:rsidP="004E683D">
      <w:pPr>
        <w:pStyle w:val="Heading3"/>
        <w:rPr>
          <w:color w:val="auto"/>
        </w:rPr>
      </w:pPr>
      <w:bookmarkStart w:id="33" w:name="_Toc44404870"/>
      <w:bookmarkStart w:id="34" w:name="_Toc44323388"/>
      <w:bookmarkStart w:id="35" w:name="_Toc46827408"/>
      <w:bookmarkStart w:id="36" w:name="_Toc49767848"/>
      <w:bookmarkStart w:id="37" w:name="_Toc50038758"/>
      <w:r w:rsidRPr="00CA3F84">
        <w:rPr>
          <w:color w:val="auto"/>
        </w:rPr>
        <w:t>Optimiser les outils libre-service grâce à l’innovation</w:t>
      </w:r>
      <w:bookmarkEnd w:id="33"/>
      <w:bookmarkEnd w:id="34"/>
      <w:bookmarkEnd w:id="35"/>
      <w:bookmarkEnd w:id="36"/>
      <w:bookmarkEnd w:id="37"/>
      <w:r w:rsidRPr="00CA3F84">
        <w:rPr>
          <w:color w:val="auto"/>
        </w:rPr>
        <w:t xml:space="preserve"> </w:t>
      </w:r>
    </w:p>
    <w:p w14:paraId="15FCA0DF" w14:textId="2468FB94" w:rsidR="004E683D" w:rsidRPr="00CA3F84" w:rsidRDefault="00626986" w:rsidP="004E683D">
      <w:pPr>
        <w:rPr>
          <w:color w:val="auto"/>
        </w:rPr>
      </w:pPr>
      <w:r w:rsidRPr="00CA3F84">
        <w:rPr>
          <w:color w:val="auto"/>
        </w:rPr>
        <w:t xml:space="preserve">Nous avons réalisé des progrès pour </w:t>
      </w:r>
      <w:r w:rsidR="004E683D" w:rsidRPr="004E7269">
        <w:rPr>
          <w:rStyle w:val="Strong"/>
          <w:color w:val="auto"/>
        </w:rPr>
        <w:t>optimi</w:t>
      </w:r>
      <w:r w:rsidRPr="004E7269">
        <w:rPr>
          <w:rStyle w:val="Strong"/>
          <w:color w:val="auto"/>
        </w:rPr>
        <w:t>ser les outils libre-service grâce à l’innovation</w:t>
      </w:r>
      <w:r w:rsidR="00B4312D" w:rsidRPr="00CA3F84">
        <w:rPr>
          <w:color w:val="auto"/>
        </w:rPr>
        <w:t xml:space="preserve">.  </w:t>
      </w:r>
      <w:r w:rsidRPr="00CA3F84">
        <w:rPr>
          <w:color w:val="auto"/>
        </w:rPr>
        <w:t>Nous avons codé le premier outil interactif de visualisation</w:t>
      </w:r>
      <w:r w:rsidR="006A330D" w:rsidRPr="00CA3F84">
        <w:rPr>
          <w:color w:val="auto"/>
        </w:rPr>
        <w:t xml:space="preserve"> </w:t>
      </w:r>
      <w:r w:rsidRPr="00CA3F84">
        <w:rPr>
          <w:color w:val="auto"/>
        </w:rPr>
        <w:t>publié sur le Portail des données ouvertes</w:t>
      </w:r>
      <w:r w:rsidR="00B4312D" w:rsidRPr="00CA3F84">
        <w:rPr>
          <w:color w:val="auto"/>
        </w:rPr>
        <w:t xml:space="preserve">.  </w:t>
      </w:r>
      <w:r w:rsidR="006450FF" w:rsidRPr="00CA3F84">
        <w:rPr>
          <w:color w:val="auto"/>
        </w:rPr>
        <w:t>L’outil vise à aider les ministères à analyser les résultats qu’ils ont obtenus au Sondage sur la dotation et l’impartialité politique</w:t>
      </w:r>
      <w:r w:rsidR="00B4312D" w:rsidRPr="00CA3F84">
        <w:rPr>
          <w:color w:val="auto"/>
        </w:rPr>
        <w:t xml:space="preserve">.  </w:t>
      </w:r>
      <w:r w:rsidR="006450FF" w:rsidRPr="00CA3F84">
        <w:rPr>
          <w:color w:val="auto"/>
        </w:rPr>
        <w:t xml:space="preserve">Le code pour l’outil de visualisation et le code pour notre plateforme informatique automatisée de test ont été </w:t>
      </w:r>
      <w:proofErr w:type="spellStart"/>
      <w:r w:rsidR="006450FF" w:rsidRPr="00CA3F84">
        <w:rPr>
          <w:color w:val="auto"/>
        </w:rPr>
        <w:t>téléversés</w:t>
      </w:r>
      <w:proofErr w:type="spellEnd"/>
      <w:r w:rsidR="006450FF" w:rsidRPr="00CA3F84">
        <w:rPr>
          <w:color w:val="auto"/>
        </w:rPr>
        <w:t xml:space="preserve"> vers la plateforme mondiale de développement </w:t>
      </w:r>
      <w:proofErr w:type="spellStart"/>
      <w:r w:rsidR="006450FF" w:rsidRPr="00CA3F84">
        <w:rPr>
          <w:color w:val="auto"/>
        </w:rPr>
        <w:t>GitHub</w:t>
      </w:r>
      <w:proofErr w:type="spellEnd"/>
      <w:r w:rsidR="006450FF" w:rsidRPr="00CA3F84">
        <w:rPr>
          <w:color w:val="auto"/>
        </w:rPr>
        <w:t>, un site qui offre des services d’hébergement pour la gestion des versions et le partage de code du développement logiciel</w:t>
      </w:r>
      <w:r w:rsidR="00B4312D" w:rsidRPr="00CA3F84">
        <w:rPr>
          <w:color w:val="auto"/>
        </w:rPr>
        <w:t xml:space="preserve">.  </w:t>
      </w:r>
      <w:r w:rsidR="006450FF" w:rsidRPr="00CA3F84">
        <w:rPr>
          <w:color w:val="auto"/>
        </w:rPr>
        <w:t>La CFP a également inclus le gouvernement ouvert dans le protocole d’approbation et de diffusion des données qui fait partie de la Stratégie de gestion des données de la CFP</w:t>
      </w:r>
      <w:r w:rsidR="00B4312D" w:rsidRPr="00CA3F84">
        <w:rPr>
          <w:color w:val="auto"/>
        </w:rPr>
        <w:t xml:space="preserve">.  </w:t>
      </w:r>
    </w:p>
    <w:p w14:paraId="17B45438" w14:textId="08C671BA" w:rsidR="004E683D" w:rsidRPr="00CA3F84" w:rsidRDefault="00A646E4" w:rsidP="004E683D">
      <w:pPr>
        <w:rPr>
          <w:color w:val="auto"/>
        </w:rPr>
      </w:pPr>
      <w:r w:rsidRPr="00CA3F84">
        <w:rPr>
          <w:color w:val="auto"/>
        </w:rPr>
        <w:t>Avec l’expérience acquise</w:t>
      </w:r>
      <w:r w:rsidR="006450FF" w:rsidRPr="00CA3F84">
        <w:rPr>
          <w:color w:val="auto"/>
        </w:rPr>
        <w:t>, nous avons appris que nous devons encore rehausser la convivialité du gouvernement ouvert aussi bien à l’interne pour les employés</w:t>
      </w:r>
      <w:r w:rsidR="0042235E" w:rsidRPr="00CA3F84">
        <w:rPr>
          <w:color w:val="auto"/>
        </w:rPr>
        <w:t>,</w:t>
      </w:r>
      <w:r w:rsidR="006450FF" w:rsidRPr="00CA3F84">
        <w:rPr>
          <w:color w:val="auto"/>
        </w:rPr>
        <w:t xml:space="preserve"> qu’à l’externe pour d’autres ministères du gouvernement et pour les Canadiens</w:t>
      </w:r>
      <w:r w:rsidR="00B4312D" w:rsidRPr="00CA3F84">
        <w:rPr>
          <w:color w:val="auto"/>
        </w:rPr>
        <w:t xml:space="preserve">.  </w:t>
      </w:r>
    </w:p>
    <w:p w14:paraId="7C0FAD93" w14:textId="4F3B6973" w:rsidR="004E683D" w:rsidRPr="00CA3F84" w:rsidRDefault="006450FF" w:rsidP="004E683D">
      <w:pPr>
        <w:rPr>
          <w:color w:val="auto"/>
        </w:rPr>
      </w:pPr>
      <w:r w:rsidRPr="00CA3F84">
        <w:rPr>
          <w:color w:val="auto"/>
        </w:rPr>
        <w:t xml:space="preserve">En élargissant nos engagements </w:t>
      </w:r>
      <w:r w:rsidR="00490D81" w:rsidRPr="00CA3F84">
        <w:rPr>
          <w:color w:val="auto"/>
        </w:rPr>
        <w:t>pour</w:t>
      </w:r>
      <w:r w:rsidR="0042235E" w:rsidRPr="00CA3F84">
        <w:rPr>
          <w:color w:val="auto"/>
        </w:rPr>
        <w:t xml:space="preserve"> répondre à ces enjeux, </w:t>
      </w:r>
      <w:r w:rsidRPr="00CA3F84">
        <w:rPr>
          <w:color w:val="auto"/>
        </w:rPr>
        <w:t xml:space="preserve"> nous conserverons l’élan de notre dernier PMOGO et continuerons à réaliser des progrès vers la création d’une CFP ouverte</w:t>
      </w:r>
      <w:r w:rsidR="00B4312D" w:rsidRPr="00CA3F84">
        <w:rPr>
          <w:color w:val="auto"/>
        </w:rPr>
        <w:t>.</w:t>
      </w:r>
      <w:r w:rsidR="004E683D" w:rsidRPr="00CA3F84">
        <w:rPr>
          <w:color w:val="auto"/>
        </w:rPr>
        <w:t xml:space="preserve"> </w:t>
      </w:r>
    </w:p>
    <w:p w14:paraId="0082DA51" w14:textId="4DCE3210" w:rsidR="004E683D" w:rsidRPr="00CA3F84" w:rsidRDefault="004E683D" w:rsidP="004E683D">
      <w:pPr>
        <w:pStyle w:val="Heading1"/>
        <w:rPr>
          <w:color w:val="auto"/>
        </w:rPr>
      </w:pPr>
      <w:bookmarkStart w:id="38" w:name="_Toc44323389"/>
      <w:bookmarkStart w:id="39" w:name="_Toc50038759"/>
      <w:r w:rsidRPr="00CA3F84">
        <w:rPr>
          <w:color w:val="auto"/>
        </w:rPr>
        <w:lastRenderedPageBreak/>
        <w:t>5</w:t>
      </w:r>
      <w:r w:rsidR="00B4312D" w:rsidRPr="00CA3F84">
        <w:rPr>
          <w:color w:val="auto"/>
        </w:rPr>
        <w:t xml:space="preserve">.  </w:t>
      </w:r>
      <w:r w:rsidR="00B36D15" w:rsidRPr="00CA3F84">
        <w:rPr>
          <w:color w:val="auto"/>
        </w:rPr>
        <w:t>Méthode d’élaboration du 3</w:t>
      </w:r>
      <w:r w:rsidR="00B36D15" w:rsidRPr="00CA3F84">
        <w:rPr>
          <w:color w:val="auto"/>
          <w:vertAlign w:val="superscript"/>
        </w:rPr>
        <w:t>e</w:t>
      </w:r>
      <w:r w:rsidR="00B36D15" w:rsidRPr="00CA3F84">
        <w:rPr>
          <w:color w:val="auto"/>
        </w:rPr>
        <w:t xml:space="preserve"> PMOGO biennal</w:t>
      </w:r>
      <w:bookmarkEnd w:id="38"/>
      <w:bookmarkEnd w:id="39"/>
    </w:p>
    <w:p w14:paraId="36FDF6EB" w14:textId="4B9392C1" w:rsidR="004E683D" w:rsidRPr="00CA3F84" w:rsidRDefault="00B36D15" w:rsidP="004E683D">
      <w:pPr>
        <w:rPr>
          <w:color w:val="auto"/>
        </w:rPr>
      </w:pPr>
      <w:r w:rsidRPr="00CA3F84">
        <w:rPr>
          <w:color w:val="auto"/>
        </w:rPr>
        <w:t xml:space="preserve">Dans l’esprit du gouvernement ouvert, nous avons réuni des intervenants de l’ensemble de la CFP dans le cadre de diverses tribunes afin de collaborer et de cerner les enjeux, les risques et les possibilités </w:t>
      </w:r>
      <w:r w:rsidR="00490D81" w:rsidRPr="00CA3F84">
        <w:rPr>
          <w:color w:val="auto"/>
        </w:rPr>
        <w:t>futures</w:t>
      </w:r>
      <w:r w:rsidR="00B4312D" w:rsidRPr="00CA3F84">
        <w:rPr>
          <w:color w:val="auto"/>
        </w:rPr>
        <w:t xml:space="preserve">.  </w:t>
      </w:r>
      <w:r w:rsidRPr="00CA3F84">
        <w:rPr>
          <w:color w:val="auto"/>
        </w:rPr>
        <w:t xml:space="preserve">L’objectif consistait à créer une vision et un plan holistiques </w:t>
      </w:r>
      <w:r w:rsidR="00832DAF" w:rsidRPr="00CA3F84">
        <w:rPr>
          <w:color w:val="auto"/>
        </w:rPr>
        <w:t xml:space="preserve">auxquels </w:t>
      </w:r>
      <w:r w:rsidR="000D4464" w:rsidRPr="00CA3F84">
        <w:rPr>
          <w:color w:val="auto"/>
        </w:rPr>
        <w:t>les employés pouvaient s</w:t>
      </w:r>
      <w:r w:rsidR="00133081" w:rsidRPr="00CA3F84">
        <w:rPr>
          <w:color w:val="auto"/>
        </w:rPr>
        <w:t>’</w:t>
      </w:r>
      <w:r w:rsidR="000D4464" w:rsidRPr="00CA3F84">
        <w:rPr>
          <w:color w:val="auto"/>
        </w:rPr>
        <w:t>identifier</w:t>
      </w:r>
      <w:r w:rsidR="00B4312D" w:rsidRPr="00CA3F84">
        <w:rPr>
          <w:color w:val="auto"/>
        </w:rPr>
        <w:t xml:space="preserve">.  </w:t>
      </w:r>
      <w:r w:rsidRPr="00CA3F84">
        <w:rPr>
          <w:color w:val="auto"/>
        </w:rPr>
        <w:t>Ces consultations ont fait ressortir les enjeux et les attentes des employés à l’égard de l’avenir du gouvernement ouvert à la CFP</w:t>
      </w:r>
      <w:r w:rsidR="00B4312D" w:rsidRPr="00CA3F84">
        <w:rPr>
          <w:color w:val="auto"/>
        </w:rPr>
        <w:t xml:space="preserve">.  </w:t>
      </w:r>
    </w:p>
    <w:p w14:paraId="47F676A1" w14:textId="273829BB" w:rsidR="004E683D" w:rsidRPr="00CA3F84" w:rsidRDefault="00B36D15" w:rsidP="004E683D">
      <w:pPr>
        <w:rPr>
          <w:color w:val="auto"/>
        </w:rPr>
      </w:pPr>
      <w:r w:rsidRPr="00CA3F84">
        <w:rPr>
          <w:color w:val="auto"/>
        </w:rPr>
        <w:t xml:space="preserve">L’ébauche du PMOGO a été </w:t>
      </w:r>
      <w:r w:rsidR="00832DAF" w:rsidRPr="00CA3F84">
        <w:rPr>
          <w:color w:val="auto"/>
        </w:rPr>
        <w:t xml:space="preserve">mise à la disposition des employés pendant une semaine pour qu’ils puissent formuler des observations, avant qu’elle ne soit </w:t>
      </w:r>
      <w:r w:rsidRPr="00CA3F84">
        <w:rPr>
          <w:color w:val="auto"/>
        </w:rPr>
        <w:t>discutée par la gouvernance de la CFP ouverte et approuvée par le Comité exécutif de gestion</w:t>
      </w:r>
      <w:r w:rsidR="00E36175" w:rsidRPr="00CA3F84">
        <w:rPr>
          <w:color w:val="auto"/>
        </w:rPr>
        <w:t xml:space="preserve"> le 17 juin 2020</w:t>
      </w:r>
      <w:r w:rsidR="00B4312D" w:rsidRPr="00CA3F84">
        <w:rPr>
          <w:color w:val="auto"/>
        </w:rPr>
        <w:t xml:space="preserve">.  </w:t>
      </w:r>
    </w:p>
    <w:p w14:paraId="1A7E8D85" w14:textId="61F33BB4" w:rsidR="00436F88" w:rsidRPr="00CA3F84" w:rsidRDefault="00436F88" w:rsidP="004F2353">
      <w:pPr>
        <w:pStyle w:val="Heading1"/>
        <w:rPr>
          <w:color w:val="auto"/>
        </w:rPr>
      </w:pPr>
      <w:bookmarkStart w:id="40" w:name="_Toc44323390"/>
      <w:bookmarkStart w:id="41" w:name="_Toc50038760"/>
      <w:r w:rsidRPr="00CA3F84">
        <w:rPr>
          <w:color w:val="auto"/>
        </w:rPr>
        <w:t>6</w:t>
      </w:r>
      <w:r w:rsidR="00B4312D" w:rsidRPr="00CA3F84">
        <w:rPr>
          <w:color w:val="auto"/>
        </w:rPr>
        <w:t xml:space="preserve">.  </w:t>
      </w:r>
      <w:r w:rsidRPr="00CA3F84">
        <w:rPr>
          <w:color w:val="auto"/>
        </w:rPr>
        <w:t>O</w:t>
      </w:r>
      <w:r w:rsidR="00B36D15" w:rsidRPr="00CA3F84">
        <w:rPr>
          <w:color w:val="auto"/>
        </w:rPr>
        <w:t>bjectifs de la CFP ouverte</w:t>
      </w:r>
      <w:bookmarkEnd w:id="40"/>
      <w:bookmarkEnd w:id="41"/>
    </w:p>
    <w:p w14:paraId="36762E20" w14:textId="12C59630" w:rsidR="000B7A70" w:rsidRPr="00CA3F84" w:rsidRDefault="00C66C67" w:rsidP="000B7A70">
      <w:pPr>
        <w:rPr>
          <w:color w:val="auto"/>
        </w:rPr>
      </w:pPr>
      <w:r w:rsidRPr="00CA3F84">
        <w:rPr>
          <w:color w:val="auto"/>
        </w:rPr>
        <w:t xml:space="preserve">Au cours des deux dernières années, la CFP </w:t>
      </w:r>
      <w:r w:rsidR="00725F7C" w:rsidRPr="00CA3F84">
        <w:rPr>
          <w:color w:val="auto"/>
        </w:rPr>
        <w:t xml:space="preserve">a pris un engagement envers le gouvernement ouvert en poursuivant quatre principaux </w:t>
      </w:r>
      <w:r w:rsidR="00725F7C" w:rsidRPr="000430A4">
        <w:rPr>
          <w:color w:val="auto"/>
        </w:rPr>
        <w:t xml:space="preserve">objectifs </w:t>
      </w:r>
      <w:r w:rsidR="004E26F3" w:rsidRPr="000430A4">
        <w:rPr>
          <w:color w:val="auto"/>
        </w:rPr>
        <w:t>(figure 3</w:t>
      </w:r>
      <w:r w:rsidR="00725F7C" w:rsidRPr="000430A4">
        <w:rPr>
          <w:color w:val="auto"/>
        </w:rPr>
        <w:t>)</w:t>
      </w:r>
      <w:r w:rsidR="00715C40" w:rsidRPr="000430A4">
        <w:rPr>
          <w:rStyle w:val="FootnoteReference"/>
          <w:color w:val="auto"/>
        </w:rPr>
        <w:footnoteReference w:id="11"/>
      </w:r>
      <w:r w:rsidR="00725F7C" w:rsidRPr="000430A4">
        <w:rPr>
          <w:color w:val="auto"/>
        </w:rPr>
        <w:t> :</w:t>
      </w:r>
    </w:p>
    <w:p w14:paraId="4AA553ED" w14:textId="0CB57B96" w:rsidR="00715C40" w:rsidRPr="00CA3F84" w:rsidRDefault="00725F7C" w:rsidP="00715C40">
      <w:pPr>
        <w:pStyle w:val="ListParagraph"/>
        <w:numPr>
          <w:ilvl w:val="0"/>
          <w:numId w:val="26"/>
        </w:numPr>
        <w:rPr>
          <w:color w:val="auto"/>
        </w:rPr>
      </w:pPr>
      <w:r w:rsidRPr="00CA3F84">
        <w:rPr>
          <w:color w:val="auto"/>
        </w:rPr>
        <w:t>Instaurer une culture d’ouverture par défaut</w:t>
      </w:r>
    </w:p>
    <w:p w14:paraId="43918FCD" w14:textId="24288DE7" w:rsidR="00715C40" w:rsidRPr="00CA3F84" w:rsidRDefault="00725F7C" w:rsidP="00715C40">
      <w:pPr>
        <w:pStyle w:val="ListParagraph"/>
        <w:numPr>
          <w:ilvl w:val="0"/>
          <w:numId w:val="26"/>
        </w:numPr>
        <w:rPr>
          <w:color w:val="auto"/>
        </w:rPr>
      </w:pPr>
      <w:r w:rsidRPr="00CA3F84">
        <w:rPr>
          <w:color w:val="auto"/>
        </w:rPr>
        <w:t>Engager pour diffuser des données et de</w:t>
      </w:r>
      <w:r w:rsidR="00D024D9" w:rsidRPr="00CA3F84">
        <w:rPr>
          <w:color w:val="auto"/>
        </w:rPr>
        <w:t xml:space="preserve"> l’</w:t>
      </w:r>
      <w:r w:rsidR="00832DAF" w:rsidRPr="00CA3F84">
        <w:rPr>
          <w:color w:val="auto"/>
        </w:rPr>
        <w:t>information à</w:t>
      </w:r>
      <w:r w:rsidRPr="00CA3F84">
        <w:rPr>
          <w:color w:val="auto"/>
        </w:rPr>
        <w:t xml:space="preserve"> valeur ajoutée</w:t>
      </w:r>
    </w:p>
    <w:p w14:paraId="42469592" w14:textId="4AF56B64" w:rsidR="00715C40" w:rsidRPr="00CA3F84" w:rsidRDefault="00725F7C" w:rsidP="00715C40">
      <w:pPr>
        <w:pStyle w:val="ListParagraph"/>
        <w:numPr>
          <w:ilvl w:val="0"/>
          <w:numId w:val="26"/>
        </w:numPr>
        <w:rPr>
          <w:color w:val="auto"/>
        </w:rPr>
      </w:pPr>
      <w:r w:rsidRPr="00CA3F84">
        <w:rPr>
          <w:color w:val="auto"/>
        </w:rPr>
        <w:t>Optimiser le libre-service grâce à l’innovation</w:t>
      </w:r>
    </w:p>
    <w:p w14:paraId="0144E22C" w14:textId="0AB95009" w:rsidR="00715C40" w:rsidRPr="00CA3F84" w:rsidRDefault="00725F7C" w:rsidP="000B7A70">
      <w:pPr>
        <w:pStyle w:val="ListParagraph"/>
        <w:numPr>
          <w:ilvl w:val="0"/>
          <w:numId w:val="26"/>
        </w:numPr>
        <w:rPr>
          <w:color w:val="auto"/>
        </w:rPr>
      </w:pPr>
      <w:r w:rsidRPr="00CA3F84">
        <w:rPr>
          <w:color w:val="auto"/>
        </w:rPr>
        <w:t xml:space="preserve">Appuyer les engagements et les attentes du gouvernement du Canada </w:t>
      </w:r>
    </w:p>
    <w:p w14:paraId="6ED4400A" w14:textId="6173C2D9" w:rsidR="000B7A70" w:rsidRPr="00CA3F84" w:rsidRDefault="00725F7C" w:rsidP="000B7A70">
      <w:pPr>
        <w:rPr>
          <w:color w:val="auto"/>
        </w:rPr>
      </w:pPr>
      <w:r w:rsidRPr="00CA3F84">
        <w:rPr>
          <w:color w:val="auto"/>
        </w:rPr>
        <w:t>Les consultations auprès des employés de la CFP ont révélé que les quatre objectifs présentés dans le PMOGO précédent sont toujours pertinents et qu’un effort supplémentaire s’impose pour les atteindre</w:t>
      </w:r>
      <w:r w:rsidR="00B4312D" w:rsidRPr="00CA3F84">
        <w:rPr>
          <w:color w:val="auto"/>
        </w:rPr>
        <w:t xml:space="preserve">.  </w:t>
      </w:r>
      <w:r w:rsidRPr="00CA3F84">
        <w:rPr>
          <w:color w:val="auto"/>
        </w:rPr>
        <w:t>Par conséquent, le PMOGO de 2020-2022 représente la suite de nos efforts pour atteindre ces objectifs, accompagnés de nouveaux engagements, comme il est illustré dans la figure ci-dessous</w:t>
      </w:r>
      <w:r w:rsidR="00B4312D" w:rsidRPr="00CA3F84">
        <w:rPr>
          <w:color w:val="auto"/>
        </w:rPr>
        <w:t xml:space="preserve">.  </w:t>
      </w:r>
    </w:p>
    <w:p w14:paraId="714CA9AD" w14:textId="77777777" w:rsidR="004E7269" w:rsidRDefault="002E537A" w:rsidP="004E7269">
      <w:pPr>
        <w:keepNext/>
        <w:keepLines w:val="0"/>
      </w:pPr>
      <w:r w:rsidRPr="00CA3F84">
        <w:rPr>
          <w:b/>
          <w:noProof/>
          <w:color w:val="auto"/>
          <w:lang w:val="en-CA" w:eastAsia="en-CA"/>
        </w:rPr>
        <w:lastRenderedPageBreak/>
        <w:drawing>
          <wp:inline distT="0" distB="0" distL="0" distR="0" wp14:anchorId="526C6217" wp14:editId="7E013B4E">
            <wp:extent cx="5961797" cy="2704437"/>
            <wp:effectExtent l="0" t="0" r="1270" b="0"/>
            <wp:docPr id="3" name="Picture 3" descr="Objectifs et engagements de la CFP ouverte pour 2020-2022&#10;1)Appuyer les engagements et les attentes du gouvernement du Canada&#10;Maximiser la publication de données et d’information&#10;Harmoniser avec l’orientation du GC&#10;Planifier le prochain PMOGO&#10;2)Instaurer une culture « d’ouverture par défaut »&#10;Clarifier les rôles, les responsabilités, les exigences et les processus du gouvernement ouvert&#10;3)Optimiser le libre-service grâce à l’innovation&#10;Assurer la convivialité interne du gouvernement ouvert pour les employés&#10;Assurer la convivialité externe du gouvernement ouvert pour les Canadiens&#10;4)Mobiliser pour diffuser des données et de l’information à valeur ajoutée&#10;Faciliter la « publication avec un but »&#10;&#10;&#10;&#10;&#10;&#10;" title="Objectifs et engagements de la CFP ouverte pour 2020-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8636" cy="2716612"/>
                    </a:xfrm>
                    <a:prstGeom prst="rect">
                      <a:avLst/>
                    </a:prstGeom>
                    <a:noFill/>
                  </pic:spPr>
                </pic:pic>
              </a:graphicData>
            </a:graphic>
          </wp:inline>
        </w:drawing>
      </w:r>
    </w:p>
    <w:p w14:paraId="43BEFC1A" w14:textId="5610CA19" w:rsidR="00720472" w:rsidRPr="00720472" w:rsidRDefault="004E7269" w:rsidP="00720472">
      <w:pPr>
        <w:pStyle w:val="Caption"/>
        <w:rPr>
          <w:color w:val="auto"/>
        </w:rPr>
      </w:pPr>
      <w:r w:rsidRPr="00720472">
        <w:rPr>
          <w:color w:val="auto"/>
        </w:rPr>
        <w:t xml:space="preserve">Figure </w:t>
      </w:r>
      <w:r w:rsidRPr="00720472">
        <w:rPr>
          <w:color w:val="auto"/>
        </w:rPr>
        <w:fldChar w:fldCharType="begin"/>
      </w:r>
      <w:r w:rsidRPr="00720472">
        <w:rPr>
          <w:color w:val="auto"/>
        </w:rPr>
        <w:instrText xml:space="preserve"> SEQ Figure \* ARABIC </w:instrText>
      </w:r>
      <w:r w:rsidRPr="00720472">
        <w:rPr>
          <w:color w:val="auto"/>
        </w:rPr>
        <w:fldChar w:fldCharType="separate"/>
      </w:r>
      <w:r w:rsidR="006968CC">
        <w:rPr>
          <w:noProof/>
          <w:color w:val="auto"/>
        </w:rPr>
        <w:t>3</w:t>
      </w:r>
      <w:r w:rsidRPr="00720472">
        <w:rPr>
          <w:color w:val="auto"/>
        </w:rPr>
        <w:fldChar w:fldCharType="end"/>
      </w:r>
      <w:r w:rsidRPr="00720472">
        <w:rPr>
          <w:color w:val="auto"/>
        </w:rPr>
        <w:t xml:space="preserve"> - Objectifs et engagements de la CFP ouverte pour 2020-2022</w:t>
      </w:r>
      <w:r w:rsidR="00CC6B16">
        <w:rPr>
          <w:color w:val="auto"/>
        </w:rPr>
        <w:br/>
      </w:r>
      <w:r w:rsidR="00720472" w:rsidRPr="00720472">
        <w:rPr>
          <w:color w:val="auto"/>
        </w:rPr>
        <w:t>La figure 3 présente les objectifs et engagements de la CFP ouverte pour 2020-2022. Les objectifs de la CFP ouverte pour 2020-2022 sont les suivants. L’objectif numéro 1 est d’instaurer une culture « d’ouverture par défaut ». Cet objectif comporte un engagement : clarifier les rôles, les responsabilités, les exigences et les processus du gouvernement ouvert. L’objectif numéro 2 est de se mobiliser pour diffuser des données et de l’information à valeur ajoutée. Cet objectif comporte un engagement : faciliter la « publication avec un but ». L’objectif numéro 3 est d’optimiser le libre-service grâce à l’innovation. Cet objectif comporte deux engagements : assurer la convivialité interne du gouvernement ouvert pour les employés, et d’assurer la convivialité externe du gouvernement ouvert pour les Canadiens. L’objectif numéro 4 est d’appuyer les engagements et les attentes du gouvernement du Canada. Cet objectif comporte trois engagements : maximiser la publication de données et d’information, harmoniser avec l’orientation du GC, et planifier le prochain PMOGO.</w:t>
      </w:r>
    </w:p>
    <w:p w14:paraId="3B557795" w14:textId="71876F90" w:rsidR="00436F88" w:rsidRPr="00CA3F84" w:rsidRDefault="00725F7C" w:rsidP="00282004">
      <w:pPr>
        <w:rPr>
          <w:color w:val="auto"/>
        </w:rPr>
      </w:pPr>
      <w:r w:rsidRPr="00CA3F84">
        <w:rPr>
          <w:color w:val="auto"/>
        </w:rPr>
        <w:t xml:space="preserve">Les engagements envers le gouvernement ouvert et les activités auxiliaires découlent des enjeux et des possibilités cernés pendant les consultations </w:t>
      </w:r>
      <w:r w:rsidR="00832DAF" w:rsidRPr="00CA3F84">
        <w:rPr>
          <w:color w:val="auto"/>
        </w:rPr>
        <w:t xml:space="preserve">menées </w:t>
      </w:r>
      <w:r w:rsidRPr="00CA3F84">
        <w:rPr>
          <w:color w:val="auto"/>
        </w:rPr>
        <w:t>auprès des employés</w:t>
      </w:r>
      <w:r w:rsidR="00B4312D" w:rsidRPr="00CA3F84">
        <w:rPr>
          <w:color w:val="auto"/>
        </w:rPr>
        <w:t xml:space="preserve">.  </w:t>
      </w:r>
      <w:r w:rsidRPr="00CA3F84">
        <w:rPr>
          <w:color w:val="auto"/>
        </w:rPr>
        <w:t xml:space="preserve">Pour obtenir une ventilation plus détaillée de chaque activité, </w:t>
      </w:r>
      <w:r w:rsidR="00832DAF" w:rsidRPr="00CA3F84">
        <w:rPr>
          <w:color w:val="auto"/>
        </w:rPr>
        <w:t xml:space="preserve">reportez-vous </w:t>
      </w:r>
      <w:r w:rsidRPr="00CA3F84">
        <w:rPr>
          <w:color w:val="auto"/>
        </w:rPr>
        <w:t>à</w:t>
      </w:r>
      <w:r w:rsidR="00832DAF" w:rsidRPr="00CA3F84">
        <w:rPr>
          <w:color w:val="auto"/>
        </w:rPr>
        <w:t xml:space="preserve"> la</w:t>
      </w:r>
      <w:r w:rsidRPr="00CA3F84">
        <w:rPr>
          <w:color w:val="auto"/>
        </w:rPr>
        <w:t xml:space="preserve"> </w:t>
      </w:r>
      <w:hyperlink w:anchor="_9._Activity_Charts" w:history="1">
        <w:r w:rsidR="00113451" w:rsidRPr="00CA3F84">
          <w:rPr>
            <w:rStyle w:val="Hyperlink"/>
            <w:color w:val="auto"/>
          </w:rPr>
          <w:t xml:space="preserve">Section 9 </w:t>
        </w:r>
        <w:r w:rsidR="00133081" w:rsidRPr="00CA3F84">
          <w:rPr>
            <w:rStyle w:val="Hyperlink"/>
            <w:color w:val="auto"/>
          </w:rPr>
          <w:t>—</w:t>
        </w:r>
        <w:r w:rsidR="00113451" w:rsidRPr="00CA3F84">
          <w:rPr>
            <w:rStyle w:val="Hyperlink"/>
            <w:color w:val="auto"/>
          </w:rPr>
          <w:t xml:space="preserve"> </w:t>
        </w:r>
        <w:r w:rsidRPr="00CA3F84">
          <w:rPr>
            <w:rStyle w:val="Hyperlink"/>
            <w:color w:val="auto"/>
          </w:rPr>
          <w:t>Tableaux d’activités</w:t>
        </w:r>
      </w:hyperlink>
      <w:r w:rsidR="008357E7" w:rsidRPr="00CA3F84">
        <w:rPr>
          <w:color w:val="auto"/>
        </w:rPr>
        <w:t>.</w:t>
      </w:r>
    </w:p>
    <w:p w14:paraId="58D96C30" w14:textId="51A6F241" w:rsidR="00436F88" w:rsidRPr="005957F6" w:rsidRDefault="00436F88" w:rsidP="00282004">
      <w:pPr>
        <w:pStyle w:val="Heading2"/>
      </w:pPr>
      <w:bookmarkStart w:id="42" w:name="_Toc44323391"/>
      <w:bookmarkStart w:id="43" w:name="_Toc50038761"/>
      <w:r w:rsidRPr="005957F6">
        <w:lastRenderedPageBreak/>
        <w:t>6.</w:t>
      </w:r>
      <w:r w:rsidR="00767E3B" w:rsidRPr="005957F6">
        <w:t>1</w:t>
      </w:r>
      <w:r w:rsidR="00B4312D">
        <w:t xml:space="preserve">.  </w:t>
      </w:r>
      <w:r w:rsidR="00767E3B" w:rsidRPr="005957F6">
        <w:t>Instaurer une culture d’ouverture par défaut</w:t>
      </w:r>
      <w:bookmarkEnd w:id="42"/>
      <w:bookmarkEnd w:id="43"/>
      <w:r w:rsidRPr="005957F6">
        <w:t xml:space="preserve"> </w:t>
      </w:r>
    </w:p>
    <w:p w14:paraId="28185E35" w14:textId="2DC57E20" w:rsidR="00436F88" w:rsidRPr="00CA3F84" w:rsidRDefault="003640A7" w:rsidP="00436F88">
      <w:pPr>
        <w:rPr>
          <w:color w:val="auto"/>
        </w:rPr>
      </w:pPr>
      <w:r w:rsidRPr="00CA3F84">
        <w:rPr>
          <w:color w:val="auto"/>
        </w:rPr>
        <w:t>Alors que nous commençons à faciliter le changement de culture, nous avons constaté une augmentation du nombre d</w:t>
      </w:r>
      <w:r w:rsidR="00832DAF" w:rsidRPr="00CA3F84">
        <w:rPr>
          <w:color w:val="auto"/>
        </w:rPr>
        <w:t xml:space="preserve">e ressources de données et d’informations </w:t>
      </w:r>
      <w:r w:rsidRPr="00CA3F84">
        <w:rPr>
          <w:color w:val="auto"/>
        </w:rPr>
        <w:t>identifié</w:t>
      </w:r>
      <w:r w:rsidR="00832DAF" w:rsidRPr="00CA3F84">
        <w:rPr>
          <w:color w:val="auto"/>
        </w:rPr>
        <w:t>e</w:t>
      </w:r>
      <w:r w:rsidR="0028670A" w:rsidRPr="00CA3F84">
        <w:rPr>
          <w:color w:val="auto"/>
        </w:rPr>
        <w:t>s et communiqué</w:t>
      </w:r>
      <w:r w:rsidR="00832DAF" w:rsidRPr="00CA3F84">
        <w:rPr>
          <w:color w:val="auto"/>
        </w:rPr>
        <w:t>e</w:t>
      </w:r>
      <w:r w:rsidRPr="00CA3F84">
        <w:rPr>
          <w:color w:val="auto"/>
        </w:rPr>
        <w:t>s</w:t>
      </w:r>
      <w:r w:rsidR="00B4312D" w:rsidRPr="00CA3F84">
        <w:rPr>
          <w:color w:val="auto"/>
        </w:rPr>
        <w:t xml:space="preserve">.  </w:t>
      </w:r>
      <w:r w:rsidRPr="00CA3F84">
        <w:rPr>
          <w:color w:val="auto"/>
        </w:rPr>
        <w:t>Or, ces réussites s’accompagnent de nouveaux défis</w:t>
      </w:r>
      <w:r w:rsidR="00B4312D" w:rsidRPr="00CA3F84">
        <w:rPr>
          <w:color w:val="auto"/>
        </w:rPr>
        <w:t xml:space="preserve">.  </w:t>
      </w:r>
      <w:r w:rsidRPr="00CA3F84">
        <w:rPr>
          <w:color w:val="auto"/>
        </w:rPr>
        <w:t xml:space="preserve">Les processus actuels utilisés pour identifier, développer et publier les données et </w:t>
      </w:r>
      <w:r w:rsidR="00832DAF" w:rsidRPr="00CA3F84">
        <w:rPr>
          <w:color w:val="auto"/>
        </w:rPr>
        <w:t>l</w:t>
      </w:r>
      <w:r w:rsidR="00863FE4" w:rsidRPr="00CA3F84">
        <w:rPr>
          <w:color w:val="auto"/>
        </w:rPr>
        <w:t>’</w:t>
      </w:r>
      <w:r w:rsidR="00832DAF" w:rsidRPr="00CA3F84">
        <w:rPr>
          <w:color w:val="auto"/>
        </w:rPr>
        <w:t>information</w:t>
      </w:r>
      <w:r w:rsidRPr="00CA3F84">
        <w:rPr>
          <w:color w:val="auto"/>
        </w:rPr>
        <w:t xml:space="preserve"> </w:t>
      </w:r>
      <w:r w:rsidR="000D4464" w:rsidRPr="00CA3F84">
        <w:rPr>
          <w:color w:val="auto"/>
        </w:rPr>
        <w:t>sont manuels et sont dirigés</w:t>
      </w:r>
      <w:r w:rsidRPr="00CA3F84">
        <w:rPr>
          <w:color w:val="auto"/>
        </w:rPr>
        <w:t xml:space="preserve"> par le Secrétariat du gouvernement ouvert (SGO) et le </w:t>
      </w:r>
      <w:r w:rsidR="00C84E95" w:rsidRPr="00CA3F84">
        <w:rPr>
          <w:color w:val="auto"/>
        </w:rPr>
        <w:t>Bureau de gestion de l’information (BGI)</w:t>
      </w:r>
      <w:r w:rsidR="00B4312D" w:rsidRPr="00CA3F84">
        <w:rPr>
          <w:color w:val="auto"/>
        </w:rPr>
        <w:t xml:space="preserve">.  </w:t>
      </w:r>
      <w:r w:rsidR="00C84E95" w:rsidRPr="00CA3F84">
        <w:rPr>
          <w:color w:val="auto"/>
        </w:rPr>
        <w:t>Les employés de la CFP estiment que les rôles</w:t>
      </w:r>
      <w:r w:rsidR="00832DAF" w:rsidRPr="00CA3F84">
        <w:rPr>
          <w:color w:val="auto"/>
        </w:rPr>
        <w:t xml:space="preserve">, </w:t>
      </w:r>
      <w:r w:rsidR="00C84E95" w:rsidRPr="00CA3F84">
        <w:rPr>
          <w:color w:val="auto"/>
        </w:rPr>
        <w:t>les responsabilités, les exigences et les processus liés au gouvernement ouvert manquent de clarté</w:t>
      </w:r>
      <w:r w:rsidR="00B4312D" w:rsidRPr="00CA3F84">
        <w:rPr>
          <w:color w:val="auto"/>
        </w:rPr>
        <w:t xml:space="preserve">.  </w:t>
      </w:r>
      <w:r w:rsidR="00C84E95" w:rsidRPr="00CA3F84">
        <w:rPr>
          <w:color w:val="auto"/>
        </w:rPr>
        <w:t xml:space="preserve">Les employés ont également signalé une perception de </w:t>
      </w:r>
      <w:r w:rsidR="00832DAF" w:rsidRPr="00CA3F84">
        <w:rPr>
          <w:color w:val="auto"/>
        </w:rPr>
        <w:t>faiblesse du rendement par rapport à l’effort fourni</w:t>
      </w:r>
      <w:r w:rsidR="00B4312D" w:rsidRPr="00CA3F84">
        <w:rPr>
          <w:color w:val="auto"/>
        </w:rPr>
        <w:t xml:space="preserve">.  </w:t>
      </w:r>
      <w:r w:rsidR="00C84E95" w:rsidRPr="00CA3F84">
        <w:rPr>
          <w:color w:val="auto"/>
        </w:rPr>
        <w:t xml:space="preserve">Si nous voulons  </w:t>
      </w:r>
      <w:r w:rsidR="00C51F5A" w:rsidRPr="00CA3F84">
        <w:rPr>
          <w:color w:val="auto"/>
        </w:rPr>
        <w:t xml:space="preserve">soutenir </w:t>
      </w:r>
      <w:r w:rsidR="00C84E95" w:rsidRPr="00CA3F84">
        <w:rPr>
          <w:color w:val="auto"/>
        </w:rPr>
        <w:t xml:space="preserve">une CFP ouverte et responsabiliser les employés pour que ceux-ci identifient et communiquent </w:t>
      </w:r>
      <w:r w:rsidR="00AB61A9" w:rsidRPr="00CA3F84">
        <w:rPr>
          <w:color w:val="auto"/>
        </w:rPr>
        <w:t xml:space="preserve">du </w:t>
      </w:r>
      <w:r w:rsidR="00C84E95" w:rsidRPr="00CA3F84">
        <w:rPr>
          <w:color w:val="auto"/>
        </w:rPr>
        <w:t xml:space="preserve">contenu, nous devons faire en sorte que les personnes puissent facilement comprendre ce qu’ils peuvent communiquer, </w:t>
      </w:r>
      <w:r w:rsidR="000918B0" w:rsidRPr="00CA3F84">
        <w:rPr>
          <w:color w:val="auto"/>
        </w:rPr>
        <w:t xml:space="preserve">ainsi que les modalités de cette communication : </w:t>
      </w:r>
      <w:r w:rsidR="00C84E95" w:rsidRPr="00CA3F84">
        <w:rPr>
          <w:color w:val="auto"/>
        </w:rPr>
        <w:t>comment, quand et pourquoi</w:t>
      </w:r>
      <w:r w:rsidR="00B4312D" w:rsidRPr="00CA3F84">
        <w:rPr>
          <w:color w:val="auto"/>
        </w:rPr>
        <w:t xml:space="preserve">.  </w:t>
      </w:r>
    </w:p>
    <w:p w14:paraId="1EA7812A" w14:textId="2DB235D9" w:rsidR="00436F88" w:rsidRPr="00CA3F84" w:rsidRDefault="000918B0" w:rsidP="00FC5C10">
      <w:pPr>
        <w:spacing w:after="0"/>
        <w:rPr>
          <w:color w:val="auto"/>
        </w:rPr>
      </w:pPr>
      <w:r w:rsidRPr="00CA3F84">
        <w:rPr>
          <w:color w:val="auto"/>
        </w:rPr>
        <w:t xml:space="preserve">Pour faciliter le changement de culture vers une CFP ouverte et faciliter l’identification des </w:t>
      </w:r>
      <w:r w:rsidR="00832DAF" w:rsidRPr="00CA3F84">
        <w:rPr>
          <w:color w:val="auto"/>
        </w:rPr>
        <w:t>ressources</w:t>
      </w:r>
      <w:r w:rsidRPr="00CA3F84">
        <w:rPr>
          <w:color w:val="auto"/>
        </w:rPr>
        <w:t>, nous comptons</w:t>
      </w:r>
      <w:r w:rsidR="00133081" w:rsidRPr="00CA3F84">
        <w:rPr>
          <w:color w:val="auto"/>
        </w:rPr>
        <w:t> </w:t>
      </w:r>
      <w:r w:rsidR="00436F88" w:rsidRPr="00CA3F84">
        <w:rPr>
          <w:color w:val="auto"/>
        </w:rPr>
        <w:t>:</w:t>
      </w:r>
    </w:p>
    <w:p w14:paraId="3740EA80" w14:textId="78C9CB50" w:rsidR="00F36F3B" w:rsidRPr="00CA3F84" w:rsidRDefault="000918B0" w:rsidP="0022438B">
      <w:pPr>
        <w:pStyle w:val="ListParagraph"/>
        <w:numPr>
          <w:ilvl w:val="0"/>
          <w:numId w:val="16"/>
        </w:numPr>
        <w:rPr>
          <w:color w:val="auto"/>
        </w:rPr>
      </w:pPr>
      <w:r w:rsidRPr="00CA3F84">
        <w:rPr>
          <w:bCs/>
          <w:color w:val="auto"/>
        </w:rPr>
        <w:t>clarifier les rôles, les responsabilités, les exigences et les processus du gouvernement ouvert</w:t>
      </w:r>
    </w:p>
    <w:p w14:paraId="2C43E793" w14:textId="61A7BB1D" w:rsidR="00F21988" w:rsidRPr="007056B3" w:rsidRDefault="000918B0" w:rsidP="007056B3">
      <w:pPr>
        <w:pStyle w:val="ListParagraph"/>
        <w:numPr>
          <w:ilvl w:val="0"/>
          <w:numId w:val="16"/>
        </w:numPr>
        <w:rPr>
          <w:color w:val="auto"/>
        </w:rPr>
      </w:pPr>
      <w:r w:rsidRPr="00CA3F84">
        <w:rPr>
          <w:bCs/>
          <w:color w:val="auto"/>
        </w:rPr>
        <w:t>mesurer les progrès et en rendre compte</w:t>
      </w:r>
      <w:r w:rsidR="00B4312D" w:rsidRPr="00CA3F84">
        <w:rPr>
          <w:bCs/>
          <w:color w:val="auto"/>
        </w:rPr>
        <w:t>.</w:t>
      </w:r>
    </w:p>
    <w:p w14:paraId="0ACC5D72" w14:textId="5F908D62" w:rsidR="00436F88" w:rsidRPr="005957F6" w:rsidRDefault="00290710" w:rsidP="00282004">
      <w:pPr>
        <w:pStyle w:val="Heading2"/>
      </w:pPr>
      <w:bookmarkStart w:id="44" w:name="_Toc44323392"/>
      <w:bookmarkStart w:id="45" w:name="_Toc50038762"/>
      <w:r w:rsidRPr="005957F6">
        <w:t>6.2</w:t>
      </w:r>
      <w:r w:rsidR="00B4312D">
        <w:t xml:space="preserve">.  </w:t>
      </w:r>
      <w:r w:rsidR="00045C08">
        <w:t>Mobiliser</w:t>
      </w:r>
      <w:r w:rsidR="00045C08" w:rsidRPr="005957F6">
        <w:t xml:space="preserve"> </w:t>
      </w:r>
      <w:r w:rsidR="00767E3B" w:rsidRPr="005957F6">
        <w:t xml:space="preserve">pour </w:t>
      </w:r>
      <w:r w:rsidR="00832DAF">
        <w:t xml:space="preserve">diffuser </w:t>
      </w:r>
      <w:r w:rsidR="00767E3B" w:rsidRPr="005957F6">
        <w:t>des données et de</w:t>
      </w:r>
      <w:r w:rsidR="00832DAF">
        <w:t xml:space="preserve"> </w:t>
      </w:r>
      <w:r w:rsidR="002661C6">
        <w:t>l’</w:t>
      </w:r>
      <w:r w:rsidR="00832DAF">
        <w:t xml:space="preserve">information </w:t>
      </w:r>
      <w:r w:rsidR="00767E3B" w:rsidRPr="005957F6">
        <w:t>à valeur ajoutée</w:t>
      </w:r>
      <w:bookmarkEnd w:id="44"/>
      <w:bookmarkEnd w:id="45"/>
      <w:r w:rsidR="00436F88" w:rsidRPr="005957F6">
        <w:t xml:space="preserve"> </w:t>
      </w:r>
    </w:p>
    <w:p w14:paraId="5D29A1B3" w14:textId="19ADC4BE" w:rsidR="00436F88" w:rsidRPr="00CA3F84" w:rsidRDefault="000918B0" w:rsidP="00436F88">
      <w:pPr>
        <w:rPr>
          <w:color w:val="auto"/>
        </w:rPr>
      </w:pPr>
      <w:r w:rsidRPr="00CA3F84">
        <w:rPr>
          <w:color w:val="auto"/>
        </w:rPr>
        <w:t xml:space="preserve">Pendant les consultations, les employés ont signalé qu’ils </w:t>
      </w:r>
      <w:r w:rsidR="0095284C" w:rsidRPr="00CA3F84">
        <w:rPr>
          <w:color w:val="auto"/>
        </w:rPr>
        <w:t xml:space="preserve">hésitent </w:t>
      </w:r>
      <w:r w:rsidRPr="00CA3F84">
        <w:rPr>
          <w:color w:val="auto"/>
        </w:rPr>
        <w:t xml:space="preserve">à identifier </w:t>
      </w:r>
      <w:r w:rsidR="00832DAF" w:rsidRPr="00CA3F84">
        <w:rPr>
          <w:color w:val="auto"/>
        </w:rPr>
        <w:t xml:space="preserve">de </w:t>
      </w:r>
      <w:r w:rsidR="00EB4091" w:rsidRPr="00CA3F84">
        <w:rPr>
          <w:color w:val="auto"/>
        </w:rPr>
        <w:t>l’</w:t>
      </w:r>
      <w:r w:rsidRPr="00CA3F84">
        <w:rPr>
          <w:color w:val="auto"/>
        </w:rPr>
        <w:t xml:space="preserve">information et </w:t>
      </w:r>
      <w:r w:rsidR="00832DAF" w:rsidRPr="00CA3F84">
        <w:rPr>
          <w:color w:val="auto"/>
        </w:rPr>
        <w:t xml:space="preserve">des </w:t>
      </w:r>
      <w:r w:rsidRPr="00CA3F84">
        <w:rPr>
          <w:color w:val="auto"/>
        </w:rPr>
        <w:t>données aux fins de publication, car ils ne sont pas certains des risques</w:t>
      </w:r>
      <w:r w:rsidR="00FA4448" w:rsidRPr="00CA3F84">
        <w:rPr>
          <w:color w:val="auto"/>
        </w:rPr>
        <w:t xml:space="preserve"> qui y sont</w:t>
      </w:r>
      <w:r w:rsidR="004E1E98" w:rsidRPr="00CA3F84">
        <w:rPr>
          <w:color w:val="auto"/>
        </w:rPr>
        <w:t xml:space="preserve"> </w:t>
      </w:r>
      <w:r w:rsidR="00EB4091" w:rsidRPr="00CA3F84">
        <w:rPr>
          <w:color w:val="auto"/>
        </w:rPr>
        <w:t>associés</w:t>
      </w:r>
      <w:r w:rsidR="00FA4448" w:rsidRPr="00CA3F84">
        <w:rPr>
          <w:color w:val="auto"/>
        </w:rPr>
        <w:t xml:space="preserve">, </w:t>
      </w:r>
      <w:r w:rsidR="00617C7F" w:rsidRPr="00CA3F84">
        <w:rPr>
          <w:color w:val="auto"/>
        </w:rPr>
        <w:t xml:space="preserve">à partir de </w:t>
      </w:r>
      <w:r w:rsidR="00EB4091" w:rsidRPr="00CA3F84">
        <w:rPr>
          <w:color w:val="auto"/>
        </w:rPr>
        <w:t>quel moment</w:t>
      </w:r>
      <w:r w:rsidR="00617C7F" w:rsidRPr="00CA3F84">
        <w:rPr>
          <w:color w:val="auto"/>
        </w:rPr>
        <w:t xml:space="preserve"> </w:t>
      </w:r>
      <w:r w:rsidRPr="00CA3F84">
        <w:rPr>
          <w:color w:val="auto"/>
        </w:rPr>
        <w:t>la valeur d’un</w:t>
      </w:r>
      <w:r w:rsidR="00FA4448" w:rsidRPr="00CA3F84">
        <w:rPr>
          <w:color w:val="auto"/>
        </w:rPr>
        <w:t>e ressource</w:t>
      </w:r>
      <w:r w:rsidRPr="00CA3F84">
        <w:rPr>
          <w:color w:val="auto"/>
        </w:rPr>
        <w:t xml:space="preserve"> justifie sa publication</w:t>
      </w:r>
      <w:r w:rsidR="00FA4448" w:rsidRPr="00CA3F84">
        <w:rPr>
          <w:color w:val="auto"/>
        </w:rPr>
        <w:t>,</w:t>
      </w:r>
      <w:r w:rsidRPr="00CA3F84">
        <w:rPr>
          <w:color w:val="auto"/>
        </w:rPr>
        <w:t xml:space="preserve"> et </w:t>
      </w:r>
      <w:r w:rsidR="00FA4448" w:rsidRPr="00CA3F84">
        <w:rPr>
          <w:color w:val="auto"/>
        </w:rPr>
        <w:t>d</w:t>
      </w:r>
      <w:r w:rsidRPr="00CA3F84">
        <w:rPr>
          <w:color w:val="auto"/>
        </w:rPr>
        <w:t xml:space="preserve">es données ou </w:t>
      </w:r>
      <w:r w:rsidR="00FA4448" w:rsidRPr="00CA3F84">
        <w:rPr>
          <w:color w:val="auto"/>
        </w:rPr>
        <w:t>de</w:t>
      </w:r>
      <w:r w:rsidR="004E1E98" w:rsidRPr="00CA3F84">
        <w:rPr>
          <w:color w:val="auto"/>
        </w:rPr>
        <w:t xml:space="preserve"> </w:t>
      </w:r>
      <w:r w:rsidR="00EB4091" w:rsidRPr="00CA3F84">
        <w:rPr>
          <w:color w:val="auto"/>
        </w:rPr>
        <w:t>l’</w:t>
      </w:r>
      <w:r w:rsidR="00FA4448" w:rsidRPr="00CA3F84">
        <w:rPr>
          <w:color w:val="auto"/>
        </w:rPr>
        <w:t xml:space="preserve">information </w:t>
      </w:r>
      <w:r w:rsidRPr="00CA3F84">
        <w:rPr>
          <w:color w:val="auto"/>
        </w:rPr>
        <w:t>qui intéressent les Canadiens</w:t>
      </w:r>
      <w:r w:rsidR="00B4312D" w:rsidRPr="00CA3F84">
        <w:rPr>
          <w:color w:val="auto"/>
        </w:rPr>
        <w:t xml:space="preserve">.  </w:t>
      </w:r>
      <w:r w:rsidRPr="00CA3F84">
        <w:rPr>
          <w:color w:val="auto"/>
        </w:rPr>
        <w:t xml:space="preserve">Afin de nous assurer de </w:t>
      </w:r>
      <w:r w:rsidR="00FA4448" w:rsidRPr="00CA3F84">
        <w:rPr>
          <w:color w:val="auto"/>
        </w:rPr>
        <w:t>diffuser</w:t>
      </w:r>
      <w:r w:rsidRPr="00CA3F84">
        <w:rPr>
          <w:color w:val="auto"/>
        </w:rPr>
        <w:t xml:space="preserve"> des données et </w:t>
      </w:r>
      <w:r w:rsidR="00FA4448" w:rsidRPr="00CA3F84">
        <w:rPr>
          <w:color w:val="auto"/>
        </w:rPr>
        <w:t xml:space="preserve">de </w:t>
      </w:r>
      <w:r w:rsidR="0095284C" w:rsidRPr="00CA3F84">
        <w:rPr>
          <w:color w:val="auto"/>
        </w:rPr>
        <w:t>l’</w:t>
      </w:r>
      <w:r w:rsidRPr="00CA3F84">
        <w:rPr>
          <w:color w:val="auto"/>
        </w:rPr>
        <w:t>information à valeur ajoutée, nous devons outiller les employés pour qu’ils puis</w:t>
      </w:r>
      <w:r w:rsidR="00FA4448" w:rsidRPr="00CA3F84">
        <w:rPr>
          <w:color w:val="auto"/>
        </w:rPr>
        <w:t xml:space="preserve">sent identifier et proposer des ressources </w:t>
      </w:r>
      <w:r w:rsidRPr="00CA3F84">
        <w:rPr>
          <w:color w:val="auto"/>
        </w:rPr>
        <w:t>de données ou d’information</w:t>
      </w:r>
      <w:r w:rsidR="00FA4448" w:rsidRPr="00CA3F84">
        <w:rPr>
          <w:color w:val="auto"/>
        </w:rPr>
        <w:t>s</w:t>
      </w:r>
      <w:r w:rsidRPr="00CA3F84">
        <w:rPr>
          <w:color w:val="auto"/>
        </w:rPr>
        <w:t xml:space="preserve"> aux fins </w:t>
      </w:r>
      <w:r w:rsidR="004E1E98" w:rsidRPr="00CA3F84">
        <w:rPr>
          <w:color w:val="auto"/>
        </w:rPr>
        <w:t>d’une</w:t>
      </w:r>
      <w:r w:rsidRPr="00CA3F84">
        <w:rPr>
          <w:color w:val="auto"/>
        </w:rPr>
        <w:t>«</w:t>
      </w:r>
      <w:r w:rsidR="00133081" w:rsidRPr="00CA3F84">
        <w:rPr>
          <w:color w:val="auto"/>
        </w:rPr>
        <w:t> </w:t>
      </w:r>
      <w:r w:rsidR="00455354" w:rsidRPr="00CA3F84">
        <w:rPr>
          <w:color w:val="auto"/>
        </w:rPr>
        <w:t>publi</w:t>
      </w:r>
      <w:r w:rsidR="004E1E98" w:rsidRPr="00CA3F84">
        <w:rPr>
          <w:color w:val="auto"/>
        </w:rPr>
        <w:t>cation</w:t>
      </w:r>
      <w:r w:rsidR="00455354" w:rsidRPr="00CA3F84">
        <w:rPr>
          <w:color w:val="auto"/>
        </w:rPr>
        <w:t xml:space="preserve"> avec un but</w:t>
      </w:r>
      <w:r w:rsidR="00133081" w:rsidRPr="00CA3F84">
        <w:rPr>
          <w:color w:val="auto"/>
        </w:rPr>
        <w:t> </w:t>
      </w:r>
      <w:r w:rsidRPr="00CA3F84">
        <w:rPr>
          <w:color w:val="auto"/>
        </w:rPr>
        <w:t>»</w:t>
      </w:r>
      <w:r w:rsidR="00B4312D" w:rsidRPr="00CA3F84">
        <w:rPr>
          <w:color w:val="auto"/>
        </w:rPr>
        <w:t xml:space="preserve">.  </w:t>
      </w:r>
    </w:p>
    <w:p w14:paraId="5D52B3D1" w14:textId="13555418" w:rsidR="00436F88" w:rsidRPr="00CA3F84" w:rsidRDefault="00D9790C" w:rsidP="002C2D20">
      <w:pPr>
        <w:spacing w:after="0"/>
        <w:rPr>
          <w:color w:val="auto"/>
        </w:rPr>
      </w:pPr>
      <w:r w:rsidRPr="00CA3F84">
        <w:rPr>
          <w:color w:val="auto"/>
        </w:rPr>
        <w:t xml:space="preserve">Pour </w:t>
      </w:r>
      <w:r w:rsidR="00FA4448" w:rsidRPr="00CA3F84">
        <w:rPr>
          <w:color w:val="auto"/>
        </w:rPr>
        <w:t>diffuser</w:t>
      </w:r>
      <w:r w:rsidRPr="00CA3F84">
        <w:rPr>
          <w:color w:val="auto"/>
        </w:rPr>
        <w:t xml:space="preserve"> des données et </w:t>
      </w:r>
      <w:r w:rsidR="00FA4448" w:rsidRPr="00CA3F84">
        <w:rPr>
          <w:color w:val="auto"/>
        </w:rPr>
        <w:t>de</w:t>
      </w:r>
      <w:r w:rsidR="004E1E98" w:rsidRPr="00CA3F84">
        <w:rPr>
          <w:color w:val="auto"/>
        </w:rPr>
        <w:t xml:space="preserve"> </w:t>
      </w:r>
      <w:r w:rsidR="00EB4091" w:rsidRPr="00CA3F84">
        <w:rPr>
          <w:color w:val="auto"/>
        </w:rPr>
        <w:t>l’</w:t>
      </w:r>
      <w:r w:rsidRPr="00CA3F84">
        <w:rPr>
          <w:color w:val="auto"/>
        </w:rPr>
        <w:t xml:space="preserve">information à valeur ajoutée au moyen de la mobilisation, nous comptons : </w:t>
      </w:r>
      <w:r w:rsidR="00773A34" w:rsidRPr="00CA3F84">
        <w:rPr>
          <w:color w:val="auto"/>
        </w:rPr>
        <w:t xml:space="preserve"> </w:t>
      </w:r>
    </w:p>
    <w:p w14:paraId="00350ADE" w14:textId="3E342346" w:rsidR="00F75999" w:rsidRPr="00CA3F84" w:rsidRDefault="00D9790C" w:rsidP="00141B2A">
      <w:pPr>
        <w:pStyle w:val="ListParagraph"/>
        <w:numPr>
          <w:ilvl w:val="0"/>
          <w:numId w:val="17"/>
        </w:numPr>
        <w:rPr>
          <w:color w:val="auto"/>
        </w:rPr>
      </w:pPr>
      <w:r w:rsidRPr="00CA3F84">
        <w:rPr>
          <w:color w:val="auto"/>
        </w:rPr>
        <w:t>faciliter la «</w:t>
      </w:r>
      <w:r w:rsidR="004D4257" w:rsidRPr="00CA3F84">
        <w:rPr>
          <w:color w:val="auto"/>
        </w:rPr>
        <w:t xml:space="preserve"> </w:t>
      </w:r>
      <w:r w:rsidR="00455354" w:rsidRPr="00CA3F84">
        <w:rPr>
          <w:color w:val="auto"/>
        </w:rPr>
        <w:t>Publi</w:t>
      </w:r>
      <w:r w:rsidR="00C426EF" w:rsidRPr="00CA3F84">
        <w:rPr>
          <w:color w:val="auto"/>
        </w:rPr>
        <w:t>cation</w:t>
      </w:r>
      <w:r w:rsidR="00455354" w:rsidRPr="00CA3F84">
        <w:rPr>
          <w:color w:val="auto"/>
        </w:rPr>
        <w:t xml:space="preserve"> avec un but »</w:t>
      </w:r>
      <w:r w:rsidRPr="00CA3F84">
        <w:rPr>
          <w:color w:val="auto"/>
        </w:rPr>
        <w:t xml:space="preserve"> en analysant diverses sources d’information</w:t>
      </w:r>
      <w:r w:rsidR="006C352C" w:rsidRPr="00CA3F84">
        <w:rPr>
          <w:color w:val="auto"/>
        </w:rPr>
        <w:t>s</w:t>
      </w:r>
      <w:r w:rsidRPr="00CA3F84">
        <w:rPr>
          <w:color w:val="auto"/>
        </w:rPr>
        <w:t xml:space="preserve"> pour cerner les thèmes d’intérêt</w:t>
      </w:r>
    </w:p>
    <w:p w14:paraId="66AE1C07" w14:textId="5C1C9CB4" w:rsidR="00141B2A" w:rsidRPr="00CA3F84" w:rsidRDefault="00D9790C" w:rsidP="00141B2A">
      <w:pPr>
        <w:pStyle w:val="ListParagraph"/>
        <w:numPr>
          <w:ilvl w:val="0"/>
          <w:numId w:val="17"/>
        </w:numPr>
        <w:rPr>
          <w:color w:val="auto"/>
        </w:rPr>
      </w:pPr>
      <w:r w:rsidRPr="00CA3F84">
        <w:rPr>
          <w:color w:val="auto"/>
        </w:rPr>
        <w:t xml:space="preserve">mobiliser les employés de la CFP, les fonctionnaires et les Canadiens pour rehausser la pertinence des </w:t>
      </w:r>
      <w:r w:rsidR="00FA4448" w:rsidRPr="00CA3F84">
        <w:rPr>
          <w:color w:val="auto"/>
        </w:rPr>
        <w:t xml:space="preserve">ressources </w:t>
      </w:r>
      <w:r w:rsidRPr="00CA3F84">
        <w:rPr>
          <w:color w:val="auto"/>
        </w:rPr>
        <w:t xml:space="preserve">de données </w:t>
      </w:r>
      <w:r w:rsidR="000D4464" w:rsidRPr="00CA3F84">
        <w:rPr>
          <w:color w:val="auto"/>
        </w:rPr>
        <w:t xml:space="preserve">ouvertes </w:t>
      </w:r>
      <w:r w:rsidRPr="00CA3F84">
        <w:rPr>
          <w:color w:val="auto"/>
        </w:rPr>
        <w:t>et d’information</w:t>
      </w:r>
      <w:r w:rsidR="00FA4448" w:rsidRPr="00CA3F84">
        <w:rPr>
          <w:color w:val="auto"/>
        </w:rPr>
        <w:t>s</w:t>
      </w:r>
      <w:r w:rsidRPr="00CA3F84">
        <w:rPr>
          <w:color w:val="auto"/>
        </w:rPr>
        <w:t xml:space="preserve"> ouverte</w:t>
      </w:r>
      <w:r w:rsidR="00FA4448" w:rsidRPr="00CA3F84">
        <w:rPr>
          <w:color w:val="auto"/>
        </w:rPr>
        <w:t>s</w:t>
      </w:r>
      <w:r w:rsidRPr="00CA3F84">
        <w:rPr>
          <w:color w:val="auto"/>
        </w:rPr>
        <w:t xml:space="preserve"> de la CFP</w:t>
      </w:r>
      <w:r w:rsidR="00B4312D" w:rsidRPr="00CA3F84">
        <w:rPr>
          <w:color w:val="auto"/>
        </w:rPr>
        <w:t xml:space="preserve">.  </w:t>
      </w:r>
    </w:p>
    <w:p w14:paraId="5D3C9A57" w14:textId="3B41E0E9" w:rsidR="00436F88" w:rsidRPr="005957F6" w:rsidRDefault="00436F88" w:rsidP="00DB1DBF">
      <w:pPr>
        <w:pStyle w:val="Heading2"/>
      </w:pPr>
      <w:bookmarkStart w:id="46" w:name="_Toc44323393"/>
      <w:bookmarkStart w:id="47" w:name="_Toc50038763"/>
      <w:r w:rsidRPr="005957F6">
        <w:lastRenderedPageBreak/>
        <w:t>6.3</w:t>
      </w:r>
      <w:r w:rsidR="00B4312D">
        <w:t xml:space="preserve">.  </w:t>
      </w:r>
      <w:r w:rsidRPr="005957F6">
        <w:t>Optimi</w:t>
      </w:r>
      <w:r w:rsidR="00767E3B" w:rsidRPr="005957F6">
        <w:t>ser le libre-service grâce à l’i</w:t>
      </w:r>
      <w:r w:rsidRPr="005957F6">
        <w:t>nnovation</w:t>
      </w:r>
      <w:bookmarkEnd w:id="46"/>
      <w:bookmarkEnd w:id="47"/>
      <w:r w:rsidRPr="005957F6">
        <w:t xml:space="preserve"> </w:t>
      </w:r>
    </w:p>
    <w:p w14:paraId="78F9E82C" w14:textId="434A1C89" w:rsidR="00436F88" w:rsidRPr="00CA3F84" w:rsidRDefault="005C7ABE" w:rsidP="00436F88">
      <w:pPr>
        <w:rPr>
          <w:rFonts w:ascii="Segoe UI Light" w:hAnsi="Segoe UI Light" w:cs="Segoe UI Light"/>
          <w:color w:val="auto"/>
          <w:sz w:val="36"/>
          <w:szCs w:val="36"/>
        </w:rPr>
      </w:pPr>
      <w:r w:rsidRPr="00CA3F84">
        <w:rPr>
          <w:color w:val="auto"/>
        </w:rPr>
        <w:t>T</w:t>
      </w:r>
      <w:r w:rsidR="00D9790C" w:rsidRPr="00CA3F84">
        <w:rPr>
          <w:color w:val="auto"/>
        </w:rPr>
        <w:t xml:space="preserve">out au long de nos consultations, les employés ont signalé que la production </w:t>
      </w:r>
      <w:r w:rsidR="00350C18" w:rsidRPr="00CA3F84">
        <w:rPr>
          <w:color w:val="auto"/>
        </w:rPr>
        <w:t xml:space="preserve">de </w:t>
      </w:r>
      <w:r w:rsidR="00D9790C" w:rsidRPr="00CA3F84">
        <w:rPr>
          <w:color w:val="auto"/>
        </w:rPr>
        <w:t>contenu pour le gouvernement ouvert et l’interaction avec ce contenu n’est ni facile ni efficace</w:t>
      </w:r>
      <w:r w:rsidR="00B4312D" w:rsidRPr="00CA3F84">
        <w:rPr>
          <w:color w:val="auto"/>
        </w:rPr>
        <w:t xml:space="preserve">.  </w:t>
      </w:r>
      <w:r w:rsidR="00D9790C" w:rsidRPr="00CA3F84">
        <w:rPr>
          <w:color w:val="auto"/>
        </w:rPr>
        <w:t>Nous devons faciliter la tâche aux employés pour qu’ils puissent utiliser les outils libre-service, nous devons faciliter l’identification et la production d</w:t>
      </w:r>
      <w:r w:rsidR="00FA4448" w:rsidRPr="00CA3F84">
        <w:rPr>
          <w:color w:val="auto"/>
        </w:rPr>
        <w:t>e ressources</w:t>
      </w:r>
      <w:r w:rsidR="00D9790C" w:rsidRPr="00CA3F84">
        <w:rPr>
          <w:color w:val="auto"/>
        </w:rPr>
        <w:t xml:space="preserve"> pour le gouvernement ouvert et nous devons faciliter la </w:t>
      </w:r>
      <w:r w:rsidR="00C86CD1" w:rsidRPr="00CA3F84">
        <w:rPr>
          <w:color w:val="auto"/>
        </w:rPr>
        <w:t xml:space="preserve">recherche et l’utilisation des </w:t>
      </w:r>
      <w:r w:rsidR="00FA4448" w:rsidRPr="00CA3F84">
        <w:rPr>
          <w:color w:val="auto"/>
        </w:rPr>
        <w:t>ressources</w:t>
      </w:r>
      <w:r w:rsidR="00C86CD1" w:rsidRPr="00CA3F84">
        <w:rPr>
          <w:color w:val="auto"/>
        </w:rPr>
        <w:t xml:space="preserve"> a</w:t>
      </w:r>
      <w:r w:rsidR="00D9790C" w:rsidRPr="00CA3F84">
        <w:rPr>
          <w:color w:val="auto"/>
        </w:rPr>
        <w:t>ctuellement disponibles</w:t>
      </w:r>
      <w:r w:rsidR="00B4312D" w:rsidRPr="00CA3F84">
        <w:rPr>
          <w:color w:val="auto"/>
        </w:rPr>
        <w:t xml:space="preserve">.  </w:t>
      </w:r>
      <w:r w:rsidR="00D9790C" w:rsidRPr="00CA3F84">
        <w:rPr>
          <w:color w:val="auto"/>
        </w:rPr>
        <w:t xml:space="preserve">De plus, le </w:t>
      </w:r>
      <w:r w:rsidR="00B5614A" w:rsidRPr="00CA3F84">
        <w:rPr>
          <w:color w:val="auto"/>
        </w:rPr>
        <w:t>P</w:t>
      </w:r>
      <w:r w:rsidR="00F33A39" w:rsidRPr="00CA3F84">
        <w:rPr>
          <w:color w:val="auto"/>
        </w:rPr>
        <w:t xml:space="preserve">lan </w:t>
      </w:r>
      <w:r w:rsidR="00D9790C" w:rsidRPr="00CA3F84">
        <w:rPr>
          <w:color w:val="auto"/>
        </w:rPr>
        <w:t xml:space="preserve">d’action du gouvernement du Canada pour un gouvernement ouvert a relevé le besoin d’accroître la convivialité du gouvernement ouvert, plus particulièrement ses outils comme le </w:t>
      </w:r>
      <w:r w:rsidR="00BB1E03" w:rsidRPr="00CA3F84">
        <w:rPr>
          <w:color w:val="auto"/>
        </w:rPr>
        <w:t>P</w:t>
      </w:r>
      <w:r w:rsidR="00D9790C" w:rsidRPr="00CA3F84">
        <w:rPr>
          <w:color w:val="auto"/>
        </w:rPr>
        <w:t>ortail du gouvernement ouvert</w:t>
      </w:r>
      <w:r w:rsidR="00B4312D" w:rsidRPr="00CA3F84">
        <w:rPr>
          <w:color w:val="auto"/>
        </w:rPr>
        <w:t xml:space="preserve">.  </w:t>
      </w:r>
      <w:r w:rsidR="00D9790C" w:rsidRPr="00CA3F84">
        <w:rPr>
          <w:color w:val="auto"/>
        </w:rPr>
        <w:t xml:space="preserve">Pour </w:t>
      </w:r>
      <w:r w:rsidR="003564A5" w:rsidRPr="00CA3F84">
        <w:rPr>
          <w:color w:val="auto"/>
        </w:rPr>
        <w:t>répondre</w:t>
      </w:r>
      <w:r w:rsidR="00485F11" w:rsidRPr="00CA3F84">
        <w:rPr>
          <w:color w:val="auto"/>
        </w:rPr>
        <w:t xml:space="preserve"> </w:t>
      </w:r>
      <w:r w:rsidR="00D9790C" w:rsidRPr="00CA3F84">
        <w:rPr>
          <w:color w:val="auto"/>
        </w:rPr>
        <w:t xml:space="preserve">à ces besoins et en commençant par l’identification des </w:t>
      </w:r>
      <w:r w:rsidR="00FA4448" w:rsidRPr="00CA3F84">
        <w:rPr>
          <w:color w:val="auto"/>
        </w:rPr>
        <w:t>ressources</w:t>
      </w:r>
      <w:r w:rsidR="00D9790C" w:rsidRPr="00CA3F84">
        <w:rPr>
          <w:color w:val="auto"/>
        </w:rPr>
        <w:t>, la CFP doit faire ce qu’elle peut pour que le gouvernement ouvert soit convivial pour les producteurs et les consommateurs de données et de</w:t>
      </w:r>
      <w:r w:rsidR="00485F11" w:rsidRPr="00CA3F84">
        <w:rPr>
          <w:color w:val="auto"/>
        </w:rPr>
        <w:t xml:space="preserve"> </w:t>
      </w:r>
      <w:r w:rsidR="00FD79AF" w:rsidRPr="00CA3F84">
        <w:rPr>
          <w:color w:val="auto"/>
        </w:rPr>
        <w:t>l’</w:t>
      </w:r>
      <w:r w:rsidR="00FA4448" w:rsidRPr="00CA3F84">
        <w:rPr>
          <w:color w:val="auto"/>
        </w:rPr>
        <w:t>information</w:t>
      </w:r>
      <w:r w:rsidR="00D9790C" w:rsidRPr="00CA3F84">
        <w:rPr>
          <w:color w:val="auto"/>
        </w:rPr>
        <w:t xml:space="preserve"> de la CFP</w:t>
      </w:r>
      <w:r w:rsidR="00B4312D" w:rsidRPr="00CA3F84">
        <w:rPr>
          <w:color w:val="auto"/>
        </w:rPr>
        <w:t xml:space="preserve">.  </w:t>
      </w:r>
      <w:r w:rsidR="00D9790C" w:rsidRPr="00CA3F84">
        <w:rPr>
          <w:color w:val="auto"/>
        </w:rPr>
        <w:t>Si le processus est facile pour nous, il sera facile pour tous</w:t>
      </w:r>
      <w:r w:rsidR="00B4312D" w:rsidRPr="00CA3F84">
        <w:rPr>
          <w:color w:val="auto"/>
        </w:rPr>
        <w:t xml:space="preserve">.  </w:t>
      </w:r>
    </w:p>
    <w:p w14:paraId="6F63B60B" w14:textId="6CA09BD4" w:rsidR="00436F88" w:rsidRPr="00CA3F84" w:rsidRDefault="00D9790C" w:rsidP="002C2D20">
      <w:pPr>
        <w:spacing w:after="0"/>
        <w:rPr>
          <w:color w:val="auto"/>
        </w:rPr>
      </w:pPr>
      <w:r w:rsidRPr="00CA3F84">
        <w:rPr>
          <w:color w:val="auto"/>
        </w:rPr>
        <w:t xml:space="preserve">Pour optimiser le libre-service grâce à l’innovation, nous comptons : </w:t>
      </w:r>
    </w:p>
    <w:p w14:paraId="37B4A2AE" w14:textId="1ADA2A0E" w:rsidR="00C94253" w:rsidRPr="00CA3F84" w:rsidRDefault="00D9790C" w:rsidP="00DB1DBF">
      <w:pPr>
        <w:pStyle w:val="ListParagraph"/>
        <w:numPr>
          <w:ilvl w:val="0"/>
          <w:numId w:val="8"/>
        </w:numPr>
        <w:rPr>
          <w:color w:val="auto"/>
        </w:rPr>
      </w:pPr>
      <w:r w:rsidRPr="00CA3F84">
        <w:rPr>
          <w:color w:val="auto"/>
        </w:rPr>
        <w:t xml:space="preserve">assurer la convivialité du gouvernement ouvert pour les employés en actualisant les modèles de la CFP et en optimisant l’utilisation de </w:t>
      </w:r>
      <w:proofErr w:type="spellStart"/>
      <w:r w:rsidR="00EE26E1" w:rsidRPr="00CA3F84">
        <w:rPr>
          <w:color w:val="auto"/>
        </w:rPr>
        <w:t>GC</w:t>
      </w:r>
      <w:r w:rsidR="00A91E85" w:rsidRPr="00CA3F84">
        <w:rPr>
          <w:color w:val="auto"/>
        </w:rPr>
        <w:t>d</w:t>
      </w:r>
      <w:r w:rsidR="00EE26E1" w:rsidRPr="00CA3F84">
        <w:rPr>
          <w:color w:val="auto"/>
        </w:rPr>
        <w:t>ocs</w:t>
      </w:r>
      <w:proofErr w:type="spellEnd"/>
    </w:p>
    <w:p w14:paraId="772BC0EA" w14:textId="6B33570A" w:rsidR="00C94253" w:rsidRPr="00CA3F84" w:rsidRDefault="00D9790C" w:rsidP="00DB1DBF">
      <w:pPr>
        <w:pStyle w:val="ListParagraph"/>
        <w:numPr>
          <w:ilvl w:val="0"/>
          <w:numId w:val="8"/>
        </w:numPr>
        <w:rPr>
          <w:color w:val="auto"/>
        </w:rPr>
      </w:pPr>
      <w:r w:rsidRPr="00CA3F84">
        <w:rPr>
          <w:color w:val="auto"/>
        </w:rPr>
        <w:t xml:space="preserve">assurer la convivialité interne et externe du gouvernement ouvert pour les Canadiens en </w:t>
      </w:r>
      <w:r w:rsidR="007B43B3" w:rsidRPr="00CA3F84">
        <w:rPr>
          <w:color w:val="auto"/>
        </w:rPr>
        <w:t>explorant</w:t>
      </w:r>
      <w:r w:rsidRPr="00CA3F84">
        <w:rPr>
          <w:color w:val="auto"/>
        </w:rPr>
        <w:t xml:space="preserve"> les possibilités d’accroître l’exploitation des données ouvertes au moyen d’outils de visualisation</w:t>
      </w:r>
      <w:r w:rsidR="00B4312D" w:rsidRPr="00CA3F84">
        <w:rPr>
          <w:color w:val="auto"/>
        </w:rPr>
        <w:t xml:space="preserve">.  </w:t>
      </w:r>
    </w:p>
    <w:p w14:paraId="44AFFAED" w14:textId="0CD90EEA" w:rsidR="00436F88" w:rsidRPr="005957F6" w:rsidRDefault="00436F88" w:rsidP="00DB1DBF">
      <w:pPr>
        <w:pStyle w:val="Heading2"/>
      </w:pPr>
      <w:bookmarkStart w:id="48" w:name="_Toc44323394"/>
      <w:bookmarkStart w:id="49" w:name="_Toc50038764"/>
      <w:r w:rsidRPr="005957F6">
        <w:t>6.4</w:t>
      </w:r>
      <w:r w:rsidR="00B4312D">
        <w:t xml:space="preserve">.  </w:t>
      </w:r>
      <w:r w:rsidR="00767E3B" w:rsidRPr="005957F6">
        <w:t>Appuyer les engagements et les attentes du gouvernement du Canada</w:t>
      </w:r>
      <w:bookmarkEnd w:id="48"/>
      <w:bookmarkEnd w:id="49"/>
    </w:p>
    <w:p w14:paraId="2E3A1CAE" w14:textId="5A866B58" w:rsidR="00436F88" w:rsidRPr="00CA3F84" w:rsidRDefault="00D9790C" w:rsidP="00436F88">
      <w:pPr>
        <w:rPr>
          <w:rFonts w:ascii="Segoe UI Light" w:hAnsi="Segoe UI Light" w:cs="Segoe UI Light"/>
          <w:color w:val="auto"/>
          <w:sz w:val="36"/>
          <w:szCs w:val="36"/>
        </w:rPr>
      </w:pPr>
      <w:r w:rsidRPr="00CA3F84">
        <w:rPr>
          <w:color w:val="auto"/>
        </w:rPr>
        <w:t xml:space="preserve">Compte tenu de la </w:t>
      </w:r>
      <w:hyperlink r:id="rId17" w:history="1">
        <w:r w:rsidR="00141B2A" w:rsidRPr="00CA3F84">
          <w:rPr>
            <w:rStyle w:val="Hyperlink"/>
            <w:i/>
            <w:color w:val="auto"/>
          </w:rPr>
          <w:t>P</w:t>
        </w:r>
        <w:r w:rsidR="00FD62AA" w:rsidRPr="00CA3F84">
          <w:rPr>
            <w:rStyle w:val="Hyperlink"/>
            <w:i/>
            <w:color w:val="auto"/>
          </w:rPr>
          <w:t>o</w:t>
        </w:r>
        <w:r w:rsidRPr="00CA3F84">
          <w:rPr>
            <w:rStyle w:val="Hyperlink"/>
            <w:i/>
            <w:color w:val="auto"/>
          </w:rPr>
          <w:t>litique sur les services et le numérique</w:t>
        </w:r>
      </w:hyperlink>
      <w:r w:rsidR="00FD62AA" w:rsidRPr="00CA3F84">
        <w:rPr>
          <w:color w:val="auto"/>
        </w:rPr>
        <w:t xml:space="preserve"> </w:t>
      </w:r>
      <w:r w:rsidRPr="00CA3F84">
        <w:rPr>
          <w:color w:val="auto"/>
        </w:rPr>
        <w:t xml:space="preserve">du gouvernement du Canada et des résultats </w:t>
      </w:r>
      <w:r w:rsidR="00FA4448" w:rsidRPr="00CA3F84">
        <w:rPr>
          <w:color w:val="auto"/>
        </w:rPr>
        <w:t xml:space="preserve">attendus </w:t>
      </w:r>
      <w:r w:rsidR="003E6947" w:rsidRPr="00CA3F84">
        <w:rPr>
          <w:color w:val="auto"/>
        </w:rPr>
        <w:t xml:space="preserve">de </w:t>
      </w:r>
      <w:r w:rsidR="00B5614A" w:rsidRPr="00CA3F84">
        <w:rPr>
          <w:color w:val="auto"/>
        </w:rPr>
        <w:t>l’</w:t>
      </w:r>
      <w:r w:rsidR="007B43B3" w:rsidRPr="00CA3F84">
        <w:rPr>
          <w:color w:val="auto"/>
        </w:rPr>
        <w:t>Évaluation</w:t>
      </w:r>
      <w:r w:rsidR="00B5614A" w:rsidRPr="00CA3F84">
        <w:rPr>
          <w:color w:val="auto"/>
        </w:rPr>
        <w:t xml:space="preserve"> </w:t>
      </w:r>
      <w:r w:rsidR="003E6947" w:rsidRPr="00CA3F84">
        <w:rPr>
          <w:color w:val="auto"/>
        </w:rPr>
        <w:t xml:space="preserve">horizontale du gouvernement ouvert, nous devons nous tenir au courant des nouveautés en matière de gouvernement ouvert tout en continuant à répondre aux exigences de la </w:t>
      </w:r>
      <w:r w:rsidR="003E6947" w:rsidRPr="00CA3F84">
        <w:rPr>
          <w:i/>
          <w:color w:val="auto"/>
        </w:rPr>
        <w:t>D</w:t>
      </w:r>
      <w:r w:rsidR="0078184D" w:rsidRPr="00CA3F84">
        <w:rPr>
          <w:i/>
          <w:color w:val="auto"/>
        </w:rPr>
        <w:t xml:space="preserve">irective </w:t>
      </w:r>
      <w:r w:rsidR="003E6947" w:rsidRPr="00CA3F84">
        <w:rPr>
          <w:i/>
          <w:color w:val="auto"/>
        </w:rPr>
        <w:t>sur le gouvernement ouvert</w:t>
      </w:r>
      <w:r w:rsidR="00B4312D" w:rsidRPr="00CA3F84">
        <w:rPr>
          <w:color w:val="auto"/>
        </w:rPr>
        <w:t xml:space="preserve">.  </w:t>
      </w:r>
      <w:r w:rsidR="0092401F" w:rsidRPr="00CA3F84">
        <w:rPr>
          <w:color w:val="auto"/>
        </w:rPr>
        <w:t xml:space="preserve"> </w:t>
      </w:r>
      <w:r w:rsidR="003E6947" w:rsidRPr="00CA3F84">
        <w:rPr>
          <w:color w:val="auto"/>
        </w:rPr>
        <w:t>Par conséquent, nous continuerons à maximiser la publication des données et de</w:t>
      </w:r>
      <w:r w:rsidR="00FA4448" w:rsidRPr="00CA3F84">
        <w:rPr>
          <w:color w:val="auto"/>
        </w:rPr>
        <w:t xml:space="preserve"> </w:t>
      </w:r>
      <w:r w:rsidR="00CB066B" w:rsidRPr="00CA3F84">
        <w:rPr>
          <w:color w:val="auto"/>
        </w:rPr>
        <w:t>l’</w:t>
      </w:r>
      <w:r w:rsidR="003E6947" w:rsidRPr="00CA3F84">
        <w:rPr>
          <w:color w:val="auto"/>
        </w:rPr>
        <w:t>information, et nous surveillerons, évaluerons et maintiendrons la flexibilité de nos approches afin d’adapter les engagements de la CFP pour que ceux-ci s’harmonisent avec l’orientation et les priorités en évolution en matière de gouvernement ouvert du gouvernement du Canada</w:t>
      </w:r>
      <w:r w:rsidR="00727C97" w:rsidRPr="00CA3F84">
        <w:rPr>
          <w:color w:val="auto"/>
        </w:rPr>
        <w:t>.</w:t>
      </w:r>
    </w:p>
    <w:p w14:paraId="56481269" w14:textId="31F8EE4C" w:rsidR="00436F88" w:rsidRPr="00CA3F84" w:rsidRDefault="003E6947" w:rsidP="00B4312D">
      <w:pPr>
        <w:rPr>
          <w:color w:val="auto"/>
        </w:rPr>
      </w:pPr>
      <w:r w:rsidRPr="00CA3F84">
        <w:rPr>
          <w:color w:val="auto"/>
        </w:rPr>
        <w:t>Pour continuer à appuyer les engagements et les attentes du gouvernement ouvert, nous comptons</w:t>
      </w:r>
      <w:r w:rsidR="00133081" w:rsidRPr="00CA3F84">
        <w:rPr>
          <w:color w:val="auto"/>
        </w:rPr>
        <w:t> </w:t>
      </w:r>
      <w:r w:rsidRPr="00CA3F84">
        <w:rPr>
          <w:color w:val="auto"/>
        </w:rPr>
        <w:t xml:space="preserve">: </w:t>
      </w:r>
    </w:p>
    <w:p w14:paraId="1EE914DA" w14:textId="436EF621" w:rsidR="000B63C9" w:rsidRPr="00CA3F84" w:rsidRDefault="003E6947" w:rsidP="00B4312D">
      <w:pPr>
        <w:pStyle w:val="ListParagraph"/>
        <w:numPr>
          <w:ilvl w:val="0"/>
          <w:numId w:val="31"/>
        </w:numPr>
        <w:rPr>
          <w:color w:val="auto"/>
        </w:rPr>
      </w:pPr>
      <w:r w:rsidRPr="00CA3F84">
        <w:rPr>
          <w:color w:val="auto"/>
        </w:rPr>
        <w:t>actualiser et/ou consolider les ensembles de données ouvertes et la documentation à l’appui</w:t>
      </w:r>
      <w:bookmarkStart w:id="50" w:name="_GoBack"/>
      <w:bookmarkEnd w:id="50"/>
    </w:p>
    <w:p w14:paraId="504234E0" w14:textId="40FF7BDF" w:rsidR="00727C97" w:rsidRPr="00CA3F84" w:rsidRDefault="003E6947" w:rsidP="00B4312D">
      <w:pPr>
        <w:pStyle w:val="ListParagraph"/>
        <w:numPr>
          <w:ilvl w:val="0"/>
          <w:numId w:val="31"/>
        </w:numPr>
        <w:rPr>
          <w:color w:val="auto"/>
        </w:rPr>
      </w:pPr>
      <w:r w:rsidRPr="00CA3F84">
        <w:rPr>
          <w:color w:val="auto"/>
        </w:rPr>
        <w:t xml:space="preserve">continuer à identifier et à communiquer </w:t>
      </w:r>
      <w:r w:rsidR="00FA4448" w:rsidRPr="00CA3F84">
        <w:rPr>
          <w:color w:val="auto"/>
        </w:rPr>
        <w:t>de nouvelles informations ouvertes</w:t>
      </w:r>
    </w:p>
    <w:p w14:paraId="11CAC4C8" w14:textId="72589270" w:rsidR="00727C97" w:rsidRPr="00CA3F84" w:rsidRDefault="003E6947" w:rsidP="00B4312D">
      <w:pPr>
        <w:pStyle w:val="ListParagraph"/>
        <w:numPr>
          <w:ilvl w:val="0"/>
          <w:numId w:val="31"/>
        </w:numPr>
        <w:rPr>
          <w:color w:val="auto"/>
        </w:rPr>
      </w:pPr>
      <w:r w:rsidRPr="00CA3F84">
        <w:rPr>
          <w:color w:val="auto"/>
        </w:rPr>
        <w:t xml:space="preserve">examiner les constatations de </w:t>
      </w:r>
      <w:r w:rsidR="00B5614A" w:rsidRPr="00CA3F84">
        <w:rPr>
          <w:color w:val="auto"/>
        </w:rPr>
        <w:t>l’</w:t>
      </w:r>
      <w:r w:rsidR="007B43B3" w:rsidRPr="00CA3F84">
        <w:rPr>
          <w:color w:val="auto"/>
        </w:rPr>
        <w:t>Évaluation</w:t>
      </w:r>
      <w:r w:rsidR="00B5614A" w:rsidRPr="00CA3F84">
        <w:rPr>
          <w:color w:val="auto"/>
        </w:rPr>
        <w:t xml:space="preserve"> </w:t>
      </w:r>
      <w:r w:rsidRPr="00CA3F84">
        <w:rPr>
          <w:color w:val="auto"/>
        </w:rPr>
        <w:t>horizontale du gouvernement ouvert et nous y adapter</w:t>
      </w:r>
      <w:r w:rsidR="00727C97" w:rsidRPr="00CA3F84">
        <w:rPr>
          <w:color w:val="auto"/>
        </w:rPr>
        <w:t xml:space="preserve"> </w:t>
      </w:r>
    </w:p>
    <w:p w14:paraId="353E824D" w14:textId="32E8949E" w:rsidR="000B63C9" w:rsidRPr="00CA3F84" w:rsidRDefault="003E6947" w:rsidP="00B4312D">
      <w:pPr>
        <w:pStyle w:val="ListParagraph"/>
        <w:numPr>
          <w:ilvl w:val="0"/>
          <w:numId w:val="31"/>
        </w:numPr>
        <w:rPr>
          <w:color w:val="auto"/>
        </w:rPr>
      </w:pPr>
      <w:r w:rsidRPr="00CA3F84">
        <w:rPr>
          <w:color w:val="auto"/>
        </w:rPr>
        <w:lastRenderedPageBreak/>
        <w:t xml:space="preserve">planifier le prochain PMOGO </w:t>
      </w:r>
      <w:r w:rsidR="00ED2079" w:rsidRPr="00CA3F84">
        <w:rPr>
          <w:color w:val="auto"/>
        </w:rPr>
        <w:t>(2022-2024)</w:t>
      </w:r>
      <w:r w:rsidR="00FA4448" w:rsidRPr="00CA3F84">
        <w:rPr>
          <w:color w:val="auto"/>
        </w:rPr>
        <w:t>.</w:t>
      </w:r>
    </w:p>
    <w:p w14:paraId="26C492DC" w14:textId="2018A1E7" w:rsidR="00436F88" w:rsidRPr="00CA3F84" w:rsidRDefault="00436F88" w:rsidP="00282004">
      <w:pPr>
        <w:pStyle w:val="Heading1"/>
        <w:rPr>
          <w:color w:val="auto"/>
        </w:rPr>
      </w:pPr>
      <w:bookmarkStart w:id="51" w:name="_Toc44323395"/>
      <w:bookmarkStart w:id="52" w:name="_Toc50038765"/>
      <w:r w:rsidRPr="00CA3F84">
        <w:rPr>
          <w:color w:val="auto"/>
        </w:rPr>
        <w:t>7</w:t>
      </w:r>
      <w:r w:rsidR="00B4312D" w:rsidRPr="00CA3F84">
        <w:rPr>
          <w:color w:val="auto"/>
        </w:rPr>
        <w:t xml:space="preserve">.  </w:t>
      </w:r>
      <w:r w:rsidR="003E6947" w:rsidRPr="00CA3F84">
        <w:rPr>
          <w:color w:val="auto"/>
        </w:rPr>
        <w:t>Gouvernance de la CFP ouverte</w:t>
      </w:r>
      <w:bookmarkEnd w:id="51"/>
      <w:bookmarkEnd w:id="52"/>
    </w:p>
    <w:p w14:paraId="188F8717" w14:textId="2E4E5918" w:rsidR="00DA2555" w:rsidRPr="00CA3F84" w:rsidRDefault="003E6947" w:rsidP="00DA2555">
      <w:pPr>
        <w:rPr>
          <w:color w:val="auto"/>
        </w:rPr>
      </w:pPr>
      <w:r w:rsidRPr="00CA3F84">
        <w:rPr>
          <w:color w:val="auto"/>
        </w:rPr>
        <w:t xml:space="preserve">Le Comité exécutif de gestion a désigné un champion du gouvernement ouvert en novembre 2016 pour </w:t>
      </w:r>
      <w:r w:rsidR="00FA4448" w:rsidRPr="00CA3F84">
        <w:rPr>
          <w:color w:val="auto"/>
        </w:rPr>
        <w:t>assurer le leadership pertinent et la visibilité appropriée de</w:t>
      </w:r>
      <w:r w:rsidRPr="00CA3F84">
        <w:rPr>
          <w:color w:val="auto"/>
        </w:rPr>
        <w:t xml:space="preserve"> cette initiative</w:t>
      </w:r>
      <w:r w:rsidR="00FA4448" w:rsidRPr="00CA3F84">
        <w:rPr>
          <w:color w:val="auto"/>
        </w:rPr>
        <w:t xml:space="preserve">, de même que </w:t>
      </w:r>
      <w:r w:rsidRPr="00CA3F84">
        <w:rPr>
          <w:color w:val="auto"/>
        </w:rPr>
        <w:t xml:space="preserve">favoriser </w:t>
      </w:r>
      <w:r w:rsidR="00FD79AF" w:rsidRPr="00CA3F84">
        <w:rPr>
          <w:color w:val="auto"/>
        </w:rPr>
        <w:t xml:space="preserve">le succès de </w:t>
      </w:r>
      <w:r w:rsidR="00400060" w:rsidRPr="00CA3F84">
        <w:rPr>
          <w:color w:val="auto"/>
        </w:rPr>
        <w:t>sa mise en œuvre</w:t>
      </w:r>
      <w:r w:rsidR="00B4312D" w:rsidRPr="00CA3F84">
        <w:rPr>
          <w:color w:val="auto"/>
        </w:rPr>
        <w:t xml:space="preserve">.  </w:t>
      </w:r>
      <w:r w:rsidR="00400060" w:rsidRPr="00CA3F84">
        <w:rPr>
          <w:color w:val="auto"/>
        </w:rPr>
        <w:t>Depuis lors, la gouvernance a été assurée par l’intermédiaire d’organismes officiels, comme le Comité mixte</w:t>
      </w:r>
      <w:r w:rsidR="00FA4448" w:rsidRPr="00CA3F84">
        <w:rPr>
          <w:color w:val="auto"/>
        </w:rPr>
        <w:t xml:space="preserve"> qui réunit le Comité </w:t>
      </w:r>
      <w:r w:rsidR="00400060" w:rsidRPr="00CA3F84">
        <w:rPr>
          <w:color w:val="auto"/>
        </w:rPr>
        <w:t>de la gestion de l’information/technologie de l’information (</w:t>
      </w:r>
      <w:r w:rsidR="00FA4448" w:rsidRPr="00CA3F84">
        <w:rPr>
          <w:color w:val="auto"/>
        </w:rPr>
        <w:t>C</w:t>
      </w:r>
      <w:r w:rsidR="00400060" w:rsidRPr="00CA3F84">
        <w:rPr>
          <w:color w:val="auto"/>
        </w:rPr>
        <w:t>GI/TI) et</w:t>
      </w:r>
      <w:r w:rsidR="00FA4448" w:rsidRPr="00CA3F84">
        <w:rPr>
          <w:color w:val="auto"/>
        </w:rPr>
        <w:t xml:space="preserve"> le Comité de l’</w:t>
      </w:r>
      <w:r w:rsidR="00400060" w:rsidRPr="00CA3F84">
        <w:rPr>
          <w:color w:val="auto"/>
        </w:rPr>
        <w:t>intégration (CI)</w:t>
      </w:r>
      <w:r w:rsidR="00B4312D" w:rsidRPr="00CA3F84">
        <w:rPr>
          <w:color w:val="auto"/>
        </w:rPr>
        <w:t xml:space="preserve">.  </w:t>
      </w:r>
      <w:r w:rsidR="00400060" w:rsidRPr="00CA3F84">
        <w:rPr>
          <w:color w:val="auto"/>
        </w:rPr>
        <w:t xml:space="preserve">En reconnaissance de la nature horizontale de cet effort, le Comité consultatif sur les données et le gouvernement ouvert (CCDGO) et divers </w:t>
      </w:r>
      <w:r w:rsidR="00FD4960" w:rsidRPr="00CA3F84">
        <w:rPr>
          <w:color w:val="auto"/>
        </w:rPr>
        <w:t xml:space="preserve">groupes </w:t>
      </w:r>
      <w:r w:rsidR="00400060" w:rsidRPr="00CA3F84">
        <w:rPr>
          <w:color w:val="auto"/>
        </w:rPr>
        <w:t>de travail ont été créés pour favoriser une approche intégrée de la mise en œuvre</w:t>
      </w:r>
      <w:r w:rsidR="00B4312D" w:rsidRPr="00CA3F84">
        <w:rPr>
          <w:color w:val="auto"/>
        </w:rPr>
        <w:t xml:space="preserve">.  </w:t>
      </w:r>
    </w:p>
    <w:p w14:paraId="5E42B851" w14:textId="61659058" w:rsidR="00436F88" w:rsidRPr="00CA3F84" w:rsidRDefault="00E9026D" w:rsidP="00DA2555">
      <w:pPr>
        <w:rPr>
          <w:color w:val="auto"/>
        </w:rPr>
      </w:pPr>
      <w:r w:rsidRPr="00CA3F84">
        <w:rPr>
          <w:color w:val="auto"/>
        </w:rPr>
        <w:t xml:space="preserve">Le CCDGO, un organisme informel, </w:t>
      </w:r>
      <w:r w:rsidR="00400060" w:rsidRPr="00CA3F84">
        <w:rPr>
          <w:color w:val="auto"/>
        </w:rPr>
        <w:t>a assuré un soutien au cadre supérieur responsable de la gestion de l’information (CSGI) et au champion du gouver</w:t>
      </w:r>
      <w:r w:rsidRPr="00CA3F84">
        <w:rPr>
          <w:color w:val="auto"/>
        </w:rPr>
        <w:t>nement ouvert, et a fourni des conseils et des directives aux premières étapes de la mise en œuvre du gouvernement ouvert à la CFP</w:t>
      </w:r>
      <w:r w:rsidR="00B4312D" w:rsidRPr="00CA3F84">
        <w:rPr>
          <w:color w:val="auto"/>
        </w:rPr>
        <w:t xml:space="preserve">.  </w:t>
      </w:r>
      <w:r w:rsidRPr="00CA3F84">
        <w:rPr>
          <w:color w:val="auto"/>
        </w:rPr>
        <w:t>L’état du gouvernement ouvert à la CFP a évolué et n’exige plus le CCDGO</w:t>
      </w:r>
      <w:r w:rsidR="00B4312D" w:rsidRPr="00CA3F84">
        <w:rPr>
          <w:color w:val="auto"/>
        </w:rPr>
        <w:t xml:space="preserve">.  </w:t>
      </w:r>
      <w:r w:rsidRPr="00CA3F84">
        <w:rPr>
          <w:color w:val="auto"/>
        </w:rPr>
        <w:t>Le rôle du CSGI est confié au dirigeant principal de l’information (DPI) qui est membre du Comité de gestion de l’information/technologie de l’information (GI/TI)</w:t>
      </w:r>
      <w:r w:rsidR="00B4312D" w:rsidRPr="00CA3F84">
        <w:rPr>
          <w:color w:val="auto"/>
        </w:rPr>
        <w:t xml:space="preserve">.  </w:t>
      </w:r>
      <w:r w:rsidRPr="00CA3F84">
        <w:rPr>
          <w:color w:val="auto"/>
        </w:rPr>
        <w:t>Le comité mixte se composant du CI et du CGI/TI remplacera le CCDGO</w:t>
      </w:r>
      <w:r w:rsidR="00B4312D" w:rsidRPr="00CA3F84">
        <w:rPr>
          <w:color w:val="auto"/>
        </w:rPr>
        <w:t xml:space="preserve">.  </w:t>
      </w:r>
    </w:p>
    <w:p w14:paraId="043E33CA" w14:textId="67D72A63" w:rsidR="005D6C44" w:rsidRPr="00CA3F84" w:rsidRDefault="00E9026D" w:rsidP="005D6C44">
      <w:pPr>
        <w:rPr>
          <w:color w:val="auto"/>
        </w:rPr>
      </w:pPr>
      <w:r w:rsidRPr="00CA3F84">
        <w:rPr>
          <w:color w:val="auto"/>
        </w:rPr>
        <w:t>Afin de continuer à appuyer le champion du gouvernement ouvert et le CSGI, la composition du Groupe de travail sur le gouvernement ouvert (GTGO) sera élargie pour inclure des représentants opérationnels de tous les secteurs et de toutes les régions de la CFP</w:t>
      </w:r>
      <w:r w:rsidR="00B4312D" w:rsidRPr="00CA3F84">
        <w:rPr>
          <w:color w:val="auto"/>
        </w:rPr>
        <w:t xml:space="preserve">.  </w:t>
      </w:r>
      <w:r w:rsidRPr="00CA3F84">
        <w:rPr>
          <w:color w:val="auto"/>
        </w:rPr>
        <w:t xml:space="preserve">Le </w:t>
      </w:r>
      <w:r w:rsidR="00FA4448" w:rsidRPr="00CA3F84">
        <w:rPr>
          <w:color w:val="auto"/>
        </w:rPr>
        <w:t>mandat</w:t>
      </w:r>
      <w:r w:rsidRPr="00CA3F84">
        <w:rPr>
          <w:color w:val="auto"/>
        </w:rPr>
        <w:t xml:space="preserve"> actualisé prévoira une plus grande responsabilité vis-à-vis de l’identification des </w:t>
      </w:r>
      <w:r w:rsidR="00FA4448" w:rsidRPr="00CA3F84">
        <w:rPr>
          <w:color w:val="auto"/>
        </w:rPr>
        <w:t>ressources</w:t>
      </w:r>
      <w:r w:rsidR="00C86CD1" w:rsidRPr="00CA3F84">
        <w:rPr>
          <w:color w:val="auto"/>
        </w:rPr>
        <w:t xml:space="preserve"> </w:t>
      </w:r>
      <w:r w:rsidRPr="00CA3F84">
        <w:rPr>
          <w:color w:val="auto"/>
        </w:rPr>
        <w:t>pour le gouvernement ouvert</w:t>
      </w:r>
      <w:r w:rsidR="00B4312D" w:rsidRPr="00CA3F84">
        <w:rPr>
          <w:color w:val="auto"/>
        </w:rPr>
        <w:t xml:space="preserve">.  </w:t>
      </w:r>
      <w:r w:rsidRPr="00CA3F84">
        <w:rPr>
          <w:color w:val="auto"/>
        </w:rPr>
        <w:t xml:space="preserve">Le GTGO subsumera le rôle de prestation du soutien au champion du gouvernement ouvert et au CSGI, et permettra à la CFP d’approfondir son intégration du gouvernement </w:t>
      </w:r>
      <w:r w:rsidR="00472C04" w:rsidRPr="00CA3F84">
        <w:rPr>
          <w:color w:val="auto"/>
        </w:rPr>
        <w:t xml:space="preserve">ouvert </w:t>
      </w:r>
      <w:r w:rsidRPr="00CA3F84">
        <w:rPr>
          <w:color w:val="auto"/>
        </w:rPr>
        <w:t>dans ses niveaux opérationnels</w:t>
      </w:r>
      <w:r w:rsidR="00B4312D" w:rsidRPr="00CA3F84">
        <w:rPr>
          <w:color w:val="auto"/>
        </w:rPr>
        <w:t xml:space="preserve">.  </w:t>
      </w:r>
    </w:p>
    <w:p w14:paraId="0958B3EE" w14:textId="4AF6D0CB" w:rsidR="00D87433" w:rsidRPr="00CA3F84" w:rsidRDefault="00D87433" w:rsidP="005D6C44">
      <w:pPr>
        <w:rPr>
          <w:color w:val="auto"/>
        </w:rPr>
      </w:pPr>
      <w:r w:rsidRPr="00CA3F84">
        <w:rPr>
          <w:color w:val="auto"/>
        </w:rPr>
        <w:t xml:space="preserve">Au moment de la rédaction du présent document, un examen de la structure formelle de gouvernance de la CFP était en cours et nous avons l’intention de miser sur les résultats de cet examen pour permettre une intégration holistique du gouvernement ouvert dans la gouvernance de la CFP. </w:t>
      </w:r>
    </w:p>
    <w:p w14:paraId="39F569B2" w14:textId="6AC38B44" w:rsidR="00646A04" w:rsidRPr="00CA3F84" w:rsidRDefault="00E9026D" w:rsidP="00282004">
      <w:pPr>
        <w:rPr>
          <w:color w:val="auto"/>
        </w:rPr>
      </w:pPr>
      <w:r w:rsidRPr="00CA3F84">
        <w:rPr>
          <w:color w:val="auto"/>
        </w:rPr>
        <w:t xml:space="preserve">La </w:t>
      </w:r>
      <w:r w:rsidRPr="000430A4">
        <w:rPr>
          <w:color w:val="auto"/>
        </w:rPr>
        <w:t xml:space="preserve">figure </w:t>
      </w:r>
      <w:r w:rsidR="00CA3F84" w:rsidRPr="000430A4">
        <w:rPr>
          <w:color w:val="auto"/>
        </w:rPr>
        <w:t>4</w:t>
      </w:r>
      <w:r w:rsidRPr="000430A4">
        <w:rPr>
          <w:color w:val="auto"/>
        </w:rPr>
        <w:t xml:space="preserve"> ci</w:t>
      </w:r>
      <w:r w:rsidRPr="00CA3F84">
        <w:rPr>
          <w:color w:val="auto"/>
        </w:rPr>
        <w:t xml:space="preserve">-dessous illustre la gouvernance révisée du gouvernement ouvert qui </w:t>
      </w:r>
      <w:r w:rsidR="005840E5" w:rsidRPr="00CA3F84">
        <w:rPr>
          <w:color w:val="auto"/>
        </w:rPr>
        <w:t>continuera à faire l’objet d’un examen par souci d’opportunité et d’efficacité, tout en continuant à respecter les exigences en matière de protection des renseignements personnels et de sécurité et les exigences prévues par la loi</w:t>
      </w:r>
      <w:r w:rsidR="00B4312D" w:rsidRPr="00CA3F84">
        <w:rPr>
          <w:color w:val="auto"/>
        </w:rPr>
        <w:t xml:space="preserve">.  </w:t>
      </w:r>
    </w:p>
    <w:p w14:paraId="49701F59" w14:textId="6D6F7EF6" w:rsidR="00D87433" w:rsidRPr="00CA3F84" w:rsidRDefault="00D87433">
      <w:pPr>
        <w:keepLines w:val="0"/>
        <w:rPr>
          <w:color w:val="auto"/>
        </w:rPr>
      </w:pPr>
      <w:r w:rsidRPr="00CA3F84">
        <w:rPr>
          <w:color w:val="auto"/>
        </w:rPr>
        <w:br w:type="page"/>
      </w:r>
    </w:p>
    <w:p w14:paraId="69669050" w14:textId="77777777" w:rsidR="00D87433" w:rsidRPr="005957F6" w:rsidRDefault="00D87433" w:rsidP="00282004"/>
    <w:p w14:paraId="34616EE7" w14:textId="0C86D50C" w:rsidR="0099681E" w:rsidRDefault="0099681E" w:rsidP="0099681E">
      <w:pPr>
        <w:keepNext/>
        <w:keepLines w:val="0"/>
      </w:pPr>
      <w:r>
        <w:object w:dxaOrig="7831" w:dyaOrig="8910" w14:anchorId="7E6A7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 Groupes de travail sur le gouvernement ouvert rapporte  au Secrétariat du gouvernement ouvert&#10;2. Secrétariat du gouvernement ouvert rapporte au Champion des données et du gouvernement ouvert&#10;3. Champion des données et du gouvernement ouvert rapporte au président&#10;&#10;1. Groupes de travail sur la gestion des données rapporte au Bureau de gestion des données&#10;2. Bureau de gestion des données rapporte au Champion des données et du gouvernement ouvert&#10;3. Champion des données et du gouvernement ouvert rapporte au président&#10;&#10;1. Groupe de travail sur l'information rapporte au Bureau de gestion d'information&#10;2.Bureau de gestion d'information rapporte au Cadre supérieur responsable de la gestion de l'information / DPI&#10;3.Cadre supérieur responsable de la gestion de l'information / DPI rapporte au to Vice-president Secteur des affaires ministèrielles&#10;&#10;&#10;1. Comité consultatif sur les données et le gouvernement ouvert rapporte au Comité mixte GI/TI et Comité d’intégration&#10;2. Comité mixte GI/TI et Comité d’intégration rapporte au comité exécutif de gestion&#10;&#10;Adhésion&#10;1. La composition du comité exécutif de gestion comprend:&#10;- Président&#10;- Champion des données et du gouvernement ouvert&#10;&#10;2. Comité mixte GI/TI et Comité d’intégration comprend:&#10;- Comité de gestion de l'information et technologie de l'information&#10;- Comité d'intégration&#10;&#10;3. Comité de gestion de l'information et technologie de l'information comprend:&#10;- Champion des données et du gouvernement ouvert&#10;- Cadre supérieur responsable de la gestion de l'information / DPI&#10;&#10;4. Comité consultatif sur les données et le gouvernement ouvert comprend:&#10;- Secrétariat du gouvernement ouvert&#10;- Bureau de gestion des données&#10;&#10;Collaboration&#10;- Secrétariat du gouvernement ouvert et le Bureau de gestion des données (si nécessaire)&#10;- Groupes de travail sur le gouvernement ouvert et les groupes de travail sur la gestion des données (si nécessaire)" style="width:393.2pt;height:447.05pt" o:ole="">
            <v:imagedata r:id="rId18" o:title=""/>
          </v:shape>
          <o:OLEObject Type="Embed" ProgID="Visio.Drawing.15" ShapeID="_x0000_i1025" DrawAspect="Content" ObjectID="_1674564628" r:id="rId19"/>
        </w:object>
      </w:r>
    </w:p>
    <w:p w14:paraId="7F715EAC" w14:textId="7CBD38A5" w:rsidR="005840E5" w:rsidRPr="00AA6EF7" w:rsidRDefault="0099681E" w:rsidP="0099681E">
      <w:pPr>
        <w:pStyle w:val="Caption"/>
        <w:rPr>
          <w:color w:val="auto"/>
        </w:rPr>
      </w:pPr>
      <w:r w:rsidRPr="00AA6EF7">
        <w:rPr>
          <w:color w:val="auto"/>
        </w:rPr>
        <w:t xml:space="preserve">Figure </w:t>
      </w:r>
      <w:r w:rsidRPr="00AA6EF7">
        <w:rPr>
          <w:color w:val="auto"/>
        </w:rPr>
        <w:fldChar w:fldCharType="begin"/>
      </w:r>
      <w:r w:rsidRPr="00AA6EF7">
        <w:rPr>
          <w:color w:val="auto"/>
        </w:rPr>
        <w:instrText xml:space="preserve"> SEQ Figure \* ARABIC </w:instrText>
      </w:r>
      <w:r w:rsidRPr="00AA6EF7">
        <w:rPr>
          <w:color w:val="auto"/>
        </w:rPr>
        <w:fldChar w:fldCharType="separate"/>
      </w:r>
      <w:r w:rsidR="006968CC">
        <w:rPr>
          <w:noProof/>
          <w:color w:val="auto"/>
        </w:rPr>
        <w:t>4</w:t>
      </w:r>
      <w:r w:rsidRPr="00AA6EF7">
        <w:rPr>
          <w:color w:val="auto"/>
        </w:rPr>
        <w:fldChar w:fldCharType="end"/>
      </w:r>
      <w:r w:rsidRPr="00AA6EF7">
        <w:rPr>
          <w:color w:val="auto"/>
        </w:rPr>
        <w:t xml:space="preserve"> - Gouvernance révisée de la CFP ouverte</w:t>
      </w:r>
    </w:p>
    <w:p w14:paraId="5EF95BDE" w14:textId="77777777" w:rsidR="00AE5497" w:rsidRPr="00AA6EF7" w:rsidRDefault="00AE5497" w:rsidP="00AE5497">
      <w:pPr>
        <w:pStyle w:val="Caption"/>
        <w:rPr>
          <w:color w:val="auto"/>
        </w:rPr>
      </w:pPr>
      <w:r w:rsidRPr="00AA6EF7">
        <w:rPr>
          <w:color w:val="auto"/>
        </w:rPr>
        <w:t xml:space="preserve">La figure 4 présente la gouvernance révisée de la CFP ouverte.  La structure de rapports est la suivante.  Le Groupe de travail sur le gouvernement ouvert rapporte au Secrétariat du gouvernement ouvert. Le Secrétariat du gouvernement ouvert rapporte au Champion du gouvernement ouvert/ Dirigeant principal des données (DPD). Le Champion du gouvernement ouvert/DPD rapporte au Président. </w:t>
      </w:r>
    </w:p>
    <w:p w14:paraId="1F4647B7" w14:textId="77777777" w:rsidR="00AE5497" w:rsidRPr="00AA6EF7" w:rsidRDefault="00AE5497" w:rsidP="00AE5497">
      <w:pPr>
        <w:pStyle w:val="Caption"/>
        <w:rPr>
          <w:color w:val="auto"/>
        </w:rPr>
      </w:pPr>
      <w:r w:rsidRPr="00AA6EF7">
        <w:rPr>
          <w:color w:val="auto"/>
        </w:rPr>
        <w:t>Le Groupe(s) de travail sur la gestion des données rapporte au Bureau de gestion des données. Le Bureau de gestion des données rapporte au Champion du gouvernement ouvert/DPD. Le Champion du gouvernement ouvert/DPD rapporte au Président.</w:t>
      </w:r>
    </w:p>
    <w:p w14:paraId="6639F8D1" w14:textId="77777777" w:rsidR="00AE5497" w:rsidRPr="00AA6EF7" w:rsidRDefault="00AE5497" w:rsidP="00AE5497">
      <w:pPr>
        <w:pStyle w:val="Caption"/>
        <w:rPr>
          <w:color w:val="auto"/>
        </w:rPr>
      </w:pPr>
      <w:r w:rsidRPr="00AA6EF7">
        <w:rPr>
          <w:color w:val="auto"/>
        </w:rPr>
        <w:lastRenderedPageBreak/>
        <w:t>Le Groupe de travail sur l'information rapporte au Bureau de gestion d'information. Le Bureau de gestion d'information rapporte au Cadre supérieur responsable de la gestion de l'information/DPI. Le Cadre supérieur responsable de la gestion de l'information/DPI rapporte au to Vice-président Secteur des affaires ministérielles.</w:t>
      </w:r>
    </w:p>
    <w:p w14:paraId="590B52C0" w14:textId="77777777" w:rsidR="00AE5497" w:rsidRPr="00AA6EF7" w:rsidRDefault="00AE5497" w:rsidP="00AE5497">
      <w:pPr>
        <w:pStyle w:val="Caption"/>
        <w:rPr>
          <w:color w:val="auto"/>
        </w:rPr>
      </w:pPr>
      <w:r w:rsidRPr="00AA6EF7">
        <w:rPr>
          <w:color w:val="auto"/>
        </w:rPr>
        <w:t xml:space="preserve">Le Comité mixte GI/TI et le Comité d’intégration rapporte au Comité exécutif de gestion.  </w:t>
      </w:r>
    </w:p>
    <w:p w14:paraId="22726E03" w14:textId="77777777" w:rsidR="00AE5497" w:rsidRPr="00AA6EF7" w:rsidRDefault="00AE5497" w:rsidP="00AE5497">
      <w:pPr>
        <w:pStyle w:val="Caption"/>
        <w:rPr>
          <w:color w:val="auto"/>
        </w:rPr>
      </w:pPr>
      <w:r w:rsidRPr="00AA6EF7">
        <w:rPr>
          <w:color w:val="auto"/>
        </w:rPr>
        <w:t xml:space="preserve">La composition des comités est la suivante. Le comité exécutif de gestion comprend: le Président et le Champion du gouvernement ouvert/DPD. Le Comité mixte GI/TI et Comité d’intégration comprend: le Comité de gestion de l'information et technologie de l'information et le Comité d'intégration. Le Comité de gestion de l'information et technologie de l'information comprend: le Champion du gouvernement ouvert/DPD et le Cadre supérieur responsable de la gestion de l'information/DPI. </w:t>
      </w:r>
    </w:p>
    <w:p w14:paraId="46F2782E" w14:textId="42F2BF83" w:rsidR="00AE5497" w:rsidRPr="00AA6EF7" w:rsidRDefault="00AE5497" w:rsidP="00AE5497">
      <w:pPr>
        <w:pStyle w:val="Caption"/>
        <w:rPr>
          <w:color w:val="auto"/>
        </w:rPr>
      </w:pPr>
      <w:r w:rsidRPr="00AA6EF7">
        <w:rPr>
          <w:color w:val="auto"/>
        </w:rPr>
        <w:t xml:space="preserve">Une collaboration a lieu entre le Secrétariat du gouvernement ouvert et le Bureau de gestion des données (si nécessaire). Une collaboration a lieu entre le Groupe de travail sur le gouvernement ouvert et le(s) Groupe(s) de travail sur la gestion des données (si nécessaire). </w:t>
      </w:r>
    </w:p>
    <w:p w14:paraId="16E4AE81" w14:textId="7C539397" w:rsidR="00DC65F3" w:rsidRPr="005957F6" w:rsidRDefault="000A573E" w:rsidP="00AE5497">
      <w:pPr>
        <w:pStyle w:val="Heading1"/>
      </w:pPr>
      <w:r w:rsidRPr="005957F6">
        <w:br w:type="page"/>
      </w:r>
      <w:bookmarkStart w:id="53" w:name="_Toc29981519"/>
      <w:bookmarkStart w:id="54" w:name="_Toc44323396"/>
      <w:bookmarkStart w:id="55" w:name="_Toc50038766"/>
      <w:r w:rsidR="00DC65F3" w:rsidRPr="00AA6EF7">
        <w:rPr>
          <w:color w:val="auto"/>
        </w:rPr>
        <w:lastRenderedPageBreak/>
        <w:t>8</w:t>
      </w:r>
      <w:r w:rsidR="00B4312D" w:rsidRPr="00AA6EF7">
        <w:rPr>
          <w:color w:val="auto"/>
        </w:rPr>
        <w:t xml:space="preserve">.  </w:t>
      </w:r>
      <w:r w:rsidR="00DC65F3" w:rsidRPr="00AA6EF7">
        <w:rPr>
          <w:color w:val="auto"/>
        </w:rPr>
        <w:t>Ris</w:t>
      </w:r>
      <w:r w:rsidR="003E6947" w:rsidRPr="00AA6EF7">
        <w:rPr>
          <w:color w:val="auto"/>
        </w:rPr>
        <w:t>ques et stratégies d’atténuation</w:t>
      </w:r>
      <w:bookmarkEnd w:id="53"/>
      <w:bookmarkEnd w:id="54"/>
      <w:bookmarkEnd w:id="55"/>
    </w:p>
    <w:p w14:paraId="7C9E111C" w14:textId="79B4CA31" w:rsidR="00A66177" w:rsidRPr="00CA3F84" w:rsidRDefault="005840E5" w:rsidP="00A66177">
      <w:pPr>
        <w:rPr>
          <w:color w:val="auto"/>
        </w:rPr>
      </w:pPr>
      <w:r w:rsidRPr="00CA3F84">
        <w:rPr>
          <w:color w:val="auto"/>
        </w:rPr>
        <w:t xml:space="preserve">La mise en œuvre d’une CFP ouverte </w:t>
      </w:r>
      <w:r w:rsidR="00FC646E" w:rsidRPr="00CA3F84">
        <w:rPr>
          <w:color w:val="auto"/>
        </w:rPr>
        <w:t xml:space="preserve">comprend </w:t>
      </w:r>
      <w:r w:rsidRPr="00CA3F84">
        <w:rPr>
          <w:color w:val="auto"/>
        </w:rPr>
        <w:t>divers risques, qui seront abordés au moyen de stratégies d’atténuation dont la mise en œuvre a déjà eu lieu ou est prévue</w:t>
      </w:r>
      <w:r w:rsidR="00B4312D" w:rsidRPr="00CA3F84">
        <w:rPr>
          <w:color w:val="auto"/>
        </w:rPr>
        <w:t>.</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Ce tableau est composé de 2 colonnes et 11 lignes, et ne contient aucune cellules divisées ou fusionnées."/>
      </w:tblPr>
      <w:tblGrid>
        <w:gridCol w:w="2967"/>
        <w:gridCol w:w="6946"/>
      </w:tblGrid>
      <w:tr w:rsidR="00CA3F84" w:rsidRPr="00CA3F84" w14:paraId="09AF1CEC" w14:textId="77777777" w:rsidTr="004E26F3">
        <w:trPr>
          <w:trHeight w:val="305"/>
          <w:tblHeader/>
        </w:trPr>
        <w:tc>
          <w:tcPr>
            <w:tcW w:w="2967" w:type="dxa"/>
            <w:shd w:val="clear" w:color="auto" w:fill="D9D9D9"/>
            <w:tcMar>
              <w:top w:w="100" w:type="dxa"/>
              <w:left w:w="100" w:type="dxa"/>
              <w:bottom w:w="100" w:type="dxa"/>
              <w:right w:w="100" w:type="dxa"/>
            </w:tcMar>
            <w:hideMark/>
          </w:tcPr>
          <w:p w14:paraId="66600699" w14:textId="73FCD770" w:rsidR="00A66177" w:rsidRPr="00CA3F84" w:rsidRDefault="00A66177" w:rsidP="003E6947">
            <w:pPr>
              <w:spacing w:after="0"/>
              <w:rPr>
                <w:color w:val="auto"/>
              </w:rPr>
            </w:pPr>
            <w:bookmarkStart w:id="56" w:name="_Toc28006897"/>
            <w:bookmarkStart w:id="57" w:name="_Toc29981520"/>
            <w:r w:rsidRPr="00CA3F84">
              <w:rPr>
                <w:b/>
                <w:bCs/>
                <w:color w:val="auto"/>
              </w:rPr>
              <w:t>Ris</w:t>
            </w:r>
            <w:r w:rsidR="003E6947" w:rsidRPr="00CA3F84">
              <w:rPr>
                <w:b/>
                <w:bCs/>
                <w:color w:val="auto"/>
              </w:rPr>
              <w:t>ques</w:t>
            </w:r>
          </w:p>
        </w:tc>
        <w:tc>
          <w:tcPr>
            <w:tcW w:w="6946" w:type="dxa"/>
            <w:shd w:val="clear" w:color="auto" w:fill="D9D9D9"/>
            <w:tcMar>
              <w:top w:w="100" w:type="dxa"/>
              <w:left w:w="100" w:type="dxa"/>
              <w:bottom w:w="100" w:type="dxa"/>
              <w:right w:w="100" w:type="dxa"/>
            </w:tcMar>
            <w:hideMark/>
          </w:tcPr>
          <w:p w14:paraId="0CEA0ADB" w14:textId="7902583E" w:rsidR="00A66177" w:rsidRPr="00CA3F84" w:rsidRDefault="003E6947" w:rsidP="003E6947">
            <w:pPr>
              <w:spacing w:after="0"/>
              <w:rPr>
                <w:color w:val="auto"/>
              </w:rPr>
            </w:pPr>
            <w:r w:rsidRPr="00CA3F84">
              <w:rPr>
                <w:b/>
                <w:bCs/>
                <w:color w:val="auto"/>
              </w:rPr>
              <w:t>Stratégies d’atténuation</w:t>
            </w:r>
          </w:p>
        </w:tc>
      </w:tr>
      <w:tr w:rsidR="00CA3F84" w:rsidRPr="00CA3F84" w14:paraId="740EC7C2" w14:textId="77777777" w:rsidTr="004E26F3">
        <w:trPr>
          <w:trHeight w:val="1352"/>
        </w:trPr>
        <w:tc>
          <w:tcPr>
            <w:tcW w:w="2967" w:type="dxa"/>
            <w:tcMar>
              <w:top w:w="100" w:type="dxa"/>
              <w:left w:w="100" w:type="dxa"/>
              <w:bottom w:w="100" w:type="dxa"/>
              <w:right w:w="100" w:type="dxa"/>
            </w:tcMar>
            <w:hideMark/>
          </w:tcPr>
          <w:p w14:paraId="1DF54767" w14:textId="44B5DA54" w:rsidR="00A66177" w:rsidRPr="00CA3F84" w:rsidRDefault="00AE3014" w:rsidP="003A7D2D">
            <w:pPr>
              <w:spacing w:after="0"/>
              <w:rPr>
                <w:color w:val="auto"/>
              </w:rPr>
            </w:pPr>
            <w:r w:rsidRPr="00CA3F84">
              <w:rPr>
                <w:color w:val="auto"/>
              </w:rPr>
              <w:t>1</w:t>
            </w:r>
            <w:r w:rsidR="00B4312D" w:rsidRPr="00CA3F84">
              <w:rPr>
                <w:color w:val="auto"/>
              </w:rPr>
              <w:t xml:space="preserve">.  </w:t>
            </w:r>
            <w:r w:rsidR="005840E5" w:rsidRPr="00CA3F84">
              <w:rPr>
                <w:color w:val="auto"/>
              </w:rPr>
              <w:t>Publication de données et d’information</w:t>
            </w:r>
            <w:r w:rsidR="00FA4448" w:rsidRPr="00CA3F84">
              <w:rPr>
                <w:color w:val="auto"/>
              </w:rPr>
              <w:t>s</w:t>
            </w:r>
            <w:r w:rsidR="005840E5" w:rsidRPr="00CA3F84">
              <w:rPr>
                <w:color w:val="auto"/>
              </w:rPr>
              <w:t xml:space="preserve"> qui n’auraient pas dû être diffusées (p</w:t>
            </w:r>
            <w:r w:rsidR="00B4312D" w:rsidRPr="00CA3F84">
              <w:rPr>
                <w:color w:val="auto"/>
              </w:rPr>
              <w:t xml:space="preserve">.  </w:t>
            </w:r>
            <w:r w:rsidR="005840E5" w:rsidRPr="00CA3F84">
              <w:rPr>
                <w:color w:val="auto"/>
              </w:rPr>
              <w:t>ex., données ou information</w:t>
            </w:r>
            <w:r w:rsidR="00FA4448" w:rsidRPr="00CA3F84">
              <w:rPr>
                <w:color w:val="auto"/>
              </w:rPr>
              <w:t>s</w:t>
            </w:r>
            <w:r w:rsidR="005840E5" w:rsidRPr="00CA3F84">
              <w:rPr>
                <w:color w:val="auto"/>
              </w:rPr>
              <w:t xml:space="preserve"> </w:t>
            </w:r>
            <w:r w:rsidR="003A7D2D" w:rsidRPr="00CA3F84">
              <w:rPr>
                <w:color w:val="auto"/>
              </w:rPr>
              <w:t>sensibles</w:t>
            </w:r>
            <w:r w:rsidR="005840E5" w:rsidRPr="00CA3F84">
              <w:rPr>
                <w:color w:val="auto"/>
              </w:rPr>
              <w:t>, fausses ou hors contexte)</w:t>
            </w:r>
          </w:p>
        </w:tc>
        <w:tc>
          <w:tcPr>
            <w:tcW w:w="6946" w:type="dxa"/>
            <w:tcMar>
              <w:top w:w="100" w:type="dxa"/>
              <w:left w:w="100" w:type="dxa"/>
              <w:bottom w:w="100" w:type="dxa"/>
              <w:right w:w="100" w:type="dxa"/>
            </w:tcMar>
            <w:hideMark/>
          </w:tcPr>
          <w:p w14:paraId="65C100B3" w14:textId="57F1C6E3" w:rsidR="00A66177" w:rsidRPr="00CA3F84" w:rsidRDefault="005840E5" w:rsidP="002234E9">
            <w:pPr>
              <w:spacing w:after="0"/>
              <w:rPr>
                <w:color w:val="auto"/>
              </w:rPr>
            </w:pPr>
            <w:r w:rsidRPr="00CA3F84">
              <w:rPr>
                <w:color w:val="auto"/>
              </w:rPr>
              <w:t>Mis</w:t>
            </w:r>
            <w:r w:rsidR="00C16449" w:rsidRPr="00CA3F84">
              <w:rPr>
                <w:color w:val="auto"/>
              </w:rPr>
              <w:t>e</w:t>
            </w:r>
            <w:r w:rsidRPr="00CA3F84">
              <w:rPr>
                <w:color w:val="auto"/>
              </w:rPr>
              <w:t xml:space="preserve"> en œuvre :</w:t>
            </w:r>
          </w:p>
          <w:p w14:paraId="3844BB67" w14:textId="4D1DA473" w:rsidR="00A66177" w:rsidRPr="00CA3F84" w:rsidRDefault="005840E5" w:rsidP="002234E9">
            <w:pPr>
              <w:numPr>
                <w:ilvl w:val="0"/>
                <w:numId w:val="4"/>
              </w:numPr>
              <w:spacing w:after="0"/>
              <w:ind w:left="467"/>
              <w:rPr>
                <w:color w:val="auto"/>
              </w:rPr>
            </w:pPr>
            <w:r w:rsidRPr="00CA3F84">
              <w:rPr>
                <w:color w:val="auto"/>
              </w:rPr>
              <w:t>Développer une documentation de référence (guides d’utilisateur) sur les exigences en matière de publication</w:t>
            </w:r>
            <w:r w:rsidR="006432D5" w:rsidRPr="00CA3F84">
              <w:rPr>
                <w:color w:val="auto"/>
              </w:rPr>
              <w:t>.</w:t>
            </w:r>
          </w:p>
          <w:p w14:paraId="3FD6393B" w14:textId="17642FB2" w:rsidR="00A66177" w:rsidRPr="00CA3F84" w:rsidRDefault="005840E5" w:rsidP="002234E9">
            <w:pPr>
              <w:numPr>
                <w:ilvl w:val="0"/>
                <w:numId w:val="4"/>
              </w:numPr>
              <w:spacing w:after="0"/>
              <w:ind w:left="467"/>
              <w:rPr>
                <w:color w:val="auto"/>
              </w:rPr>
            </w:pPr>
            <w:r w:rsidRPr="00CA3F84">
              <w:rPr>
                <w:color w:val="auto"/>
              </w:rPr>
              <w:t xml:space="preserve">Développer </w:t>
            </w:r>
            <w:r w:rsidR="00854FC8" w:rsidRPr="00CA3F84">
              <w:rPr>
                <w:color w:val="auto"/>
              </w:rPr>
              <w:t xml:space="preserve">des </w:t>
            </w:r>
            <w:r w:rsidRPr="00CA3F84">
              <w:rPr>
                <w:color w:val="auto"/>
              </w:rPr>
              <w:t>procédures relatives à la production des ensembles de données e</w:t>
            </w:r>
            <w:r w:rsidR="00F53EC2" w:rsidRPr="00CA3F84">
              <w:rPr>
                <w:color w:val="auto"/>
              </w:rPr>
              <w:t>t d</w:t>
            </w:r>
            <w:r w:rsidR="00E24784" w:rsidRPr="00CA3F84">
              <w:rPr>
                <w:color w:val="auto"/>
              </w:rPr>
              <w:t xml:space="preserve">e </w:t>
            </w:r>
            <w:r w:rsidR="00854FC8" w:rsidRPr="00CA3F84">
              <w:rPr>
                <w:color w:val="auto"/>
              </w:rPr>
              <w:t>l’</w:t>
            </w:r>
            <w:r w:rsidR="00F53EC2" w:rsidRPr="00CA3F84">
              <w:rPr>
                <w:color w:val="auto"/>
              </w:rPr>
              <w:t>information</w:t>
            </w:r>
            <w:r w:rsidR="00B4312D" w:rsidRPr="00CA3F84">
              <w:rPr>
                <w:color w:val="auto"/>
              </w:rPr>
              <w:t xml:space="preserve">.  </w:t>
            </w:r>
          </w:p>
          <w:p w14:paraId="185E6BF8" w14:textId="49CC75D5" w:rsidR="00A66177" w:rsidRPr="00CA3F84" w:rsidRDefault="005840E5" w:rsidP="002234E9">
            <w:pPr>
              <w:numPr>
                <w:ilvl w:val="0"/>
                <w:numId w:val="4"/>
              </w:numPr>
              <w:spacing w:after="0"/>
              <w:ind w:left="467"/>
              <w:rPr>
                <w:color w:val="auto"/>
              </w:rPr>
            </w:pPr>
            <w:r w:rsidRPr="00CA3F84">
              <w:rPr>
                <w:color w:val="auto"/>
              </w:rPr>
              <w:t xml:space="preserve">Mettre en place une gouvernance pour s’assurer que les risques liés à la publication de données et </w:t>
            </w:r>
            <w:r w:rsidR="00E24784" w:rsidRPr="00CA3F84">
              <w:rPr>
                <w:color w:val="auto"/>
              </w:rPr>
              <w:t xml:space="preserve">de </w:t>
            </w:r>
            <w:r w:rsidR="004C2296" w:rsidRPr="00CA3F84">
              <w:rPr>
                <w:color w:val="auto"/>
              </w:rPr>
              <w:t>l’</w:t>
            </w:r>
            <w:r w:rsidR="00E24784" w:rsidRPr="00CA3F84">
              <w:rPr>
                <w:color w:val="auto"/>
              </w:rPr>
              <w:t xml:space="preserve">information </w:t>
            </w:r>
            <w:r w:rsidRPr="00CA3F84">
              <w:rPr>
                <w:color w:val="auto"/>
              </w:rPr>
              <w:t>sont évalués à plusieurs étapes</w:t>
            </w:r>
            <w:r w:rsidR="006432D5" w:rsidRPr="00CA3F84">
              <w:rPr>
                <w:color w:val="auto"/>
              </w:rPr>
              <w:t>.</w:t>
            </w:r>
          </w:p>
          <w:p w14:paraId="7960D345" w14:textId="5ED0C0DE" w:rsidR="00A66177" w:rsidRPr="00CA3F84" w:rsidRDefault="005840E5" w:rsidP="002234E9">
            <w:pPr>
              <w:spacing w:after="0"/>
              <w:rPr>
                <w:color w:val="auto"/>
              </w:rPr>
            </w:pPr>
            <w:r w:rsidRPr="00CA3F84">
              <w:rPr>
                <w:color w:val="auto"/>
              </w:rPr>
              <w:t xml:space="preserve">À mettre en œuvre : </w:t>
            </w:r>
          </w:p>
          <w:p w14:paraId="1295F787" w14:textId="372CB00B" w:rsidR="00A66177" w:rsidRPr="00CA3F84" w:rsidRDefault="00C16449" w:rsidP="002234E9">
            <w:pPr>
              <w:numPr>
                <w:ilvl w:val="0"/>
                <w:numId w:val="4"/>
              </w:numPr>
              <w:spacing w:after="0"/>
              <w:ind w:left="467"/>
              <w:rPr>
                <w:color w:val="auto"/>
              </w:rPr>
            </w:pPr>
            <w:r w:rsidRPr="00CA3F84">
              <w:rPr>
                <w:color w:val="auto"/>
              </w:rPr>
              <w:t xml:space="preserve">Étudier les possibilités d’harmoniser et de renforcer les processus liés aux données et </w:t>
            </w:r>
            <w:r w:rsidR="00E42EBD" w:rsidRPr="00CA3F84">
              <w:rPr>
                <w:color w:val="auto"/>
              </w:rPr>
              <w:t>à l’</w:t>
            </w:r>
            <w:r w:rsidR="00E24784" w:rsidRPr="00CA3F84">
              <w:rPr>
                <w:color w:val="auto"/>
              </w:rPr>
              <w:t>information</w:t>
            </w:r>
            <w:r w:rsidRPr="00CA3F84">
              <w:rPr>
                <w:color w:val="auto"/>
              </w:rPr>
              <w:t xml:space="preserve">, finaliser et partager le ou les processus de production des </w:t>
            </w:r>
            <w:r w:rsidR="00E24784" w:rsidRPr="00CA3F84">
              <w:rPr>
                <w:color w:val="auto"/>
              </w:rPr>
              <w:t>ressources</w:t>
            </w:r>
            <w:r w:rsidR="00B4312D" w:rsidRPr="00CA3F84">
              <w:rPr>
                <w:color w:val="auto"/>
              </w:rPr>
              <w:t xml:space="preserve">.  </w:t>
            </w:r>
          </w:p>
          <w:p w14:paraId="1E45BA74" w14:textId="3406D0CC" w:rsidR="00A66177" w:rsidRPr="00CA3F84" w:rsidRDefault="00C16449" w:rsidP="00C16449">
            <w:pPr>
              <w:numPr>
                <w:ilvl w:val="0"/>
                <w:numId w:val="4"/>
              </w:numPr>
              <w:spacing w:after="0"/>
              <w:ind w:left="467"/>
              <w:rPr>
                <w:color w:val="auto"/>
              </w:rPr>
            </w:pPr>
            <w:r w:rsidRPr="00CA3F84">
              <w:rPr>
                <w:color w:val="auto"/>
              </w:rPr>
              <w:t>Actualiser et partager la documentation de référence sur les exigences en matière de publication</w:t>
            </w:r>
            <w:r w:rsidR="00B4312D" w:rsidRPr="00CA3F84">
              <w:rPr>
                <w:color w:val="auto"/>
              </w:rPr>
              <w:t xml:space="preserve">.  </w:t>
            </w:r>
          </w:p>
        </w:tc>
      </w:tr>
      <w:tr w:rsidR="00CA3F84" w:rsidRPr="00CA3F84" w14:paraId="323AF083" w14:textId="77777777" w:rsidTr="004E26F3">
        <w:trPr>
          <w:trHeight w:val="731"/>
        </w:trPr>
        <w:tc>
          <w:tcPr>
            <w:tcW w:w="2967" w:type="dxa"/>
            <w:tcMar>
              <w:top w:w="100" w:type="dxa"/>
              <w:left w:w="100" w:type="dxa"/>
              <w:bottom w:w="100" w:type="dxa"/>
              <w:right w:w="100" w:type="dxa"/>
            </w:tcMar>
            <w:hideMark/>
          </w:tcPr>
          <w:p w14:paraId="76125296" w14:textId="7C32B16A" w:rsidR="00A66177" w:rsidRPr="00CA3F84" w:rsidRDefault="00AE3014" w:rsidP="00E24784">
            <w:pPr>
              <w:spacing w:after="0"/>
              <w:rPr>
                <w:color w:val="auto"/>
              </w:rPr>
            </w:pPr>
            <w:r w:rsidRPr="00CA3F84">
              <w:rPr>
                <w:color w:val="auto"/>
              </w:rPr>
              <w:t>2</w:t>
            </w:r>
            <w:r w:rsidR="00B4312D" w:rsidRPr="00CA3F84">
              <w:rPr>
                <w:color w:val="auto"/>
              </w:rPr>
              <w:t xml:space="preserve">.  </w:t>
            </w:r>
            <w:r w:rsidR="00C16449" w:rsidRPr="00CA3F84">
              <w:rPr>
                <w:color w:val="auto"/>
              </w:rPr>
              <w:t>Retards dans la publication d</w:t>
            </w:r>
            <w:r w:rsidR="00E24784" w:rsidRPr="00CA3F84">
              <w:rPr>
                <w:color w:val="auto"/>
              </w:rPr>
              <w:t xml:space="preserve">e ressources de données et d’informations </w:t>
            </w:r>
            <w:r w:rsidR="00C16449" w:rsidRPr="00CA3F84">
              <w:rPr>
                <w:color w:val="auto"/>
              </w:rPr>
              <w:t>qui ont des répercussions négatives sur la pertinence</w:t>
            </w:r>
          </w:p>
        </w:tc>
        <w:tc>
          <w:tcPr>
            <w:tcW w:w="6946" w:type="dxa"/>
            <w:tcMar>
              <w:top w:w="100" w:type="dxa"/>
              <w:left w:w="100" w:type="dxa"/>
              <w:bottom w:w="100" w:type="dxa"/>
              <w:right w:w="100" w:type="dxa"/>
            </w:tcMar>
            <w:hideMark/>
          </w:tcPr>
          <w:p w14:paraId="23C66D65" w14:textId="21F4A0F7" w:rsidR="005840E5" w:rsidRPr="00CA3F84" w:rsidRDefault="005840E5" w:rsidP="005840E5">
            <w:pPr>
              <w:spacing w:after="0"/>
              <w:rPr>
                <w:color w:val="auto"/>
              </w:rPr>
            </w:pPr>
            <w:r w:rsidRPr="00CA3F84">
              <w:rPr>
                <w:color w:val="auto"/>
              </w:rPr>
              <w:t>Mis</w:t>
            </w:r>
            <w:r w:rsidR="00C16449" w:rsidRPr="00CA3F84">
              <w:rPr>
                <w:color w:val="auto"/>
              </w:rPr>
              <w:t>e</w:t>
            </w:r>
            <w:r w:rsidRPr="00CA3F84">
              <w:rPr>
                <w:color w:val="auto"/>
              </w:rPr>
              <w:t xml:space="preserve"> en œuvre :</w:t>
            </w:r>
          </w:p>
          <w:p w14:paraId="2389389F" w14:textId="39FD5549" w:rsidR="00A66177" w:rsidRPr="00CA3F84" w:rsidRDefault="00C16449" w:rsidP="002234E9">
            <w:pPr>
              <w:numPr>
                <w:ilvl w:val="0"/>
                <w:numId w:val="4"/>
              </w:numPr>
              <w:spacing w:after="0"/>
              <w:ind w:left="467"/>
              <w:rPr>
                <w:color w:val="auto"/>
              </w:rPr>
            </w:pPr>
            <w:r w:rsidRPr="00CA3F84">
              <w:rPr>
                <w:color w:val="auto"/>
              </w:rPr>
              <w:t>Établir un processus standard de publication p</w:t>
            </w:r>
            <w:r w:rsidR="00C86CD1" w:rsidRPr="00CA3F84">
              <w:rPr>
                <w:color w:val="auto"/>
              </w:rPr>
              <w:t>our accélérer la mise à jour d</w:t>
            </w:r>
            <w:r w:rsidR="00E24784" w:rsidRPr="00CA3F84">
              <w:rPr>
                <w:color w:val="auto"/>
              </w:rPr>
              <w:t>e ressources récurrentes</w:t>
            </w:r>
            <w:r w:rsidR="00B4312D" w:rsidRPr="00CA3F84">
              <w:rPr>
                <w:color w:val="auto"/>
              </w:rPr>
              <w:t xml:space="preserve">.  </w:t>
            </w:r>
          </w:p>
          <w:p w14:paraId="624DEBC0" w14:textId="7C38BA61" w:rsidR="00A66177" w:rsidRPr="00CA3F84" w:rsidRDefault="00C16449" w:rsidP="00C16449">
            <w:pPr>
              <w:spacing w:after="0"/>
              <w:rPr>
                <w:color w:val="auto"/>
              </w:rPr>
            </w:pPr>
            <w:r w:rsidRPr="00CA3F84">
              <w:rPr>
                <w:color w:val="auto"/>
              </w:rPr>
              <w:t xml:space="preserve">À mettre en œuvre : </w:t>
            </w:r>
          </w:p>
          <w:p w14:paraId="625A033C" w14:textId="71F70189" w:rsidR="00A66177" w:rsidRPr="00CA3F84" w:rsidRDefault="00C16449" w:rsidP="00E24784">
            <w:pPr>
              <w:numPr>
                <w:ilvl w:val="0"/>
                <w:numId w:val="4"/>
              </w:numPr>
              <w:spacing w:after="0"/>
              <w:ind w:left="467"/>
              <w:rPr>
                <w:color w:val="auto"/>
              </w:rPr>
            </w:pPr>
            <w:r w:rsidRPr="00CA3F84">
              <w:rPr>
                <w:color w:val="auto"/>
              </w:rPr>
              <w:t xml:space="preserve">Créer des normes de service pour la publication de données </w:t>
            </w:r>
            <w:r w:rsidR="00E24784" w:rsidRPr="00CA3F84">
              <w:rPr>
                <w:color w:val="auto"/>
              </w:rPr>
              <w:t>ouvertes et d’informations ouvertes</w:t>
            </w:r>
            <w:r w:rsidR="00B4312D" w:rsidRPr="00CA3F84">
              <w:rPr>
                <w:color w:val="auto"/>
              </w:rPr>
              <w:t xml:space="preserve">.  </w:t>
            </w:r>
          </w:p>
        </w:tc>
      </w:tr>
      <w:tr w:rsidR="00CA3F84" w:rsidRPr="00CA3F84" w14:paraId="592EA107" w14:textId="77777777" w:rsidTr="004E26F3">
        <w:trPr>
          <w:trHeight w:val="327"/>
        </w:trPr>
        <w:tc>
          <w:tcPr>
            <w:tcW w:w="2967" w:type="dxa"/>
            <w:tcMar>
              <w:top w:w="100" w:type="dxa"/>
              <w:left w:w="100" w:type="dxa"/>
              <w:bottom w:w="100" w:type="dxa"/>
              <w:right w:w="100" w:type="dxa"/>
            </w:tcMar>
            <w:hideMark/>
          </w:tcPr>
          <w:p w14:paraId="1A2991A8" w14:textId="04A9E68F" w:rsidR="00A66177" w:rsidRPr="00CA3F84" w:rsidRDefault="00AE3014" w:rsidP="00F53EC2">
            <w:pPr>
              <w:spacing w:after="0"/>
              <w:rPr>
                <w:color w:val="auto"/>
              </w:rPr>
            </w:pPr>
            <w:r w:rsidRPr="00CA3F84">
              <w:rPr>
                <w:color w:val="auto"/>
              </w:rPr>
              <w:t>3</w:t>
            </w:r>
            <w:r w:rsidR="00B4312D" w:rsidRPr="00CA3F84">
              <w:rPr>
                <w:color w:val="auto"/>
              </w:rPr>
              <w:t xml:space="preserve">.  </w:t>
            </w:r>
            <w:r w:rsidR="00C16449" w:rsidRPr="00CA3F84">
              <w:rPr>
                <w:color w:val="auto"/>
              </w:rPr>
              <w:t>Données ou information</w:t>
            </w:r>
            <w:r w:rsidR="00E24784" w:rsidRPr="00CA3F84">
              <w:rPr>
                <w:color w:val="auto"/>
              </w:rPr>
              <w:t>s</w:t>
            </w:r>
            <w:r w:rsidR="00C16449" w:rsidRPr="00CA3F84">
              <w:rPr>
                <w:color w:val="auto"/>
              </w:rPr>
              <w:t xml:space="preserve"> publiées qui sont utilisées à mauvais escient ou qui sont mal interprétées</w:t>
            </w:r>
          </w:p>
        </w:tc>
        <w:tc>
          <w:tcPr>
            <w:tcW w:w="6946" w:type="dxa"/>
            <w:tcMar>
              <w:top w:w="100" w:type="dxa"/>
              <w:left w:w="100" w:type="dxa"/>
              <w:bottom w:w="100" w:type="dxa"/>
              <w:right w:w="100" w:type="dxa"/>
            </w:tcMar>
            <w:hideMark/>
          </w:tcPr>
          <w:p w14:paraId="0E5F7983" w14:textId="2EE6F556" w:rsidR="005840E5" w:rsidRPr="00CA3F84" w:rsidRDefault="005840E5" w:rsidP="005840E5">
            <w:pPr>
              <w:spacing w:after="0"/>
              <w:rPr>
                <w:color w:val="auto"/>
              </w:rPr>
            </w:pPr>
            <w:r w:rsidRPr="00CA3F84">
              <w:rPr>
                <w:color w:val="auto"/>
              </w:rPr>
              <w:t>Mise en œuvre :</w:t>
            </w:r>
          </w:p>
          <w:p w14:paraId="7F3FFC79" w14:textId="65840AC0" w:rsidR="00AE3014" w:rsidRPr="00CA3F84" w:rsidRDefault="00F53EC2" w:rsidP="002234E9">
            <w:pPr>
              <w:numPr>
                <w:ilvl w:val="0"/>
                <w:numId w:val="4"/>
              </w:numPr>
              <w:spacing w:after="0"/>
              <w:ind w:left="467"/>
              <w:rPr>
                <w:rStyle w:val="Hyperlink"/>
                <w:color w:val="auto"/>
                <w:u w:val="none"/>
              </w:rPr>
            </w:pPr>
            <w:r w:rsidRPr="00CA3F84">
              <w:rPr>
                <w:color w:val="auto"/>
              </w:rPr>
              <w:t>L</w:t>
            </w:r>
            <w:r w:rsidR="00C16449" w:rsidRPr="00CA3F84">
              <w:rPr>
                <w:color w:val="auto"/>
              </w:rPr>
              <w:t>a diffusion de données et d</w:t>
            </w:r>
            <w:r w:rsidR="004C2296" w:rsidRPr="00CA3F84">
              <w:rPr>
                <w:color w:val="auto"/>
              </w:rPr>
              <w:t>’</w:t>
            </w:r>
            <w:r w:rsidR="00C16449" w:rsidRPr="00CA3F84">
              <w:rPr>
                <w:color w:val="auto"/>
              </w:rPr>
              <w:t>information</w:t>
            </w:r>
            <w:r w:rsidR="00E24784" w:rsidRPr="00CA3F84">
              <w:rPr>
                <w:color w:val="auto"/>
              </w:rPr>
              <w:t>s</w:t>
            </w:r>
            <w:r w:rsidR="00C16449" w:rsidRPr="00CA3F84">
              <w:rPr>
                <w:color w:val="auto"/>
              </w:rPr>
              <w:t xml:space="preserve"> de la CFP relève de la </w:t>
            </w:r>
            <w:hyperlink r:id="rId20" w:history="1">
              <w:r w:rsidR="00C16449" w:rsidRPr="00CA3F84">
                <w:rPr>
                  <w:rStyle w:val="Hyperlink"/>
                  <w:color w:val="auto"/>
                </w:rPr>
                <w:t>licence du gouvernement ouvert</w:t>
              </w:r>
            </w:hyperlink>
            <w:r w:rsidR="00A5016B" w:rsidRPr="00CA3F84">
              <w:rPr>
                <w:rStyle w:val="Hyperlink"/>
                <w:color w:val="auto"/>
                <w:u w:val="none"/>
              </w:rPr>
              <w:t>.</w:t>
            </w:r>
          </w:p>
          <w:p w14:paraId="029011DB" w14:textId="377D72B7" w:rsidR="00A66177" w:rsidRPr="00CA3F84" w:rsidRDefault="00A5016B" w:rsidP="002234E9">
            <w:pPr>
              <w:numPr>
                <w:ilvl w:val="0"/>
                <w:numId w:val="4"/>
              </w:numPr>
              <w:spacing w:after="0"/>
              <w:ind w:left="467"/>
              <w:rPr>
                <w:color w:val="auto"/>
              </w:rPr>
            </w:pPr>
            <w:r w:rsidRPr="00CA3F84">
              <w:rPr>
                <w:color w:val="auto"/>
              </w:rPr>
              <w:t>L</w:t>
            </w:r>
            <w:r w:rsidR="00C16449" w:rsidRPr="00CA3F84">
              <w:rPr>
                <w:color w:val="auto"/>
              </w:rPr>
              <w:t xml:space="preserve">a diffusion des </w:t>
            </w:r>
            <w:r w:rsidR="00E24784" w:rsidRPr="00CA3F84">
              <w:rPr>
                <w:color w:val="auto"/>
              </w:rPr>
              <w:t>ressources</w:t>
            </w:r>
            <w:r w:rsidR="00C16449" w:rsidRPr="00CA3F84">
              <w:rPr>
                <w:color w:val="auto"/>
              </w:rPr>
              <w:t xml:space="preserve"> s’accompagne par défaut d’une documentation à l’appui ou d’une documentation contextuelle pour réduire au minimum les interprétations erronées</w:t>
            </w:r>
            <w:r w:rsidR="00B4312D" w:rsidRPr="00CA3F84">
              <w:rPr>
                <w:color w:val="auto"/>
              </w:rPr>
              <w:t xml:space="preserve">.  </w:t>
            </w:r>
          </w:p>
          <w:p w14:paraId="4CF11E92" w14:textId="159D47E3" w:rsidR="00A66177" w:rsidRPr="00CA3F84" w:rsidRDefault="00A5016B" w:rsidP="00C17120">
            <w:pPr>
              <w:pageBreakBefore/>
              <w:numPr>
                <w:ilvl w:val="0"/>
                <w:numId w:val="4"/>
              </w:numPr>
              <w:spacing w:after="0"/>
              <w:ind w:left="461"/>
              <w:rPr>
                <w:color w:val="auto"/>
              </w:rPr>
            </w:pPr>
            <w:r w:rsidRPr="00CA3F84">
              <w:rPr>
                <w:color w:val="auto"/>
              </w:rPr>
              <w:t xml:space="preserve">Prévoir </w:t>
            </w:r>
            <w:r w:rsidR="00C16449" w:rsidRPr="00CA3F84">
              <w:rPr>
                <w:color w:val="auto"/>
              </w:rPr>
              <w:t xml:space="preserve">de nombreux forums par </w:t>
            </w:r>
            <w:r w:rsidR="00C17120" w:rsidRPr="00CA3F84">
              <w:rPr>
                <w:color w:val="auto"/>
              </w:rPr>
              <w:t xml:space="preserve">le biais desquels </w:t>
            </w:r>
            <w:r w:rsidR="00C16449" w:rsidRPr="00CA3F84">
              <w:rPr>
                <w:color w:val="auto"/>
              </w:rPr>
              <w:t>les utilisateurs peuvent formuler à la CFP une r</w:t>
            </w:r>
            <w:r w:rsidR="00F53EC2" w:rsidRPr="00CA3F84">
              <w:rPr>
                <w:color w:val="auto"/>
              </w:rPr>
              <w:t xml:space="preserve">étroaction sur les données et </w:t>
            </w:r>
            <w:r w:rsidR="00E24784" w:rsidRPr="00CA3F84">
              <w:rPr>
                <w:color w:val="auto"/>
              </w:rPr>
              <w:t>les informations</w:t>
            </w:r>
            <w:r w:rsidR="00F53EC2" w:rsidRPr="00CA3F84">
              <w:rPr>
                <w:color w:val="auto"/>
              </w:rPr>
              <w:t>.</w:t>
            </w:r>
          </w:p>
        </w:tc>
      </w:tr>
      <w:tr w:rsidR="00CA3F84" w:rsidRPr="00CA3F84" w14:paraId="5955FA7A" w14:textId="77777777" w:rsidTr="004E26F3">
        <w:trPr>
          <w:trHeight w:val="23"/>
        </w:trPr>
        <w:tc>
          <w:tcPr>
            <w:tcW w:w="2967" w:type="dxa"/>
            <w:tcMar>
              <w:top w:w="100" w:type="dxa"/>
              <w:left w:w="100" w:type="dxa"/>
              <w:bottom w:w="100" w:type="dxa"/>
              <w:right w:w="100" w:type="dxa"/>
            </w:tcMar>
          </w:tcPr>
          <w:p w14:paraId="1ADDFBBB" w14:textId="2BB39A68" w:rsidR="00AB34A0" w:rsidRPr="00CA3F84" w:rsidRDefault="00AB34A0" w:rsidP="00AB34A0">
            <w:pPr>
              <w:spacing w:after="0"/>
              <w:rPr>
                <w:color w:val="auto"/>
              </w:rPr>
            </w:pPr>
            <w:r w:rsidRPr="00CA3F84">
              <w:rPr>
                <w:color w:val="auto"/>
              </w:rPr>
              <w:lastRenderedPageBreak/>
              <w:t>4</w:t>
            </w:r>
            <w:r w:rsidR="00B4312D" w:rsidRPr="00CA3F84">
              <w:rPr>
                <w:color w:val="auto"/>
              </w:rPr>
              <w:t xml:space="preserve">.  </w:t>
            </w:r>
            <w:r w:rsidR="00A5016B" w:rsidRPr="00CA3F84">
              <w:rPr>
                <w:color w:val="auto"/>
              </w:rPr>
              <w:t xml:space="preserve">Incapacité de mettre en œuvre la vision d’une CFP ouverte parce que les employés résistent au changement : </w:t>
            </w:r>
          </w:p>
          <w:p w14:paraId="510EF2D3" w14:textId="56EF2DE9" w:rsidR="00AB34A0" w:rsidRPr="00CA3F84" w:rsidRDefault="00A5016B" w:rsidP="006432D5">
            <w:pPr>
              <w:numPr>
                <w:ilvl w:val="0"/>
                <w:numId w:val="28"/>
              </w:numPr>
              <w:spacing w:after="0"/>
              <w:ind w:left="540"/>
              <w:rPr>
                <w:color w:val="auto"/>
              </w:rPr>
            </w:pPr>
            <w:r w:rsidRPr="00CA3F84">
              <w:rPr>
                <w:color w:val="auto"/>
              </w:rPr>
              <w:t>par crainte ou par incompréhension de sa raison d’être;</w:t>
            </w:r>
          </w:p>
          <w:p w14:paraId="1B425140" w14:textId="3CDCE554" w:rsidR="00AB34A0" w:rsidRPr="00CA3F84" w:rsidRDefault="00A5016B" w:rsidP="006432D5">
            <w:pPr>
              <w:numPr>
                <w:ilvl w:val="0"/>
                <w:numId w:val="28"/>
              </w:numPr>
              <w:spacing w:after="0"/>
              <w:ind w:left="540"/>
              <w:rPr>
                <w:color w:val="auto"/>
              </w:rPr>
            </w:pPr>
            <w:r w:rsidRPr="00CA3F84">
              <w:rPr>
                <w:color w:val="auto"/>
              </w:rPr>
              <w:t>en raison de l’incapacité des employés de concilier les demandes existantes avec les nouveaux processus</w:t>
            </w:r>
          </w:p>
          <w:p w14:paraId="72F5DB51" w14:textId="4DDB84AA" w:rsidR="00AB34A0" w:rsidRPr="00CA3F84" w:rsidRDefault="00A5016B" w:rsidP="006432D5">
            <w:pPr>
              <w:numPr>
                <w:ilvl w:val="0"/>
                <w:numId w:val="28"/>
              </w:numPr>
              <w:spacing w:after="0"/>
              <w:ind w:left="540"/>
              <w:rPr>
                <w:color w:val="auto"/>
              </w:rPr>
            </w:pPr>
            <w:r w:rsidRPr="00CA3F84">
              <w:rPr>
                <w:color w:val="auto"/>
              </w:rPr>
              <w:t>en raison d’un manque de ressources et de capacité pour naviguer le gouvernement ouvert</w:t>
            </w:r>
          </w:p>
        </w:tc>
        <w:tc>
          <w:tcPr>
            <w:tcW w:w="6946" w:type="dxa"/>
            <w:tcMar>
              <w:top w:w="100" w:type="dxa"/>
              <w:left w:w="100" w:type="dxa"/>
              <w:bottom w:w="100" w:type="dxa"/>
              <w:right w:w="100" w:type="dxa"/>
            </w:tcMar>
          </w:tcPr>
          <w:p w14:paraId="7FC54471" w14:textId="797D463F" w:rsidR="005840E5" w:rsidRPr="00CA3F84" w:rsidRDefault="005840E5" w:rsidP="005840E5">
            <w:pPr>
              <w:spacing w:after="0"/>
              <w:rPr>
                <w:color w:val="auto"/>
              </w:rPr>
            </w:pPr>
            <w:r w:rsidRPr="00CA3F84">
              <w:rPr>
                <w:color w:val="auto"/>
              </w:rPr>
              <w:t>Mise en œuvre :</w:t>
            </w:r>
          </w:p>
          <w:p w14:paraId="0C4194AC" w14:textId="64283090" w:rsidR="00AB34A0" w:rsidRPr="00CA3F84" w:rsidRDefault="00A5016B" w:rsidP="00AB34A0">
            <w:pPr>
              <w:numPr>
                <w:ilvl w:val="0"/>
                <w:numId w:val="4"/>
              </w:numPr>
              <w:spacing w:after="0"/>
              <w:rPr>
                <w:color w:val="auto"/>
              </w:rPr>
            </w:pPr>
            <w:r w:rsidRPr="00CA3F84">
              <w:rPr>
                <w:color w:val="auto"/>
              </w:rPr>
              <w:t>La haute direction appuie sans réserve la vision d’une CFP ouverte</w:t>
            </w:r>
            <w:r w:rsidR="006432D5" w:rsidRPr="00CA3F84">
              <w:rPr>
                <w:color w:val="auto"/>
              </w:rPr>
              <w:t>.</w:t>
            </w:r>
          </w:p>
          <w:p w14:paraId="4AF1533D" w14:textId="5E4146F8" w:rsidR="00AB34A0" w:rsidRPr="00CA3F84" w:rsidRDefault="00A5016B" w:rsidP="00AB34A0">
            <w:pPr>
              <w:numPr>
                <w:ilvl w:val="0"/>
                <w:numId w:val="4"/>
              </w:numPr>
              <w:spacing w:after="0"/>
              <w:rPr>
                <w:color w:val="auto"/>
              </w:rPr>
            </w:pPr>
            <w:r w:rsidRPr="00CA3F84">
              <w:rPr>
                <w:color w:val="auto"/>
              </w:rPr>
              <w:t xml:space="preserve">Une </w:t>
            </w:r>
            <w:r w:rsidR="003A7D2D" w:rsidRPr="00CA3F84">
              <w:rPr>
                <w:color w:val="auto"/>
              </w:rPr>
              <w:t>activité Portes Ouvertes</w:t>
            </w:r>
            <w:r w:rsidRPr="00CA3F84">
              <w:rPr>
                <w:color w:val="auto"/>
              </w:rPr>
              <w:t xml:space="preserve"> annuelle sur le gouvernement ouvert éclaire et mobilise les employés de la CFP</w:t>
            </w:r>
            <w:r w:rsidR="00AB34A0" w:rsidRPr="00CA3F84">
              <w:rPr>
                <w:color w:val="auto"/>
              </w:rPr>
              <w:t>.</w:t>
            </w:r>
          </w:p>
          <w:p w14:paraId="373CF33C" w14:textId="77777777" w:rsidR="00C16449" w:rsidRPr="00CA3F84" w:rsidRDefault="00C16449" w:rsidP="00C16449">
            <w:pPr>
              <w:spacing w:after="0"/>
              <w:rPr>
                <w:color w:val="auto"/>
              </w:rPr>
            </w:pPr>
            <w:r w:rsidRPr="00CA3F84">
              <w:rPr>
                <w:color w:val="auto"/>
              </w:rPr>
              <w:t xml:space="preserve">À mettre en œuvre : </w:t>
            </w:r>
          </w:p>
          <w:p w14:paraId="26A449F9" w14:textId="34059766" w:rsidR="00AB34A0" w:rsidRPr="00CA3F84" w:rsidRDefault="00A5016B" w:rsidP="00AB34A0">
            <w:pPr>
              <w:numPr>
                <w:ilvl w:val="0"/>
                <w:numId w:val="4"/>
              </w:numPr>
              <w:spacing w:after="0"/>
              <w:rPr>
                <w:color w:val="auto"/>
              </w:rPr>
            </w:pPr>
            <w:r w:rsidRPr="00CA3F84">
              <w:rPr>
                <w:color w:val="auto"/>
              </w:rPr>
              <w:t>Déterminer les activités de formation et de sensibilisation pour les employés de la CFP</w:t>
            </w:r>
            <w:r w:rsidR="006432D5" w:rsidRPr="00CA3F84">
              <w:rPr>
                <w:color w:val="auto"/>
              </w:rPr>
              <w:t>.</w:t>
            </w:r>
          </w:p>
          <w:p w14:paraId="07B69AFF" w14:textId="6927A57D" w:rsidR="00AB34A0" w:rsidRPr="00CA3F84" w:rsidRDefault="00A5016B" w:rsidP="00AB34A0">
            <w:pPr>
              <w:pStyle w:val="ListParagraph"/>
              <w:numPr>
                <w:ilvl w:val="0"/>
                <w:numId w:val="4"/>
              </w:numPr>
              <w:spacing w:after="0"/>
              <w:rPr>
                <w:color w:val="auto"/>
              </w:rPr>
            </w:pPr>
            <w:r w:rsidRPr="00CA3F84">
              <w:rPr>
                <w:color w:val="auto"/>
              </w:rPr>
              <w:t xml:space="preserve">Communiquer les processus et les ressources en place pour soulager le fardeau administratif des processus </w:t>
            </w:r>
            <w:r w:rsidR="00E24784" w:rsidRPr="00CA3F84">
              <w:rPr>
                <w:color w:val="auto"/>
              </w:rPr>
              <w:t>liés au</w:t>
            </w:r>
            <w:r w:rsidRPr="00CA3F84">
              <w:rPr>
                <w:color w:val="auto"/>
              </w:rPr>
              <w:t xml:space="preserve"> gouvernement ouvert</w:t>
            </w:r>
            <w:r w:rsidR="006432D5" w:rsidRPr="00CA3F84">
              <w:rPr>
                <w:color w:val="auto"/>
              </w:rPr>
              <w:t>.</w:t>
            </w:r>
          </w:p>
          <w:p w14:paraId="5CEBB39A" w14:textId="7B8F0398" w:rsidR="00AB34A0" w:rsidRPr="00CA3F84" w:rsidRDefault="00A5016B" w:rsidP="00F2536C">
            <w:pPr>
              <w:pStyle w:val="ListParagraph"/>
              <w:numPr>
                <w:ilvl w:val="0"/>
                <w:numId w:val="4"/>
              </w:numPr>
              <w:spacing w:after="0"/>
              <w:rPr>
                <w:color w:val="auto"/>
              </w:rPr>
            </w:pPr>
            <w:r w:rsidRPr="00CA3F84">
              <w:rPr>
                <w:color w:val="auto"/>
              </w:rPr>
              <w:t>Créer une formation et des mesures de soutien supplémentaires pour les employés, notamment des modèles, des scénarios, des thèmes, etc</w:t>
            </w:r>
            <w:r w:rsidR="00B4312D" w:rsidRPr="00CA3F84">
              <w:rPr>
                <w:color w:val="auto"/>
              </w:rPr>
              <w:t xml:space="preserve">.  </w:t>
            </w:r>
          </w:p>
        </w:tc>
      </w:tr>
      <w:tr w:rsidR="00CA3F84" w:rsidRPr="00CA3F84" w14:paraId="634CFD54" w14:textId="77777777" w:rsidTr="004E26F3">
        <w:trPr>
          <w:trHeight w:val="2863"/>
        </w:trPr>
        <w:tc>
          <w:tcPr>
            <w:tcW w:w="2967" w:type="dxa"/>
            <w:tcMar>
              <w:top w:w="100" w:type="dxa"/>
              <w:left w:w="100" w:type="dxa"/>
              <w:bottom w:w="100" w:type="dxa"/>
              <w:right w:w="100" w:type="dxa"/>
            </w:tcMar>
            <w:hideMark/>
          </w:tcPr>
          <w:p w14:paraId="0274D86F" w14:textId="1BE489E2" w:rsidR="00A66177" w:rsidRPr="00CA3F84" w:rsidRDefault="00AB34A0" w:rsidP="002234E9">
            <w:pPr>
              <w:spacing w:after="0"/>
              <w:rPr>
                <w:color w:val="auto"/>
              </w:rPr>
            </w:pPr>
            <w:r w:rsidRPr="00CA3F84">
              <w:rPr>
                <w:color w:val="auto"/>
              </w:rPr>
              <w:t>5</w:t>
            </w:r>
            <w:r w:rsidR="00B4312D" w:rsidRPr="00CA3F84">
              <w:rPr>
                <w:color w:val="auto"/>
              </w:rPr>
              <w:t xml:space="preserve">.  </w:t>
            </w:r>
            <w:r w:rsidR="00A5016B" w:rsidRPr="00CA3F84">
              <w:rPr>
                <w:color w:val="auto"/>
              </w:rPr>
              <w:t xml:space="preserve">Retards et défis liés à la réponse à la rétroaction des utilisateurs, notamment : </w:t>
            </w:r>
          </w:p>
          <w:p w14:paraId="579FD3A5" w14:textId="57BB2CF7" w:rsidR="00A66177" w:rsidRPr="00CA3F84" w:rsidRDefault="006432D5" w:rsidP="006432D5">
            <w:pPr>
              <w:numPr>
                <w:ilvl w:val="0"/>
                <w:numId w:val="5"/>
              </w:numPr>
              <w:spacing w:after="0"/>
              <w:ind w:left="540"/>
              <w:rPr>
                <w:color w:val="auto"/>
              </w:rPr>
            </w:pPr>
            <w:r w:rsidRPr="00CA3F84">
              <w:rPr>
                <w:color w:val="auto"/>
              </w:rPr>
              <w:t>information non disponible</w:t>
            </w:r>
          </w:p>
          <w:p w14:paraId="29873910" w14:textId="718D90AB" w:rsidR="00A66177" w:rsidRPr="00CA3F84" w:rsidRDefault="006432D5" w:rsidP="006432D5">
            <w:pPr>
              <w:numPr>
                <w:ilvl w:val="0"/>
                <w:numId w:val="5"/>
              </w:numPr>
              <w:spacing w:after="0"/>
              <w:ind w:left="540"/>
              <w:rPr>
                <w:color w:val="auto"/>
              </w:rPr>
            </w:pPr>
            <w:r w:rsidRPr="00CA3F84">
              <w:rPr>
                <w:color w:val="auto"/>
              </w:rPr>
              <w:t>réponses tardives</w:t>
            </w:r>
          </w:p>
          <w:p w14:paraId="43A4D64E" w14:textId="63DBF285" w:rsidR="00A66177" w:rsidRPr="00CA3F84" w:rsidRDefault="006432D5" w:rsidP="006432D5">
            <w:pPr>
              <w:numPr>
                <w:ilvl w:val="0"/>
                <w:numId w:val="5"/>
              </w:numPr>
              <w:spacing w:after="0"/>
              <w:ind w:left="540"/>
              <w:rPr>
                <w:color w:val="auto"/>
              </w:rPr>
            </w:pPr>
            <w:r w:rsidRPr="00CA3F84">
              <w:rPr>
                <w:color w:val="auto"/>
              </w:rPr>
              <w:t>augmentation du volume de questions reçues</w:t>
            </w:r>
          </w:p>
          <w:p w14:paraId="25BE50B8" w14:textId="4AF52663" w:rsidR="00A66177" w:rsidRPr="00CA3F84" w:rsidRDefault="006432D5" w:rsidP="006432D5">
            <w:pPr>
              <w:numPr>
                <w:ilvl w:val="0"/>
                <w:numId w:val="5"/>
              </w:numPr>
              <w:spacing w:after="0"/>
              <w:ind w:left="540"/>
              <w:rPr>
                <w:color w:val="auto"/>
              </w:rPr>
            </w:pPr>
            <w:r w:rsidRPr="00CA3F84">
              <w:rPr>
                <w:color w:val="auto"/>
              </w:rPr>
              <w:t>rétroaction négative</w:t>
            </w:r>
          </w:p>
          <w:p w14:paraId="112B6948" w14:textId="42B8E555" w:rsidR="00A66177" w:rsidRPr="00CA3F84" w:rsidRDefault="006432D5" w:rsidP="00F53EC2">
            <w:pPr>
              <w:numPr>
                <w:ilvl w:val="0"/>
                <w:numId w:val="5"/>
              </w:numPr>
              <w:spacing w:after="0"/>
              <w:ind w:left="540"/>
              <w:rPr>
                <w:color w:val="auto"/>
              </w:rPr>
            </w:pPr>
            <w:r w:rsidRPr="00CA3F84">
              <w:rPr>
                <w:color w:val="auto"/>
              </w:rPr>
              <w:t>demandes de données ou d’information</w:t>
            </w:r>
            <w:r w:rsidR="00E24784" w:rsidRPr="00CA3F84">
              <w:rPr>
                <w:color w:val="auto"/>
              </w:rPr>
              <w:t xml:space="preserve">s </w:t>
            </w:r>
            <w:r w:rsidRPr="00CA3F84">
              <w:rPr>
                <w:color w:val="auto"/>
              </w:rPr>
              <w:t>qui ne relèvent pas de la CFP</w:t>
            </w:r>
          </w:p>
        </w:tc>
        <w:tc>
          <w:tcPr>
            <w:tcW w:w="6946" w:type="dxa"/>
            <w:tcMar>
              <w:top w:w="100" w:type="dxa"/>
              <w:left w:w="100" w:type="dxa"/>
              <w:bottom w:w="100" w:type="dxa"/>
              <w:right w:w="100" w:type="dxa"/>
            </w:tcMar>
            <w:hideMark/>
          </w:tcPr>
          <w:p w14:paraId="4DDFA98C" w14:textId="4A42D368" w:rsidR="005840E5" w:rsidRPr="00CA3F84" w:rsidRDefault="005840E5" w:rsidP="005840E5">
            <w:pPr>
              <w:spacing w:after="0"/>
              <w:rPr>
                <w:color w:val="auto"/>
              </w:rPr>
            </w:pPr>
            <w:r w:rsidRPr="00CA3F84">
              <w:rPr>
                <w:color w:val="auto"/>
              </w:rPr>
              <w:t>Mise en œuvre :</w:t>
            </w:r>
          </w:p>
          <w:p w14:paraId="4C5A8398" w14:textId="00B51B58" w:rsidR="00A66177" w:rsidRPr="00CA3F84" w:rsidRDefault="00A5016B" w:rsidP="002234E9">
            <w:pPr>
              <w:numPr>
                <w:ilvl w:val="0"/>
                <w:numId w:val="4"/>
              </w:numPr>
              <w:spacing w:after="0"/>
              <w:ind w:left="467"/>
              <w:rPr>
                <w:color w:val="auto"/>
              </w:rPr>
            </w:pPr>
            <w:r w:rsidRPr="00CA3F84">
              <w:rPr>
                <w:color w:val="auto"/>
              </w:rPr>
              <w:t xml:space="preserve">Développer des processus pour trier les demandes de renseignements et les acheminer à l’intervenant </w:t>
            </w:r>
            <w:r w:rsidR="00BA65D2" w:rsidRPr="00CA3F84">
              <w:rPr>
                <w:color w:val="auto"/>
              </w:rPr>
              <w:t>approprié</w:t>
            </w:r>
            <w:r w:rsidR="006432D5" w:rsidRPr="00CA3F84">
              <w:rPr>
                <w:color w:val="auto"/>
              </w:rPr>
              <w:t>.</w:t>
            </w:r>
          </w:p>
          <w:p w14:paraId="47773E80" w14:textId="605AF8A1" w:rsidR="00A66177" w:rsidRPr="00CA3F84" w:rsidRDefault="006432D5" w:rsidP="002234E9">
            <w:pPr>
              <w:numPr>
                <w:ilvl w:val="0"/>
                <w:numId w:val="4"/>
              </w:numPr>
              <w:spacing w:after="0"/>
              <w:ind w:left="467"/>
              <w:rPr>
                <w:color w:val="auto"/>
              </w:rPr>
            </w:pPr>
            <w:r w:rsidRPr="00CA3F84">
              <w:rPr>
                <w:color w:val="auto"/>
              </w:rPr>
              <w:t>Archiver les réponses formulées par la CFP aux clients en vue de leur utilisation comme modèles de réponse à toute rétroaction future (le cas échéant).</w:t>
            </w:r>
          </w:p>
          <w:p w14:paraId="22BC4101" w14:textId="77777777" w:rsidR="00C16449" w:rsidRPr="00CA3F84" w:rsidRDefault="00C16449" w:rsidP="00C16449">
            <w:pPr>
              <w:spacing w:after="0"/>
              <w:rPr>
                <w:color w:val="auto"/>
              </w:rPr>
            </w:pPr>
            <w:r w:rsidRPr="00CA3F84">
              <w:rPr>
                <w:color w:val="auto"/>
              </w:rPr>
              <w:t xml:space="preserve">À mettre en œuvre : </w:t>
            </w:r>
          </w:p>
          <w:p w14:paraId="20AB3640" w14:textId="1D011E9E" w:rsidR="00290710" w:rsidRPr="00CA3F84" w:rsidRDefault="00A5016B" w:rsidP="00A5016B">
            <w:pPr>
              <w:numPr>
                <w:ilvl w:val="0"/>
                <w:numId w:val="4"/>
              </w:numPr>
              <w:spacing w:after="0"/>
              <w:ind w:left="467"/>
              <w:rPr>
                <w:color w:val="auto"/>
              </w:rPr>
            </w:pPr>
            <w:r w:rsidRPr="00CA3F84">
              <w:rPr>
                <w:color w:val="auto"/>
              </w:rPr>
              <w:t>Élaborer et partager des normes de service pour répondre à la rétroaction des clients</w:t>
            </w:r>
            <w:r w:rsidR="006432D5" w:rsidRPr="00CA3F84">
              <w:rPr>
                <w:color w:val="auto"/>
              </w:rPr>
              <w:t>.</w:t>
            </w:r>
          </w:p>
        </w:tc>
      </w:tr>
      <w:tr w:rsidR="00CA3F84" w:rsidRPr="00CA3F84" w14:paraId="70151008" w14:textId="77777777" w:rsidTr="004E26F3">
        <w:trPr>
          <w:trHeight w:val="192"/>
        </w:trPr>
        <w:tc>
          <w:tcPr>
            <w:tcW w:w="2967" w:type="dxa"/>
            <w:tcMar>
              <w:top w:w="100" w:type="dxa"/>
              <w:left w:w="100" w:type="dxa"/>
              <w:bottom w:w="100" w:type="dxa"/>
              <w:right w:w="100" w:type="dxa"/>
            </w:tcMar>
            <w:hideMark/>
          </w:tcPr>
          <w:p w14:paraId="1B9F75AE" w14:textId="3DCBBF0C" w:rsidR="00A66177" w:rsidRPr="00CA3F84" w:rsidRDefault="00AB34A0" w:rsidP="008747ED">
            <w:pPr>
              <w:spacing w:after="0"/>
              <w:rPr>
                <w:color w:val="auto"/>
              </w:rPr>
            </w:pPr>
            <w:r w:rsidRPr="00CA3F84">
              <w:rPr>
                <w:color w:val="auto"/>
              </w:rPr>
              <w:lastRenderedPageBreak/>
              <w:t>6</w:t>
            </w:r>
            <w:r w:rsidR="00B4312D" w:rsidRPr="00CA3F84">
              <w:rPr>
                <w:color w:val="auto"/>
              </w:rPr>
              <w:t xml:space="preserve">.  </w:t>
            </w:r>
            <w:r w:rsidR="006432D5" w:rsidRPr="00CA3F84">
              <w:rPr>
                <w:color w:val="auto"/>
              </w:rPr>
              <w:t>Compétences insuffisantes en matière de</w:t>
            </w:r>
            <w:r w:rsidR="003A7D2D" w:rsidRPr="00CA3F84">
              <w:rPr>
                <w:color w:val="auto"/>
              </w:rPr>
              <w:t xml:space="preserve"> li</w:t>
            </w:r>
            <w:r w:rsidR="008747ED" w:rsidRPr="00CA3F84">
              <w:rPr>
                <w:color w:val="auto"/>
              </w:rPr>
              <w:t>t</w:t>
            </w:r>
            <w:r w:rsidR="003A7D2D" w:rsidRPr="00CA3F84">
              <w:rPr>
                <w:color w:val="auto"/>
              </w:rPr>
              <w:t>téra</w:t>
            </w:r>
            <w:r w:rsidR="008747ED" w:rsidRPr="00CA3F84">
              <w:rPr>
                <w:color w:val="auto"/>
              </w:rPr>
              <w:t>t</w:t>
            </w:r>
            <w:r w:rsidR="003A7D2D" w:rsidRPr="00CA3F84">
              <w:rPr>
                <w:color w:val="auto"/>
              </w:rPr>
              <w:t>ie des</w:t>
            </w:r>
            <w:r w:rsidR="006432D5" w:rsidRPr="00CA3F84">
              <w:rPr>
                <w:color w:val="auto"/>
              </w:rPr>
              <w:t xml:space="preserve"> données </w:t>
            </w:r>
            <w:r w:rsidR="00F53EC2" w:rsidRPr="00CA3F84">
              <w:rPr>
                <w:color w:val="auto"/>
              </w:rPr>
              <w:t>pour utiliser</w:t>
            </w:r>
            <w:r w:rsidR="00E46CFB" w:rsidRPr="00CA3F84">
              <w:rPr>
                <w:color w:val="auto"/>
              </w:rPr>
              <w:t xml:space="preserve"> les données de la CFP</w:t>
            </w:r>
          </w:p>
        </w:tc>
        <w:tc>
          <w:tcPr>
            <w:tcW w:w="6946" w:type="dxa"/>
            <w:tcMar>
              <w:top w:w="100" w:type="dxa"/>
              <w:left w:w="100" w:type="dxa"/>
              <w:bottom w:w="100" w:type="dxa"/>
              <w:right w:w="100" w:type="dxa"/>
            </w:tcMar>
            <w:hideMark/>
          </w:tcPr>
          <w:p w14:paraId="18783B80" w14:textId="0D23CD78" w:rsidR="005840E5" w:rsidRPr="00CA3F84" w:rsidRDefault="005840E5" w:rsidP="005840E5">
            <w:pPr>
              <w:spacing w:after="0"/>
              <w:rPr>
                <w:color w:val="auto"/>
              </w:rPr>
            </w:pPr>
            <w:r w:rsidRPr="00CA3F84">
              <w:rPr>
                <w:color w:val="auto"/>
              </w:rPr>
              <w:t>Mise en œuvre :</w:t>
            </w:r>
          </w:p>
          <w:p w14:paraId="70C73EFE" w14:textId="0C8E2C25" w:rsidR="00A66177" w:rsidRPr="00CA3F84" w:rsidRDefault="00E46CFB" w:rsidP="002234E9">
            <w:pPr>
              <w:numPr>
                <w:ilvl w:val="0"/>
                <w:numId w:val="4"/>
              </w:numPr>
              <w:spacing w:after="0"/>
              <w:ind w:left="467"/>
              <w:rPr>
                <w:color w:val="auto"/>
              </w:rPr>
            </w:pPr>
            <w:r w:rsidRPr="00CA3F84">
              <w:rPr>
                <w:color w:val="auto"/>
              </w:rPr>
              <w:t>Piloter un outil de visualisation des données pour compléter la diffusion de données brutes</w:t>
            </w:r>
            <w:r w:rsidR="00B4312D" w:rsidRPr="00CA3F84">
              <w:rPr>
                <w:color w:val="auto"/>
              </w:rPr>
              <w:t xml:space="preserve">.  </w:t>
            </w:r>
          </w:p>
          <w:p w14:paraId="26C87F06" w14:textId="4C7A3709" w:rsidR="00A66177" w:rsidRPr="00CA3F84" w:rsidRDefault="00E46CFB" w:rsidP="002234E9">
            <w:pPr>
              <w:numPr>
                <w:ilvl w:val="0"/>
                <w:numId w:val="4"/>
              </w:numPr>
              <w:spacing w:after="0"/>
              <w:ind w:left="467"/>
              <w:rPr>
                <w:color w:val="auto"/>
              </w:rPr>
            </w:pPr>
            <w:r w:rsidRPr="00CA3F84">
              <w:rPr>
                <w:color w:val="auto"/>
              </w:rPr>
              <w:t>Piloter la diffusion d’une vidéo de formation portant sur un ensemble de données particulier</w:t>
            </w:r>
            <w:r w:rsidR="00B4312D" w:rsidRPr="00CA3F84">
              <w:rPr>
                <w:color w:val="auto"/>
              </w:rPr>
              <w:t xml:space="preserve">.  </w:t>
            </w:r>
          </w:p>
          <w:p w14:paraId="74BDE09E" w14:textId="5864B079" w:rsidR="00A66177" w:rsidRPr="00CA3F84" w:rsidRDefault="00E46CFB" w:rsidP="002234E9">
            <w:pPr>
              <w:numPr>
                <w:ilvl w:val="0"/>
                <w:numId w:val="4"/>
              </w:numPr>
              <w:spacing w:after="0"/>
              <w:ind w:left="467"/>
              <w:rPr>
                <w:color w:val="auto"/>
              </w:rPr>
            </w:pPr>
            <w:r w:rsidRPr="00CA3F84">
              <w:rPr>
                <w:color w:val="auto"/>
              </w:rPr>
              <w:t xml:space="preserve">Sur le </w:t>
            </w:r>
            <w:r w:rsidR="00116EFD" w:rsidRPr="00CA3F84">
              <w:rPr>
                <w:color w:val="auto"/>
              </w:rPr>
              <w:t xml:space="preserve">Portail </w:t>
            </w:r>
            <w:r w:rsidRPr="00CA3F84">
              <w:rPr>
                <w:color w:val="auto"/>
              </w:rPr>
              <w:t xml:space="preserve">du gouvernement ouvert, fournir aux utilisateurs </w:t>
            </w:r>
            <w:r w:rsidR="005E5681" w:rsidRPr="00CA3F84">
              <w:rPr>
                <w:color w:val="auto"/>
              </w:rPr>
              <w:t xml:space="preserve">des </w:t>
            </w:r>
            <w:r w:rsidRPr="00CA3F84">
              <w:rPr>
                <w:color w:val="auto"/>
              </w:rPr>
              <w:t>information</w:t>
            </w:r>
            <w:r w:rsidR="005E5681" w:rsidRPr="00CA3F84">
              <w:rPr>
                <w:color w:val="auto"/>
              </w:rPr>
              <w:t>s</w:t>
            </w:r>
            <w:r w:rsidRPr="00CA3F84">
              <w:rPr>
                <w:color w:val="auto"/>
              </w:rPr>
              <w:t xml:space="preserve"> pertinente</w:t>
            </w:r>
            <w:r w:rsidR="005E5681" w:rsidRPr="00CA3F84">
              <w:rPr>
                <w:color w:val="auto"/>
              </w:rPr>
              <w:t>s</w:t>
            </w:r>
            <w:r w:rsidRPr="00CA3F84">
              <w:rPr>
                <w:color w:val="auto"/>
              </w:rPr>
              <w:t xml:space="preserve"> (p</w:t>
            </w:r>
            <w:r w:rsidR="00B4312D" w:rsidRPr="00CA3F84">
              <w:rPr>
                <w:color w:val="auto"/>
              </w:rPr>
              <w:t xml:space="preserve">.  </w:t>
            </w:r>
            <w:r w:rsidRPr="00CA3F84">
              <w:rPr>
                <w:color w:val="auto"/>
              </w:rPr>
              <w:t xml:space="preserve">ex., </w:t>
            </w:r>
            <w:hyperlink r:id="rId21" w:history="1">
              <w:r w:rsidRPr="00CA3F84">
                <w:rPr>
                  <w:rStyle w:val="Hyperlink"/>
                  <w:color w:val="auto"/>
                </w:rPr>
                <w:t>Utilisation des jeux de données et les interfaces de programmation d’applications</w:t>
              </w:r>
            </w:hyperlink>
            <w:r w:rsidR="00A66177" w:rsidRPr="00CA3F84">
              <w:rPr>
                <w:color w:val="auto"/>
              </w:rPr>
              <w:t>)</w:t>
            </w:r>
          </w:p>
          <w:p w14:paraId="4D28C2A9" w14:textId="77777777" w:rsidR="00C16449" w:rsidRPr="00CA3F84" w:rsidRDefault="00C16449" w:rsidP="00C16449">
            <w:pPr>
              <w:spacing w:after="0"/>
              <w:rPr>
                <w:color w:val="auto"/>
              </w:rPr>
            </w:pPr>
            <w:r w:rsidRPr="00CA3F84">
              <w:rPr>
                <w:color w:val="auto"/>
              </w:rPr>
              <w:t xml:space="preserve">À mettre en œuvre : </w:t>
            </w:r>
          </w:p>
          <w:p w14:paraId="1BD5A729" w14:textId="3DF90A50" w:rsidR="00AB34A0" w:rsidRPr="00CA3F84" w:rsidRDefault="007655C3" w:rsidP="002234E9">
            <w:pPr>
              <w:numPr>
                <w:ilvl w:val="0"/>
                <w:numId w:val="4"/>
              </w:numPr>
              <w:spacing w:after="0"/>
              <w:ind w:left="467"/>
              <w:rPr>
                <w:color w:val="auto"/>
              </w:rPr>
            </w:pPr>
            <w:r w:rsidRPr="00CA3F84">
              <w:rPr>
                <w:color w:val="auto"/>
              </w:rPr>
              <w:t xml:space="preserve">Explorer </w:t>
            </w:r>
            <w:r w:rsidR="006432D5" w:rsidRPr="00CA3F84">
              <w:rPr>
                <w:color w:val="auto"/>
              </w:rPr>
              <w:t>les moyens d’améliorer la consommation des ensembles de données de la CFP en offrant des outils supplémentaires de visualisation des données et des formats substituts de données.</w:t>
            </w:r>
          </w:p>
          <w:p w14:paraId="66D94BF3" w14:textId="160D7742" w:rsidR="00A66177" w:rsidRPr="00CA3F84" w:rsidRDefault="00BF2093" w:rsidP="002234E9">
            <w:pPr>
              <w:numPr>
                <w:ilvl w:val="0"/>
                <w:numId w:val="4"/>
              </w:numPr>
              <w:spacing w:after="0"/>
              <w:ind w:left="467"/>
              <w:rPr>
                <w:color w:val="auto"/>
              </w:rPr>
            </w:pPr>
            <w:r w:rsidRPr="00CA3F84">
              <w:rPr>
                <w:color w:val="auto"/>
              </w:rPr>
              <w:t xml:space="preserve">Explorer </w:t>
            </w:r>
            <w:r w:rsidR="006432D5" w:rsidRPr="00CA3F84">
              <w:rPr>
                <w:color w:val="auto"/>
              </w:rPr>
              <w:t>la réalisation de vidéos de formation pour d’autres ensembles de données de la CFP.</w:t>
            </w:r>
          </w:p>
          <w:p w14:paraId="394390C1" w14:textId="71F40D3F" w:rsidR="00A66177" w:rsidRPr="00CA3F84" w:rsidRDefault="00E46CFB" w:rsidP="00E46CFB">
            <w:pPr>
              <w:numPr>
                <w:ilvl w:val="0"/>
                <w:numId w:val="4"/>
              </w:numPr>
              <w:spacing w:after="0"/>
              <w:ind w:left="467"/>
              <w:rPr>
                <w:color w:val="auto"/>
              </w:rPr>
            </w:pPr>
            <w:r w:rsidRPr="00CA3F84">
              <w:rPr>
                <w:color w:val="auto"/>
              </w:rPr>
              <w:t>Élaborer et mettre en œuvre un plan de littératie des données pour les employés de la CFP.</w:t>
            </w:r>
          </w:p>
        </w:tc>
      </w:tr>
      <w:tr w:rsidR="00CA3F84" w:rsidRPr="00CA3F84" w14:paraId="26025F73" w14:textId="77777777" w:rsidTr="004E26F3">
        <w:trPr>
          <w:trHeight w:val="1785"/>
        </w:trPr>
        <w:tc>
          <w:tcPr>
            <w:tcW w:w="2967" w:type="dxa"/>
            <w:tcMar>
              <w:top w:w="100" w:type="dxa"/>
              <w:left w:w="100" w:type="dxa"/>
              <w:bottom w:w="100" w:type="dxa"/>
              <w:right w:w="100" w:type="dxa"/>
            </w:tcMar>
            <w:hideMark/>
          </w:tcPr>
          <w:p w14:paraId="7314ED87" w14:textId="20332EAA" w:rsidR="00A66177" w:rsidRPr="00CA3F84" w:rsidRDefault="00AB34A0" w:rsidP="00BF2093">
            <w:pPr>
              <w:spacing w:after="0"/>
              <w:rPr>
                <w:color w:val="auto"/>
              </w:rPr>
            </w:pPr>
            <w:r w:rsidRPr="00CA3F84">
              <w:rPr>
                <w:color w:val="auto"/>
              </w:rPr>
              <w:t>7</w:t>
            </w:r>
            <w:r w:rsidR="00B4312D" w:rsidRPr="00CA3F84">
              <w:rPr>
                <w:color w:val="auto"/>
              </w:rPr>
              <w:t xml:space="preserve">.  </w:t>
            </w:r>
            <w:r w:rsidR="006432D5" w:rsidRPr="00CA3F84">
              <w:rPr>
                <w:color w:val="auto"/>
              </w:rPr>
              <w:t>Incapacité de mesurer l’incidence du PMOGO en raison d’un manque d</w:t>
            </w:r>
            <w:r w:rsidR="00E46CFB" w:rsidRPr="00CA3F84">
              <w:rPr>
                <w:color w:val="auto"/>
              </w:rPr>
              <w:t>’indicateurs</w:t>
            </w:r>
            <w:r w:rsidR="006432D5" w:rsidRPr="00CA3F84">
              <w:rPr>
                <w:color w:val="auto"/>
              </w:rPr>
              <w:t xml:space="preserve"> d</w:t>
            </w:r>
            <w:r w:rsidR="00E46CFB" w:rsidRPr="00CA3F84">
              <w:rPr>
                <w:color w:val="auto"/>
              </w:rPr>
              <w:t>e</w:t>
            </w:r>
            <w:r w:rsidR="006432D5" w:rsidRPr="00CA3F84">
              <w:rPr>
                <w:color w:val="auto"/>
              </w:rPr>
              <w:t xml:space="preserve"> rendement et de </w:t>
            </w:r>
            <w:r w:rsidR="00E46CFB" w:rsidRPr="00CA3F84">
              <w:rPr>
                <w:color w:val="auto"/>
              </w:rPr>
              <w:t xml:space="preserve">rapports </w:t>
            </w:r>
            <w:r w:rsidR="00BF2093" w:rsidRPr="00CA3F84">
              <w:rPr>
                <w:color w:val="auto"/>
              </w:rPr>
              <w:t xml:space="preserve">de progrès </w:t>
            </w:r>
            <w:r w:rsidR="00E46CFB" w:rsidRPr="00CA3F84">
              <w:rPr>
                <w:color w:val="auto"/>
              </w:rPr>
              <w:t xml:space="preserve"> </w:t>
            </w:r>
            <w:r w:rsidR="00BF2093" w:rsidRPr="00CA3F84">
              <w:rPr>
                <w:color w:val="auto"/>
              </w:rPr>
              <w:t xml:space="preserve">par le </w:t>
            </w:r>
            <w:r w:rsidR="00E46CFB" w:rsidRPr="00CA3F84">
              <w:rPr>
                <w:color w:val="auto"/>
              </w:rPr>
              <w:t>comité de gouvernance</w:t>
            </w:r>
          </w:p>
        </w:tc>
        <w:tc>
          <w:tcPr>
            <w:tcW w:w="6946" w:type="dxa"/>
            <w:tcMar>
              <w:top w:w="100" w:type="dxa"/>
              <w:left w:w="100" w:type="dxa"/>
              <w:bottom w:w="100" w:type="dxa"/>
              <w:right w:w="100" w:type="dxa"/>
            </w:tcMar>
            <w:hideMark/>
          </w:tcPr>
          <w:p w14:paraId="578F5698" w14:textId="16BF0BD4" w:rsidR="005840E5" w:rsidRPr="00CA3F84" w:rsidRDefault="005840E5" w:rsidP="005840E5">
            <w:pPr>
              <w:spacing w:after="0"/>
              <w:rPr>
                <w:color w:val="auto"/>
              </w:rPr>
            </w:pPr>
            <w:r w:rsidRPr="00CA3F84">
              <w:rPr>
                <w:color w:val="auto"/>
              </w:rPr>
              <w:t>Mise en œuvre :</w:t>
            </w:r>
          </w:p>
          <w:p w14:paraId="034F694C" w14:textId="4368B7A3" w:rsidR="00A66177" w:rsidRPr="00CA3F84" w:rsidRDefault="006432D5" w:rsidP="002234E9">
            <w:pPr>
              <w:numPr>
                <w:ilvl w:val="0"/>
                <w:numId w:val="4"/>
              </w:numPr>
              <w:spacing w:after="0"/>
              <w:ind w:left="467"/>
              <w:rPr>
                <w:color w:val="auto"/>
              </w:rPr>
            </w:pPr>
            <w:r w:rsidRPr="00CA3F84">
              <w:rPr>
                <w:color w:val="auto"/>
              </w:rPr>
              <w:t xml:space="preserve">Quelques activités du gouvernement ouvert sont </w:t>
            </w:r>
            <w:r w:rsidR="00E24784" w:rsidRPr="00CA3F84">
              <w:rPr>
                <w:color w:val="auto"/>
              </w:rPr>
              <w:t>évaluées</w:t>
            </w:r>
            <w:r w:rsidRPr="00CA3F84">
              <w:rPr>
                <w:color w:val="auto"/>
              </w:rPr>
              <w:t xml:space="preserve"> dans le cadre du Cadre de responsabilisation de gestion (CRG) et du Cadre ministériel des résultats.</w:t>
            </w:r>
          </w:p>
          <w:p w14:paraId="2FC0A570" w14:textId="77777777" w:rsidR="00C16449" w:rsidRPr="00CA3F84" w:rsidRDefault="00C16449" w:rsidP="00C16449">
            <w:pPr>
              <w:spacing w:after="0"/>
              <w:rPr>
                <w:color w:val="auto"/>
              </w:rPr>
            </w:pPr>
            <w:r w:rsidRPr="00CA3F84">
              <w:rPr>
                <w:color w:val="auto"/>
              </w:rPr>
              <w:t xml:space="preserve">À mettre en œuvre : </w:t>
            </w:r>
          </w:p>
          <w:p w14:paraId="16DC8C63" w14:textId="01394DE1" w:rsidR="00A66177" w:rsidRPr="00CA3F84" w:rsidRDefault="006432D5" w:rsidP="00E46CFB">
            <w:pPr>
              <w:numPr>
                <w:ilvl w:val="0"/>
                <w:numId w:val="4"/>
              </w:numPr>
              <w:spacing w:after="0"/>
              <w:ind w:left="467"/>
              <w:rPr>
                <w:color w:val="auto"/>
              </w:rPr>
            </w:pPr>
            <w:r w:rsidRPr="00CA3F84">
              <w:rPr>
                <w:color w:val="auto"/>
              </w:rPr>
              <w:t xml:space="preserve">Développer des </w:t>
            </w:r>
            <w:r w:rsidR="00E46CFB" w:rsidRPr="00CA3F84">
              <w:rPr>
                <w:color w:val="auto"/>
              </w:rPr>
              <w:t>indicateurs de</w:t>
            </w:r>
            <w:r w:rsidRPr="00CA3F84">
              <w:rPr>
                <w:color w:val="auto"/>
              </w:rPr>
              <w:t xml:space="preserve"> rendement et rendre compte des progrès réalisés tous les ans.</w:t>
            </w:r>
          </w:p>
        </w:tc>
      </w:tr>
      <w:tr w:rsidR="00CA3F84" w:rsidRPr="00CA3F84" w14:paraId="1DB3B3ED" w14:textId="77777777" w:rsidTr="004E26F3">
        <w:trPr>
          <w:trHeight w:val="616"/>
        </w:trPr>
        <w:tc>
          <w:tcPr>
            <w:tcW w:w="2967" w:type="dxa"/>
            <w:tcMar>
              <w:top w:w="100" w:type="dxa"/>
              <w:left w:w="100" w:type="dxa"/>
              <w:bottom w:w="100" w:type="dxa"/>
              <w:right w:w="100" w:type="dxa"/>
            </w:tcMar>
            <w:hideMark/>
          </w:tcPr>
          <w:p w14:paraId="44147C12" w14:textId="09C9784E" w:rsidR="00A66177" w:rsidRPr="00CA3F84" w:rsidRDefault="00AB34A0" w:rsidP="006432D5">
            <w:pPr>
              <w:spacing w:after="0"/>
              <w:rPr>
                <w:color w:val="auto"/>
              </w:rPr>
            </w:pPr>
            <w:r w:rsidRPr="00CA3F84">
              <w:rPr>
                <w:color w:val="auto"/>
              </w:rPr>
              <w:t>8</w:t>
            </w:r>
            <w:r w:rsidR="00B4312D" w:rsidRPr="00CA3F84">
              <w:rPr>
                <w:color w:val="auto"/>
              </w:rPr>
              <w:t xml:space="preserve">.  </w:t>
            </w:r>
            <w:r w:rsidR="00A66177" w:rsidRPr="00CA3F84">
              <w:rPr>
                <w:color w:val="auto"/>
              </w:rPr>
              <w:t>In</w:t>
            </w:r>
            <w:r w:rsidR="006432D5" w:rsidRPr="00CA3F84">
              <w:rPr>
                <w:color w:val="auto"/>
              </w:rPr>
              <w:t>capacité de mesurer concrètement le changement de culture</w:t>
            </w:r>
          </w:p>
        </w:tc>
        <w:tc>
          <w:tcPr>
            <w:tcW w:w="6946" w:type="dxa"/>
            <w:tcMar>
              <w:top w:w="100" w:type="dxa"/>
              <w:left w:w="100" w:type="dxa"/>
              <w:bottom w:w="100" w:type="dxa"/>
              <w:right w:w="100" w:type="dxa"/>
            </w:tcMar>
            <w:hideMark/>
          </w:tcPr>
          <w:p w14:paraId="0C977D93" w14:textId="77777777" w:rsidR="00C16449" w:rsidRPr="00CA3F84" w:rsidRDefault="00C16449" w:rsidP="00C16449">
            <w:pPr>
              <w:spacing w:after="0"/>
              <w:rPr>
                <w:color w:val="auto"/>
              </w:rPr>
            </w:pPr>
            <w:r w:rsidRPr="00CA3F84">
              <w:rPr>
                <w:color w:val="auto"/>
              </w:rPr>
              <w:t xml:space="preserve">À mettre en œuvre : </w:t>
            </w:r>
          </w:p>
          <w:p w14:paraId="53C36E96" w14:textId="52767129" w:rsidR="00A66177" w:rsidRPr="00CA3F84" w:rsidRDefault="006432D5" w:rsidP="002234E9">
            <w:pPr>
              <w:numPr>
                <w:ilvl w:val="0"/>
                <w:numId w:val="6"/>
              </w:numPr>
              <w:spacing w:after="0"/>
              <w:ind w:left="467"/>
              <w:rPr>
                <w:color w:val="auto"/>
              </w:rPr>
            </w:pPr>
            <w:r w:rsidRPr="00CA3F84">
              <w:rPr>
                <w:color w:val="auto"/>
              </w:rPr>
              <w:t>Développer un modèle de maturité du gouvernement ouvert pour évaluer les progrès réalisés.</w:t>
            </w:r>
          </w:p>
          <w:p w14:paraId="53EBF21A" w14:textId="41434793" w:rsidR="00A66177" w:rsidRPr="00CA3F84" w:rsidRDefault="006432D5" w:rsidP="006432D5">
            <w:pPr>
              <w:numPr>
                <w:ilvl w:val="0"/>
                <w:numId w:val="6"/>
              </w:numPr>
              <w:spacing w:after="0"/>
              <w:ind w:left="467"/>
              <w:rPr>
                <w:color w:val="auto"/>
              </w:rPr>
            </w:pPr>
            <w:r w:rsidRPr="00CA3F84">
              <w:rPr>
                <w:color w:val="auto"/>
              </w:rPr>
              <w:t>Développer et mener un sondage auprès des employés.</w:t>
            </w:r>
          </w:p>
        </w:tc>
      </w:tr>
      <w:tr w:rsidR="00CA3F84" w:rsidRPr="00CA3F84" w14:paraId="331C827A" w14:textId="77777777" w:rsidTr="004E26F3">
        <w:trPr>
          <w:trHeight w:val="327"/>
        </w:trPr>
        <w:tc>
          <w:tcPr>
            <w:tcW w:w="2967" w:type="dxa"/>
            <w:tcMar>
              <w:top w:w="100" w:type="dxa"/>
              <w:left w:w="100" w:type="dxa"/>
              <w:bottom w:w="100" w:type="dxa"/>
              <w:right w:w="100" w:type="dxa"/>
            </w:tcMar>
            <w:hideMark/>
          </w:tcPr>
          <w:p w14:paraId="120A54D5" w14:textId="046D642A" w:rsidR="00A66177" w:rsidRPr="00CA3F84" w:rsidRDefault="00AB34A0" w:rsidP="00E24784">
            <w:pPr>
              <w:spacing w:after="0"/>
              <w:rPr>
                <w:color w:val="auto"/>
              </w:rPr>
            </w:pPr>
            <w:r w:rsidRPr="00CA3F84">
              <w:rPr>
                <w:color w:val="auto"/>
              </w:rPr>
              <w:t>9</w:t>
            </w:r>
            <w:r w:rsidR="00B4312D" w:rsidRPr="00CA3F84">
              <w:rPr>
                <w:color w:val="auto"/>
              </w:rPr>
              <w:t xml:space="preserve">.  </w:t>
            </w:r>
            <w:r w:rsidR="00A66177" w:rsidRPr="00CA3F84">
              <w:rPr>
                <w:color w:val="auto"/>
              </w:rPr>
              <w:t>I</w:t>
            </w:r>
            <w:r w:rsidR="00E46CFB" w:rsidRPr="00CA3F84">
              <w:rPr>
                <w:color w:val="auto"/>
              </w:rPr>
              <w:t>ncapacité de traiter le nombre croissant d</w:t>
            </w:r>
            <w:r w:rsidR="00E24784" w:rsidRPr="00CA3F84">
              <w:rPr>
                <w:color w:val="auto"/>
              </w:rPr>
              <w:t xml:space="preserve">e ressources </w:t>
            </w:r>
            <w:r w:rsidR="00E46CFB" w:rsidRPr="00CA3F84">
              <w:rPr>
                <w:color w:val="auto"/>
              </w:rPr>
              <w:t xml:space="preserve">à diffuser sur le portail </w:t>
            </w:r>
          </w:p>
        </w:tc>
        <w:tc>
          <w:tcPr>
            <w:tcW w:w="6946" w:type="dxa"/>
            <w:tcMar>
              <w:top w:w="100" w:type="dxa"/>
              <w:left w:w="100" w:type="dxa"/>
              <w:bottom w:w="100" w:type="dxa"/>
              <w:right w:w="100" w:type="dxa"/>
            </w:tcMar>
            <w:hideMark/>
          </w:tcPr>
          <w:p w14:paraId="30F9EECB" w14:textId="23F64A0A" w:rsidR="005840E5" w:rsidRPr="00CA3F84" w:rsidRDefault="005840E5" w:rsidP="005840E5">
            <w:pPr>
              <w:spacing w:after="0"/>
              <w:rPr>
                <w:color w:val="auto"/>
              </w:rPr>
            </w:pPr>
            <w:r w:rsidRPr="00CA3F84">
              <w:rPr>
                <w:color w:val="auto"/>
              </w:rPr>
              <w:t>Mise en œuvre :</w:t>
            </w:r>
          </w:p>
          <w:p w14:paraId="0E700ED2" w14:textId="2B4D0321" w:rsidR="00A66177" w:rsidRPr="00CA3F84" w:rsidRDefault="00E46CFB" w:rsidP="002234E9">
            <w:pPr>
              <w:numPr>
                <w:ilvl w:val="0"/>
                <w:numId w:val="6"/>
              </w:numPr>
              <w:spacing w:after="0"/>
              <w:ind w:left="467"/>
              <w:rPr>
                <w:color w:val="auto"/>
              </w:rPr>
            </w:pPr>
            <w:r w:rsidRPr="00CA3F84">
              <w:rPr>
                <w:color w:val="auto"/>
              </w:rPr>
              <w:t xml:space="preserve">Développer un système de priorisation pour la diffusion des </w:t>
            </w:r>
            <w:r w:rsidR="00E24784" w:rsidRPr="00CA3F84">
              <w:rPr>
                <w:color w:val="auto"/>
              </w:rPr>
              <w:t>ressources</w:t>
            </w:r>
            <w:r w:rsidRPr="00CA3F84">
              <w:rPr>
                <w:color w:val="auto"/>
              </w:rPr>
              <w:t xml:space="preserve"> admissibles</w:t>
            </w:r>
            <w:r w:rsidR="00E24784" w:rsidRPr="00CA3F84">
              <w:rPr>
                <w:color w:val="auto"/>
              </w:rPr>
              <w:t>.</w:t>
            </w:r>
          </w:p>
          <w:p w14:paraId="7BF558B1" w14:textId="49FA1A37" w:rsidR="00A66177" w:rsidRPr="00CA3F84" w:rsidRDefault="00E46CFB" w:rsidP="002234E9">
            <w:pPr>
              <w:numPr>
                <w:ilvl w:val="0"/>
                <w:numId w:val="6"/>
              </w:numPr>
              <w:spacing w:after="0"/>
              <w:ind w:left="467"/>
              <w:rPr>
                <w:color w:val="auto"/>
              </w:rPr>
            </w:pPr>
            <w:r w:rsidRPr="00CA3F84">
              <w:rPr>
                <w:color w:val="auto"/>
              </w:rPr>
              <w:t xml:space="preserve">Développer un régime de gouvernance pour approuver les </w:t>
            </w:r>
            <w:r w:rsidR="00E24784" w:rsidRPr="00CA3F84">
              <w:rPr>
                <w:color w:val="auto"/>
              </w:rPr>
              <w:t xml:space="preserve">ressources </w:t>
            </w:r>
            <w:r w:rsidRPr="00CA3F84">
              <w:rPr>
                <w:color w:val="auto"/>
              </w:rPr>
              <w:t>à diffuser sur le</w:t>
            </w:r>
            <w:r w:rsidR="00E24784" w:rsidRPr="00CA3F84">
              <w:rPr>
                <w:color w:val="auto"/>
              </w:rPr>
              <w:t xml:space="preserve"> portail du gouvernement ouvert.</w:t>
            </w:r>
          </w:p>
          <w:p w14:paraId="2AB9399C" w14:textId="77777777" w:rsidR="00C16449" w:rsidRPr="00CA3F84" w:rsidRDefault="00C16449" w:rsidP="00C16449">
            <w:pPr>
              <w:spacing w:after="0"/>
              <w:rPr>
                <w:color w:val="auto"/>
              </w:rPr>
            </w:pPr>
            <w:r w:rsidRPr="00CA3F84">
              <w:rPr>
                <w:color w:val="auto"/>
              </w:rPr>
              <w:t xml:space="preserve">À mettre en œuvre : </w:t>
            </w:r>
          </w:p>
          <w:p w14:paraId="7059764E" w14:textId="0A9FB0C4" w:rsidR="00A66177" w:rsidRPr="00CA3F84" w:rsidRDefault="00E46CFB" w:rsidP="00E24784">
            <w:pPr>
              <w:numPr>
                <w:ilvl w:val="0"/>
                <w:numId w:val="6"/>
              </w:numPr>
              <w:spacing w:after="0"/>
              <w:ind w:left="467"/>
              <w:rPr>
                <w:color w:val="auto"/>
              </w:rPr>
            </w:pPr>
            <w:r w:rsidRPr="00CA3F84">
              <w:rPr>
                <w:color w:val="auto"/>
              </w:rPr>
              <w:lastRenderedPageBreak/>
              <w:t xml:space="preserve">Continuer à rationaliser le système de gouvernance et les processus en place pour approuver et publier les </w:t>
            </w:r>
            <w:r w:rsidR="00E24784" w:rsidRPr="00CA3F84">
              <w:rPr>
                <w:color w:val="auto"/>
              </w:rPr>
              <w:t>ressources</w:t>
            </w:r>
            <w:r w:rsidRPr="00CA3F84">
              <w:rPr>
                <w:color w:val="auto"/>
              </w:rPr>
              <w:t xml:space="preserve"> conformément à l’examen généralisé de la gouvernance de la CFP</w:t>
            </w:r>
            <w:r w:rsidR="00E24784" w:rsidRPr="00CA3F84">
              <w:rPr>
                <w:color w:val="auto"/>
              </w:rPr>
              <w:t>.</w:t>
            </w:r>
          </w:p>
        </w:tc>
      </w:tr>
      <w:tr w:rsidR="00CA3F84" w:rsidRPr="00CA3F84" w14:paraId="7B92346A" w14:textId="77777777" w:rsidTr="004E26F3">
        <w:trPr>
          <w:trHeight w:val="1588"/>
        </w:trPr>
        <w:tc>
          <w:tcPr>
            <w:tcW w:w="2967" w:type="dxa"/>
            <w:tcMar>
              <w:top w:w="100" w:type="dxa"/>
              <w:left w:w="100" w:type="dxa"/>
              <w:bottom w:w="100" w:type="dxa"/>
              <w:right w:w="100" w:type="dxa"/>
            </w:tcMar>
            <w:hideMark/>
          </w:tcPr>
          <w:p w14:paraId="67C64AC6" w14:textId="2FE65ABF" w:rsidR="00A66177" w:rsidRPr="00CA3F84" w:rsidRDefault="00AE3014" w:rsidP="00E46CFB">
            <w:pPr>
              <w:spacing w:after="0"/>
              <w:rPr>
                <w:color w:val="auto"/>
              </w:rPr>
            </w:pPr>
            <w:r w:rsidRPr="00CA3F84">
              <w:rPr>
                <w:color w:val="auto"/>
              </w:rPr>
              <w:lastRenderedPageBreak/>
              <w:t>1</w:t>
            </w:r>
            <w:r w:rsidR="00AB34A0" w:rsidRPr="00CA3F84">
              <w:rPr>
                <w:color w:val="auto"/>
              </w:rPr>
              <w:t>0</w:t>
            </w:r>
            <w:r w:rsidR="00B4312D" w:rsidRPr="00CA3F84">
              <w:rPr>
                <w:color w:val="auto"/>
              </w:rPr>
              <w:t xml:space="preserve">.  </w:t>
            </w:r>
            <w:r w:rsidR="00E46CFB" w:rsidRPr="00CA3F84">
              <w:rPr>
                <w:color w:val="auto"/>
              </w:rPr>
              <w:t>Non</w:t>
            </w:r>
            <w:r w:rsidR="000D4464" w:rsidRPr="00CA3F84">
              <w:rPr>
                <w:color w:val="auto"/>
              </w:rPr>
              <w:t>-</w:t>
            </w:r>
            <w:r w:rsidR="00E46CFB" w:rsidRPr="00CA3F84">
              <w:rPr>
                <w:color w:val="auto"/>
              </w:rPr>
              <w:t>disponibilité des données pour appuyer le mandat de base en raison de facteurs non prévus hors du contrôle de la CFP (p</w:t>
            </w:r>
            <w:r w:rsidR="00B4312D" w:rsidRPr="00CA3F84">
              <w:rPr>
                <w:color w:val="auto"/>
              </w:rPr>
              <w:t xml:space="preserve">.  </w:t>
            </w:r>
            <w:r w:rsidR="00E46CFB" w:rsidRPr="00CA3F84">
              <w:rPr>
                <w:color w:val="auto"/>
              </w:rPr>
              <w:t>ex., données du fichier sur les titulaires)</w:t>
            </w:r>
          </w:p>
        </w:tc>
        <w:tc>
          <w:tcPr>
            <w:tcW w:w="6946" w:type="dxa"/>
            <w:tcMar>
              <w:top w:w="100" w:type="dxa"/>
              <w:left w:w="100" w:type="dxa"/>
              <w:bottom w:w="100" w:type="dxa"/>
              <w:right w:w="100" w:type="dxa"/>
            </w:tcMar>
            <w:hideMark/>
          </w:tcPr>
          <w:p w14:paraId="7F4AB8F6" w14:textId="3A83327B" w:rsidR="005840E5" w:rsidRPr="00CA3F84" w:rsidRDefault="005840E5" w:rsidP="005840E5">
            <w:pPr>
              <w:spacing w:after="0"/>
              <w:rPr>
                <w:color w:val="auto"/>
              </w:rPr>
            </w:pPr>
            <w:r w:rsidRPr="00CA3F84">
              <w:rPr>
                <w:color w:val="auto"/>
              </w:rPr>
              <w:t>Mise en œuvre :</w:t>
            </w:r>
          </w:p>
          <w:p w14:paraId="6264376E" w14:textId="03426CDC" w:rsidR="00A66177" w:rsidRPr="00CA3F84" w:rsidRDefault="00E46CFB" w:rsidP="002234E9">
            <w:pPr>
              <w:numPr>
                <w:ilvl w:val="0"/>
                <w:numId w:val="6"/>
              </w:numPr>
              <w:spacing w:after="0"/>
              <w:ind w:left="467"/>
              <w:rPr>
                <w:color w:val="auto"/>
              </w:rPr>
            </w:pPr>
            <w:r w:rsidRPr="00CA3F84">
              <w:rPr>
                <w:color w:val="auto"/>
              </w:rPr>
              <w:t>Communiquer à l’intérieur et à l’extérieur de la CFP pour gérer les attentes.</w:t>
            </w:r>
          </w:p>
          <w:p w14:paraId="39AF615C" w14:textId="5B7B2BD2" w:rsidR="00A66177" w:rsidRPr="00CA3F84" w:rsidRDefault="00E46CFB" w:rsidP="002234E9">
            <w:pPr>
              <w:numPr>
                <w:ilvl w:val="0"/>
                <w:numId w:val="6"/>
              </w:numPr>
              <w:spacing w:after="0"/>
              <w:ind w:left="467"/>
              <w:rPr>
                <w:color w:val="auto"/>
              </w:rPr>
            </w:pPr>
            <w:r w:rsidRPr="00CA3F84">
              <w:rPr>
                <w:color w:val="auto"/>
              </w:rPr>
              <w:t>Augmenter la capacité de traitement des données et réaffecter les ressources internes en cas de réception tardive des données.</w:t>
            </w:r>
          </w:p>
          <w:p w14:paraId="1836DD91" w14:textId="0F94A983" w:rsidR="00A66177" w:rsidRPr="00CA3F84" w:rsidRDefault="00E46CFB" w:rsidP="002234E9">
            <w:pPr>
              <w:numPr>
                <w:ilvl w:val="0"/>
                <w:numId w:val="6"/>
              </w:numPr>
              <w:spacing w:after="0"/>
              <w:ind w:left="467"/>
              <w:rPr>
                <w:color w:val="auto"/>
              </w:rPr>
            </w:pPr>
            <w:r w:rsidRPr="00CA3F84">
              <w:rPr>
                <w:color w:val="auto"/>
              </w:rPr>
              <w:t>Réviser les systèmes pour réduire le besoin de saisie manuelle et de maintenance</w:t>
            </w:r>
            <w:r w:rsidR="00E054AA" w:rsidRPr="00CA3F84">
              <w:rPr>
                <w:color w:val="auto"/>
              </w:rPr>
              <w:t>.</w:t>
            </w:r>
          </w:p>
          <w:p w14:paraId="0BDEC0AC" w14:textId="73AA5EE5" w:rsidR="00A66177" w:rsidRPr="00CA3F84" w:rsidRDefault="00E054AA" w:rsidP="00E054AA">
            <w:pPr>
              <w:numPr>
                <w:ilvl w:val="0"/>
                <w:numId w:val="6"/>
              </w:numPr>
              <w:spacing w:after="0"/>
              <w:ind w:left="467"/>
              <w:rPr>
                <w:color w:val="auto"/>
              </w:rPr>
            </w:pPr>
            <w:r w:rsidRPr="00CA3F84">
              <w:rPr>
                <w:color w:val="auto"/>
              </w:rPr>
              <w:t>Consigner les flux de données et les étapes de traitement</w:t>
            </w:r>
            <w:r w:rsidR="00B4312D" w:rsidRPr="00CA3F84">
              <w:rPr>
                <w:color w:val="auto"/>
              </w:rPr>
              <w:t xml:space="preserve">.  </w:t>
            </w:r>
          </w:p>
        </w:tc>
      </w:tr>
    </w:tbl>
    <w:p w14:paraId="6EB4B40D" w14:textId="77777777" w:rsidR="008B51CB" w:rsidRPr="00CA3F84" w:rsidRDefault="008B51CB">
      <w:pPr>
        <w:keepLines w:val="0"/>
        <w:rPr>
          <w:rFonts w:asciiTheme="majorHAnsi" w:eastAsiaTheme="majorEastAsia" w:hAnsiTheme="majorHAnsi" w:cstheme="majorBidi"/>
          <w:color w:val="auto"/>
          <w:sz w:val="48"/>
          <w:szCs w:val="48"/>
        </w:rPr>
      </w:pPr>
      <w:r w:rsidRPr="00CA3F84">
        <w:rPr>
          <w:color w:val="auto"/>
        </w:rPr>
        <w:br w:type="page"/>
      </w:r>
    </w:p>
    <w:p w14:paraId="73578664" w14:textId="39544845" w:rsidR="00D71445" w:rsidRPr="00CA3F84" w:rsidRDefault="00D71445" w:rsidP="00D71445">
      <w:pPr>
        <w:pStyle w:val="Heading1"/>
        <w:ind w:left="-851" w:right="-846"/>
        <w:rPr>
          <w:color w:val="auto"/>
        </w:rPr>
      </w:pPr>
      <w:bookmarkStart w:id="58" w:name="_9._Activity_Charts"/>
      <w:bookmarkStart w:id="59" w:name="_Toc44323397"/>
      <w:bookmarkStart w:id="60" w:name="_Toc50038767"/>
      <w:bookmarkEnd w:id="58"/>
      <w:r w:rsidRPr="00CA3F84">
        <w:rPr>
          <w:color w:val="auto"/>
        </w:rPr>
        <w:lastRenderedPageBreak/>
        <w:t>9</w:t>
      </w:r>
      <w:r w:rsidR="00B4312D" w:rsidRPr="00CA3F84">
        <w:rPr>
          <w:color w:val="auto"/>
        </w:rPr>
        <w:t xml:space="preserve">.  </w:t>
      </w:r>
      <w:r w:rsidR="00E46CFB" w:rsidRPr="00CA3F84">
        <w:rPr>
          <w:color w:val="auto"/>
        </w:rPr>
        <w:t xml:space="preserve">Tableaux d’activités </w:t>
      </w:r>
      <w:r w:rsidR="00133081" w:rsidRPr="00CA3F84">
        <w:rPr>
          <w:color w:val="auto"/>
        </w:rPr>
        <w:t>—</w:t>
      </w:r>
      <w:r w:rsidR="00E46CFB" w:rsidRPr="00CA3F84">
        <w:rPr>
          <w:color w:val="auto"/>
        </w:rPr>
        <w:t xml:space="preserve"> Activités et responsables proposés</w:t>
      </w:r>
      <w:bookmarkEnd w:id="56"/>
      <w:bookmarkEnd w:id="57"/>
      <w:bookmarkEnd w:id="59"/>
      <w:bookmarkEnd w:id="60"/>
    </w:p>
    <w:p w14:paraId="6B060FF9" w14:textId="08A87D6D" w:rsidR="008E68FC" w:rsidRPr="00CA3F84" w:rsidRDefault="00E054AA" w:rsidP="008E68FC">
      <w:pPr>
        <w:rPr>
          <w:color w:val="auto"/>
        </w:rPr>
      </w:pPr>
      <w:r w:rsidRPr="00CA3F84">
        <w:rPr>
          <w:color w:val="auto"/>
        </w:rPr>
        <w:t>En raison de la pandémie mondiale de COVID-19, les échéances précisées pour chaque activité et les produits livrables connexes seront examinés et révisés en partenariat avec chaque responsable</w:t>
      </w:r>
      <w:r w:rsidR="00B4312D" w:rsidRPr="00CA3F84">
        <w:rPr>
          <w:color w:val="auto"/>
        </w:rPr>
        <w:t xml:space="preserve">.  </w:t>
      </w:r>
      <w:r w:rsidRPr="00CA3F84">
        <w:rPr>
          <w:color w:val="auto"/>
        </w:rPr>
        <w:t>Le SGO fera preuve de flexibilité pour s’adapter aux besoins des unités opérationnelles</w:t>
      </w:r>
      <w:r w:rsidR="00B4312D" w:rsidRPr="00CA3F84">
        <w:rPr>
          <w:color w:val="auto"/>
        </w:rPr>
        <w:t xml:space="preserve">.  </w:t>
      </w:r>
    </w:p>
    <w:p w14:paraId="7FCB9206" w14:textId="49B51550" w:rsidR="00D71445" w:rsidRPr="005957F6" w:rsidRDefault="00E46CFB" w:rsidP="00D71445">
      <w:pPr>
        <w:pStyle w:val="Heading2"/>
        <w:ind w:left="-851"/>
      </w:pPr>
      <w:bookmarkStart w:id="61" w:name="_Toc44323398"/>
      <w:bookmarkStart w:id="62" w:name="_Toc50038768"/>
      <w:r>
        <w:t>1.0 Instaurer une culture d’ouverture par défaut</w:t>
      </w:r>
      <w:bookmarkEnd w:id="61"/>
      <w:bookmarkEnd w:id="62"/>
    </w:p>
    <w:p w14:paraId="3FADFF5E" w14:textId="59BEB919" w:rsidR="00D71445" w:rsidRPr="00CA3F84" w:rsidRDefault="00D71445" w:rsidP="00D71445">
      <w:pPr>
        <w:pStyle w:val="Heading3"/>
        <w:ind w:left="-851"/>
        <w:rPr>
          <w:color w:val="auto"/>
        </w:rPr>
      </w:pPr>
      <w:bookmarkStart w:id="63" w:name="_Toc30058979"/>
      <w:bookmarkStart w:id="64" w:name="_Toc30682130"/>
      <w:bookmarkStart w:id="65" w:name="_Toc44404881"/>
      <w:bookmarkStart w:id="66" w:name="_Toc44323399"/>
      <w:bookmarkStart w:id="67" w:name="_Toc46827419"/>
      <w:bookmarkStart w:id="68" w:name="_Toc49767859"/>
      <w:bookmarkStart w:id="69" w:name="_Toc50038769"/>
      <w:r w:rsidRPr="00CA3F84">
        <w:rPr>
          <w:color w:val="auto"/>
        </w:rPr>
        <w:t xml:space="preserve">1.1 </w:t>
      </w:r>
      <w:bookmarkEnd w:id="63"/>
      <w:r w:rsidR="00F61DB3" w:rsidRPr="00CA3F84">
        <w:rPr>
          <w:bCs/>
          <w:color w:val="auto"/>
        </w:rPr>
        <w:t>Clarif</w:t>
      </w:r>
      <w:r w:rsidR="00E054AA" w:rsidRPr="00CA3F84">
        <w:rPr>
          <w:bCs/>
          <w:color w:val="auto"/>
        </w:rPr>
        <w:t>ier les rôles, les responsabilités, les exigences et les processus du gouvernement ouvert</w:t>
      </w:r>
      <w:bookmarkEnd w:id="64"/>
      <w:bookmarkEnd w:id="65"/>
      <w:bookmarkEnd w:id="66"/>
      <w:bookmarkEnd w:id="67"/>
      <w:bookmarkEnd w:id="68"/>
      <w:bookmarkEnd w:id="69"/>
    </w:p>
    <w:tbl>
      <w:tblPr>
        <w:tblStyle w:val="TableGrid"/>
        <w:tblW w:w="10916" w:type="dxa"/>
        <w:tblInd w:w="-856" w:type="dxa"/>
        <w:tblLayout w:type="fixed"/>
        <w:tblLook w:val="04A0" w:firstRow="1" w:lastRow="0" w:firstColumn="1" w:lastColumn="0" w:noHBand="0" w:noVBand="1"/>
        <w:tblDescription w:val="Ce tableau est composé de 6 colonnes et 17 lignes, et ne contient aucune cellules divisées ou fusionnées"/>
      </w:tblPr>
      <w:tblGrid>
        <w:gridCol w:w="2411"/>
        <w:gridCol w:w="3969"/>
        <w:gridCol w:w="992"/>
        <w:gridCol w:w="992"/>
        <w:gridCol w:w="1276"/>
        <w:gridCol w:w="1276"/>
      </w:tblGrid>
      <w:tr w:rsidR="00CA3F84" w:rsidRPr="00CA3F84" w14:paraId="00F6D68D" w14:textId="77777777" w:rsidTr="006968CC">
        <w:trPr>
          <w:trHeight w:val="685"/>
          <w:tblHeader/>
        </w:trPr>
        <w:tc>
          <w:tcPr>
            <w:tcW w:w="2411" w:type="dxa"/>
            <w:shd w:val="clear" w:color="auto" w:fill="D9D9D9" w:themeFill="background1" w:themeFillShade="D9"/>
          </w:tcPr>
          <w:p w14:paraId="112A977D" w14:textId="042B1040" w:rsidR="00164803" w:rsidRPr="00CA3F84" w:rsidRDefault="00843F3E" w:rsidP="00843F3E">
            <w:pPr>
              <w:jc w:val="center"/>
              <w:rPr>
                <w:b/>
                <w:color w:val="auto"/>
              </w:rPr>
            </w:pPr>
            <w:r w:rsidRPr="00CA3F84">
              <w:rPr>
                <w:b/>
                <w:color w:val="auto"/>
              </w:rPr>
              <w:t>Activités</w:t>
            </w:r>
          </w:p>
        </w:tc>
        <w:tc>
          <w:tcPr>
            <w:tcW w:w="3969" w:type="dxa"/>
            <w:shd w:val="clear" w:color="auto" w:fill="D9D9D9" w:themeFill="background1" w:themeFillShade="D9"/>
          </w:tcPr>
          <w:p w14:paraId="2A023DD3" w14:textId="067DE986" w:rsidR="00164803" w:rsidRPr="00CA3F84" w:rsidRDefault="00843F3E" w:rsidP="00843F3E">
            <w:pPr>
              <w:jc w:val="center"/>
              <w:rPr>
                <w:b/>
                <w:color w:val="auto"/>
              </w:rPr>
            </w:pPr>
            <w:r w:rsidRPr="00CA3F84">
              <w:rPr>
                <w:b/>
                <w:color w:val="auto"/>
              </w:rPr>
              <w:t>Produits livrables</w:t>
            </w:r>
          </w:p>
        </w:tc>
        <w:tc>
          <w:tcPr>
            <w:tcW w:w="992" w:type="dxa"/>
            <w:shd w:val="clear" w:color="auto" w:fill="D9D9D9" w:themeFill="background1" w:themeFillShade="D9"/>
          </w:tcPr>
          <w:p w14:paraId="330A8FF6" w14:textId="24A98B9D" w:rsidR="00164803" w:rsidRPr="00CA3F84" w:rsidRDefault="00843F3E" w:rsidP="00843F3E">
            <w:pPr>
              <w:jc w:val="center"/>
              <w:rPr>
                <w:b/>
                <w:color w:val="auto"/>
              </w:rPr>
            </w:pPr>
            <w:r w:rsidRPr="00CA3F84">
              <w:rPr>
                <w:b/>
                <w:color w:val="auto"/>
              </w:rPr>
              <w:t>Responsable</w:t>
            </w:r>
          </w:p>
        </w:tc>
        <w:tc>
          <w:tcPr>
            <w:tcW w:w="992" w:type="dxa"/>
            <w:shd w:val="clear" w:color="auto" w:fill="D9D9D9" w:themeFill="background1" w:themeFillShade="D9"/>
          </w:tcPr>
          <w:p w14:paraId="37418EB5" w14:textId="45D76C8D" w:rsidR="00164803" w:rsidRPr="00CA3F84" w:rsidRDefault="00843F3E" w:rsidP="00843F3E">
            <w:pPr>
              <w:jc w:val="center"/>
              <w:rPr>
                <w:b/>
                <w:color w:val="auto"/>
              </w:rPr>
            </w:pPr>
            <w:r w:rsidRPr="00CA3F84">
              <w:rPr>
                <w:b/>
                <w:color w:val="auto"/>
              </w:rPr>
              <w:t>Soutien</w:t>
            </w:r>
          </w:p>
        </w:tc>
        <w:tc>
          <w:tcPr>
            <w:tcW w:w="1276" w:type="dxa"/>
            <w:shd w:val="clear" w:color="auto" w:fill="D9D9D9" w:themeFill="background1" w:themeFillShade="D9"/>
          </w:tcPr>
          <w:p w14:paraId="22A5839E" w14:textId="5D96FA45" w:rsidR="00164803" w:rsidRPr="00CA3F84" w:rsidRDefault="00767E3B" w:rsidP="00767E3B">
            <w:pPr>
              <w:jc w:val="center"/>
              <w:rPr>
                <w:b/>
                <w:color w:val="auto"/>
              </w:rPr>
            </w:pPr>
            <w:r w:rsidRPr="00CA3F84">
              <w:rPr>
                <w:b/>
                <w:color w:val="auto"/>
              </w:rPr>
              <w:t>Date de début</w:t>
            </w:r>
          </w:p>
        </w:tc>
        <w:tc>
          <w:tcPr>
            <w:tcW w:w="1276" w:type="dxa"/>
            <w:shd w:val="clear" w:color="auto" w:fill="D9D9D9" w:themeFill="background1" w:themeFillShade="D9"/>
          </w:tcPr>
          <w:p w14:paraId="42B6FC38" w14:textId="21D38180" w:rsidR="00164803" w:rsidRPr="00CA3F84" w:rsidRDefault="00767E3B" w:rsidP="00767E3B">
            <w:pPr>
              <w:jc w:val="center"/>
              <w:rPr>
                <w:b/>
                <w:color w:val="auto"/>
              </w:rPr>
            </w:pPr>
            <w:r w:rsidRPr="00CA3F84">
              <w:rPr>
                <w:b/>
                <w:color w:val="auto"/>
              </w:rPr>
              <w:t>Date de fin</w:t>
            </w:r>
          </w:p>
        </w:tc>
      </w:tr>
      <w:tr w:rsidR="00CA3F84" w:rsidRPr="00CA3F84" w14:paraId="70E82DE9" w14:textId="77777777" w:rsidTr="003B5A50">
        <w:trPr>
          <w:trHeight w:val="992"/>
        </w:trPr>
        <w:tc>
          <w:tcPr>
            <w:tcW w:w="2411" w:type="dxa"/>
          </w:tcPr>
          <w:p w14:paraId="22513EBD" w14:textId="35B64966" w:rsidR="00164803" w:rsidRPr="00CA3F84" w:rsidRDefault="00164803" w:rsidP="00E054AA">
            <w:pPr>
              <w:rPr>
                <w:color w:val="auto"/>
              </w:rPr>
            </w:pPr>
            <w:r w:rsidRPr="00CA3F84">
              <w:rPr>
                <w:color w:val="auto"/>
              </w:rPr>
              <w:t>1.1.1</w:t>
            </w:r>
            <w:r w:rsidR="00B4312D" w:rsidRPr="00CA3F84">
              <w:rPr>
                <w:color w:val="auto"/>
              </w:rPr>
              <w:t xml:space="preserve">.  </w:t>
            </w:r>
            <w:r w:rsidRPr="00CA3F84">
              <w:rPr>
                <w:bCs/>
                <w:color w:val="auto"/>
              </w:rPr>
              <w:t>Clarif</w:t>
            </w:r>
            <w:r w:rsidR="00E054AA" w:rsidRPr="00CA3F84">
              <w:rPr>
                <w:bCs/>
                <w:color w:val="auto"/>
              </w:rPr>
              <w:t>ier les rôles et les responsabilités pour le gouvernement ouvert</w:t>
            </w:r>
          </w:p>
        </w:tc>
        <w:tc>
          <w:tcPr>
            <w:tcW w:w="3969" w:type="dxa"/>
          </w:tcPr>
          <w:p w14:paraId="41EC541A" w14:textId="6D76B9FD" w:rsidR="00164803" w:rsidRPr="00CA3F84" w:rsidRDefault="00164803" w:rsidP="008C5FA2">
            <w:pPr>
              <w:rPr>
                <w:color w:val="auto"/>
              </w:rPr>
            </w:pPr>
            <w:r w:rsidRPr="00CA3F84">
              <w:rPr>
                <w:color w:val="auto"/>
              </w:rPr>
              <w:t>1.1.1.1</w:t>
            </w:r>
            <w:r w:rsidR="00B4312D" w:rsidRPr="00CA3F84">
              <w:rPr>
                <w:color w:val="auto"/>
              </w:rPr>
              <w:t xml:space="preserve">.  </w:t>
            </w:r>
            <w:r w:rsidR="008C5FA2" w:rsidRPr="00CA3F84">
              <w:rPr>
                <w:color w:val="auto"/>
              </w:rPr>
              <w:t>R</w:t>
            </w:r>
            <w:r w:rsidR="00E054AA" w:rsidRPr="00CA3F84">
              <w:rPr>
                <w:color w:val="auto"/>
              </w:rPr>
              <w:t>ôles et</w:t>
            </w:r>
            <w:r w:rsidR="00F53EC2" w:rsidRPr="00CA3F84">
              <w:rPr>
                <w:color w:val="auto"/>
              </w:rPr>
              <w:t xml:space="preserve"> </w:t>
            </w:r>
            <w:r w:rsidR="00E054AA" w:rsidRPr="00CA3F84">
              <w:rPr>
                <w:color w:val="auto"/>
              </w:rPr>
              <w:t xml:space="preserve">responsabilités </w:t>
            </w:r>
            <w:r w:rsidR="003D019E" w:rsidRPr="00CA3F84">
              <w:rPr>
                <w:color w:val="auto"/>
              </w:rPr>
              <w:t>p</w:t>
            </w:r>
            <w:r w:rsidR="00E054AA" w:rsidRPr="00CA3F84">
              <w:rPr>
                <w:color w:val="auto"/>
              </w:rPr>
              <w:t>our les données ouvertes</w:t>
            </w:r>
            <w:r w:rsidR="008C5FA2" w:rsidRPr="00CA3F84">
              <w:rPr>
                <w:color w:val="auto"/>
              </w:rPr>
              <w:t xml:space="preserve"> documentés</w:t>
            </w:r>
          </w:p>
        </w:tc>
        <w:tc>
          <w:tcPr>
            <w:tcW w:w="992" w:type="dxa"/>
          </w:tcPr>
          <w:p w14:paraId="2263444C" w14:textId="06469105" w:rsidR="00164803" w:rsidRPr="00CA3F84" w:rsidRDefault="005957F6" w:rsidP="007B7800">
            <w:pPr>
              <w:rPr>
                <w:color w:val="auto"/>
              </w:rPr>
            </w:pPr>
            <w:r w:rsidRPr="00CA3F84">
              <w:rPr>
                <w:color w:val="auto"/>
              </w:rPr>
              <w:t>SGO</w:t>
            </w:r>
          </w:p>
        </w:tc>
        <w:tc>
          <w:tcPr>
            <w:tcW w:w="992" w:type="dxa"/>
          </w:tcPr>
          <w:p w14:paraId="0FA04BA7" w14:textId="6B5514CC" w:rsidR="00164803" w:rsidRPr="00CA3F84" w:rsidRDefault="005957F6" w:rsidP="00B743B0">
            <w:pPr>
              <w:rPr>
                <w:color w:val="auto"/>
              </w:rPr>
            </w:pPr>
            <w:r w:rsidRPr="00CA3F84">
              <w:rPr>
                <w:color w:val="auto"/>
              </w:rPr>
              <w:t>DSTI</w:t>
            </w:r>
            <w:r w:rsidR="00164803" w:rsidRPr="00CA3F84">
              <w:rPr>
                <w:color w:val="auto"/>
              </w:rPr>
              <w:t xml:space="preserve"> </w:t>
            </w:r>
          </w:p>
        </w:tc>
        <w:tc>
          <w:tcPr>
            <w:tcW w:w="1276" w:type="dxa"/>
          </w:tcPr>
          <w:p w14:paraId="24321FE1" w14:textId="6E8570A8" w:rsidR="00164803" w:rsidRPr="00CA3F84" w:rsidRDefault="00164803" w:rsidP="00767E3B">
            <w:pPr>
              <w:rPr>
                <w:color w:val="auto"/>
              </w:rPr>
            </w:pPr>
            <w:r w:rsidRPr="00CA3F84">
              <w:rPr>
                <w:color w:val="auto"/>
              </w:rPr>
              <w:t>A</w:t>
            </w:r>
            <w:r w:rsidR="00767E3B" w:rsidRPr="00CA3F84">
              <w:rPr>
                <w:color w:val="auto"/>
              </w:rPr>
              <w:t>v</w:t>
            </w:r>
            <w:r w:rsidRPr="00CA3F84">
              <w:rPr>
                <w:color w:val="auto"/>
              </w:rPr>
              <w:t>r</w:t>
            </w:r>
            <w:r w:rsidR="00B4312D" w:rsidRPr="00CA3F84">
              <w:rPr>
                <w:color w:val="auto"/>
              </w:rPr>
              <w:t xml:space="preserve">.  </w:t>
            </w:r>
            <w:r w:rsidRPr="00CA3F84">
              <w:rPr>
                <w:color w:val="auto"/>
              </w:rPr>
              <w:t>2020</w:t>
            </w:r>
          </w:p>
        </w:tc>
        <w:tc>
          <w:tcPr>
            <w:tcW w:w="1276" w:type="dxa"/>
          </w:tcPr>
          <w:p w14:paraId="31FDCE82" w14:textId="51FC9BE4" w:rsidR="00164803" w:rsidRPr="00CA3F84" w:rsidRDefault="00DA38A7" w:rsidP="00DA38A7">
            <w:pPr>
              <w:rPr>
                <w:color w:val="auto"/>
              </w:rPr>
            </w:pPr>
            <w:r>
              <w:rPr>
                <w:color w:val="auto"/>
              </w:rPr>
              <w:t xml:space="preserve">Sept. </w:t>
            </w:r>
            <w:r w:rsidR="00164803" w:rsidRPr="00CA3F84">
              <w:rPr>
                <w:color w:val="auto"/>
              </w:rPr>
              <w:t>2020</w:t>
            </w:r>
          </w:p>
        </w:tc>
      </w:tr>
      <w:tr w:rsidR="00CA3F84" w:rsidRPr="00CA3F84" w14:paraId="17754E0C" w14:textId="77777777" w:rsidTr="007A197F">
        <w:tc>
          <w:tcPr>
            <w:tcW w:w="2411" w:type="dxa"/>
          </w:tcPr>
          <w:p w14:paraId="163637F0" w14:textId="039DC9E6" w:rsidR="00164803" w:rsidRPr="00CA3F84" w:rsidRDefault="004E26F3" w:rsidP="004E26F3">
            <w:pPr>
              <w:rPr>
                <w:color w:val="auto"/>
              </w:rPr>
            </w:pPr>
            <w:r w:rsidRPr="00CA3F84">
              <w:rPr>
                <w:color w:val="auto"/>
              </w:rPr>
              <w:t xml:space="preserve">1.1.1.  </w:t>
            </w:r>
            <w:r w:rsidRPr="00CA3F84">
              <w:rPr>
                <w:bCs/>
                <w:color w:val="auto"/>
              </w:rPr>
              <w:t>Clarifier les rôles et les responsabilités pour le gouvernement ouvert</w:t>
            </w:r>
          </w:p>
        </w:tc>
        <w:tc>
          <w:tcPr>
            <w:tcW w:w="3969" w:type="dxa"/>
          </w:tcPr>
          <w:p w14:paraId="34B242A3" w14:textId="7934854A" w:rsidR="00164803" w:rsidRPr="00CA3F84" w:rsidRDefault="00164803" w:rsidP="00E90569">
            <w:pPr>
              <w:rPr>
                <w:color w:val="auto"/>
              </w:rPr>
            </w:pPr>
            <w:r w:rsidRPr="00CA3F84">
              <w:rPr>
                <w:color w:val="auto"/>
              </w:rPr>
              <w:t>1.1.1.2</w:t>
            </w:r>
            <w:r w:rsidR="00B4312D" w:rsidRPr="00CA3F84">
              <w:rPr>
                <w:color w:val="auto"/>
              </w:rPr>
              <w:t xml:space="preserve">.  </w:t>
            </w:r>
            <w:r w:rsidR="00E90569" w:rsidRPr="00CA3F84">
              <w:rPr>
                <w:color w:val="auto"/>
              </w:rPr>
              <w:t>R</w:t>
            </w:r>
            <w:r w:rsidR="003D019E" w:rsidRPr="00CA3F84">
              <w:rPr>
                <w:color w:val="auto"/>
              </w:rPr>
              <w:t>ôl</w:t>
            </w:r>
            <w:r w:rsidR="00E054AA" w:rsidRPr="00CA3F84">
              <w:rPr>
                <w:color w:val="auto"/>
              </w:rPr>
              <w:t>es et</w:t>
            </w:r>
            <w:r w:rsidR="00F53EC2" w:rsidRPr="00CA3F84">
              <w:rPr>
                <w:color w:val="auto"/>
              </w:rPr>
              <w:t xml:space="preserve"> </w:t>
            </w:r>
            <w:r w:rsidR="00E054AA" w:rsidRPr="00CA3F84">
              <w:rPr>
                <w:color w:val="auto"/>
              </w:rPr>
              <w:t>responsabilités pour l</w:t>
            </w:r>
            <w:r w:rsidR="00E24784" w:rsidRPr="00CA3F84">
              <w:rPr>
                <w:color w:val="auto"/>
              </w:rPr>
              <w:t>es informations ouvertes</w:t>
            </w:r>
            <w:r w:rsidR="00E90569" w:rsidRPr="00CA3F84">
              <w:rPr>
                <w:color w:val="auto"/>
              </w:rPr>
              <w:t xml:space="preserve"> documentés</w:t>
            </w:r>
          </w:p>
        </w:tc>
        <w:tc>
          <w:tcPr>
            <w:tcW w:w="992" w:type="dxa"/>
          </w:tcPr>
          <w:p w14:paraId="35B34699" w14:textId="215D1621" w:rsidR="00164803" w:rsidRPr="00CA3F84" w:rsidRDefault="005957F6" w:rsidP="00B743B0">
            <w:pPr>
              <w:rPr>
                <w:color w:val="auto"/>
              </w:rPr>
            </w:pPr>
            <w:r w:rsidRPr="00CA3F84">
              <w:rPr>
                <w:color w:val="auto"/>
              </w:rPr>
              <w:t>DSTI</w:t>
            </w:r>
            <w:r w:rsidR="00164803" w:rsidRPr="00CA3F84">
              <w:rPr>
                <w:color w:val="auto"/>
              </w:rPr>
              <w:t xml:space="preserve"> </w:t>
            </w:r>
          </w:p>
        </w:tc>
        <w:tc>
          <w:tcPr>
            <w:tcW w:w="992" w:type="dxa"/>
          </w:tcPr>
          <w:p w14:paraId="066692C7" w14:textId="731E0D53" w:rsidR="00164803" w:rsidRPr="00CA3F84" w:rsidRDefault="005957F6" w:rsidP="00A05BE3">
            <w:pPr>
              <w:rPr>
                <w:color w:val="auto"/>
              </w:rPr>
            </w:pPr>
            <w:r w:rsidRPr="00CA3F84">
              <w:rPr>
                <w:color w:val="auto"/>
              </w:rPr>
              <w:t>SGO</w:t>
            </w:r>
          </w:p>
        </w:tc>
        <w:tc>
          <w:tcPr>
            <w:tcW w:w="1276" w:type="dxa"/>
          </w:tcPr>
          <w:p w14:paraId="7A174E6E" w14:textId="33FB5AAF" w:rsidR="00164803" w:rsidRPr="00CA3F84" w:rsidRDefault="00114223" w:rsidP="00114223">
            <w:pPr>
              <w:rPr>
                <w:color w:val="auto"/>
              </w:rPr>
            </w:pPr>
            <w:r>
              <w:rPr>
                <w:color w:val="auto"/>
              </w:rPr>
              <w:t>Janv.</w:t>
            </w:r>
            <w:r w:rsidR="00B4312D" w:rsidRPr="00CA3F84">
              <w:rPr>
                <w:color w:val="auto"/>
              </w:rPr>
              <w:t xml:space="preserve">  </w:t>
            </w:r>
            <w:r w:rsidR="00164803" w:rsidRPr="00CA3F84">
              <w:rPr>
                <w:color w:val="auto"/>
              </w:rPr>
              <w:t>202</w:t>
            </w:r>
            <w:r>
              <w:rPr>
                <w:color w:val="auto"/>
              </w:rPr>
              <w:t>1</w:t>
            </w:r>
            <w:r w:rsidR="00164803" w:rsidRPr="00CA3F84">
              <w:rPr>
                <w:color w:val="auto"/>
              </w:rPr>
              <w:t xml:space="preserve"> </w:t>
            </w:r>
          </w:p>
        </w:tc>
        <w:tc>
          <w:tcPr>
            <w:tcW w:w="1276" w:type="dxa"/>
          </w:tcPr>
          <w:p w14:paraId="6B28CE0A" w14:textId="075F745C" w:rsidR="00164803" w:rsidRPr="00CA3F84" w:rsidRDefault="00114223" w:rsidP="00114223">
            <w:pPr>
              <w:rPr>
                <w:color w:val="auto"/>
              </w:rPr>
            </w:pPr>
            <w:r>
              <w:rPr>
                <w:color w:val="auto"/>
              </w:rPr>
              <w:t>Mars</w:t>
            </w:r>
            <w:r w:rsidR="00B4312D" w:rsidRPr="00CA3F84">
              <w:rPr>
                <w:color w:val="auto"/>
              </w:rPr>
              <w:t xml:space="preserve">  </w:t>
            </w:r>
            <w:r w:rsidR="00164803" w:rsidRPr="00CA3F84">
              <w:rPr>
                <w:color w:val="auto"/>
              </w:rPr>
              <w:t xml:space="preserve">2020 </w:t>
            </w:r>
          </w:p>
        </w:tc>
      </w:tr>
      <w:tr w:rsidR="00CA3F84" w:rsidRPr="00CA3F84" w14:paraId="0B242287" w14:textId="77777777" w:rsidTr="007A197F">
        <w:tc>
          <w:tcPr>
            <w:tcW w:w="2411" w:type="dxa"/>
          </w:tcPr>
          <w:p w14:paraId="0A3FD1F1" w14:textId="57573E7E" w:rsidR="00164803" w:rsidRPr="00CA3F84" w:rsidRDefault="004E26F3" w:rsidP="007B7800">
            <w:pPr>
              <w:rPr>
                <w:color w:val="auto"/>
              </w:rPr>
            </w:pPr>
            <w:r w:rsidRPr="00CA3F84">
              <w:rPr>
                <w:color w:val="auto"/>
              </w:rPr>
              <w:t xml:space="preserve">1.1.1.  </w:t>
            </w:r>
            <w:r w:rsidRPr="00CA3F84">
              <w:rPr>
                <w:bCs/>
                <w:color w:val="auto"/>
              </w:rPr>
              <w:t>Clarifier les rôles et les responsabilités pour le gouvernement ouvert</w:t>
            </w:r>
          </w:p>
        </w:tc>
        <w:tc>
          <w:tcPr>
            <w:tcW w:w="3969" w:type="dxa"/>
          </w:tcPr>
          <w:p w14:paraId="552EED95" w14:textId="29A4304B" w:rsidR="00164803" w:rsidRPr="00CA3F84" w:rsidRDefault="00164803" w:rsidP="00E90569">
            <w:pPr>
              <w:rPr>
                <w:color w:val="auto"/>
              </w:rPr>
            </w:pPr>
            <w:r w:rsidRPr="00CA3F84">
              <w:rPr>
                <w:color w:val="auto"/>
              </w:rPr>
              <w:t>1.1.1.3</w:t>
            </w:r>
            <w:r w:rsidR="00B4312D" w:rsidRPr="00CA3F84">
              <w:rPr>
                <w:color w:val="auto"/>
              </w:rPr>
              <w:t xml:space="preserve">.  </w:t>
            </w:r>
            <w:r w:rsidR="00E90569" w:rsidRPr="00CA3F84">
              <w:rPr>
                <w:color w:val="auto"/>
              </w:rPr>
              <w:t>M</w:t>
            </w:r>
            <w:r w:rsidR="003D019E" w:rsidRPr="00CA3F84">
              <w:rPr>
                <w:color w:val="auto"/>
              </w:rPr>
              <w:t>odèle d</w:t>
            </w:r>
            <w:r w:rsidR="00E054AA" w:rsidRPr="00CA3F84">
              <w:rPr>
                <w:color w:val="auto"/>
              </w:rPr>
              <w:t xml:space="preserve">e gouvernance </w:t>
            </w:r>
            <w:r w:rsidR="003D019E" w:rsidRPr="00CA3F84">
              <w:rPr>
                <w:color w:val="auto"/>
              </w:rPr>
              <w:t>de la CFP ouverte</w:t>
            </w:r>
            <w:r w:rsidR="00E90569" w:rsidRPr="00CA3F84">
              <w:rPr>
                <w:color w:val="auto"/>
              </w:rPr>
              <w:t xml:space="preserve"> révisé</w:t>
            </w:r>
            <w:r w:rsidR="003D019E" w:rsidRPr="00CA3F84">
              <w:rPr>
                <w:color w:val="auto"/>
              </w:rPr>
              <w:t xml:space="preserve"> </w:t>
            </w:r>
          </w:p>
        </w:tc>
        <w:tc>
          <w:tcPr>
            <w:tcW w:w="992" w:type="dxa"/>
          </w:tcPr>
          <w:p w14:paraId="045D4E3D" w14:textId="7CDC143D" w:rsidR="00164803" w:rsidRPr="00CA3F84" w:rsidRDefault="005957F6" w:rsidP="007B7800">
            <w:pPr>
              <w:rPr>
                <w:color w:val="auto"/>
              </w:rPr>
            </w:pPr>
            <w:r w:rsidRPr="00CA3F84">
              <w:rPr>
                <w:color w:val="auto"/>
              </w:rPr>
              <w:t>SGO</w:t>
            </w:r>
          </w:p>
        </w:tc>
        <w:tc>
          <w:tcPr>
            <w:tcW w:w="992" w:type="dxa"/>
          </w:tcPr>
          <w:p w14:paraId="0A8F3D39" w14:textId="66034AC3" w:rsidR="00164803" w:rsidRPr="00CA3F84" w:rsidRDefault="005957F6" w:rsidP="007B7800">
            <w:pPr>
              <w:rPr>
                <w:color w:val="auto"/>
              </w:rPr>
            </w:pPr>
            <w:r w:rsidRPr="00CA3F84">
              <w:rPr>
                <w:color w:val="auto"/>
              </w:rPr>
              <w:t>DSTI</w:t>
            </w:r>
          </w:p>
        </w:tc>
        <w:tc>
          <w:tcPr>
            <w:tcW w:w="1276" w:type="dxa"/>
          </w:tcPr>
          <w:p w14:paraId="29C3C21D" w14:textId="3CEDC72F" w:rsidR="00164803" w:rsidRPr="00CA3F84" w:rsidRDefault="00164803" w:rsidP="007B7800">
            <w:pPr>
              <w:rPr>
                <w:color w:val="auto"/>
              </w:rPr>
            </w:pPr>
            <w:r w:rsidRPr="00CA3F84">
              <w:rPr>
                <w:color w:val="auto"/>
              </w:rPr>
              <w:t>Jan</w:t>
            </w:r>
            <w:r w:rsidR="00767E3B" w:rsidRPr="00CA3F84">
              <w:rPr>
                <w:color w:val="auto"/>
              </w:rPr>
              <w:t>v</w:t>
            </w:r>
            <w:r w:rsidR="00B4312D" w:rsidRPr="00CA3F84">
              <w:rPr>
                <w:color w:val="auto"/>
              </w:rPr>
              <w:t xml:space="preserve">.  </w:t>
            </w:r>
            <w:r w:rsidRPr="00CA3F84">
              <w:rPr>
                <w:color w:val="auto"/>
              </w:rPr>
              <w:t>2020</w:t>
            </w:r>
          </w:p>
        </w:tc>
        <w:tc>
          <w:tcPr>
            <w:tcW w:w="1276" w:type="dxa"/>
          </w:tcPr>
          <w:p w14:paraId="55FAA1F5" w14:textId="03E64220" w:rsidR="00164803" w:rsidRPr="00CA3F84" w:rsidRDefault="00114223" w:rsidP="007B7800">
            <w:pPr>
              <w:rPr>
                <w:color w:val="auto"/>
              </w:rPr>
            </w:pPr>
            <w:r>
              <w:rPr>
                <w:color w:val="auto"/>
              </w:rPr>
              <w:t>Mars</w:t>
            </w:r>
            <w:r w:rsidR="00DA38A7">
              <w:rPr>
                <w:color w:val="auto"/>
              </w:rPr>
              <w:t xml:space="preserve"> 2022</w:t>
            </w:r>
          </w:p>
        </w:tc>
      </w:tr>
      <w:tr w:rsidR="004E26F3" w:rsidRPr="00CA3F84" w14:paraId="3AB21751" w14:textId="77777777" w:rsidTr="00CF62D0">
        <w:trPr>
          <w:trHeight w:val="1756"/>
        </w:trPr>
        <w:tc>
          <w:tcPr>
            <w:tcW w:w="2411" w:type="dxa"/>
          </w:tcPr>
          <w:p w14:paraId="3FA16B19" w14:textId="49053B9E" w:rsidR="004E26F3" w:rsidRPr="00CA3F84" w:rsidRDefault="004E26F3" w:rsidP="007B7800">
            <w:pPr>
              <w:rPr>
                <w:color w:val="auto"/>
              </w:rPr>
            </w:pPr>
            <w:r w:rsidRPr="00CA3F84">
              <w:rPr>
                <w:color w:val="auto"/>
              </w:rPr>
              <w:t xml:space="preserve">1.1.1.  </w:t>
            </w:r>
            <w:r w:rsidRPr="00CA3F84">
              <w:rPr>
                <w:bCs/>
                <w:color w:val="auto"/>
              </w:rPr>
              <w:t>Clarifier les rôles et les responsabilités pour le gouvernement ouvert</w:t>
            </w:r>
          </w:p>
        </w:tc>
        <w:tc>
          <w:tcPr>
            <w:tcW w:w="3969" w:type="dxa"/>
          </w:tcPr>
          <w:p w14:paraId="2E968410" w14:textId="14547E74" w:rsidR="004E26F3" w:rsidRPr="00CA3F84" w:rsidRDefault="004E26F3" w:rsidP="00E90569">
            <w:pPr>
              <w:rPr>
                <w:color w:val="auto"/>
              </w:rPr>
            </w:pPr>
            <w:r w:rsidRPr="00CA3F84">
              <w:rPr>
                <w:color w:val="auto"/>
              </w:rPr>
              <w:t>1.1.1.4.  Mandat des comités qui appuient le gouvernement ouvert (p.  ex., Groupe de travail sur le gouvernement ouvert, Groupe de travail sur la gestion de l’information, CCDGO, etc.) révisé</w:t>
            </w:r>
          </w:p>
        </w:tc>
        <w:tc>
          <w:tcPr>
            <w:tcW w:w="992" w:type="dxa"/>
          </w:tcPr>
          <w:p w14:paraId="2F8C8AFF" w14:textId="2B1BE8D0" w:rsidR="004E26F3" w:rsidRPr="00CA3F84" w:rsidRDefault="004E26F3" w:rsidP="007B7800">
            <w:pPr>
              <w:rPr>
                <w:color w:val="auto"/>
              </w:rPr>
            </w:pPr>
            <w:r w:rsidRPr="00CA3F84">
              <w:rPr>
                <w:color w:val="auto"/>
              </w:rPr>
              <w:t>SGO</w:t>
            </w:r>
          </w:p>
          <w:p w14:paraId="5F551574" w14:textId="6EB2F977" w:rsidR="004E26F3" w:rsidRPr="00CA3F84" w:rsidRDefault="004E26F3" w:rsidP="007B7800">
            <w:pPr>
              <w:rPr>
                <w:color w:val="auto"/>
              </w:rPr>
            </w:pPr>
            <w:r w:rsidRPr="00CA3F84">
              <w:rPr>
                <w:color w:val="auto"/>
              </w:rPr>
              <w:t>DSTI</w:t>
            </w:r>
          </w:p>
        </w:tc>
        <w:tc>
          <w:tcPr>
            <w:tcW w:w="992" w:type="dxa"/>
          </w:tcPr>
          <w:p w14:paraId="5E24F375" w14:textId="160310FA" w:rsidR="004E26F3" w:rsidRPr="00CA3F84" w:rsidRDefault="00996C06" w:rsidP="007B7800">
            <w:pPr>
              <w:rPr>
                <w:color w:val="auto"/>
              </w:rPr>
            </w:pPr>
            <w:r>
              <w:rPr>
                <w:color w:val="auto"/>
              </w:rPr>
              <w:t>A</w:t>
            </w:r>
            <w:r w:rsidRPr="00996C06">
              <w:rPr>
                <w:color w:val="auto"/>
              </w:rPr>
              <w:t>ucun</w:t>
            </w:r>
          </w:p>
        </w:tc>
        <w:tc>
          <w:tcPr>
            <w:tcW w:w="1276" w:type="dxa"/>
          </w:tcPr>
          <w:p w14:paraId="1B224383" w14:textId="3C9255D4" w:rsidR="004E26F3" w:rsidRPr="00CA3F84" w:rsidRDefault="004E26F3" w:rsidP="00767E3B">
            <w:pPr>
              <w:rPr>
                <w:color w:val="auto"/>
              </w:rPr>
            </w:pPr>
            <w:r>
              <w:rPr>
                <w:color w:val="auto"/>
              </w:rPr>
              <w:t>SGO:</w:t>
            </w:r>
            <w:r>
              <w:rPr>
                <w:color w:val="auto"/>
              </w:rPr>
              <w:br/>
            </w:r>
            <w:r w:rsidRPr="00CA3F84">
              <w:rPr>
                <w:color w:val="auto"/>
              </w:rPr>
              <w:t>Avr.  2020</w:t>
            </w:r>
          </w:p>
          <w:p w14:paraId="78B47425" w14:textId="2E8D7041" w:rsidR="004E26F3" w:rsidRPr="00CA3F84" w:rsidRDefault="004E26F3" w:rsidP="00114223">
            <w:pPr>
              <w:rPr>
                <w:color w:val="auto"/>
              </w:rPr>
            </w:pPr>
            <w:r>
              <w:rPr>
                <w:color w:val="auto"/>
              </w:rPr>
              <w:t>DSTI:</w:t>
            </w:r>
            <w:r>
              <w:rPr>
                <w:color w:val="auto"/>
              </w:rPr>
              <w:br/>
            </w:r>
            <w:r w:rsidR="00114223">
              <w:rPr>
                <w:color w:val="auto"/>
              </w:rPr>
              <w:t>Janv.  2021</w:t>
            </w:r>
          </w:p>
        </w:tc>
        <w:tc>
          <w:tcPr>
            <w:tcW w:w="1276" w:type="dxa"/>
          </w:tcPr>
          <w:p w14:paraId="7D066F90" w14:textId="14E0ADD0" w:rsidR="004E26F3" w:rsidRPr="00CA3F84" w:rsidRDefault="004E26F3" w:rsidP="00514749">
            <w:pPr>
              <w:rPr>
                <w:color w:val="auto"/>
              </w:rPr>
            </w:pPr>
            <w:r>
              <w:rPr>
                <w:color w:val="auto"/>
              </w:rPr>
              <w:t>SGO:</w:t>
            </w:r>
            <w:r>
              <w:rPr>
                <w:color w:val="auto"/>
              </w:rPr>
              <w:br/>
            </w:r>
            <w:r w:rsidRPr="00CA3F84">
              <w:rPr>
                <w:color w:val="auto"/>
              </w:rPr>
              <w:t>Avr.  2020</w:t>
            </w:r>
          </w:p>
          <w:p w14:paraId="020C2E10" w14:textId="77777777" w:rsidR="00114223" w:rsidRDefault="00114223" w:rsidP="00114223">
            <w:pPr>
              <w:rPr>
                <w:color w:val="auto"/>
              </w:rPr>
            </w:pPr>
            <w:r>
              <w:rPr>
                <w:color w:val="auto"/>
              </w:rPr>
              <w:t>DSTI:</w:t>
            </w:r>
          </w:p>
          <w:p w14:paraId="3DD8A155" w14:textId="20996782" w:rsidR="004E26F3" w:rsidRPr="00CA3F84" w:rsidRDefault="00114223" w:rsidP="00114223">
            <w:pPr>
              <w:rPr>
                <w:color w:val="auto"/>
              </w:rPr>
            </w:pPr>
            <w:r>
              <w:rPr>
                <w:color w:val="auto"/>
              </w:rPr>
              <w:t>Mars</w:t>
            </w:r>
            <w:r w:rsidR="004E26F3" w:rsidRPr="00CA3F84">
              <w:rPr>
                <w:color w:val="auto"/>
              </w:rPr>
              <w:t xml:space="preserve">  202</w:t>
            </w:r>
            <w:r>
              <w:rPr>
                <w:color w:val="auto"/>
              </w:rPr>
              <w:t>1</w:t>
            </w:r>
          </w:p>
        </w:tc>
      </w:tr>
      <w:tr w:rsidR="00A42DD5" w:rsidRPr="00CA3F84" w14:paraId="17A85958" w14:textId="77777777" w:rsidTr="00CF62D0">
        <w:trPr>
          <w:trHeight w:val="1170"/>
        </w:trPr>
        <w:tc>
          <w:tcPr>
            <w:tcW w:w="2411" w:type="dxa"/>
          </w:tcPr>
          <w:p w14:paraId="044D4573" w14:textId="284FCE04" w:rsidR="00A42DD5" w:rsidRPr="00CA3F84" w:rsidRDefault="00A42DD5" w:rsidP="00E054AA">
            <w:pPr>
              <w:rPr>
                <w:color w:val="auto"/>
              </w:rPr>
            </w:pPr>
            <w:r w:rsidRPr="00CA3F84">
              <w:rPr>
                <w:color w:val="auto"/>
              </w:rPr>
              <w:t>1.1.2.  Clarifier les exigences et les processus pour le gouvernement ouvert</w:t>
            </w:r>
          </w:p>
        </w:tc>
        <w:tc>
          <w:tcPr>
            <w:tcW w:w="3969" w:type="dxa"/>
          </w:tcPr>
          <w:p w14:paraId="236E0D4B" w14:textId="78C8B250" w:rsidR="00A42DD5" w:rsidRPr="00CA3F84" w:rsidRDefault="00A42DD5" w:rsidP="00944F6C">
            <w:pPr>
              <w:rPr>
                <w:color w:val="auto"/>
              </w:rPr>
            </w:pPr>
            <w:r w:rsidRPr="00CA3F84">
              <w:rPr>
                <w:color w:val="auto"/>
              </w:rPr>
              <w:t>1.1.2.1.  Processus pour les données ouvertes et les informations ouvertes finalisé</w:t>
            </w:r>
          </w:p>
        </w:tc>
        <w:tc>
          <w:tcPr>
            <w:tcW w:w="992" w:type="dxa"/>
          </w:tcPr>
          <w:p w14:paraId="7CA0E390" w14:textId="0AE17E6F" w:rsidR="00A42DD5" w:rsidRPr="00CA3F84" w:rsidRDefault="00A42DD5" w:rsidP="007B7800">
            <w:pPr>
              <w:rPr>
                <w:color w:val="auto"/>
              </w:rPr>
            </w:pPr>
            <w:r w:rsidRPr="00CA3F84">
              <w:rPr>
                <w:color w:val="auto"/>
              </w:rPr>
              <w:t>SGO</w:t>
            </w:r>
          </w:p>
          <w:p w14:paraId="5000B8C8" w14:textId="66A64AB0" w:rsidR="00A42DD5" w:rsidRPr="00CA3F84" w:rsidRDefault="00A42DD5" w:rsidP="00B743B0">
            <w:pPr>
              <w:rPr>
                <w:color w:val="auto"/>
              </w:rPr>
            </w:pPr>
            <w:r w:rsidRPr="00CA3F84">
              <w:rPr>
                <w:color w:val="auto"/>
              </w:rPr>
              <w:t xml:space="preserve">DSTI </w:t>
            </w:r>
          </w:p>
        </w:tc>
        <w:tc>
          <w:tcPr>
            <w:tcW w:w="992" w:type="dxa"/>
          </w:tcPr>
          <w:p w14:paraId="46BDB5E2" w14:textId="6D993B2E" w:rsidR="00A42DD5" w:rsidRPr="00CA3F84" w:rsidRDefault="00996C06" w:rsidP="007B7800">
            <w:pPr>
              <w:rPr>
                <w:color w:val="auto"/>
              </w:rPr>
            </w:pPr>
            <w:r>
              <w:rPr>
                <w:color w:val="auto"/>
              </w:rPr>
              <w:t>A</w:t>
            </w:r>
            <w:r w:rsidRPr="00996C06">
              <w:rPr>
                <w:color w:val="auto"/>
              </w:rPr>
              <w:t>ucun</w:t>
            </w:r>
          </w:p>
        </w:tc>
        <w:tc>
          <w:tcPr>
            <w:tcW w:w="1276" w:type="dxa"/>
          </w:tcPr>
          <w:p w14:paraId="56068C55" w14:textId="3203DB2E" w:rsidR="00A42DD5" w:rsidRPr="00CA3F84" w:rsidRDefault="00A42DD5" w:rsidP="00767E3B">
            <w:pPr>
              <w:rPr>
                <w:color w:val="auto"/>
              </w:rPr>
            </w:pPr>
            <w:r>
              <w:rPr>
                <w:color w:val="auto"/>
              </w:rPr>
              <w:t>SGO:</w:t>
            </w:r>
            <w:r>
              <w:rPr>
                <w:color w:val="auto"/>
              </w:rPr>
              <w:br/>
            </w:r>
            <w:r w:rsidRPr="00CA3F84">
              <w:rPr>
                <w:color w:val="auto"/>
              </w:rPr>
              <w:t>Avr. 2020</w:t>
            </w:r>
          </w:p>
          <w:p w14:paraId="54428F0A" w14:textId="7878167E" w:rsidR="00A42DD5" w:rsidRPr="00CA3F84" w:rsidRDefault="00A42DD5" w:rsidP="00A05BE3">
            <w:pPr>
              <w:rPr>
                <w:color w:val="auto"/>
              </w:rPr>
            </w:pPr>
            <w:r>
              <w:rPr>
                <w:color w:val="auto"/>
              </w:rPr>
              <w:t>DSTI:</w:t>
            </w:r>
            <w:r>
              <w:rPr>
                <w:color w:val="auto"/>
              </w:rPr>
              <w:br/>
            </w:r>
            <w:r w:rsidRPr="00CA3F84">
              <w:rPr>
                <w:color w:val="auto"/>
              </w:rPr>
              <w:t>Avr. 2020</w:t>
            </w:r>
          </w:p>
          <w:p w14:paraId="112F0CF9" w14:textId="74277685" w:rsidR="00A42DD5" w:rsidRPr="00CA3F84" w:rsidRDefault="00A42DD5" w:rsidP="00A05BE3">
            <w:pPr>
              <w:rPr>
                <w:color w:val="auto"/>
              </w:rPr>
            </w:pPr>
          </w:p>
        </w:tc>
        <w:tc>
          <w:tcPr>
            <w:tcW w:w="1276" w:type="dxa"/>
          </w:tcPr>
          <w:p w14:paraId="229AE207" w14:textId="0D50050F" w:rsidR="00A42DD5" w:rsidRPr="00CA3F84" w:rsidRDefault="00A42DD5" w:rsidP="007B7800">
            <w:pPr>
              <w:rPr>
                <w:color w:val="auto"/>
              </w:rPr>
            </w:pPr>
            <w:r>
              <w:rPr>
                <w:color w:val="auto"/>
              </w:rPr>
              <w:t>SGO:</w:t>
            </w:r>
            <w:r>
              <w:rPr>
                <w:color w:val="auto"/>
              </w:rPr>
              <w:br/>
            </w:r>
            <w:r w:rsidRPr="00CA3F84">
              <w:rPr>
                <w:color w:val="auto"/>
              </w:rPr>
              <w:t>Sept.  2020</w:t>
            </w:r>
          </w:p>
          <w:p w14:paraId="551166FA" w14:textId="503962FD" w:rsidR="00A42DD5" w:rsidRPr="00CA3F84" w:rsidRDefault="00A42DD5" w:rsidP="00514749">
            <w:pPr>
              <w:rPr>
                <w:color w:val="auto"/>
              </w:rPr>
            </w:pPr>
            <w:r>
              <w:rPr>
                <w:color w:val="auto"/>
              </w:rPr>
              <w:t>DSTI:</w:t>
            </w:r>
            <w:r>
              <w:rPr>
                <w:color w:val="auto"/>
              </w:rPr>
              <w:br/>
            </w:r>
            <w:r w:rsidRPr="00CA3F84">
              <w:rPr>
                <w:color w:val="auto"/>
              </w:rPr>
              <w:t>Sept.  2020</w:t>
            </w:r>
          </w:p>
        </w:tc>
      </w:tr>
      <w:tr w:rsidR="00A42DD5" w:rsidRPr="00CA3F84" w14:paraId="1BCC3866" w14:textId="77777777" w:rsidTr="00CF62D0">
        <w:trPr>
          <w:trHeight w:val="1756"/>
        </w:trPr>
        <w:tc>
          <w:tcPr>
            <w:tcW w:w="2411" w:type="dxa"/>
          </w:tcPr>
          <w:p w14:paraId="4BD6A76F" w14:textId="47181B72" w:rsidR="00A42DD5" w:rsidRPr="00CA3F84" w:rsidRDefault="00A42DD5" w:rsidP="007B7800">
            <w:pPr>
              <w:rPr>
                <w:color w:val="auto"/>
              </w:rPr>
            </w:pPr>
            <w:r w:rsidRPr="00CA3F84">
              <w:rPr>
                <w:color w:val="auto"/>
              </w:rPr>
              <w:lastRenderedPageBreak/>
              <w:br w:type="page"/>
              <w:t>1.1.2.  Clarifier les exigences et les processus pour le gouvernement ouvert</w:t>
            </w:r>
          </w:p>
        </w:tc>
        <w:tc>
          <w:tcPr>
            <w:tcW w:w="3969" w:type="dxa"/>
          </w:tcPr>
          <w:p w14:paraId="28B98FFA" w14:textId="46D47F93" w:rsidR="00A42DD5" w:rsidRPr="00CA3F84" w:rsidRDefault="00A42DD5" w:rsidP="003D019E">
            <w:pPr>
              <w:rPr>
                <w:color w:val="auto"/>
              </w:rPr>
            </w:pPr>
            <w:r w:rsidRPr="00CA3F84">
              <w:rPr>
                <w:color w:val="auto"/>
              </w:rPr>
              <w:t>1.1.2.2.  Documentation de référence (guides d’utilisateur) sur les exigences en matière de publication actualisée</w:t>
            </w:r>
          </w:p>
          <w:p w14:paraId="3343E699" w14:textId="77777777" w:rsidR="00A42DD5" w:rsidRPr="00CA3F84" w:rsidRDefault="00A42DD5" w:rsidP="003D019E">
            <w:pPr>
              <w:rPr>
                <w:color w:val="auto"/>
              </w:rPr>
            </w:pPr>
          </w:p>
          <w:p w14:paraId="4EF241A4" w14:textId="77777777" w:rsidR="00A42DD5" w:rsidRPr="00CA3F84" w:rsidRDefault="00A42DD5" w:rsidP="003D019E">
            <w:pPr>
              <w:rPr>
                <w:color w:val="auto"/>
              </w:rPr>
            </w:pPr>
          </w:p>
          <w:p w14:paraId="04E21DE0" w14:textId="74D2B23E" w:rsidR="00A42DD5" w:rsidRPr="00CA3F84" w:rsidRDefault="00A42DD5" w:rsidP="003D019E">
            <w:pPr>
              <w:rPr>
                <w:color w:val="auto"/>
              </w:rPr>
            </w:pPr>
          </w:p>
        </w:tc>
        <w:tc>
          <w:tcPr>
            <w:tcW w:w="992" w:type="dxa"/>
          </w:tcPr>
          <w:p w14:paraId="17D46F16" w14:textId="57832DA2" w:rsidR="00A42DD5" w:rsidRPr="00CA3F84" w:rsidRDefault="00A42DD5" w:rsidP="007B7800">
            <w:pPr>
              <w:rPr>
                <w:color w:val="auto"/>
              </w:rPr>
            </w:pPr>
            <w:r w:rsidRPr="00CA3F84">
              <w:rPr>
                <w:color w:val="auto"/>
              </w:rPr>
              <w:t>SGO</w:t>
            </w:r>
          </w:p>
          <w:p w14:paraId="71A0D7F7" w14:textId="09A2189B" w:rsidR="00A42DD5" w:rsidRPr="00CA3F84" w:rsidRDefault="00A42DD5" w:rsidP="005770B8">
            <w:pPr>
              <w:rPr>
                <w:color w:val="auto"/>
              </w:rPr>
            </w:pPr>
            <w:r w:rsidRPr="00CA3F84">
              <w:rPr>
                <w:color w:val="auto"/>
              </w:rPr>
              <w:t xml:space="preserve">DSTI </w:t>
            </w:r>
          </w:p>
        </w:tc>
        <w:tc>
          <w:tcPr>
            <w:tcW w:w="992" w:type="dxa"/>
          </w:tcPr>
          <w:p w14:paraId="428A0469" w14:textId="67A7DB50" w:rsidR="00A42DD5" w:rsidRPr="00CA3F84" w:rsidRDefault="00996C06" w:rsidP="007B7800">
            <w:pPr>
              <w:rPr>
                <w:color w:val="auto"/>
              </w:rPr>
            </w:pPr>
            <w:r>
              <w:rPr>
                <w:color w:val="auto"/>
              </w:rPr>
              <w:t>A</w:t>
            </w:r>
            <w:r w:rsidRPr="00996C06">
              <w:rPr>
                <w:color w:val="auto"/>
              </w:rPr>
              <w:t>ucun</w:t>
            </w:r>
          </w:p>
        </w:tc>
        <w:tc>
          <w:tcPr>
            <w:tcW w:w="1276" w:type="dxa"/>
          </w:tcPr>
          <w:p w14:paraId="796C1B6B" w14:textId="2EFE0D02" w:rsidR="00A42DD5" w:rsidRPr="00CA3F84" w:rsidRDefault="00A42DD5" w:rsidP="00767E3B">
            <w:pPr>
              <w:rPr>
                <w:color w:val="auto"/>
              </w:rPr>
            </w:pPr>
            <w:r>
              <w:rPr>
                <w:color w:val="auto"/>
              </w:rPr>
              <w:t>SGO:</w:t>
            </w:r>
            <w:r>
              <w:rPr>
                <w:color w:val="auto"/>
              </w:rPr>
              <w:br/>
            </w:r>
            <w:r w:rsidRPr="00CA3F84">
              <w:rPr>
                <w:color w:val="auto"/>
              </w:rPr>
              <w:t>Avr.  2020</w:t>
            </w:r>
          </w:p>
          <w:p w14:paraId="4F12BC1A" w14:textId="53A2DC2A" w:rsidR="00A42DD5" w:rsidRPr="00CA3F84" w:rsidRDefault="00A42DD5" w:rsidP="00114223">
            <w:pPr>
              <w:rPr>
                <w:color w:val="auto"/>
              </w:rPr>
            </w:pPr>
            <w:r>
              <w:rPr>
                <w:color w:val="auto"/>
              </w:rPr>
              <w:t>DSTI:</w:t>
            </w:r>
            <w:r>
              <w:rPr>
                <w:color w:val="auto"/>
              </w:rPr>
              <w:br/>
            </w:r>
            <w:r w:rsidR="00114223">
              <w:rPr>
                <w:color w:val="auto"/>
              </w:rPr>
              <w:t>Janv. 2021</w:t>
            </w:r>
          </w:p>
        </w:tc>
        <w:tc>
          <w:tcPr>
            <w:tcW w:w="1276" w:type="dxa"/>
          </w:tcPr>
          <w:p w14:paraId="65997192" w14:textId="551A0E60" w:rsidR="00A42DD5" w:rsidRPr="00CA3F84" w:rsidRDefault="00A42DD5" w:rsidP="007B7800">
            <w:pPr>
              <w:rPr>
                <w:color w:val="auto"/>
              </w:rPr>
            </w:pPr>
            <w:r>
              <w:rPr>
                <w:color w:val="auto"/>
              </w:rPr>
              <w:t>SGO:</w:t>
            </w:r>
            <w:r>
              <w:rPr>
                <w:color w:val="auto"/>
              </w:rPr>
              <w:br/>
            </w:r>
            <w:r w:rsidR="00DA38A7">
              <w:rPr>
                <w:color w:val="auto"/>
              </w:rPr>
              <w:t xml:space="preserve">Oct. </w:t>
            </w:r>
            <w:r w:rsidRPr="00CA3F84">
              <w:rPr>
                <w:color w:val="auto"/>
              </w:rPr>
              <w:t xml:space="preserve"> 2020</w:t>
            </w:r>
          </w:p>
          <w:p w14:paraId="1CC71062" w14:textId="4347BF3F" w:rsidR="00A42DD5" w:rsidRPr="00CA3F84" w:rsidRDefault="00A42DD5" w:rsidP="00114223">
            <w:pPr>
              <w:rPr>
                <w:color w:val="auto"/>
              </w:rPr>
            </w:pPr>
            <w:r>
              <w:rPr>
                <w:color w:val="auto"/>
              </w:rPr>
              <w:t>DSTI:</w:t>
            </w:r>
            <w:r>
              <w:rPr>
                <w:color w:val="auto"/>
              </w:rPr>
              <w:br/>
            </w:r>
            <w:r w:rsidR="00114223">
              <w:rPr>
                <w:color w:val="auto"/>
              </w:rPr>
              <w:t>Mars 2021</w:t>
            </w:r>
          </w:p>
        </w:tc>
      </w:tr>
      <w:tr w:rsidR="00A42DD5" w:rsidRPr="00CA3F84" w14:paraId="674B895D" w14:textId="77777777" w:rsidTr="00CF62D0">
        <w:trPr>
          <w:trHeight w:val="1756"/>
        </w:trPr>
        <w:tc>
          <w:tcPr>
            <w:tcW w:w="2411" w:type="dxa"/>
          </w:tcPr>
          <w:p w14:paraId="35524D00" w14:textId="166C312F" w:rsidR="00A42DD5" w:rsidRPr="00CA3F84" w:rsidRDefault="00A42DD5" w:rsidP="004E26F3">
            <w:pPr>
              <w:rPr>
                <w:color w:val="auto"/>
              </w:rPr>
            </w:pPr>
            <w:r w:rsidRPr="00B57AE3">
              <w:rPr>
                <w:color w:val="auto"/>
              </w:rPr>
              <w:t>1.1.2.  Clarifier les exigences et les processus pour le gouvernement ouvert</w:t>
            </w:r>
          </w:p>
        </w:tc>
        <w:tc>
          <w:tcPr>
            <w:tcW w:w="3969" w:type="dxa"/>
          </w:tcPr>
          <w:p w14:paraId="3160D59D" w14:textId="1956F848" w:rsidR="00A42DD5" w:rsidRPr="00CA3F84" w:rsidRDefault="00A42DD5" w:rsidP="004E26F3">
            <w:pPr>
              <w:rPr>
                <w:color w:val="auto"/>
              </w:rPr>
            </w:pPr>
            <w:r w:rsidRPr="00CA3F84">
              <w:rPr>
                <w:color w:val="auto"/>
              </w:rPr>
              <w:t>1.1.2.3.  Documents d’orientation finalisés pour aider les employés à identifier les ressources à diffuser sur le portail du gouvernement ouvert (p.  ex., lignes directrices, aide-mémoires, arbres de décision, scénarios, etc.)</w:t>
            </w:r>
          </w:p>
        </w:tc>
        <w:tc>
          <w:tcPr>
            <w:tcW w:w="992" w:type="dxa"/>
            <w:tcBorders>
              <w:top w:val="single" w:sz="4" w:space="0" w:color="000000"/>
            </w:tcBorders>
          </w:tcPr>
          <w:p w14:paraId="70191173" w14:textId="1E10D0A7" w:rsidR="00A42DD5" w:rsidRPr="00CA3F84" w:rsidRDefault="00A42DD5" w:rsidP="004E26F3">
            <w:pPr>
              <w:rPr>
                <w:color w:val="auto"/>
              </w:rPr>
            </w:pPr>
            <w:r w:rsidRPr="00CA3F84">
              <w:rPr>
                <w:color w:val="auto"/>
              </w:rPr>
              <w:t>SGO</w:t>
            </w:r>
          </w:p>
          <w:p w14:paraId="6AEFAEFD" w14:textId="0EAE7BC8" w:rsidR="00A42DD5" w:rsidRPr="00CA3F84" w:rsidRDefault="00A42DD5" w:rsidP="004E26F3">
            <w:pPr>
              <w:rPr>
                <w:color w:val="auto"/>
              </w:rPr>
            </w:pPr>
            <w:r w:rsidRPr="00CA3F84">
              <w:rPr>
                <w:color w:val="auto"/>
              </w:rPr>
              <w:t xml:space="preserve">DSTI </w:t>
            </w:r>
          </w:p>
        </w:tc>
        <w:tc>
          <w:tcPr>
            <w:tcW w:w="992" w:type="dxa"/>
            <w:tcBorders>
              <w:top w:val="single" w:sz="4" w:space="0" w:color="000000"/>
            </w:tcBorders>
          </w:tcPr>
          <w:p w14:paraId="081920A4" w14:textId="2D95703E" w:rsidR="00A42DD5" w:rsidRPr="00CA3F84" w:rsidRDefault="00996C06" w:rsidP="004E26F3">
            <w:pPr>
              <w:rPr>
                <w:color w:val="auto"/>
              </w:rPr>
            </w:pPr>
            <w:r>
              <w:rPr>
                <w:color w:val="auto"/>
              </w:rPr>
              <w:t>A</w:t>
            </w:r>
            <w:r w:rsidRPr="00996C06">
              <w:rPr>
                <w:color w:val="auto"/>
              </w:rPr>
              <w:t>ucun</w:t>
            </w:r>
          </w:p>
        </w:tc>
        <w:tc>
          <w:tcPr>
            <w:tcW w:w="1276" w:type="dxa"/>
            <w:tcBorders>
              <w:top w:val="single" w:sz="4" w:space="0" w:color="000000"/>
            </w:tcBorders>
          </w:tcPr>
          <w:p w14:paraId="3712A27B" w14:textId="7ED320F6" w:rsidR="00A42DD5" w:rsidRPr="00CA3F84" w:rsidRDefault="00A42DD5" w:rsidP="004E26F3">
            <w:pPr>
              <w:rPr>
                <w:color w:val="auto"/>
              </w:rPr>
            </w:pPr>
            <w:r>
              <w:rPr>
                <w:color w:val="auto"/>
              </w:rPr>
              <w:t>SGO:</w:t>
            </w:r>
            <w:r>
              <w:rPr>
                <w:color w:val="auto"/>
              </w:rPr>
              <w:br/>
            </w:r>
            <w:r w:rsidRPr="00CA3F84">
              <w:rPr>
                <w:color w:val="auto"/>
              </w:rPr>
              <w:t>Juil.  2020</w:t>
            </w:r>
          </w:p>
          <w:p w14:paraId="60F018DB" w14:textId="728276B8" w:rsidR="00A42DD5" w:rsidRPr="00CA3F84" w:rsidRDefault="00A42DD5" w:rsidP="004E26F3">
            <w:pPr>
              <w:rPr>
                <w:color w:val="auto"/>
              </w:rPr>
            </w:pPr>
            <w:r>
              <w:rPr>
                <w:color w:val="auto"/>
              </w:rPr>
              <w:t>DSTI:</w:t>
            </w:r>
            <w:r>
              <w:rPr>
                <w:color w:val="auto"/>
              </w:rPr>
              <w:br/>
            </w:r>
            <w:r w:rsidRPr="00CA3F84">
              <w:rPr>
                <w:color w:val="auto"/>
              </w:rPr>
              <w:t>Avr.  2021</w:t>
            </w:r>
          </w:p>
          <w:p w14:paraId="4705E974" w14:textId="148A77C6" w:rsidR="00A42DD5" w:rsidRPr="00CA3F84" w:rsidRDefault="00A42DD5" w:rsidP="004E26F3">
            <w:pPr>
              <w:rPr>
                <w:color w:val="auto"/>
              </w:rPr>
            </w:pPr>
          </w:p>
        </w:tc>
        <w:tc>
          <w:tcPr>
            <w:tcW w:w="1276" w:type="dxa"/>
            <w:tcBorders>
              <w:top w:val="single" w:sz="4" w:space="0" w:color="000000"/>
            </w:tcBorders>
          </w:tcPr>
          <w:p w14:paraId="4E643951" w14:textId="3F38D056" w:rsidR="00A42DD5" w:rsidRPr="00CA3F84" w:rsidRDefault="00A42DD5" w:rsidP="004E26F3">
            <w:pPr>
              <w:rPr>
                <w:color w:val="auto"/>
              </w:rPr>
            </w:pPr>
            <w:r>
              <w:rPr>
                <w:color w:val="auto"/>
              </w:rPr>
              <w:t>SGO:</w:t>
            </w:r>
            <w:r>
              <w:rPr>
                <w:color w:val="auto"/>
              </w:rPr>
              <w:br/>
            </w:r>
            <w:r w:rsidR="00DA38A7">
              <w:rPr>
                <w:color w:val="auto"/>
              </w:rPr>
              <w:t>Oc</w:t>
            </w:r>
            <w:r w:rsidRPr="00CA3F84">
              <w:rPr>
                <w:color w:val="auto"/>
              </w:rPr>
              <w:t>t.  2020</w:t>
            </w:r>
          </w:p>
          <w:p w14:paraId="48D9D19E" w14:textId="4F242C90" w:rsidR="00A42DD5" w:rsidRPr="00CA3F84" w:rsidRDefault="00A42DD5" w:rsidP="00114223">
            <w:pPr>
              <w:rPr>
                <w:color w:val="auto"/>
              </w:rPr>
            </w:pPr>
            <w:r>
              <w:rPr>
                <w:color w:val="auto"/>
              </w:rPr>
              <w:t>DSTI:</w:t>
            </w:r>
            <w:r>
              <w:rPr>
                <w:color w:val="auto"/>
              </w:rPr>
              <w:br/>
            </w:r>
            <w:r w:rsidR="00114223">
              <w:rPr>
                <w:color w:val="auto"/>
              </w:rPr>
              <w:t>Mars</w:t>
            </w:r>
            <w:r w:rsidRPr="00CA3F84">
              <w:rPr>
                <w:color w:val="auto"/>
              </w:rPr>
              <w:t xml:space="preserve">  202</w:t>
            </w:r>
            <w:r w:rsidR="00114223">
              <w:rPr>
                <w:color w:val="auto"/>
              </w:rPr>
              <w:t>2</w:t>
            </w:r>
            <w:r w:rsidRPr="00CA3F84">
              <w:rPr>
                <w:color w:val="auto"/>
              </w:rPr>
              <w:t xml:space="preserve"> </w:t>
            </w:r>
          </w:p>
        </w:tc>
      </w:tr>
      <w:tr w:rsidR="00A42DD5" w:rsidRPr="00CA3F84" w14:paraId="61E00135" w14:textId="77777777" w:rsidTr="00CF62D0">
        <w:trPr>
          <w:trHeight w:val="1170"/>
        </w:trPr>
        <w:tc>
          <w:tcPr>
            <w:tcW w:w="2411" w:type="dxa"/>
          </w:tcPr>
          <w:p w14:paraId="4B23E30B" w14:textId="4FA7A600" w:rsidR="00A42DD5" w:rsidRPr="00CA3F84" w:rsidRDefault="00A42DD5" w:rsidP="004E26F3">
            <w:pPr>
              <w:rPr>
                <w:color w:val="auto"/>
              </w:rPr>
            </w:pPr>
            <w:r w:rsidRPr="00B57AE3">
              <w:rPr>
                <w:color w:val="auto"/>
              </w:rPr>
              <w:t>1.1.2.  Clarifier les exigences et les processus pour le gouvernement ouvert</w:t>
            </w:r>
          </w:p>
        </w:tc>
        <w:tc>
          <w:tcPr>
            <w:tcW w:w="3969" w:type="dxa"/>
          </w:tcPr>
          <w:p w14:paraId="3AC9F45D" w14:textId="4DD00CDC" w:rsidR="00A42DD5" w:rsidRPr="00CA3F84" w:rsidRDefault="00A42DD5" w:rsidP="004E26F3">
            <w:pPr>
              <w:rPr>
                <w:color w:val="auto"/>
              </w:rPr>
            </w:pPr>
            <w:r w:rsidRPr="00CA3F84">
              <w:rPr>
                <w:color w:val="auto"/>
              </w:rPr>
              <w:t>1.1.2.4.  Documents de formation sur les moyens de rendre les données et les informations accessibles</w:t>
            </w:r>
          </w:p>
        </w:tc>
        <w:tc>
          <w:tcPr>
            <w:tcW w:w="992" w:type="dxa"/>
            <w:tcBorders>
              <w:top w:val="single" w:sz="4" w:space="0" w:color="000000"/>
            </w:tcBorders>
          </w:tcPr>
          <w:p w14:paraId="4ADD4628" w14:textId="77777777" w:rsidR="00A42DD5" w:rsidRPr="00CA3F84" w:rsidRDefault="00A42DD5" w:rsidP="004E26F3">
            <w:pPr>
              <w:rPr>
                <w:color w:val="auto"/>
              </w:rPr>
            </w:pPr>
            <w:r w:rsidRPr="00CA3F84">
              <w:rPr>
                <w:color w:val="auto"/>
              </w:rPr>
              <w:t>SGO</w:t>
            </w:r>
          </w:p>
          <w:p w14:paraId="70B065AE" w14:textId="25D93A4F" w:rsidR="00A42DD5" w:rsidRPr="00CA3F84" w:rsidRDefault="00A42DD5" w:rsidP="004E26F3">
            <w:pPr>
              <w:rPr>
                <w:color w:val="auto"/>
              </w:rPr>
            </w:pPr>
            <w:r w:rsidRPr="00CA3F84">
              <w:rPr>
                <w:color w:val="auto"/>
              </w:rPr>
              <w:t xml:space="preserve">DSTI </w:t>
            </w:r>
          </w:p>
        </w:tc>
        <w:tc>
          <w:tcPr>
            <w:tcW w:w="992" w:type="dxa"/>
            <w:tcBorders>
              <w:top w:val="single" w:sz="4" w:space="0" w:color="000000"/>
            </w:tcBorders>
          </w:tcPr>
          <w:p w14:paraId="110901F5" w14:textId="77777777" w:rsidR="00A42DD5" w:rsidRPr="00CA3F84" w:rsidRDefault="00A42DD5" w:rsidP="004E26F3">
            <w:pPr>
              <w:rPr>
                <w:color w:val="auto"/>
              </w:rPr>
            </w:pPr>
            <w:r w:rsidRPr="00CA3F84">
              <w:rPr>
                <w:color w:val="auto"/>
              </w:rPr>
              <w:t>DCAP</w:t>
            </w:r>
          </w:p>
          <w:p w14:paraId="3A39B282" w14:textId="23A4E7A2" w:rsidR="00A42DD5" w:rsidRPr="00CA3F84" w:rsidRDefault="00A42DD5" w:rsidP="004E26F3">
            <w:pPr>
              <w:rPr>
                <w:color w:val="auto"/>
              </w:rPr>
            </w:pPr>
          </w:p>
        </w:tc>
        <w:tc>
          <w:tcPr>
            <w:tcW w:w="1276" w:type="dxa"/>
            <w:tcBorders>
              <w:top w:val="single" w:sz="4" w:space="0" w:color="000000"/>
            </w:tcBorders>
          </w:tcPr>
          <w:p w14:paraId="039B099D" w14:textId="28606890" w:rsidR="00A42DD5" w:rsidRPr="00CA3F84" w:rsidRDefault="00A42DD5" w:rsidP="004E26F3">
            <w:pPr>
              <w:rPr>
                <w:color w:val="auto"/>
              </w:rPr>
            </w:pPr>
            <w:r>
              <w:rPr>
                <w:color w:val="auto"/>
              </w:rPr>
              <w:t>SGO:</w:t>
            </w:r>
            <w:r>
              <w:rPr>
                <w:color w:val="auto"/>
              </w:rPr>
              <w:br/>
            </w:r>
            <w:r w:rsidRPr="00CA3F84">
              <w:rPr>
                <w:color w:val="auto"/>
              </w:rPr>
              <w:t>Sept. 2020</w:t>
            </w:r>
          </w:p>
          <w:p w14:paraId="5281E716" w14:textId="3D091FDF" w:rsidR="00A42DD5" w:rsidRPr="00CA3F84" w:rsidRDefault="00A42DD5" w:rsidP="00114223">
            <w:pPr>
              <w:rPr>
                <w:color w:val="auto"/>
              </w:rPr>
            </w:pPr>
            <w:r>
              <w:rPr>
                <w:color w:val="auto"/>
              </w:rPr>
              <w:t>DSTI:</w:t>
            </w:r>
            <w:r>
              <w:rPr>
                <w:color w:val="auto"/>
              </w:rPr>
              <w:br/>
            </w:r>
            <w:r w:rsidR="00114223">
              <w:rPr>
                <w:color w:val="auto"/>
              </w:rPr>
              <w:t>Janv. 2021</w:t>
            </w:r>
          </w:p>
        </w:tc>
        <w:tc>
          <w:tcPr>
            <w:tcW w:w="1276" w:type="dxa"/>
            <w:tcBorders>
              <w:top w:val="single" w:sz="4" w:space="0" w:color="000000"/>
            </w:tcBorders>
          </w:tcPr>
          <w:p w14:paraId="6B6ED56D" w14:textId="178FCEDF" w:rsidR="00A42DD5" w:rsidRPr="00CA3F84" w:rsidRDefault="00A42DD5" w:rsidP="004E26F3">
            <w:pPr>
              <w:rPr>
                <w:color w:val="auto"/>
              </w:rPr>
            </w:pPr>
            <w:r>
              <w:rPr>
                <w:color w:val="auto"/>
              </w:rPr>
              <w:t>SGO:</w:t>
            </w:r>
            <w:r>
              <w:rPr>
                <w:color w:val="auto"/>
              </w:rPr>
              <w:br/>
            </w:r>
            <w:r w:rsidR="00DA38A7">
              <w:rPr>
                <w:color w:val="auto"/>
              </w:rPr>
              <w:t>Nov</w:t>
            </w:r>
            <w:r w:rsidRPr="00CA3F84">
              <w:rPr>
                <w:color w:val="auto"/>
              </w:rPr>
              <w:t>.  2020</w:t>
            </w:r>
          </w:p>
          <w:p w14:paraId="5C8B2A3B" w14:textId="62087A9F" w:rsidR="00A42DD5" w:rsidRPr="00CA3F84" w:rsidRDefault="00A42DD5" w:rsidP="004E26F3">
            <w:pPr>
              <w:rPr>
                <w:color w:val="auto"/>
              </w:rPr>
            </w:pPr>
            <w:r>
              <w:rPr>
                <w:color w:val="auto"/>
              </w:rPr>
              <w:t>DSTI:</w:t>
            </w:r>
            <w:r>
              <w:rPr>
                <w:color w:val="auto"/>
              </w:rPr>
              <w:br/>
            </w:r>
            <w:r w:rsidRPr="00CA3F84">
              <w:rPr>
                <w:color w:val="auto"/>
              </w:rPr>
              <w:t xml:space="preserve">Mars 2021 </w:t>
            </w:r>
          </w:p>
        </w:tc>
      </w:tr>
      <w:tr w:rsidR="004E26F3" w:rsidRPr="00CA3F84" w14:paraId="25F188E6" w14:textId="77777777" w:rsidTr="007A197F">
        <w:trPr>
          <w:trHeight w:val="555"/>
        </w:trPr>
        <w:tc>
          <w:tcPr>
            <w:tcW w:w="2411" w:type="dxa"/>
          </w:tcPr>
          <w:p w14:paraId="23204444" w14:textId="6D98243D" w:rsidR="004E26F3" w:rsidRPr="00CA3F84" w:rsidRDefault="004E26F3" w:rsidP="004E26F3">
            <w:pPr>
              <w:rPr>
                <w:color w:val="auto"/>
              </w:rPr>
            </w:pPr>
            <w:r w:rsidRPr="00B57AE3">
              <w:rPr>
                <w:color w:val="auto"/>
              </w:rPr>
              <w:t>1.1.2.  Clarifier les exigences et les processus pour le gouvernement ouvert</w:t>
            </w:r>
          </w:p>
        </w:tc>
        <w:tc>
          <w:tcPr>
            <w:tcW w:w="3969" w:type="dxa"/>
          </w:tcPr>
          <w:p w14:paraId="27E7A8AA" w14:textId="60D31D1E" w:rsidR="004E26F3" w:rsidRPr="00CA3F84" w:rsidRDefault="004E26F3" w:rsidP="004E26F3">
            <w:pPr>
              <w:rPr>
                <w:color w:val="auto"/>
              </w:rPr>
            </w:pPr>
            <w:r w:rsidRPr="00CA3F84">
              <w:rPr>
                <w:color w:val="auto"/>
              </w:rPr>
              <w:t>1.1.2.5.  Élaboration d’une orientation sur la durée de vie de publication des données et des informations diffusées sur le portail du gouvernement ouvert</w:t>
            </w:r>
          </w:p>
        </w:tc>
        <w:tc>
          <w:tcPr>
            <w:tcW w:w="992" w:type="dxa"/>
            <w:tcBorders>
              <w:top w:val="single" w:sz="4" w:space="0" w:color="000000"/>
            </w:tcBorders>
          </w:tcPr>
          <w:p w14:paraId="7D3E51ED" w14:textId="2D8E53B5" w:rsidR="004E26F3" w:rsidRPr="00CA3F84" w:rsidRDefault="004E26F3" w:rsidP="004E26F3">
            <w:pPr>
              <w:rPr>
                <w:color w:val="auto"/>
              </w:rPr>
            </w:pPr>
            <w:r w:rsidRPr="00CA3F84">
              <w:rPr>
                <w:color w:val="auto"/>
              </w:rPr>
              <w:t xml:space="preserve">DSTI </w:t>
            </w:r>
          </w:p>
        </w:tc>
        <w:tc>
          <w:tcPr>
            <w:tcW w:w="992" w:type="dxa"/>
            <w:tcBorders>
              <w:top w:val="single" w:sz="4" w:space="0" w:color="000000"/>
            </w:tcBorders>
          </w:tcPr>
          <w:p w14:paraId="5AD9FEF0" w14:textId="0D112AC9" w:rsidR="004E26F3" w:rsidRPr="00CA3F84" w:rsidRDefault="004E26F3" w:rsidP="004E26F3">
            <w:pPr>
              <w:rPr>
                <w:color w:val="auto"/>
              </w:rPr>
            </w:pPr>
            <w:r w:rsidRPr="00CA3F84">
              <w:rPr>
                <w:color w:val="auto"/>
              </w:rPr>
              <w:t>DCAP</w:t>
            </w:r>
          </w:p>
        </w:tc>
        <w:tc>
          <w:tcPr>
            <w:tcW w:w="1276" w:type="dxa"/>
            <w:tcBorders>
              <w:top w:val="single" w:sz="4" w:space="0" w:color="000000"/>
            </w:tcBorders>
          </w:tcPr>
          <w:p w14:paraId="7816112E" w14:textId="260BB4D2" w:rsidR="004E26F3" w:rsidRPr="00CA3F84" w:rsidRDefault="004E26F3" w:rsidP="004E26F3">
            <w:pPr>
              <w:rPr>
                <w:color w:val="auto"/>
              </w:rPr>
            </w:pPr>
            <w:r w:rsidRPr="00CA3F84">
              <w:rPr>
                <w:color w:val="auto"/>
              </w:rPr>
              <w:t>Mars 2021</w:t>
            </w:r>
          </w:p>
        </w:tc>
        <w:tc>
          <w:tcPr>
            <w:tcW w:w="1276" w:type="dxa"/>
            <w:tcBorders>
              <w:top w:val="single" w:sz="4" w:space="0" w:color="000000"/>
            </w:tcBorders>
          </w:tcPr>
          <w:p w14:paraId="019E034E" w14:textId="20CD5CEA" w:rsidR="004E26F3" w:rsidRPr="00CA3F84" w:rsidRDefault="004E26F3" w:rsidP="004E26F3">
            <w:pPr>
              <w:rPr>
                <w:color w:val="auto"/>
              </w:rPr>
            </w:pPr>
            <w:r w:rsidRPr="00CA3F84">
              <w:rPr>
                <w:color w:val="auto"/>
              </w:rPr>
              <w:t xml:space="preserve">Mars 2022 </w:t>
            </w:r>
          </w:p>
        </w:tc>
      </w:tr>
      <w:tr w:rsidR="00CA3F84" w:rsidRPr="00CA3F84" w14:paraId="3E71A7A0" w14:textId="77777777" w:rsidTr="007A197F">
        <w:trPr>
          <w:trHeight w:val="555"/>
        </w:trPr>
        <w:tc>
          <w:tcPr>
            <w:tcW w:w="2411" w:type="dxa"/>
          </w:tcPr>
          <w:p w14:paraId="7A8862C5" w14:textId="0B90C03A" w:rsidR="00164803" w:rsidRPr="00CA3F84" w:rsidRDefault="00164803" w:rsidP="003D019E">
            <w:pPr>
              <w:rPr>
                <w:color w:val="auto"/>
              </w:rPr>
            </w:pPr>
            <w:r w:rsidRPr="00CA3F84">
              <w:rPr>
                <w:color w:val="auto"/>
              </w:rPr>
              <w:t>1.1.3</w:t>
            </w:r>
            <w:r w:rsidR="00B4312D" w:rsidRPr="00CA3F84">
              <w:rPr>
                <w:color w:val="auto"/>
              </w:rPr>
              <w:t xml:space="preserve">.  </w:t>
            </w:r>
            <w:r w:rsidRPr="00CA3F84">
              <w:rPr>
                <w:color w:val="auto"/>
              </w:rPr>
              <w:t>Communi</w:t>
            </w:r>
            <w:r w:rsidR="003D019E" w:rsidRPr="00CA3F84">
              <w:rPr>
                <w:color w:val="auto"/>
              </w:rPr>
              <w:t>quer les rôles, les responsabilités, les exigences et les processus pour le gouvernement ouvert</w:t>
            </w:r>
          </w:p>
        </w:tc>
        <w:tc>
          <w:tcPr>
            <w:tcW w:w="3969" w:type="dxa"/>
          </w:tcPr>
          <w:p w14:paraId="5D421E45" w14:textId="53F48033" w:rsidR="00164803" w:rsidRPr="00CA3F84" w:rsidRDefault="00164803" w:rsidP="00E24784">
            <w:pPr>
              <w:rPr>
                <w:color w:val="auto"/>
              </w:rPr>
            </w:pPr>
            <w:r w:rsidRPr="00CA3F84">
              <w:rPr>
                <w:color w:val="auto"/>
              </w:rPr>
              <w:t>1.1.3.1</w:t>
            </w:r>
            <w:r w:rsidR="00B4312D" w:rsidRPr="00CA3F84">
              <w:rPr>
                <w:color w:val="auto"/>
              </w:rPr>
              <w:t xml:space="preserve">.  </w:t>
            </w:r>
            <w:r w:rsidR="003D019E" w:rsidRPr="00CA3F84">
              <w:rPr>
                <w:color w:val="auto"/>
              </w:rPr>
              <w:t>Création d’une page sur I</w:t>
            </w:r>
            <w:r w:rsidRPr="00CA3F84">
              <w:rPr>
                <w:color w:val="auto"/>
              </w:rPr>
              <w:t xml:space="preserve">ntracom </w:t>
            </w:r>
            <w:r w:rsidR="003D019E" w:rsidRPr="00CA3F84">
              <w:rPr>
                <w:color w:val="auto"/>
              </w:rPr>
              <w:t xml:space="preserve">pour héberger </w:t>
            </w:r>
            <w:r w:rsidR="00E24784" w:rsidRPr="00CA3F84">
              <w:rPr>
                <w:color w:val="auto"/>
              </w:rPr>
              <w:t xml:space="preserve">les informations sur </w:t>
            </w:r>
            <w:r w:rsidR="003D019E" w:rsidRPr="00CA3F84">
              <w:rPr>
                <w:color w:val="auto"/>
              </w:rPr>
              <w:t>le gouvernement ouvert</w:t>
            </w:r>
          </w:p>
        </w:tc>
        <w:tc>
          <w:tcPr>
            <w:tcW w:w="992" w:type="dxa"/>
            <w:tcBorders>
              <w:top w:val="single" w:sz="4" w:space="0" w:color="000000"/>
            </w:tcBorders>
          </w:tcPr>
          <w:p w14:paraId="67B4B3E1" w14:textId="5CE5D661" w:rsidR="00164803" w:rsidRPr="00CA3F84" w:rsidRDefault="005957F6" w:rsidP="00164803">
            <w:pPr>
              <w:rPr>
                <w:color w:val="auto"/>
              </w:rPr>
            </w:pPr>
            <w:r w:rsidRPr="00CA3F84">
              <w:rPr>
                <w:color w:val="auto"/>
              </w:rPr>
              <w:t>SGO</w:t>
            </w:r>
          </w:p>
          <w:p w14:paraId="4C901CE6" w14:textId="29BF9A42" w:rsidR="009A0277" w:rsidRPr="00CA3F84" w:rsidRDefault="005957F6" w:rsidP="00164803">
            <w:pPr>
              <w:rPr>
                <w:color w:val="auto"/>
              </w:rPr>
            </w:pPr>
            <w:r w:rsidRPr="00CA3F84">
              <w:rPr>
                <w:color w:val="auto"/>
              </w:rPr>
              <w:t>DSTI</w:t>
            </w:r>
          </w:p>
        </w:tc>
        <w:tc>
          <w:tcPr>
            <w:tcW w:w="992" w:type="dxa"/>
            <w:tcBorders>
              <w:top w:val="single" w:sz="4" w:space="0" w:color="000000"/>
            </w:tcBorders>
          </w:tcPr>
          <w:p w14:paraId="4FB1899B" w14:textId="1AF9CAEE" w:rsidR="00164803" w:rsidRPr="00CA3F84" w:rsidRDefault="005957F6" w:rsidP="009A0277">
            <w:pPr>
              <w:rPr>
                <w:color w:val="auto"/>
              </w:rPr>
            </w:pPr>
            <w:r w:rsidRPr="00CA3F84">
              <w:rPr>
                <w:color w:val="auto"/>
              </w:rPr>
              <w:t>DCAP</w:t>
            </w:r>
            <w:r w:rsidR="00164803" w:rsidRPr="00CA3F84">
              <w:rPr>
                <w:color w:val="auto"/>
              </w:rPr>
              <w:t xml:space="preserve"> </w:t>
            </w:r>
          </w:p>
        </w:tc>
        <w:tc>
          <w:tcPr>
            <w:tcW w:w="1276" w:type="dxa"/>
            <w:tcBorders>
              <w:top w:val="single" w:sz="4" w:space="0" w:color="000000"/>
            </w:tcBorders>
          </w:tcPr>
          <w:p w14:paraId="68F8E848" w14:textId="6A7CA506" w:rsidR="00164803" w:rsidRPr="00CA3F84" w:rsidRDefault="009A0277" w:rsidP="00164803">
            <w:pPr>
              <w:rPr>
                <w:color w:val="auto"/>
              </w:rPr>
            </w:pPr>
            <w:r w:rsidRPr="00CA3F84">
              <w:rPr>
                <w:color w:val="auto"/>
              </w:rPr>
              <w:t>Oct</w:t>
            </w:r>
            <w:r w:rsidR="00B4312D" w:rsidRPr="00CA3F84">
              <w:rPr>
                <w:color w:val="auto"/>
              </w:rPr>
              <w:t xml:space="preserve">.  </w:t>
            </w:r>
            <w:r w:rsidR="00164803" w:rsidRPr="00CA3F84">
              <w:rPr>
                <w:color w:val="auto"/>
              </w:rPr>
              <w:t>2020</w:t>
            </w:r>
          </w:p>
        </w:tc>
        <w:tc>
          <w:tcPr>
            <w:tcW w:w="1276" w:type="dxa"/>
            <w:tcBorders>
              <w:top w:val="single" w:sz="4" w:space="0" w:color="000000"/>
            </w:tcBorders>
          </w:tcPr>
          <w:p w14:paraId="2FF3FE5B" w14:textId="62B90F78" w:rsidR="00164803" w:rsidRPr="00CA3F84" w:rsidRDefault="009A0277" w:rsidP="00164803">
            <w:pPr>
              <w:rPr>
                <w:color w:val="auto"/>
              </w:rPr>
            </w:pPr>
            <w:r w:rsidRPr="00CA3F84">
              <w:rPr>
                <w:color w:val="auto"/>
              </w:rPr>
              <w:t>Mar</w:t>
            </w:r>
            <w:r w:rsidR="00767E3B" w:rsidRPr="00CA3F84">
              <w:rPr>
                <w:color w:val="auto"/>
              </w:rPr>
              <w:t xml:space="preserve">s </w:t>
            </w:r>
            <w:r w:rsidR="00164803" w:rsidRPr="00CA3F84">
              <w:rPr>
                <w:color w:val="auto"/>
              </w:rPr>
              <w:t>2021</w:t>
            </w:r>
          </w:p>
        </w:tc>
      </w:tr>
      <w:tr w:rsidR="004E26F3" w:rsidRPr="00CA3F84" w14:paraId="4CE498C9" w14:textId="77777777" w:rsidTr="007A197F">
        <w:trPr>
          <w:trHeight w:val="555"/>
        </w:trPr>
        <w:tc>
          <w:tcPr>
            <w:tcW w:w="2411" w:type="dxa"/>
          </w:tcPr>
          <w:p w14:paraId="48935EE1" w14:textId="7C1473F9" w:rsidR="004E26F3" w:rsidRPr="00CA3F84" w:rsidRDefault="004E26F3" w:rsidP="004E26F3">
            <w:pPr>
              <w:rPr>
                <w:color w:val="auto"/>
              </w:rPr>
            </w:pPr>
            <w:r w:rsidRPr="00C35679">
              <w:rPr>
                <w:color w:val="auto"/>
              </w:rPr>
              <w:t>1.1.3.  Communiquer les rôles, les responsabilités, les exigences et les processus pour le gouvernement ouvert</w:t>
            </w:r>
          </w:p>
        </w:tc>
        <w:tc>
          <w:tcPr>
            <w:tcW w:w="3969" w:type="dxa"/>
          </w:tcPr>
          <w:p w14:paraId="58ABBE2B" w14:textId="54103FAA" w:rsidR="004E26F3" w:rsidRPr="00CA3F84" w:rsidRDefault="004E26F3" w:rsidP="004E26F3">
            <w:pPr>
              <w:rPr>
                <w:color w:val="auto"/>
              </w:rPr>
            </w:pPr>
            <w:r w:rsidRPr="00CA3F84">
              <w:rPr>
                <w:color w:val="auto"/>
              </w:rPr>
              <w:t>1.1.3.2.  Création d’un plan de sensibilisation et de communication pour le gouvernement ouvert (p.  ex., rôles, responsabilités, exigences, processus)</w:t>
            </w:r>
          </w:p>
        </w:tc>
        <w:tc>
          <w:tcPr>
            <w:tcW w:w="992" w:type="dxa"/>
            <w:tcBorders>
              <w:top w:val="single" w:sz="4" w:space="0" w:color="000000"/>
              <w:bottom w:val="single" w:sz="4" w:space="0" w:color="000000"/>
            </w:tcBorders>
          </w:tcPr>
          <w:p w14:paraId="4FAB6F0E" w14:textId="4D72B616" w:rsidR="004E26F3" w:rsidRPr="00CA3F84" w:rsidRDefault="004E26F3" w:rsidP="004E26F3">
            <w:pPr>
              <w:rPr>
                <w:color w:val="auto"/>
              </w:rPr>
            </w:pPr>
            <w:r w:rsidRPr="00CA3F84">
              <w:rPr>
                <w:color w:val="auto"/>
              </w:rPr>
              <w:t>SGO</w:t>
            </w:r>
          </w:p>
        </w:tc>
        <w:tc>
          <w:tcPr>
            <w:tcW w:w="992" w:type="dxa"/>
            <w:tcBorders>
              <w:top w:val="single" w:sz="4" w:space="0" w:color="000000"/>
              <w:bottom w:val="single" w:sz="4" w:space="0" w:color="000000"/>
            </w:tcBorders>
          </w:tcPr>
          <w:p w14:paraId="7ED05A74" w14:textId="72E9CA41" w:rsidR="004E26F3" w:rsidRPr="00CA3F84" w:rsidRDefault="004E26F3" w:rsidP="004E26F3">
            <w:pPr>
              <w:rPr>
                <w:color w:val="auto"/>
              </w:rPr>
            </w:pPr>
            <w:r w:rsidRPr="00CA3F84">
              <w:rPr>
                <w:color w:val="auto"/>
              </w:rPr>
              <w:t xml:space="preserve">DSTI </w:t>
            </w:r>
          </w:p>
        </w:tc>
        <w:tc>
          <w:tcPr>
            <w:tcW w:w="1276" w:type="dxa"/>
            <w:tcBorders>
              <w:top w:val="single" w:sz="4" w:space="0" w:color="000000"/>
              <w:bottom w:val="single" w:sz="4" w:space="0" w:color="000000"/>
            </w:tcBorders>
          </w:tcPr>
          <w:p w14:paraId="1A2B0356" w14:textId="2B8BFBE4" w:rsidR="004E26F3" w:rsidRPr="00CA3F84" w:rsidRDefault="004E26F3" w:rsidP="004E26F3">
            <w:pPr>
              <w:rPr>
                <w:color w:val="auto"/>
              </w:rPr>
            </w:pPr>
            <w:r w:rsidRPr="00CA3F84">
              <w:rPr>
                <w:color w:val="auto"/>
              </w:rPr>
              <w:t>Avr.  2020</w:t>
            </w:r>
          </w:p>
        </w:tc>
        <w:tc>
          <w:tcPr>
            <w:tcW w:w="1276" w:type="dxa"/>
            <w:tcBorders>
              <w:top w:val="single" w:sz="4" w:space="0" w:color="000000"/>
              <w:bottom w:val="single" w:sz="4" w:space="0" w:color="000000"/>
            </w:tcBorders>
          </w:tcPr>
          <w:p w14:paraId="7F2BC2FE" w14:textId="66C11181" w:rsidR="004E26F3" w:rsidRPr="00CA3F84" w:rsidRDefault="004E26F3" w:rsidP="004E26F3">
            <w:pPr>
              <w:rPr>
                <w:color w:val="auto"/>
              </w:rPr>
            </w:pPr>
            <w:r w:rsidRPr="00CA3F84">
              <w:rPr>
                <w:color w:val="auto"/>
              </w:rPr>
              <w:t>Juin 2020</w:t>
            </w:r>
          </w:p>
        </w:tc>
      </w:tr>
      <w:tr w:rsidR="00CA3F84" w:rsidRPr="00CA3F84" w14:paraId="614D79D8" w14:textId="77777777" w:rsidTr="007A197F">
        <w:trPr>
          <w:trHeight w:val="555"/>
        </w:trPr>
        <w:tc>
          <w:tcPr>
            <w:tcW w:w="2411" w:type="dxa"/>
          </w:tcPr>
          <w:p w14:paraId="777A5F83" w14:textId="6B0F4A82" w:rsidR="00164803" w:rsidRPr="00CA3F84" w:rsidRDefault="00963E2F" w:rsidP="003D019E">
            <w:pPr>
              <w:rPr>
                <w:color w:val="auto"/>
              </w:rPr>
            </w:pPr>
            <w:r w:rsidRPr="00CA3F84">
              <w:rPr>
                <w:color w:val="auto"/>
              </w:rPr>
              <w:t>1.1.4</w:t>
            </w:r>
            <w:r w:rsidR="00B4312D" w:rsidRPr="00CA3F84">
              <w:rPr>
                <w:color w:val="auto"/>
              </w:rPr>
              <w:t xml:space="preserve">.  </w:t>
            </w:r>
            <w:r w:rsidR="003D019E" w:rsidRPr="00CA3F84">
              <w:rPr>
                <w:color w:val="auto"/>
              </w:rPr>
              <w:t>Mesurer les progrès</w:t>
            </w:r>
          </w:p>
        </w:tc>
        <w:tc>
          <w:tcPr>
            <w:tcW w:w="3969" w:type="dxa"/>
          </w:tcPr>
          <w:p w14:paraId="2CAF10A3" w14:textId="558D2531" w:rsidR="00164803" w:rsidRPr="00CA3F84" w:rsidRDefault="00164803" w:rsidP="00657317">
            <w:pPr>
              <w:rPr>
                <w:color w:val="auto"/>
              </w:rPr>
            </w:pPr>
            <w:r w:rsidRPr="00CA3F84">
              <w:rPr>
                <w:color w:val="auto"/>
              </w:rPr>
              <w:t>1.1.4.1</w:t>
            </w:r>
            <w:r w:rsidR="00B4312D" w:rsidRPr="00CA3F84">
              <w:rPr>
                <w:color w:val="auto"/>
              </w:rPr>
              <w:t xml:space="preserve">.  </w:t>
            </w:r>
            <w:r w:rsidR="00F71195" w:rsidRPr="00CA3F84">
              <w:rPr>
                <w:color w:val="auto"/>
              </w:rPr>
              <w:t xml:space="preserve">Administration d’un sondage pour évaluer </w:t>
            </w:r>
            <w:r w:rsidR="00657317" w:rsidRPr="00CA3F84">
              <w:rPr>
                <w:color w:val="auto"/>
              </w:rPr>
              <w:t xml:space="preserve">les </w:t>
            </w:r>
            <w:r w:rsidR="00F71195" w:rsidRPr="00CA3F84">
              <w:rPr>
                <w:color w:val="auto"/>
              </w:rPr>
              <w:t>connaissance</w:t>
            </w:r>
            <w:r w:rsidR="00657317" w:rsidRPr="00CA3F84">
              <w:rPr>
                <w:color w:val="auto"/>
              </w:rPr>
              <w:t>s</w:t>
            </w:r>
            <w:r w:rsidR="00F71195" w:rsidRPr="00CA3F84">
              <w:rPr>
                <w:color w:val="auto"/>
              </w:rPr>
              <w:t xml:space="preserve"> de base qu’on</w:t>
            </w:r>
            <w:r w:rsidR="00C453B9" w:rsidRPr="00CA3F84">
              <w:rPr>
                <w:color w:val="auto"/>
              </w:rPr>
              <w:t>t</w:t>
            </w:r>
            <w:r w:rsidR="00F71195" w:rsidRPr="00CA3F84">
              <w:rPr>
                <w:color w:val="auto"/>
              </w:rPr>
              <w:t xml:space="preserve"> les employés des rôles, des responsabilités, des exigences et des processus pour le gouvernement ouvert</w:t>
            </w:r>
          </w:p>
        </w:tc>
        <w:tc>
          <w:tcPr>
            <w:tcW w:w="992" w:type="dxa"/>
            <w:tcBorders>
              <w:top w:val="single" w:sz="4" w:space="0" w:color="000000"/>
              <w:bottom w:val="single" w:sz="4" w:space="0" w:color="000000"/>
            </w:tcBorders>
          </w:tcPr>
          <w:p w14:paraId="531E145B" w14:textId="2E851D9E" w:rsidR="00164803" w:rsidRPr="00CA3F84" w:rsidRDefault="005957F6" w:rsidP="00164803">
            <w:pPr>
              <w:rPr>
                <w:color w:val="auto"/>
              </w:rPr>
            </w:pPr>
            <w:r w:rsidRPr="00CA3F84">
              <w:rPr>
                <w:color w:val="auto"/>
              </w:rPr>
              <w:t>SGO</w:t>
            </w:r>
          </w:p>
        </w:tc>
        <w:tc>
          <w:tcPr>
            <w:tcW w:w="992" w:type="dxa"/>
            <w:tcBorders>
              <w:top w:val="single" w:sz="4" w:space="0" w:color="000000"/>
              <w:bottom w:val="single" w:sz="4" w:space="0" w:color="000000"/>
            </w:tcBorders>
          </w:tcPr>
          <w:p w14:paraId="43FFCA6A" w14:textId="763FE86F" w:rsidR="00164803" w:rsidRPr="00CA3F84" w:rsidRDefault="005957F6" w:rsidP="00164803">
            <w:pPr>
              <w:rPr>
                <w:color w:val="auto"/>
              </w:rPr>
            </w:pPr>
            <w:r w:rsidRPr="00CA3F84">
              <w:rPr>
                <w:color w:val="auto"/>
              </w:rPr>
              <w:t>DSDA</w:t>
            </w:r>
          </w:p>
        </w:tc>
        <w:tc>
          <w:tcPr>
            <w:tcW w:w="1276" w:type="dxa"/>
            <w:tcBorders>
              <w:top w:val="single" w:sz="4" w:space="0" w:color="000000"/>
              <w:bottom w:val="single" w:sz="4" w:space="0" w:color="000000"/>
            </w:tcBorders>
          </w:tcPr>
          <w:p w14:paraId="470518CD" w14:textId="6D97BD4F" w:rsidR="00164803" w:rsidRPr="00CA3F84" w:rsidRDefault="00114223" w:rsidP="00767E3B">
            <w:pPr>
              <w:rPr>
                <w:color w:val="auto"/>
              </w:rPr>
            </w:pPr>
            <w:r>
              <w:rPr>
                <w:color w:val="auto"/>
              </w:rPr>
              <w:t>Sept</w:t>
            </w:r>
            <w:r w:rsidR="00B4312D" w:rsidRPr="00CA3F84">
              <w:rPr>
                <w:color w:val="auto"/>
              </w:rPr>
              <w:t xml:space="preserve">.  </w:t>
            </w:r>
            <w:r w:rsidR="00164803" w:rsidRPr="00CA3F84">
              <w:rPr>
                <w:color w:val="auto"/>
              </w:rPr>
              <w:t>2020</w:t>
            </w:r>
          </w:p>
        </w:tc>
        <w:tc>
          <w:tcPr>
            <w:tcW w:w="1276" w:type="dxa"/>
            <w:tcBorders>
              <w:top w:val="single" w:sz="4" w:space="0" w:color="000000"/>
              <w:bottom w:val="single" w:sz="4" w:space="0" w:color="000000"/>
            </w:tcBorders>
          </w:tcPr>
          <w:p w14:paraId="29955793" w14:textId="3202F2BC" w:rsidR="00164803" w:rsidRPr="00CA3F84" w:rsidRDefault="00114223" w:rsidP="00114223">
            <w:pPr>
              <w:rPr>
                <w:color w:val="auto"/>
              </w:rPr>
            </w:pPr>
            <w:r>
              <w:rPr>
                <w:color w:val="auto"/>
              </w:rPr>
              <w:t xml:space="preserve">Oct. </w:t>
            </w:r>
            <w:r w:rsidR="00164803" w:rsidRPr="00CA3F84">
              <w:rPr>
                <w:color w:val="auto"/>
              </w:rPr>
              <w:t>2020</w:t>
            </w:r>
          </w:p>
        </w:tc>
      </w:tr>
      <w:tr w:rsidR="004E26F3" w:rsidRPr="00CA3F84" w14:paraId="65B6F415" w14:textId="77777777" w:rsidTr="007A197F">
        <w:trPr>
          <w:trHeight w:val="555"/>
        </w:trPr>
        <w:tc>
          <w:tcPr>
            <w:tcW w:w="2411" w:type="dxa"/>
          </w:tcPr>
          <w:p w14:paraId="4DAC5DEA" w14:textId="5F611395" w:rsidR="004E26F3" w:rsidRPr="00CA3F84" w:rsidRDefault="004E26F3" w:rsidP="004E26F3">
            <w:pPr>
              <w:rPr>
                <w:color w:val="auto"/>
              </w:rPr>
            </w:pPr>
            <w:r w:rsidRPr="00BE5202">
              <w:rPr>
                <w:color w:val="auto"/>
              </w:rPr>
              <w:lastRenderedPageBreak/>
              <w:t>1.1.4.  Mesurer les progrès</w:t>
            </w:r>
          </w:p>
        </w:tc>
        <w:tc>
          <w:tcPr>
            <w:tcW w:w="3969" w:type="dxa"/>
          </w:tcPr>
          <w:p w14:paraId="689BAE26" w14:textId="5458CDB0" w:rsidR="004E26F3" w:rsidRPr="00CA3F84" w:rsidRDefault="004E26F3" w:rsidP="004E26F3">
            <w:pPr>
              <w:rPr>
                <w:color w:val="auto"/>
              </w:rPr>
            </w:pPr>
            <w:r w:rsidRPr="00CA3F84">
              <w:rPr>
                <w:color w:val="auto"/>
              </w:rPr>
              <w:t>1.1.4.2.  Analyse et traitement des résultats du sondage pour améliorer le gouvernement ouvert à la CFP</w:t>
            </w:r>
          </w:p>
        </w:tc>
        <w:tc>
          <w:tcPr>
            <w:tcW w:w="992" w:type="dxa"/>
            <w:tcBorders>
              <w:top w:val="single" w:sz="4" w:space="0" w:color="000000"/>
            </w:tcBorders>
          </w:tcPr>
          <w:p w14:paraId="3774E755" w14:textId="5368C4CC" w:rsidR="004E26F3" w:rsidRPr="00CA3F84" w:rsidRDefault="004E26F3" w:rsidP="004E26F3">
            <w:pPr>
              <w:rPr>
                <w:color w:val="auto"/>
              </w:rPr>
            </w:pPr>
            <w:r w:rsidRPr="00CA3F84">
              <w:rPr>
                <w:color w:val="auto"/>
              </w:rPr>
              <w:t>SGO</w:t>
            </w:r>
          </w:p>
        </w:tc>
        <w:tc>
          <w:tcPr>
            <w:tcW w:w="992" w:type="dxa"/>
            <w:tcBorders>
              <w:top w:val="single" w:sz="4" w:space="0" w:color="000000"/>
            </w:tcBorders>
          </w:tcPr>
          <w:p w14:paraId="1ADB8791" w14:textId="7AADC00B" w:rsidR="004E26F3" w:rsidRPr="00CA3F84" w:rsidRDefault="004E26F3" w:rsidP="004E26F3">
            <w:pPr>
              <w:rPr>
                <w:color w:val="auto"/>
              </w:rPr>
            </w:pPr>
            <w:r w:rsidRPr="00CA3F84">
              <w:rPr>
                <w:color w:val="auto"/>
              </w:rPr>
              <w:t>DSDA</w:t>
            </w:r>
          </w:p>
        </w:tc>
        <w:tc>
          <w:tcPr>
            <w:tcW w:w="1276" w:type="dxa"/>
            <w:tcBorders>
              <w:top w:val="single" w:sz="4" w:space="0" w:color="000000"/>
            </w:tcBorders>
          </w:tcPr>
          <w:p w14:paraId="72EC776D" w14:textId="0B92C606" w:rsidR="004E26F3" w:rsidRPr="00CA3F84" w:rsidRDefault="00114223" w:rsidP="004E26F3">
            <w:pPr>
              <w:rPr>
                <w:color w:val="auto"/>
              </w:rPr>
            </w:pPr>
            <w:r>
              <w:rPr>
                <w:color w:val="auto"/>
              </w:rPr>
              <w:t>Oct.</w:t>
            </w:r>
            <w:r w:rsidR="004E26F3" w:rsidRPr="00CA3F84">
              <w:rPr>
                <w:color w:val="auto"/>
              </w:rPr>
              <w:t xml:space="preserve"> 2020</w:t>
            </w:r>
          </w:p>
        </w:tc>
        <w:tc>
          <w:tcPr>
            <w:tcW w:w="1276" w:type="dxa"/>
            <w:tcBorders>
              <w:top w:val="single" w:sz="4" w:space="0" w:color="000000"/>
            </w:tcBorders>
          </w:tcPr>
          <w:p w14:paraId="74AE81D0" w14:textId="21A51948" w:rsidR="004E26F3" w:rsidRPr="00CA3F84" w:rsidRDefault="00114223" w:rsidP="004E26F3">
            <w:pPr>
              <w:rPr>
                <w:color w:val="auto"/>
              </w:rPr>
            </w:pPr>
            <w:r>
              <w:rPr>
                <w:color w:val="auto"/>
              </w:rPr>
              <w:t>Nov.</w:t>
            </w:r>
            <w:r w:rsidR="004E26F3" w:rsidRPr="00CA3F84">
              <w:rPr>
                <w:color w:val="auto"/>
              </w:rPr>
              <w:t xml:space="preserve">  2020</w:t>
            </w:r>
          </w:p>
        </w:tc>
      </w:tr>
      <w:tr w:rsidR="004E26F3" w:rsidRPr="00CA3F84" w14:paraId="5D4FCC11" w14:textId="77777777" w:rsidTr="007A197F">
        <w:trPr>
          <w:trHeight w:val="555"/>
        </w:trPr>
        <w:tc>
          <w:tcPr>
            <w:tcW w:w="2411" w:type="dxa"/>
          </w:tcPr>
          <w:p w14:paraId="7DED4D15" w14:textId="2A393065" w:rsidR="004E26F3" w:rsidRPr="00CA3F84" w:rsidRDefault="004E26F3" w:rsidP="004E26F3">
            <w:pPr>
              <w:rPr>
                <w:color w:val="auto"/>
              </w:rPr>
            </w:pPr>
            <w:r w:rsidRPr="00BE5202">
              <w:rPr>
                <w:color w:val="auto"/>
              </w:rPr>
              <w:t>1.1.4.  Mesurer les progrès</w:t>
            </w:r>
          </w:p>
        </w:tc>
        <w:tc>
          <w:tcPr>
            <w:tcW w:w="3969" w:type="dxa"/>
          </w:tcPr>
          <w:p w14:paraId="13B326B4" w14:textId="593793CF" w:rsidR="004E26F3" w:rsidRPr="00CA3F84" w:rsidRDefault="004E26F3" w:rsidP="004E26F3">
            <w:pPr>
              <w:rPr>
                <w:color w:val="auto"/>
              </w:rPr>
            </w:pPr>
            <w:r w:rsidRPr="00CA3F84">
              <w:rPr>
                <w:color w:val="auto"/>
              </w:rPr>
              <w:t xml:space="preserve">1.1.4.3.  Administration d’un sondage de suivi pour évaluer les connaissances qu’ont les employés des rôles, des responsabilités, des exigences et des processus pour le gouvernement ouvert </w:t>
            </w:r>
          </w:p>
        </w:tc>
        <w:tc>
          <w:tcPr>
            <w:tcW w:w="992" w:type="dxa"/>
            <w:tcBorders>
              <w:top w:val="single" w:sz="4" w:space="0" w:color="000000"/>
            </w:tcBorders>
          </w:tcPr>
          <w:p w14:paraId="5AE08102" w14:textId="7E8CB669" w:rsidR="004E26F3" w:rsidRPr="00CA3F84" w:rsidRDefault="004E26F3" w:rsidP="004E26F3">
            <w:pPr>
              <w:rPr>
                <w:color w:val="auto"/>
              </w:rPr>
            </w:pPr>
            <w:r w:rsidRPr="00CA3F84">
              <w:rPr>
                <w:color w:val="auto"/>
              </w:rPr>
              <w:t>SGO</w:t>
            </w:r>
          </w:p>
        </w:tc>
        <w:tc>
          <w:tcPr>
            <w:tcW w:w="992" w:type="dxa"/>
            <w:tcBorders>
              <w:top w:val="single" w:sz="4" w:space="0" w:color="000000"/>
            </w:tcBorders>
          </w:tcPr>
          <w:p w14:paraId="71C21DB6" w14:textId="74C6693D" w:rsidR="004E26F3" w:rsidRPr="00CA3F84" w:rsidRDefault="004E26F3" w:rsidP="004E26F3">
            <w:pPr>
              <w:rPr>
                <w:color w:val="auto"/>
              </w:rPr>
            </w:pPr>
            <w:r w:rsidRPr="00CA3F84">
              <w:rPr>
                <w:color w:val="auto"/>
              </w:rPr>
              <w:t>DSDA</w:t>
            </w:r>
          </w:p>
        </w:tc>
        <w:tc>
          <w:tcPr>
            <w:tcW w:w="1276" w:type="dxa"/>
            <w:tcBorders>
              <w:top w:val="single" w:sz="4" w:space="0" w:color="000000"/>
            </w:tcBorders>
          </w:tcPr>
          <w:p w14:paraId="3EFAD637" w14:textId="09A4C9CA" w:rsidR="004E26F3" w:rsidRPr="00CA3F84" w:rsidRDefault="004E26F3" w:rsidP="004E26F3">
            <w:pPr>
              <w:rPr>
                <w:color w:val="auto"/>
              </w:rPr>
            </w:pPr>
            <w:r w:rsidRPr="00CA3F84">
              <w:rPr>
                <w:color w:val="auto"/>
              </w:rPr>
              <w:t>Mars 2022</w:t>
            </w:r>
          </w:p>
        </w:tc>
        <w:tc>
          <w:tcPr>
            <w:tcW w:w="1276" w:type="dxa"/>
            <w:tcBorders>
              <w:top w:val="single" w:sz="4" w:space="0" w:color="000000"/>
            </w:tcBorders>
          </w:tcPr>
          <w:p w14:paraId="37F8C2A3" w14:textId="3F3EB3ED" w:rsidR="004E26F3" w:rsidRPr="00CA3F84" w:rsidRDefault="004E26F3" w:rsidP="004E26F3">
            <w:pPr>
              <w:rPr>
                <w:color w:val="auto"/>
              </w:rPr>
            </w:pPr>
            <w:r w:rsidRPr="00CA3F84">
              <w:rPr>
                <w:color w:val="auto"/>
              </w:rPr>
              <w:t>Avr.  2022</w:t>
            </w:r>
          </w:p>
        </w:tc>
      </w:tr>
      <w:tr w:rsidR="004E26F3" w:rsidRPr="00CA3F84" w14:paraId="226005A8" w14:textId="77777777" w:rsidTr="007A197F">
        <w:trPr>
          <w:trHeight w:val="555"/>
        </w:trPr>
        <w:tc>
          <w:tcPr>
            <w:tcW w:w="2411" w:type="dxa"/>
          </w:tcPr>
          <w:p w14:paraId="422F3DE3" w14:textId="6F02506E" w:rsidR="004E26F3" w:rsidRPr="00CA3F84" w:rsidRDefault="004E26F3" w:rsidP="004E26F3">
            <w:pPr>
              <w:rPr>
                <w:color w:val="auto"/>
              </w:rPr>
            </w:pPr>
            <w:r w:rsidRPr="00BE5202">
              <w:rPr>
                <w:color w:val="auto"/>
              </w:rPr>
              <w:t>1.1.4.  Mesurer les progrès</w:t>
            </w:r>
          </w:p>
        </w:tc>
        <w:tc>
          <w:tcPr>
            <w:tcW w:w="3969" w:type="dxa"/>
          </w:tcPr>
          <w:p w14:paraId="29660A27" w14:textId="2645FBA4" w:rsidR="004E26F3" w:rsidRPr="00CA3F84" w:rsidRDefault="004E26F3" w:rsidP="004E26F3">
            <w:pPr>
              <w:rPr>
                <w:color w:val="auto"/>
              </w:rPr>
            </w:pPr>
            <w:r w:rsidRPr="00CA3F84">
              <w:rPr>
                <w:color w:val="auto"/>
              </w:rPr>
              <w:t>1.1.4.4.  Création d’un modèle de maturité du gouvernement ouvert pour évaluer les progrès à la CFP</w:t>
            </w:r>
          </w:p>
        </w:tc>
        <w:tc>
          <w:tcPr>
            <w:tcW w:w="992" w:type="dxa"/>
            <w:tcBorders>
              <w:top w:val="single" w:sz="4" w:space="0" w:color="000000"/>
            </w:tcBorders>
          </w:tcPr>
          <w:p w14:paraId="4AA04818" w14:textId="40B5E0CE" w:rsidR="004E26F3" w:rsidRPr="00CA3F84" w:rsidRDefault="004E26F3" w:rsidP="004E26F3">
            <w:pPr>
              <w:rPr>
                <w:color w:val="auto"/>
              </w:rPr>
            </w:pPr>
            <w:r w:rsidRPr="00CA3F84">
              <w:rPr>
                <w:color w:val="auto"/>
              </w:rPr>
              <w:t>SGO</w:t>
            </w:r>
          </w:p>
        </w:tc>
        <w:tc>
          <w:tcPr>
            <w:tcW w:w="992" w:type="dxa"/>
            <w:tcBorders>
              <w:top w:val="single" w:sz="4" w:space="0" w:color="000000"/>
            </w:tcBorders>
          </w:tcPr>
          <w:p w14:paraId="01FA96F7" w14:textId="584053EF" w:rsidR="004E26F3" w:rsidRPr="00CA3F84" w:rsidRDefault="004E26F3" w:rsidP="004E26F3">
            <w:pPr>
              <w:rPr>
                <w:color w:val="auto"/>
              </w:rPr>
            </w:pPr>
            <w:r w:rsidRPr="00CA3F84">
              <w:rPr>
                <w:color w:val="auto"/>
              </w:rPr>
              <w:t>DSTI</w:t>
            </w:r>
          </w:p>
        </w:tc>
        <w:tc>
          <w:tcPr>
            <w:tcW w:w="1276" w:type="dxa"/>
            <w:tcBorders>
              <w:top w:val="single" w:sz="4" w:space="0" w:color="000000"/>
            </w:tcBorders>
          </w:tcPr>
          <w:p w14:paraId="057E37D5" w14:textId="7F952407" w:rsidR="004E26F3" w:rsidRPr="00CA3F84" w:rsidRDefault="004E26F3" w:rsidP="004E26F3">
            <w:pPr>
              <w:rPr>
                <w:color w:val="auto"/>
              </w:rPr>
            </w:pPr>
            <w:r w:rsidRPr="00CA3F84">
              <w:rPr>
                <w:color w:val="auto"/>
              </w:rPr>
              <w:t>Avr.  2020</w:t>
            </w:r>
          </w:p>
        </w:tc>
        <w:tc>
          <w:tcPr>
            <w:tcW w:w="1276" w:type="dxa"/>
            <w:tcBorders>
              <w:top w:val="single" w:sz="4" w:space="0" w:color="000000"/>
            </w:tcBorders>
          </w:tcPr>
          <w:p w14:paraId="56309F67" w14:textId="25BC7389" w:rsidR="004E26F3" w:rsidRPr="00CA3F84" w:rsidRDefault="004E26F3" w:rsidP="004E26F3">
            <w:pPr>
              <w:rPr>
                <w:color w:val="auto"/>
              </w:rPr>
            </w:pPr>
            <w:r w:rsidRPr="00CA3F84">
              <w:rPr>
                <w:color w:val="auto"/>
              </w:rPr>
              <w:t>Déc.  2020</w:t>
            </w:r>
          </w:p>
        </w:tc>
      </w:tr>
    </w:tbl>
    <w:p w14:paraId="0D6C9C11" w14:textId="705C6FBE" w:rsidR="0041491D" w:rsidRPr="005957F6" w:rsidRDefault="00996C06" w:rsidP="004162E8">
      <w:pPr>
        <w:pStyle w:val="Heading2"/>
        <w:ind w:left="-851"/>
      </w:pPr>
      <w:bookmarkStart w:id="70" w:name="_Toc44323400"/>
      <w:r>
        <w:br/>
      </w:r>
      <w:bookmarkStart w:id="71" w:name="_Toc50038770"/>
      <w:r w:rsidR="0041491D" w:rsidRPr="005957F6">
        <w:t xml:space="preserve">2.0 </w:t>
      </w:r>
      <w:r w:rsidR="00EB7892">
        <w:t xml:space="preserve"> </w:t>
      </w:r>
      <w:r w:rsidR="00CD34A5">
        <w:t xml:space="preserve">Mobiliser </w:t>
      </w:r>
      <w:r w:rsidR="00E054AA">
        <w:t>pour diffuser des données et de</w:t>
      </w:r>
      <w:r w:rsidR="00E24784">
        <w:t xml:space="preserve"> </w:t>
      </w:r>
      <w:r w:rsidR="006E118F">
        <w:t>l’</w:t>
      </w:r>
      <w:r w:rsidR="00E24784">
        <w:t xml:space="preserve">information </w:t>
      </w:r>
      <w:r w:rsidR="00E054AA">
        <w:t>à valeur ajoutée</w:t>
      </w:r>
      <w:bookmarkEnd w:id="70"/>
      <w:bookmarkEnd w:id="71"/>
    </w:p>
    <w:p w14:paraId="1AABEAD4" w14:textId="780F2B48" w:rsidR="0041491D" w:rsidRPr="00CA3F84" w:rsidRDefault="0041491D" w:rsidP="0041491D">
      <w:pPr>
        <w:pStyle w:val="Heading3"/>
        <w:ind w:left="-851"/>
        <w:rPr>
          <w:color w:val="auto"/>
        </w:rPr>
      </w:pPr>
      <w:bookmarkStart w:id="72" w:name="_Toc30058982"/>
      <w:bookmarkStart w:id="73" w:name="_Toc44323401"/>
      <w:bookmarkStart w:id="74" w:name="_Toc30682132"/>
      <w:bookmarkStart w:id="75" w:name="_Toc44404883"/>
      <w:bookmarkStart w:id="76" w:name="_Toc46827421"/>
      <w:bookmarkStart w:id="77" w:name="_Toc49767861"/>
      <w:bookmarkStart w:id="78" w:name="_Toc50038771"/>
      <w:r w:rsidRPr="00CA3F84">
        <w:rPr>
          <w:color w:val="auto"/>
        </w:rPr>
        <w:t>2.1</w:t>
      </w:r>
      <w:r w:rsidR="00B4312D" w:rsidRPr="00CA3F84">
        <w:rPr>
          <w:color w:val="auto"/>
        </w:rPr>
        <w:t xml:space="preserve">.  </w:t>
      </w:r>
      <w:bookmarkEnd w:id="72"/>
      <w:r w:rsidR="00F71195" w:rsidRPr="00CA3F84">
        <w:rPr>
          <w:color w:val="auto"/>
        </w:rPr>
        <w:t>Faciliter la «</w:t>
      </w:r>
      <w:r w:rsidR="00133081" w:rsidRPr="00CA3F84">
        <w:rPr>
          <w:color w:val="auto"/>
        </w:rPr>
        <w:t> </w:t>
      </w:r>
      <w:bookmarkEnd w:id="73"/>
      <w:r w:rsidR="0022037A" w:rsidRPr="00CA3F84">
        <w:rPr>
          <w:color w:val="auto"/>
        </w:rPr>
        <w:t>publication</w:t>
      </w:r>
      <w:r w:rsidR="00455354" w:rsidRPr="00CA3F84">
        <w:rPr>
          <w:color w:val="auto"/>
        </w:rPr>
        <w:t xml:space="preserve"> avec un but</w:t>
      </w:r>
      <w:r w:rsidR="00133081" w:rsidRPr="00CA3F84">
        <w:rPr>
          <w:color w:val="auto"/>
        </w:rPr>
        <w:t> </w:t>
      </w:r>
      <w:r w:rsidR="00F71195" w:rsidRPr="00CA3F84">
        <w:rPr>
          <w:color w:val="auto"/>
        </w:rPr>
        <w:t>»</w:t>
      </w:r>
      <w:bookmarkEnd w:id="74"/>
      <w:bookmarkEnd w:id="75"/>
      <w:bookmarkEnd w:id="76"/>
      <w:bookmarkEnd w:id="77"/>
      <w:bookmarkEnd w:id="78"/>
    </w:p>
    <w:tbl>
      <w:tblPr>
        <w:tblStyle w:val="TableGrid"/>
        <w:tblW w:w="10916" w:type="dxa"/>
        <w:tblInd w:w="-856" w:type="dxa"/>
        <w:tblLayout w:type="fixed"/>
        <w:tblLook w:val="04A0" w:firstRow="1" w:lastRow="0" w:firstColumn="1" w:lastColumn="0" w:noHBand="0" w:noVBand="1"/>
        <w:tblDescription w:val="Ce tableau est composé de 6 colonnes et 19 lignes, et ne contient aucune cellules divisées ou fusionnées"/>
      </w:tblPr>
      <w:tblGrid>
        <w:gridCol w:w="2411"/>
        <w:gridCol w:w="3969"/>
        <w:gridCol w:w="992"/>
        <w:gridCol w:w="992"/>
        <w:gridCol w:w="1276"/>
        <w:gridCol w:w="1276"/>
      </w:tblGrid>
      <w:tr w:rsidR="00CA3F84" w:rsidRPr="00CA3F84" w14:paraId="5D1000AD" w14:textId="77777777" w:rsidTr="006968CC">
        <w:trPr>
          <w:trHeight w:val="685"/>
          <w:tblHeader/>
        </w:trPr>
        <w:tc>
          <w:tcPr>
            <w:tcW w:w="2411" w:type="dxa"/>
            <w:shd w:val="clear" w:color="auto" w:fill="D9D9D9" w:themeFill="background1" w:themeFillShade="D9"/>
          </w:tcPr>
          <w:p w14:paraId="505C98C3" w14:textId="5759BE74" w:rsidR="005957F6" w:rsidRPr="00CA3F84" w:rsidRDefault="005957F6" w:rsidP="00232E05">
            <w:pPr>
              <w:jc w:val="center"/>
              <w:rPr>
                <w:b/>
                <w:color w:val="auto"/>
              </w:rPr>
            </w:pPr>
            <w:r w:rsidRPr="00CA3F84">
              <w:rPr>
                <w:b/>
                <w:color w:val="auto"/>
              </w:rPr>
              <w:t>Activités</w:t>
            </w:r>
          </w:p>
        </w:tc>
        <w:tc>
          <w:tcPr>
            <w:tcW w:w="3969" w:type="dxa"/>
            <w:shd w:val="clear" w:color="auto" w:fill="D9D9D9" w:themeFill="background1" w:themeFillShade="D9"/>
          </w:tcPr>
          <w:p w14:paraId="0B5D5133" w14:textId="0EE4DB3B" w:rsidR="005957F6" w:rsidRPr="00CA3F84" w:rsidRDefault="005957F6" w:rsidP="00232E05">
            <w:pPr>
              <w:jc w:val="center"/>
              <w:rPr>
                <w:b/>
                <w:color w:val="auto"/>
              </w:rPr>
            </w:pPr>
            <w:r w:rsidRPr="00CA3F84">
              <w:rPr>
                <w:b/>
                <w:color w:val="auto"/>
              </w:rPr>
              <w:t>Produits livrables</w:t>
            </w:r>
          </w:p>
        </w:tc>
        <w:tc>
          <w:tcPr>
            <w:tcW w:w="992" w:type="dxa"/>
            <w:shd w:val="clear" w:color="auto" w:fill="D9D9D9" w:themeFill="background1" w:themeFillShade="D9"/>
          </w:tcPr>
          <w:p w14:paraId="1600DBA2" w14:textId="344D69BE" w:rsidR="005957F6" w:rsidRPr="00CA3F84" w:rsidRDefault="005957F6" w:rsidP="00232E05">
            <w:pPr>
              <w:jc w:val="center"/>
              <w:rPr>
                <w:b/>
                <w:color w:val="auto"/>
              </w:rPr>
            </w:pPr>
            <w:r w:rsidRPr="00CA3F84">
              <w:rPr>
                <w:b/>
                <w:color w:val="auto"/>
              </w:rPr>
              <w:t>Responsable</w:t>
            </w:r>
          </w:p>
        </w:tc>
        <w:tc>
          <w:tcPr>
            <w:tcW w:w="992" w:type="dxa"/>
            <w:shd w:val="clear" w:color="auto" w:fill="D9D9D9" w:themeFill="background1" w:themeFillShade="D9"/>
          </w:tcPr>
          <w:p w14:paraId="39F6A1FB" w14:textId="2A55A333" w:rsidR="005957F6" w:rsidRPr="00CA3F84" w:rsidRDefault="005957F6" w:rsidP="00232E05">
            <w:pPr>
              <w:jc w:val="center"/>
              <w:rPr>
                <w:b/>
                <w:color w:val="auto"/>
              </w:rPr>
            </w:pPr>
            <w:r w:rsidRPr="00CA3F84">
              <w:rPr>
                <w:b/>
                <w:color w:val="auto"/>
              </w:rPr>
              <w:t>Soutien</w:t>
            </w:r>
          </w:p>
        </w:tc>
        <w:tc>
          <w:tcPr>
            <w:tcW w:w="1276" w:type="dxa"/>
            <w:shd w:val="clear" w:color="auto" w:fill="D9D9D9" w:themeFill="background1" w:themeFillShade="D9"/>
          </w:tcPr>
          <w:p w14:paraId="2DF379DB" w14:textId="0D340716" w:rsidR="005957F6" w:rsidRPr="00CA3F84" w:rsidRDefault="005957F6" w:rsidP="00232E05">
            <w:pPr>
              <w:jc w:val="center"/>
              <w:rPr>
                <w:b/>
                <w:color w:val="auto"/>
              </w:rPr>
            </w:pPr>
            <w:r w:rsidRPr="00CA3F84">
              <w:rPr>
                <w:b/>
                <w:color w:val="auto"/>
              </w:rPr>
              <w:t>Date de début</w:t>
            </w:r>
          </w:p>
        </w:tc>
        <w:tc>
          <w:tcPr>
            <w:tcW w:w="1276" w:type="dxa"/>
            <w:shd w:val="clear" w:color="auto" w:fill="D9D9D9" w:themeFill="background1" w:themeFillShade="D9"/>
          </w:tcPr>
          <w:p w14:paraId="70969CF3" w14:textId="5084E6FD" w:rsidR="005957F6" w:rsidRPr="00CA3F84" w:rsidRDefault="005957F6" w:rsidP="00232E05">
            <w:pPr>
              <w:jc w:val="center"/>
              <w:rPr>
                <w:b/>
                <w:color w:val="auto"/>
              </w:rPr>
            </w:pPr>
            <w:r w:rsidRPr="00CA3F84">
              <w:rPr>
                <w:b/>
                <w:color w:val="auto"/>
              </w:rPr>
              <w:t>Date de fin</w:t>
            </w:r>
          </w:p>
        </w:tc>
      </w:tr>
      <w:tr w:rsidR="00CA3F84" w:rsidRPr="00CA3F84" w14:paraId="6CC53423" w14:textId="77777777" w:rsidTr="007A197F">
        <w:tc>
          <w:tcPr>
            <w:tcW w:w="2411" w:type="dxa"/>
          </w:tcPr>
          <w:p w14:paraId="49F6C3FD" w14:textId="09E6E7F6" w:rsidR="00164803" w:rsidRPr="00CA3F84" w:rsidRDefault="00164803" w:rsidP="00F71195">
            <w:pPr>
              <w:rPr>
                <w:color w:val="auto"/>
              </w:rPr>
            </w:pPr>
            <w:r w:rsidRPr="00CA3F84">
              <w:rPr>
                <w:color w:val="auto"/>
              </w:rPr>
              <w:t>2.1.1</w:t>
            </w:r>
            <w:r w:rsidR="00B4312D" w:rsidRPr="00CA3F84">
              <w:rPr>
                <w:color w:val="auto"/>
              </w:rPr>
              <w:t xml:space="preserve">.  </w:t>
            </w:r>
            <w:r w:rsidR="00F71195" w:rsidRPr="00CA3F84">
              <w:rPr>
                <w:color w:val="auto"/>
              </w:rPr>
              <w:t>Établir des thèmes d’intérêt basés sur une analyse des ressources de la CFP</w:t>
            </w:r>
          </w:p>
        </w:tc>
        <w:tc>
          <w:tcPr>
            <w:tcW w:w="3969" w:type="dxa"/>
          </w:tcPr>
          <w:p w14:paraId="1F8D55BE" w14:textId="71368A30" w:rsidR="00164803" w:rsidRPr="00CA3F84" w:rsidRDefault="00164803" w:rsidP="006E118F">
            <w:pPr>
              <w:rPr>
                <w:color w:val="auto"/>
              </w:rPr>
            </w:pPr>
            <w:r w:rsidRPr="00CA3F84">
              <w:rPr>
                <w:color w:val="auto"/>
              </w:rPr>
              <w:t>2.1.1.1</w:t>
            </w:r>
            <w:r w:rsidR="00B4312D" w:rsidRPr="00CA3F84">
              <w:rPr>
                <w:color w:val="auto"/>
              </w:rPr>
              <w:t xml:space="preserve">.  </w:t>
            </w:r>
            <w:r w:rsidR="00BD48A3" w:rsidRPr="00CA3F84">
              <w:rPr>
                <w:color w:val="auto"/>
              </w:rPr>
              <w:t xml:space="preserve">Réalisation de l’évaluation de l’analytique pour le </w:t>
            </w:r>
            <w:r w:rsidR="006E118F" w:rsidRPr="00CA3F84">
              <w:rPr>
                <w:color w:val="auto"/>
              </w:rPr>
              <w:t xml:space="preserve">Portail </w:t>
            </w:r>
            <w:r w:rsidR="00BD48A3" w:rsidRPr="00CA3F84">
              <w:rPr>
                <w:color w:val="auto"/>
              </w:rPr>
              <w:t>du gouvernement ouvert</w:t>
            </w:r>
          </w:p>
        </w:tc>
        <w:tc>
          <w:tcPr>
            <w:tcW w:w="992" w:type="dxa"/>
          </w:tcPr>
          <w:p w14:paraId="0C1F0B1B" w14:textId="2B21068F" w:rsidR="00164803" w:rsidRPr="00CA3F84" w:rsidRDefault="005957F6" w:rsidP="0041491D">
            <w:pPr>
              <w:rPr>
                <w:color w:val="auto"/>
              </w:rPr>
            </w:pPr>
            <w:r w:rsidRPr="00CA3F84">
              <w:rPr>
                <w:color w:val="auto"/>
              </w:rPr>
              <w:t>SGO</w:t>
            </w:r>
          </w:p>
          <w:p w14:paraId="1DF9BD50" w14:textId="77777777" w:rsidR="00164803" w:rsidRPr="00CA3F84" w:rsidRDefault="00164803" w:rsidP="0041491D">
            <w:pPr>
              <w:rPr>
                <w:color w:val="auto"/>
              </w:rPr>
            </w:pPr>
          </w:p>
          <w:p w14:paraId="10E069E0" w14:textId="77777777" w:rsidR="00164803" w:rsidRPr="00CA3F84" w:rsidRDefault="00164803" w:rsidP="0041491D">
            <w:pPr>
              <w:rPr>
                <w:color w:val="auto"/>
              </w:rPr>
            </w:pPr>
          </w:p>
        </w:tc>
        <w:tc>
          <w:tcPr>
            <w:tcW w:w="992" w:type="dxa"/>
          </w:tcPr>
          <w:p w14:paraId="36BB54CE" w14:textId="24F8F4F1" w:rsidR="00164803" w:rsidRPr="00CA3F84" w:rsidRDefault="00996C06" w:rsidP="0041491D">
            <w:pPr>
              <w:rPr>
                <w:color w:val="auto"/>
              </w:rPr>
            </w:pPr>
            <w:r>
              <w:rPr>
                <w:color w:val="auto"/>
              </w:rPr>
              <w:t>Aucun</w:t>
            </w:r>
          </w:p>
        </w:tc>
        <w:tc>
          <w:tcPr>
            <w:tcW w:w="1276" w:type="dxa"/>
          </w:tcPr>
          <w:p w14:paraId="66D98864" w14:textId="0C1427BF" w:rsidR="00164803" w:rsidRPr="00CA3F84" w:rsidRDefault="00164803" w:rsidP="00514749">
            <w:pPr>
              <w:rPr>
                <w:color w:val="auto"/>
              </w:rPr>
            </w:pPr>
            <w:r w:rsidRPr="00CA3F84">
              <w:rPr>
                <w:color w:val="auto"/>
              </w:rPr>
              <w:t xml:space="preserve"> </w:t>
            </w:r>
            <w:r w:rsidR="005957F6" w:rsidRPr="00CA3F84">
              <w:rPr>
                <w:color w:val="auto"/>
              </w:rPr>
              <w:t>Avr</w:t>
            </w:r>
            <w:r w:rsidR="00B4312D" w:rsidRPr="00CA3F84">
              <w:rPr>
                <w:color w:val="auto"/>
              </w:rPr>
              <w:t xml:space="preserve">.  </w:t>
            </w:r>
            <w:r w:rsidRPr="00CA3F84">
              <w:rPr>
                <w:color w:val="auto"/>
              </w:rPr>
              <w:t>2020</w:t>
            </w:r>
          </w:p>
        </w:tc>
        <w:tc>
          <w:tcPr>
            <w:tcW w:w="1276" w:type="dxa"/>
          </w:tcPr>
          <w:p w14:paraId="42525CF6" w14:textId="11B08B9F" w:rsidR="00164803" w:rsidRPr="00CA3F84" w:rsidRDefault="005957F6" w:rsidP="00721B1B">
            <w:pPr>
              <w:rPr>
                <w:color w:val="auto"/>
              </w:rPr>
            </w:pPr>
            <w:r w:rsidRPr="00CA3F84">
              <w:rPr>
                <w:color w:val="auto"/>
              </w:rPr>
              <w:t>Mai</w:t>
            </w:r>
            <w:r w:rsidR="00164803" w:rsidRPr="00CA3F84">
              <w:rPr>
                <w:color w:val="auto"/>
              </w:rPr>
              <w:t xml:space="preserve"> 2020</w:t>
            </w:r>
          </w:p>
        </w:tc>
      </w:tr>
      <w:tr w:rsidR="00996C06" w:rsidRPr="00CA3F84" w14:paraId="2815ECEC" w14:textId="77777777" w:rsidTr="007A197F">
        <w:tc>
          <w:tcPr>
            <w:tcW w:w="2411" w:type="dxa"/>
          </w:tcPr>
          <w:p w14:paraId="4DA1E16F" w14:textId="0A3CED19" w:rsidR="00996C06" w:rsidRPr="00CA3F84" w:rsidRDefault="00996C06" w:rsidP="00996C06">
            <w:pPr>
              <w:rPr>
                <w:color w:val="auto"/>
              </w:rPr>
            </w:pPr>
            <w:r w:rsidRPr="00CA3F84">
              <w:rPr>
                <w:color w:val="auto"/>
              </w:rPr>
              <w:t>2.1.1.  Établir des thèmes d’intérêt basés sur une analyse des ressources de la CFP</w:t>
            </w:r>
          </w:p>
        </w:tc>
        <w:tc>
          <w:tcPr>
            <w:tcW w:w="3969" w:type="dxa"/>
          </w:tcPr>
          <w:p w14:paraId="5652503D" w14:textId="10A6FCB6" w:rsidR="00996C06" w:rsidRPr="00CA3F84" w:rsidRDefault="00996C06" w:rsidP="00996C06">
            <w:pPr>
              <w:rPr>
                <w:color w:val="auto"/>
              </w:rPr>
            </w:pPr>
            <w:r w:rsidRPr="00CA3F84">
              <w:rPr>
                <w:color w:val="auto"/>
              </w:rPr>
              <w:t>2.1.1.2.  Réalisation de l’évaluation de l’analytique pour Canada.ca/CFP</w:t>
            </w:r>
          </w:p>
        </w:tc>
        <w:tc>
          <w:tcPr>
            <w:tcW w:w="992" w:type="dxa"/>
          </w:tcPr>
          <w:p w14:paraId="2EDD2A19" w14:textId="418B05D6" w:rsidR="00996C06" w:rsidRPr="00CA3F84" w:rsidRDefault="00996C06" w:rsidP="00996C06">
            <w:pPr>
              <w:rPr>
                <w:color w:val="auto"/>
              </w:rPr>
            </w:pPr>
            <w:r w:rsidRPr="00CA3F84">
              <w:rPr>
                <w:color w:val="auto"/>
              </w:rPr>
              <w:t>SGO</w:t>
            </w:r>
          </w:p>
        </w:tc>
        <w:tc>
          <w:tcPr>
            <w:tcW w:w="992" w:type="dxa"/>
          </w:tcPr>
          <w:p w14:paraId="75A4D72C" w14:textId="24738357" w:rsidR="00996C06" w:rsidRPr="00CA3F84" w:rsidRDefault="00996C06" w:rsidP="00996C06">
            <w:pPr>
              <w:rPr>
                <w:color w:val="auto"/>
              </w:rPr>
            </w:pPr>
            <w:r w:rsidRPr="00127BB2">
              <w:rPr>
                <w:color w:val="auto"/>
              </w:rPr>
              <w:t>Aucun</w:t>
            </w:r>
          </w:p>
        </w:tc>
        <w:tc>
          <w:tcPr>
            <w:tcW w:w="1276" w:type="dxa"/>
          </w:tcPr>
          <w:p w14:paraId="5237FDA3" w14:textId="476222E8" w:rsidR="00996C06" w:rsidRPr="00CA3F84" w:rsidRDefault="00996C06" w:rsidP="00996C06">
            <w:pPr>
              <w:rPr>
                <w:color w:val="auto"/>
              </w:rPr>
            </w:pPr>
            <w:r w:rsidRPr="00CA3F84">
              <w:rPr>
                <w:color w:val="auto"/>
              </w:rPr>
              <w:t xml:space="preserve"> Avr.  2020</w:t>
            </w:r>
          </w:p>
        </w:tc>
        <w:tc>
          <w:tcPr>
            <w:tcW w:w="1276" w:type="dxa"/>
          </w:tcPr>
          <w:p w14:paraId="490A3812" w14:textId="53141EA8" w:rsidR="00996C06" w:rsidRPr="00CA3F84" w:rsidRDefault="00996C06" w:rsidP="00996C06">
            <w:pPr>
              <w:rPr>
                <w:color w:val="auto"/>
              </w:rPr>
            </w:pPr>
            <w:r w:rsidRPr="00CA3F84">
              <w:rPr>
                <w:color w:val="auto"/>
              </w:rPr>
              <w:t>Mai 2020</w:t>
            </w:r>
          </w:p>
        </w:tc>
      </w:tr>
      <w:tr w:rsidR="00996C06" w:rsidRPr="00CA3F84" w14:paraId="3D6947B5" w14:textId="77777777" w:rsidTr="007A197F">
        <w:tc>
          <w:tcPr>
            <w:tcW w:w="2411" w:type="dxa"/>
          </w:tcPr>
          <w:p w14:paraId="5336EB18" w14:textId="5E608A35" w:rsidR="00996C06" w:rsidRPr="00CA3F84" w:rsidRDefault="00996C06" w:rsidP="00996C06">
            <w:pPr>
              <w:rPr>
                <w:color w:val="auto"/>
              </w:rPr>
            </w:pPr>
            <w:r w:rsidRPr="00CA3F84">
              <w:rPr>
                <w:color w:val="auto"/>
              </w:rPr>
              <w:t>2.1.1.  Établir des thèmes d’intérêt basés sur une analyse des ressources de la CFP</w:t>
            </w:r>
          </w:p>
        </w:tc>
        <w:tc>
          <w:tcPr>
            <w:tcW w:w="3969" w:type="dxa"/>
          </w:tcPr>
          <w:p w14:paraId="7CE5C6C4" w14:textId="6B0C8284" w:rsidR="00996C06" w:rsidRPr="00CA3F84" w:rsidRDefault="00996C06" w:rsidP="00996C06">
            <w:pPr>
              <w:rPr>
                <w:color w:val="auto"/>
              </w:rPr>
            </w:pPr>
            <w:r w:rsidRPr="00CA3F84">
              <w:rPr>
                <w:color w:val="auto"/>
              </w:rPr>
              <w:t>2.1.1.3.  Réalisation de l’analyse des demandes d’AIPRP présentées à la CFP</w:t>
            </w:r>
          </w:p>
        </w:tc>
        <w:tc>
          <w:tcPr>
            <w:tcW w:w="992" w:type="dxa"/>
          </w:tcPr>
          <w:p w14:paraId="16073F3F" w14:textId="794570C3" w:rsidR="00996C06" w:rsidRPr="00CA3F84" w:rsidRDefault="00996C06" w:rsidP="00996C06">
            <w:pPr>
              <w:rPr>
                <w:color w:val="auto"/>
              </w:rPr>
            </w:pPr>
            <w:r w:rsidRPr="00CA3F84">
              <w:rPr>
                <w:color w:val="auto"/>
              </w:rPr>
              <w:t>SGO</w:t>
            </w:r>
          </w:p>
        </w:tc>
        <w:tc>
          <w:tcPr>
            <w:tcW w:w="992" w:type="dxa"/>
          </w:tcPr>
          <w:p w14:paraId="2F12190C" w14:textId="7E827845" w:rsidR="00996C06" w:rsidRPr="00CA3F84" w:rsidRDefault="00996C06" w:rsidP="00996C06">
            <w:pPr>
              <w:rPr>
                <w:color w:val="auto"/>
              </w:rPr>
            </w:pPr>
            <w:r w:rsidRPr="00127BB2">
              <w:rPr>
                <w:color w:val="auto"/>
              </w:rPr>
              <w:t>Aucun</w:t>
            </w:r>
          </w:p>
        </w:tc>
        <w:tc>
          <w:tcPr>
            <w:tcW w:w="1276" w:type="dxa"/>
          </w:tcPr>
          <w:p w14:paraId="12B89C18" w14:textId="189A5FC0" w:rsidR="00996C06" w:rsidRPr="00CA3F84" w:rsidRDefault="00996C06" w:rsidP="00996C06">
            <w:pPr>
              <w:rPr>
                <w:color w:val="auto"/>
              </w:rPr>
            </w:pPr>
            <w:r w:rsidRPr="00CA3F84">
              <w:rPr>
                <w:color w:val="auto"/>
              </w:rPr>
              <w:t xml:space="preserve"> Avr.  2020</w:t>
            </w:r>
          </w:p>
        </w:tc>
        <w:tc>
          <w:tcPr>
            <w:tcW w:w="1276" w:type="dxa"/>
          </w:tcPr>
          <w:p w14:paraId="4F48F845" w14:textId="17CD8AE8" w:rsidR="00996C06" w:rsidRPr="00CA3F84" w:rsidRDefault="00996C06" w:rsidP="00996C06">
            <w:pPr>
              <w:rPr>
                <w:color w:val="auto"/>
              </w:rPr>
            </w:pPr>
            <w:r w:rsidRPr="00CA3F84">
              <w:rPr>
                <w:color w:val="auto"/>
              </w:rPr>
              <w:t>Mai 2020</w:t>
            </w:r>
          </w:p>
        </w:tc>
      </w:tr>
      <w:tr w:rsidR="00996C06" w:rsidRPr="00CA3F84" w14:paraId="52424E50" w14:textId="77777777" w:rsidTr="007A197F">
        <w:tc>
          <w:tcPr>
            <w:tcW w:w="2411" w:type="dxa"/>
          </w:tcPr>
          <w:p w14:paraId="1B5110BB" w14:textId="38A300F3" w:rsidR="00996C06" w:rsidRPr="00CA3F84" w:rsidRDefault="00996C06" w:rsidP="00996C06">
            <w:pPr>
              <w:rPr>
                <w:color w:val="auto"/>
              </w:rPr>
            </w:pPr>
            <w:r w:rsidRPr="00CA3F84">
              <w:rPr>
                <w:color w:val="auto"/>
              </w:rPr>
              <w:t>2.1.1.  Établir des thèmes d’intérêt basés sur une analyse des ressources de la CFP</w:t>
            </w:r>
          </w:p>
        </w:tc>
        <w:tc>
          <w:tcPr>
            <w:tcW w:w="3969" w:type="dxa"/>
          </w:tcPr>
          <w:p w14:paraId="0FFB8EA8" w14:textId="4B76EE9D" w:rsidR="00996C06" w:rsidRPr="00CA3F84" w:rsidRDefault="00996C06" w:rsidP="00996C06">
            <w:pPr>
              <w:rPr>
                <w:color w:val="auto"/>
              </w:rPr>
            </w:pPr>
            <w:r w:rsidRPr="00CA3F84">
              <w:rPr>
                <w:color w:val="auto"/>
              </w:rPr>
              <w:t>2.1.1.4.  Réalisation de l’évaluation des phases I et II du plan de mobilisation pour le gouvernement ouvert</w:t>
            </w:r>
          </w:p>
        </w:tc>
        <w:tc>
          <w:tcPr>
            <w:tcW w:w="992" w:type="dxa"/>
          </w:tcPr>
          <w:p w14:paraId="409C89C4" w14:textId="49CDD435" w:rsidR="00996C06" w:rsidRPr="00CA3F84" w:rsidRDefault="00996C06" w:rsidP="00996C06">
            <w:pPr>
              <w:rPr>
                <w:color w:val="auto"/>
              </w:rPr>
            </w:pPr>
            <w:r w:rsidRPr="00CA3F84">
              <w:rPr>
                <w:color w:val="auto"/>
              </w:rPr>
              <w:t>SGO</w:t>
            </w:r>
          </w:p>
        </w:tc>
        <w:tc>
          <w:tcPr>
            <w:tcW w:w="992" w:type="dxa"/>
          </w:tcPr>
          <w:p w14:paraId="505DE9A9" w14:textId="795A472F" w:rsidR="00996C06" w:rsidRPr="00CA3F84" w:rsidRDefault="00996C06" w:rsidP="00996C06">
            <w:pPr>
              <w:rPr>
                <w:color w:val="auto"/>
              </w:rPr>
            </w:pPr>
            <w:r w:rsidRPr="00F23EF9">
              <w:rPr>
                <w:color w:val="auto"/>
              </w:rPr>
              <w:t>Aucun</w:t>
            </w:r>
          </w:p>
        </w:tc>
        <w:tc>
          <w:tcPr>
            <w:tcW w:w="1276" w:type="dxa"/>
          </w:tcPr>
          <w:p w14:paraId="6A93A03F" w14:textId="7D0FA8CE" w:rsidR="00996C06" w:rsidRPr="00CA3F84" w:rsidRDefault="00996C06" w:rsidP="00996C06">
            <w:pPr>
              <w:rPr>
                <w:color w:val="auto"/>
              </w:rPr>
            </w:pPr>
            <w:r w:rsidRPr="00CA3F84">
              <w:rPr>
                <w:color w:val="auto"/>
              </w:rPr>
              <w:t>Avr.  2020</w:t>
            </w:r>
          </w:p>
        </w:tc>
        <w:tc>
          <w:tcPr>
            <w:tcW w:w="1276" w:type="dxa"/>
          </w:tcPr>
          <w:p w14:paraId="3C7792AA" w14:textId="3696BDF2" w:rsidR="00996C06" w:rsidRPr="00CA3F84" w:rsidRDefault="00996C06" w:rsidP="00996C06">
            <w:pPr>
              <w:rPr>
                <w:color w:val="auto"/>
              </w:rPr>
            </w:pPr>
            <w:r w:rsidRPr="00CA3F84">
              <w:rPr>
                <w:color w:val="auto"/>
              </w:rPr>
              <w:t>Mai 2020</w:t>
            </w:r>
          </w:p>
        </w:tc>
      </w:tr>
      <w:tr w:rsidR="00996C06" w:rsidRPr="00CA3F84" w14:paraId="7FAE0E46" w14:textId="77777777" w:rsidTr="007A197F">
        <w:tc>
          <w:tcPr>
            <w:tcW w:w="2411" w:type="dxa"/>
          </w:tcPr>
          <w:p w14:paraId="5309B888" w14:textId="6068411E" w:rsidR="00996C06" w:rsidRPr="00CA3F84" w:rsidRDefault="00996C06" w:rsidP="00996C06">
            <w:pPr>
              <w:rPr>
                <w:color w:val="auto"/>
              </w:rPr>
            </w:pPr>
            <w:r w:rsidRPr="00CA3F84">
              <w:rPr>
                <w:color w:val="auto"/>
              </w:rPr>
              <w:lastRenderedPageBreak/>
              <w:t>2.1.1.  Établir des thèmes d’intérêt basés sur une analyse des ressources de la CFP</w:t>
            </w:r>
          </w:p>
        </w:tc>
        <w:tc>
          <w:tcPr>
            <w:tcW w:w="3969" w:type="dxa"/>
          </w:tcPr>
          <w:p w14:paraId="36F90DDA" w14:textId="1229A1E3" w:rsidR="00996C06" w:rsidRPr="00CA3F84" w:rsidRDefault="00996C06" w:rsidP="00996C06">
            <w:pPr>
              <w:rPr>
                <w:color w:val="auto"/>
              </w:rPr>
            </w:pPr>
            <w:r w:rsidRPr="00CA3F84">
              <w:rPr>
                <w:color w:val="auto"/>
              </w:rPr>
              <w:t>2.1.1.5.  Réalisation de l’évaluation des rapports annuels de la CFP</w:t>
            </w:r>
          </w:p>
        </w:tc>
        <w:tc>
          <w:tcPr>
            <w:tcW w:w="992" w:type="dxa"/>
          </w:tcPr>
          <w:p w14:paraId="0B9532E0" w14:textId="1C5857F6" w:rsidR="00996C06" w:rsidRPr="00CA3F84" w:rsidRDefault="00996C06" w:rsidP="00996C06">
            <w:pPr>
              <w:rPr>
                <w:color w:val="auto"/>
              </w:rPr>
            </w:pPr>
            <w:r w:rsidRPr="00CA3F84">
              <w:rPr>
                <w:color w:val="auto"/>
              </w:rPr>
              <w:t>SGO</w:t>
            </w:r>
          </w:p>
        </w:tc>
        <w:tc>
          <w:tcPr>
            <w:tcW w:w="992" w:type="dxa"/>
          </w:tcPr>
          <w:p w14:paraId="75CD6435" w14:textId="1769D288" w:rsidR="00996C06" w:rsidRPr="00CA3F84" w:rsidRDefault="00996C06" w:rsidP="00996C06">
            <w:pPr>
              <w:rPr>
                <w:color w:val="auto"/>
              </w:rPr>
            </w:pPr>
            <w:r w:rsidRPr="00F23EF9">
              <w:rPr>
                <w:color w:val="auto"/>
              </w:rPr>
              <w:t>Aucun</w:t>
            </w:r>
          </w:p>
        </w:tc>
        <w:tc>
          <w:tcPr>
            <w:tcW w:w="1276" w:type="dxa"/>
          </w:tcPr>
          <w:p w14:paraId="4A8ECB90" w14:textId="09BA1DE3" w:rsidR="00996C06" w:rsidRPr="00CA3F84" w:rsidRDefault="00996C06" w:rsidP="00996C06">
            <w:pPr>
              <w:rPr>
                <w:color w:val="auto"/>
              </w:rPr>
            </w:pPr>
            <w:r w:rsidRPr="00CA3F84">
              <w:rPr>
                <w:color w:val="auto"/>
              </w:rPr>
              <w:t>Avr.  2020</w:t>
            </w:r>
          </w:p>
        </w:tc>
        <w:tc>
          <w:tcPr>
            <w:tcW w:w="1276" w:type="dxa"/>
          </w:tcPr>
          <w:p w14:paraId="63243910" w14:textId="6FFBE2BB" w:rsidR="00996C06" w:rsidRPr="00CA3F84" w:rsidRDefault="00996C06" w:rsidP="00996C06">
            <w:pPr>
              <w:rPr>
                <w:color w:val="auto"/>
              </w:rPr>
            </w:pPr>
            <w:r w:rsidRPr="00CA3F84">
              <w:rPr>
                <w:color w:val="auto"/>
              </w:rPr>
              <w:t>Mai 2020</w:t>
            </w:r>
          </w:p>
        </w:tc>
      </w:tr>
      <w:tr w:rsidR="00996C06" w:rsidRPr="00CA3F84" w14:paraId="394D5DFC" w14:textId="77777777" w:rsidTr="007A197F">
        <w:tc>
          <w:tcPr>
            <w:tcW w:w="2411" w:type="dxa"/>
          </w:tcPr>
          <w:p w14:paraId="71A70D8E" w14:textId="1A9709BF" w:rsidR="00996C06" w:rsidRPr="00CA3F84" w:rsidRDefault="00996C06" w:rsidP="00996C06">
            <w:pPr>
              <w:rPr>
                <w:color w:val="auto"/>
              </w:rPr>
            </w:pPr>
            <w:r w:rsidRPr="00CA3F84">
              <w:rPr>
                <w:color w:val="auto"/>
              </w:rPr>
              <w:t>2.1.1.  Établir des thèmes d’intérêt basés sur une analyse des ressources de la CFP</w:t>
            </w:r>
          </w:p>
        </w:tc>
        <w:tc>
          <w:tcPr>
            <w:tcW w:w="3969" w:type="dxa"/>
          </w:tcPr>
          <w:p w14:paraId="30BFFCF8" w14:textId="19613DC4" w:rsidR="00996C06" w:rsidRPr="00CA3F84" w:rsidRDefault="00996C06" w:rsidP="00996C06">
            <w:pPr>
              <w:rPr>
                <w:color w:val="auto"/>
              </w:rPr>
            </w:pPr>
            <w:r w:rsidRPr="00CA3F84">
              <w:rPr>
                <w:color w:val="auto"/>
              </w:rPr>
              <w:t>2.1.1.6.  Administration et analyse d’un sondage pour solliciter une rétroaction aux demandeurs de données</w:t>
            </w:r>
          </w:p>
        </w:tc>
        <w:tc>
          <w:tcPr>
            <w:tcW w:w="992" w:type="dxa"/>
          </w:tcPr>
          <w:p w14:paraId="50587DA6" w14:textId="3CE32F96" w:rsidR="00996C06" w:rsidRPr="00CA3F84" w:rsidRDefault="00996C06" w:rsidP="00996C06">
            <w:pPr>
              <w:rPr>
                <w:color w:val="auto"/>
              </w:rPr>
            </w:pPr>
            <w:r w:rsidRPr="00CA3F84">
              <w:rPr>
                <w:color w:val="auto"/>
              </w:rPr>
              <w:t>SGO</w:t>
            </w:r>
          </w:p>
        </w:tc>
        <w:tc>
          <w:tcPr>
            <w:tcW w:w="992" w:type="dxa"/>
          </w:tcPr>
          <w:p w14:paraId="6DD9350D" w14:textId="51BE7A01" w:rsidR="00996C06" w:rsidRPr="00CA3F84" w:rsidRDefault="00996C06" w:rsidP="00996C06">
            <w:pPr>
              <w:rPr>
                <w:color w:val="auto"/>
              </w:rPr>
            </w:pPr>
            <w:r w:rsidRPr="00F23EF9">
              <w:rPr>
                <w:color w:val="auto"/>
              </w:rPr>
              <w:t>Aucun</w:t>
            </w:r>
          </w:p>
        </w:tc>
        <w:tc>
          <w:tcPr>
            <w:tcW w:w="1276" w:type="dxa"/>
          </w:tcPr>
          <w:p w14:paraId="499B51DE" w14:textId="754913AD" w:rsidR="00996C06" w:rsidRPr="00CA3F84" w:rsidRDefault="00996C06" w:rsidP="00996C06">
            <w:pPr>
              <w:rPr>
                <w:color w:val="auto"/>
              </w:rPr>
            </w:pPr>
            <w:r w:rsidRPr="00CA3F84">
              <w:rPr>
                <w:color w:val="auto"/>
              </w:rPr>
              <w:t>Janv.  2020</w:t>
            </w:r>
          </w:p>
        </w:tc>
        <w:tc>
          <w:tcPr>
            <w:tcW w:w="1276" w:type="dxa"/>
          </w:tcPr>
          <w:p w14:paraId="66A093A7" w14:textId="1EA7BE9F" w:rsidR="00996C06" w:rsidRPr="00CA3F84" w:rsidRDefault="00402902" w:rsidP="00025668">
            <w:pPr>
              <w:rPr>
                <w:color w:val="auto"/>
              </w:rPr>
            </w:pPr>
            <w:r>
              <w:rPr>
                <w:color w:val="auto"/>
              </w:rPr>
              <w:t>Oc</w:t>
            </w:r>
            <w:r w:rsidR="005E3025">
              <w:rPr>
                <w:color w:val="auto"/>
              </w:rPr>
              <w:t>t.</w:t>
            </w:r>
            <w:r w:rsidR="00996C06" w:rsidRPr="00CA3F84">
              <w:rPr>
                <w:color w:val="auto"/>
              </w:rPr>
              <w:t xml:space="preserve"> 2020</w:t>
            </w:r>
          </w:p>
        </w:tc>
      </w:tr>
      <w:tr w:rsidR="00CA3F84" w:rsidRPr="00CA3F84" w14:paraId="3080D907" w14:textId="77777777" w:rsidTr="007A197F">
        <w:tc>
          <w:tcPr>
            <w:tcW w:w="2411" w:type="dxa"/>
          </w:tcPr>
          <w:p w14:paraId="5852F456" w14:textId="2F5DA2CE" w:rsidR="00164803" w:rsidRPr="00CA3F84" w:rsidRDefault="00996C06" w:rsidP="00721B1B">
            <w:pPr>
              <w:rPr>
                <w:color w:val="auto"/>
              </w:rPr>
            </w:pPr>
            <w:r w:rsidRPr="00CA3F84">
              <w:rPr>
                <w:color w:val="auto"/>
              </w:rPr>
              <w:t>2.1.1.  Établir des thèmes d’intérêt basés sur une analyse des ressources de la CFP</w:t>
            </w:r>
          </w:p>
        </w:tc>
        <w:tc>
          <w:tcPr>
            <w:tcW w:w="3969" w:type="dxa"/>
          </w:tcPr>
          <w:p w14:paraId="01746C1A" w14:textId="3E5DE4BA" w:rsidR="00164803" w:rsidRPr="00CA3F84" w:rsidRDefault="00563314" w:rsidP="00BD48A3">
            <w:pPr>
              <w:rPr>
                <w:color w:val="auto"/>
              </w:rPr>
            </w:pPr>
            <w:r w:rsidRPr="00CA3F84">
              <w:rPr>
                <w:color w:val="auto"/>
              </w:rPr>
              <w:t>2.1.1.7</w:t>
            </w:r>
            <w:r w:rsidR="00B4312D" w:rsidRPr="00CA3F84">
              <w:rPr>
                <w:color w:val="auto"/>
              </w:rPr>
              <w:t xml:space="preserve">.  </w:t>
            </w:r>
            <w:r w:rsidR="00BD48A3" w:rsidRPr="00CA3F84">
              <w:rPr>
                <w:color w:val="auto"/>
              </w:rPr>
              <w:t>Détermination et consignation des thèmes d’intérêt</w:t>
            </w:r>
          </w:p>
        </w:tc>
        <w:tc>
          <w:tcPr>
            <w:tcW w:w="992" w:type="dxa"/>
          </w:tcPr>
          <w:p w14:paraId="6A63C14A" w14:textId="4D32484B" w:rsidR="00164803" w:rsidRPr="00CA3F84" w:rsidRDefault="005957F6" w:rsidP="00721B1B">
            <w:pPr>
              <w:rPr>
                <w:color w:val="auto"/>
              </w:rPr>
            </w:pPr>
            <w:r w:rsidRPr="00CA3F84">
              <w:rPr>
                <w:color w:val="auto"/>
              </w:rPr>
              <w:t>SGO</w:t>
            </w:r>
          </w:p>
        </w:tc>
        <w:tc>
          <w:tcPr>
            <w:tcW w:w="992" w:type="dxa"/>
          </w:tcPr>
          <w:p w14:paraId="0FFB154B" w14:textId="135B66F6" w:rsidR="00164803" w:rsidRPr="00CA3F84" w:rsidRDefault="00996C06" w:rsidP="00721B1B">
            <w:pPr>
              <w:rPr>
                <w:color w:val="auto"/>
              </w:rPr>
            </w:pPr>
            <w:r>
              <w:rPr>
                <w:color w:val="auto"/>
              </w:rPr>
              <w:t>Aucun</w:t>
            </w:r>
          </w:p>
        </w:tc>
        <w:tc>
          <w:tcPr>
            <w:tcW w:w="1276" w:type="dxa"/>
          </w:tcPr>
          <w:p w14:paraId="189A7B4D" w14:textId="2A38A259" w:rsidR="00164803" w:rsidRPr="00CA3F84" w:rsidRDefault="005957F6" w:rsidP="0047696A">
            <w:pPr>
              <w:rPr>
                <w:color w:val="auto"/>
              </w:rPr>
            </w:pPr>
            <w:r w:rsidRPr="00CA3F84">
              <w:rPr>
                <w:color w:val="auto"/>
              </w:rPr>
              <w:t>Août</w:t>
            </w:r>
            <w:r w:rsidR="00164803" w:rsidRPr="00CA3F84">
              <w:rPr>
                <w:color w:val="auto"/>
              </w:rPr>
              <w:t xml:space="preserve"> 2020</w:t>
            </w:r>
          </w:p>
        </w:tc>
        <w:tc>
          <w:tcPr>
            <w:tcW w:w="1276" w:type="dxa"/>
          </w:tcPr>
          <w:p w14:paraId="7978F5F6" w14:textId="67D4790D" w:rsidR="00164803" w:rsidRPr="00CA3F84" w:rsidRDefault="00164803" w:rsidP="0047696A">
            <w:pPr>
              <w:rPr>
                <w:color w:val="auto"/>
              </w:rPr>
            </w:pPr>
            <w:r w:rsidRPr="00CA3F84">
              <w:rPr>
                <w:color w:val="auto"/>
              </w:rPr>
              <w:t>Sept</w:t>
            </w:r>
            <w:r w:rsidR="00B4312D" w:rsidRPr="00CA3F84">
              <w:rPr>
                <w:color w:val="auto"/>
              </w:rPr>
              <w:t xml:space="preserve">.  </w:t>
            </w:r>
            <w:r w:rsidRPr="00CA3F84">
              <w:rPr>
                <w:color w:val="auto"/>
              </w:rPr>
              <w:t>2020</w:t>
            </w:r>
          </w:p>
        </w:tc>
      </w:tr>
      <w:tr w:rsidR="00CA3F84" w:rsidRPr="00CA3F84" w14:paraId="48261DD0" w14:textId="77777777" w:rsidTr="007A197F">
        <w:tc>
          <w:tcPr>
            <w:tcW w:w="2411" w:type="dxa"/>
          </w:tcPr>
          <w:p w14:paraId="646E1CB2" w14:textId="4CB8DA0F" w:rsidR="00164803" w:rsidRPr="00CA3F84" w:rsidRDefault="00164803" w:rsidP="0022037A">
            <w:pPr>
              <w:rPr>
                <w:color w:val="auto"/>
              </w:rPr>
            </w:pPr>
            <w:r w:rsidRPr="00CA3F84">
              <w:rPr>
                <w:color w:val="auto"/>
              </w:rPr>
              <w:t>2.1.2</w:t>
            </w:r>
            <w:r w:rsidR="00B4312D" w:rsidRPr="00CA3F84">
              <w:rPr>
                <w:color w:val="auto"/>
              </w:rPr>
              <w:t xml:space="preserve">.  </w:t>
            </w:r>
            <w:r w:rsidR="00BD48A3" w:rsidRPr="00CA3F84">
              <w:rPr>
                <w:color w:val="auto"/>
              </w:rPr>
              <w:t>Mobiliser les employés de la CFP pour qu’ils «</w:t>
            </w:r>
            <w:r w:rsidR="00133081" w:rsidRPr="00CA3F84">
              <w:rPr>
                <w:color w:val="auto"/>
              </w:rPr>
              <w:t> </w:t>
            </w:r>
            <w:r w:rsidR="00E33459" w:rsidRPr="00CA3F84">
              <w:rPr>
                <w:color w:val="auto"/>
              </w:rPr>
              <w:t>Publie</w:t>
            </w:r>
            <w:r w:rsidR="00463E8D" w:rsidRPr="00CA3F84">
              <w:rPr>
                <w:color w:val="auto"/>
              </w:rPr>
              <w:t>nt</w:t>
            </w:r>
            <w:r w:rsidR="00E33459" w:rsidRPr="00CA3F84">
              <w:rPr>
                <w:color w:val="auto"/>
              </w:rPr>
              <w:t xml:space="preserve"> </w:t>
            </w:r>
            <w:r w:rsidR="00455354" w:rsidRPr="00CA3F84">
              <w:rPr>
                <w:color w:val="auto"/>
              </w:rPr>
              <w:t>avec un but</w:t>
            </w:r>
            <w:r w:rsidR="00133081" w:rsidRPr="00CA3F84">
              <w:rPr>
                <w:color w:val="auto"/>
              </w:rPr>
              <w:t> </w:t>
            </w:r>
            <w:r w:rsidR="00BD48A3" w:rsidRPr="00CA3F84">
              <w:rPr>
                <w:color w:val="auto"/>
              </w:rPr>
              <w:t>»</w:t>
            </w:r>
          </w:p>
        </w:tc>
        <w:tc>
          <w:tcPr>
            <w:tcW w:w="3969" w:type="dxa"/>
          </w:tcPr>
          <w:p w14:paraId="63962175" w14:textId="0CAF2168" w:rsidR="00164803" w:rsidRPr="00CA3F84" w:rsidRDefault="00164803" w:rsidP="00E24784">
            <w:pPr>
              <w:rPr>
                <w:color w:val="auto"/>
              </w:rPr>
            </w:pPr>
            <w:r w:rsidRPr="00CA3F84">
              <w:rPr>
                <w:color w:val="auto"/>
              </w:rPr>
              <w:t>2.1.2.1</w:t>
            </w:r>
            <w:r w:rsidR="00B4312D" w:rsidRPr="00CA3F84">
              <w:rPr>
                <w:color w:val="auto"/>
              </w:rPr>
              <w:t xml:space="preserve">.  </w:t>
            </w:r>
            <w:r w:rsidR="00BD48A3" w:rsidRPr="00CA3F84">
              <w:rPr>
                <w:color w:val="auto"/>
              </w:rPr>
              <w:t xml:space="preserve">Communication trimestrielle aux propriétaires fonctionnels de l’analytique des </w:t>
            </w:r>
            <w:r w:rsidR="00E24784" w:rsidRPr="00CA3F84">
              <w:rPr>
                <w:color w:val="auto"/>
              </w:rPr>
              <w:t>ressources</w:t>
            </w:r>
            <w:r w:rsidR="00BD48A3" w:rsidRPr="00CA3F84">
              <w:rPr>
                <w:color w:val="auto"/>
              </w:rPr>
              <w:t xml:space="preserve"> du gouvernement ouvert</w:t>
            </w:r>
          </w:p>
        </w:tc>
        <w:tc>
          <w:tcPr>
            <w:tcW w:w="992" w:type="dxa"/>
          </w:tcPr>
          <w:p w14:paraId="118E8183" w14:textId="7B35F124" w:rsidR="00164803" w:rsidRPr="00CA3F84" w:rsidRDefault="005957F6" w:rsidP="00721B1B">
            <w:pPr>
              <w:rPr>
                <w:color w:val="auto"/>
              </w:rPr>
            </w:pPr>
            <w:r w:rsidRPr="00CA3F84">
              <w:rPr>
                <w:color w:val="auto"/>
              </w:rPr>
              <w:t>SGO</w:t>
            </w:r>
          </w:p>
        </w:tc>
        <w:tc>
          <w:tcPr>
            <w:tcW w:w="992" w:type="dxa"/>
          </w:tcPr>
          <w:p w14:paraId="230B49AC" w14:textId="3ED3BAA2" w:rsidR="00164803" w:rsidRPr="00CA3F84" w:rsidRDefault="005957F6" w:rsidP="00721B1B">
            <w:pPr>
              <w:rPr>
                <w:color w:val="auto"/>
              </w:rPr>
            </w:pPr>
            <w:r w:rsidRPr="00CA3F84">
              <w:rPr>
                <w:color w:val="auto"/>
              </w:rPr>
              <w:t>DSDA</w:t>
            </w:r>
          </w:p>
        </w:tc>
        <w:tc>
          <w:tcPr>
            <w:tcW w:w="1276" w:type="dxa"/>
          </w:tcPr>
          <w:p w14:paraId="7DE8B4C7" w14:textId="0F1CA89C" w:rsidR="00164803" w:rsidRPr="00CA3F84" w:rsidRDefault="0022037A" w:rsidP="00F71195">
            <w:pPr>
              <w:rPr>
                <w:color w:val="auto"/>
              </w:rPr>
            </w:pPr>
            <w:r w:rsidRPr="00CA3F84">
              <w:rPr>
                <w:color w:val="auto"/>
              </w:rPr>
              <w:t>À la f</w:t>
            </w:r>
            <w:r w:rsidR="00F71195" w:rsidRPr="00CA3F84">
              <w:rPr>
                <w:color w:val="auto"/>
              </w:rPr>
              <w:t>in de chaque trimestre, à compter de la fin du T1</w:t>
            </w:r>
            <w:r w:rsidR="00164803" w:rsidRPr="00CA3F84">
              <w:rPr>
                <w:color w:val="auto"/>
              </w:rPr>
              <w:t xml:space="preserve"> 2020 </w:t>
            </w:r>
          </w:p>
        </w:tc>
        <w:tc>
          <w:tcPr>
            <w:tcW w:w="1276" w:type="dxa"/>
          </w:tcPr>
          <w:p w14:paraId="636C2DCE" w14:textId="715A5266" w:rsidR="00164803" w:rsidRPr="00CA3F84" w:rsidRDefault="005957F6" w:rsidP="00514749">
            <w:pPr>
              <w:rPr>
                <w:color w:val="auto"/>
              </w:rPr>
            </w:pPr>
            <w:r w:rsidRPr="00CA3F84">
              <w:rPr>
                <w:color w:val="auto"/>
              </w:rPr>
              <w:t>Mars</w:t>
            </w:r>
            <w:r w:rsidR="00164803" w:rsidRPr="00CA3F84">
              <w:rPr>
                <w:color w:val="auto"/>
              </w:rPr>
              <w:t xml:space="preserve"> 2022</w:t>
            </w:r>
          </w:p>
        </w:tc>
      </w:tr>
      <w:tr w:rsidR="001D36F1" w:rsidRPr="00CA3F84" w14:paraId="0C52B300" w14:textId="77777777" w:rsidTr="007A197F">
        <w:tc>
          <w:tcPr>
            <w:tcW w:w="2411" w:type="dxa"/>
          </w:tcPr>
          <w:p w14:paraId="735527DF" w14:textId="7EDCF029" w:rsidR="001D36F1" w:rsidRPr="00CA3F84" w:rsidRDefault="001D36F1" w:rsidP="0022037A">
            <w:pPr>
              <w:rPr>
                <w:color w:val="auto"/>
              </w:rPr>
            </w:pPr>
            <w:r w:rsidRPr="00CA3F84">
              <w:rPr>
                <w:color w:val="auto"/>
              </w:rPr>
              <w:t>2.1.2.  Mobiliser les employés de la CFP pour qu’ils « Publient avec un but »</w:t>
            </w:r>
          </w:p>
        </w:tc>
        <w:tc>
          <w:tcPr>
            <w:tcW w:w="3969" w:type="dxa"/>
          </w:tcPr>
          <w:p w14:paraId="24E79C4A" w14:textId="1125DA79" w:rsidR="001D36F1" w:rsidRPr="00CA3F84" w:rsidRDefault="001D36F1" w:rsidP="001D36F1">
            <w:pPr>
              <w:rPr>
                <w:color w:val="auto"/>
              </w:rPr>
            </w:pPr>
            <w:r w:rsidRPr="001D36F1">
              <w:rPr>
                <w:color w:val="auto"/>
              </w:rPr>
              <w:t>2.1.2.2 Présentation des thèmes aux C</w:t>
            </w:r>
            <w:r>
              <w:rPr>
                <w:color w:val="auto"/>
              </w:rPr>
              <w:t>GS</w:t>
            </w:r>
            <w:r w:rsidRPr="001D36F1">
              <w:rPr>
                <w:color w:val="auto"/>
              </w:rPr>
              <w:t>, aux régions, aux directions, etc.</w:t>
            </w:r>
          </w:p>
        </w:tc>
        <w:tc>
          <w:tcPr>
            <w:tcW w:w="992" w:type="dxa"/>
          </w:tcPr>
          <w:p w14:paraId="64637A41" w14:textId="743B0CD3" w:rsidR="001D36F1" w:rsidRPr="00CA3F84" w:rsidRDefault="001D36F1" w:rsidP="00721B1B">
            <w:pPr>
              <w:rPr>
                <w:color w:val="auto"/>
              </w:rPr>
            </w:pPr>
            <w:r>
              <w:rPr>
                <w:color w:val="auto"/>
              </w:rPr>
              <w:t>SGO</w:t>
            </w:r>
          </w:p>
        </w:tc>
        <w:tc>
          <w:tcPr>
            <w:tcW w:w="992" w:type="dxa"/>
          </w:tcPr>
          <w:p w14:paraId="5755F25E" w14:textId="67491E4D" w:rsidR="001D36F1" w:rsidRPr="00CA3F84" w:rsidRDefault="001D36F1" w:rsidP="00721B1B">
            <w:pPr>
              <w:rPr>
                <w:color w:val="auto"/>
              </w:rPr>
            </w:pPr>
            <w:r>
              <w:rPr>
                <w:color w:val="auto"/>
              </w:rPr>
              <w:t>Aucun</w:t>
            </w:r>
          </w:p>
        </w:tc>
        <w:tc>
          <w:tcPr>
            <w:tcW w:w="1276" w:type="dxa"/>
          </w:tcPr>
          <w:p w14:paraId="173FE96D" w14:textId="58663306" w:rsidR="001D36F1" w:rsidRPr="00CA3F84" w:rsidRDefault="001D36F1" w:rsidP="00F71195">
            <w:pPr>
              <w:rPr>
                <w:color w:val="auto"/>
              </w:rPr>
            </w:pPr>
            <w:r>
              <w:rPr>
                <w:color w:val="auto"/>
              </w:rPr>
              <w:t>Sept. 2020</w:t>
            </w:r>
          </w:p>
        </w:tc>
        <w:tc>
          <w:tcPr>
            <w:tcW w:w="1276" w:type="dxa"/>
          </w:tcPr>
          <w:p w14:paraId="09EAB5F2" w14:textId="3E252A7A" w:rsidR="001D36F1" w:rsidRPr="00CA3F84" w:rsidRDefault="001D36F1" w:rsidP="00514749">
            <w:pPr>
              <w:rPr>
                <w:color w:val="auto"/>
              </w:rPr>
            </w:pPr>
            <w:r>
              <w:rPr>
                <w:color w:val="auto"/>
              </w:rPr>
              <w:t>Oct. 2020</w:t>
            </w:r>
          </w:p>
        </w:tc>
      </w:tr>
      <w:tr w:rsidR="00996C06" w:rsidRPr="00CA3F84" w14:paraId="31D2ED99" w14:textId="77777777" w:rsidTr="00CF62D0">
        <w:trPr>
          <w:trHeight w:val="1170"/>
        </w:trPr>
        <w:tc>
          <w:tcPr>
            <w:tcW w:w="2411" w:type="dxa"/>
          </w:tcPr>
          <w:p w14:paraId="556281DD" w14:textId="198873DE" w:rsidR="00996C06" w:rsidRPr="00CA3F84" w:rsidRDefault="00996C06" w:rsidP="00996C06">
            <w:pPr>
              <w:rPr>
                <w:color w:val="auto"/>
              </w:rPr>
            </w:pPr>
            <w:r w:rsidRPr="000F0B00">
              <w:rPr>
                <w:color w:val="auto"/>
              </w:rPr>
              <w:t>2.1.2.  Mobiliser les employés de la CFP pour qu’ils « Publient avec un but »</w:t>
            </w:r>
          </w:p>
        </w:tc>
        <w:tc>
          <w:tcPr>
            <w:tcW w:w="3969" w:type="dxa"/>
          </w:tcPr>
          <w:p w14:paraId="54423A8E" w14:textId="1D4A387E" w:rsidR="00996C06" w:rsidRPr="00CA3F84" w:rsidRDefault="00996C06" w:rsidP="001D36F1">
            <w:pPr>
              <w:rPr>
                <w:color w:val="auto"/>
              </w:rPr>
            </w:pPr>
            <w:r w:rsidRPr="00CA3F84">
              <w:rPr>
                <w:color w:val="auto"/>
              </w:rPr>
              <w:t>2.1.2.</w:t>
            </w:r>
            <w:r w:rsidR="001D36F1">
              <w:rPr>
                <w:color w:val="auto"/>
              </w:rPr>
              <w:t>3</w:t>
            </w:r>
            <w:r w:rsidRPr="00CA3F84">
              <w:rPr>
                <w:color w:val="auto"/>
              </w:rPr>
              <w:t xml:space="preserve">.  Animation de l’activité Portes Ouvertes </w:t>
            </w:r>
          </w:p>
        </w:tc>
        <w:tc>
          <w:tcPr>
            <w:tcW w:w="992" w:type="dxa"/>
          </w:tcPr>
          <w:p w14:paraId="0BCD494F" w14:textId="15304B0A" w:rsidR="00996C06" w:rsidRPr="00CA3F84" w:rsidRDefault="00996C06" w:rsidP="00996C06">
            <w:pPr>
              <w:rPr>
                <w:color w:val="auto"/>
              </w:rPr>
            </w:pPr>
            <w:r w:rsidRPr="00CA3F84">
              <w:rPr>
                <w:color w:val="auto"/>
              </w:rPr>
              <w:t>SGO</w:t>
            </w:r>
          </w:p>
        </w:tc>
        <w:tc>
          <w:tcPr>
            <w:tcW w:w="992" w:type="dxa"/>
          </w:tcPr>
          <w:p w14:paraId="5D820881" w14:textId="3489A2BD" w:rsidR="00996C06" w:rsidRPr="00CA3F84" w:rsidRDefault="00996C06" w:rsidP="00996C06">
            <w:pPr>
              <w:rPr>
                <w:color w:val="auto"/>
              </w:rPr>
            </w:pPr>
            <w:r>
              <w:rPr>
                <w:color w:val="auto"/>
              </w:rPr>
              <w:t>Aucun</w:t>
            </w:r>
          </w:p>
        </w:tc>
        <w:tc>
          <w:tcPr>
            <w:tcW w:w="1276" w:type="dxa"/>
          </w:tcPr>
          <w:p w14:paraId="0D439238" w14:textId="5329ED11" w:rsidR="00996C06" w:rsidRPr="00CA3F84" w:rsidRDefault="00402902" w:rsidP="00996C06">
            <w:pPr>
              <w:rPr>
                <w:color w:val="auto"/>
              </w:rPr>
            </w:pPr>
            <w:r>
              <w:rPr>
                <w:color w:val="auto"/>
              </w:rPr>
              <w:t>Nov</w:t>
            </w:r>
            <w:r w:rsidR="00996C06" w:rsidRPr="00CA3F84">
              <w:rPr>
                <w:color w:val="auto"/>
              </w:rPr>
              <w:t>.  2020</w:t>
            </w:r>
          </w:p>
          <w:p w14:paraId="233EDFF0" w14:textId="744D2962" w:rsidR="00996C06" w:rsidRPr="00CA3F84" w:rsidRDefault="00996C06" w:rsidP="00996C06">
            <w:pPr>
              <w:rPr>
                <w:color w:val="auto"/>
              </w:rPr>
            </w:pPr>
            <w:r w:rsidRPr="00CA3F84">
              <w:rPr>
                <w:color w:val="auto"/>
              </w:rPr>
              <w:t>Oct.  2021</w:t>
            </w:r>
          </w:p>
        </w:tc>
        <w:tc>
          <w:tcPr>
            <w:tcW w:w="1276" w:type="dxa"/>
          </w:tcPr>
          <w:p w14:paraId="58A225BF" w14:textId="437E62C2" w:rsidR="00996C06" w:rsidRPr="00CA3F84" w:rsidRDefault="00402902" w:rsidP="00996C06">
            <w:pPr>
              <w:rPr>
                <w:color w:val="auto"/>
              </w:rPr>
            </w:pPr>
            <w:r>
              <w:rPr>
                <w:color w:val="auto"/>
              </w:rPr>
              <w:t>Nov</w:t>
            </w:r>
            <w:r w:rsidR="00996C06" w:rsidRPr="00CA3F84">
              <w:rPr>
                <w:color w:val="auto"/>
              </w:rPr>
              <w:t>.  2020</w:t>
            </w:r>
          </w:p>
          <w:p w14:paraId="3E21CD6F" w14:textId="5F8F075F" w:rsidR="00996C06" w:rsidRPr="00CA3F84" w:rsidRDefault="00996C06" w:rsidP="00996C06">
            <w:pPr>
              <w:rPr>
                <w:color w:val="auto"/>
              </w:rPr>
            </w:pPr>
            <w:r w:rsidRPr="00CA3F84">
              <w:rPr>
                <w:color w:val="auto"/>
              </w:rPr>
              <w:t>Oct.  2021</w:t>
            </w:r>
          </w:p>
        </w:tc>
      </w:tr>
      <w:tr w:rsidR="00996C06" w:rsidRPr="00CA3F84" w14:paraId="28AD9113" w14:textId="77777777" w:rsidTr="007A197F">
        <w:tc>
          <w:tcPr>
            <w:tcW w:w="2411" w:type="dxa"/>
          </w:tcPr>
          <w:p w14:paraId="03F1CAFF" w14:textId="22D1D9F3" w:rsidR="00996C06" w:rsidRPr="00CA3F84" w:rsidRDefault="00996C06" w:rsidP="00996C06">
            <w:pPr>
              <w:rPr>
                <w:color w:val="auto"/>
              </w:rPr>
            </w:pPr>
            <w:r w:rsidRPr="000F0B00">
              <w:rPr>
                <w:color w:val="auto"/>
              </w:rPr>
              <w:t>2.1.2.  Mobiliser les employés de la CFP pour qu’ils « Publient avec un but »</w:t>
            </w:r>
          </w:p>
        </w:tc>
        <w:tc>
          <w:tcPr>
            <w:tcW w:w="3969" w:type="dxa"/>
          </w:tcPr>
          <w:p w14:paraId="5B5730F1" w14:textId="2F6EE30B" w:rsidR="00996C06" w:rsidRPr="00CA3F84" w:rsidRDefault="001D36F1" w:rsidP="00996C06">
            <w:pPr>
              <w:rPr>
                <w:color w:val="auto"/>
              </w:rPr>
            </w:pPr>
            <w:r>
              <w:rPr>
                <w:color w:val="auto"/>
              </w:rPr>
              <w:t>2.1.2.4</w:t>
            </w:r>
            <w:r w:rsidR="00996C06" w:rsidRPr="00CA3F84">
              <w:rPr>
                <w:color w:val="auto"/>
              </w:rPr>
              <w:t>.  Identification des ressources pour le gouvernement ouvert par le groupe de travail sur le gouvernement ouvert</w:t>
            </w:r>
          </w:p>
        </w:tc>
        <w:tc>
          <w:tcPr>
            <w:tcW w:w="992" w:type="dxa"/>
          </w:tcPr>
          <w:p w14:paraId="3AFD63CB" w14:textId="4A630A5A" w:rsidR="00996C06" w:rsidRPr="00CA3F84" w:rsidRDefault="00996C06" w:rsidP="00996C06">
            <w:pPr>
              <w:rPr>
                <w:color w:val="auto"/>
              </w:rPr>
            </w:pPr>
            <w:r w:rsidRPr="00CA3F84">
              <w:rPr>
                <w:color w:val="auto"/>
              </w:rPr>
              <w:t>SGO</w:t>
            </w:r>
          </w:p>
        </w:tc>
        <w:tc>
          <w:tcPr>
            <w:tcW w:w="992" w:type="dxa"/>
          </w:tcPr>
          <w:p w14:paraId="25EA3F36" w14:textId="51FA508A" w:rsidR="00996C06" w:rsidRPr="00CA3F84" w:rsidRDefault="00996C06" w:rsidP="00996C06">
            <w:pPr>
              <w:rPr>
                <w:color w:val="auto"/>
              </w:rPr>
            </w:pPr>
            <w:r w:rsidRPr="00CA3F84">
              <w:rPr>
                <w:color w:val="auto"/>
              </w:rPr>
              <w:t>GTGO</w:t>
            </w:r>
          </w:p>
        </w:tc>
        <w:tc>
          <w:tcPr>
            <w:tcW w:w="1276" w:type="dxa"/>
          </w:tcPr>
          <w:p w14:paraId="3F0356D2" w14:textId="7602EB59" w:rsidR="00996C06" w:rsidRPr="00CA3F84" w:rsidRDefault="00402902" w:rsidP="00996C06">
            <w:pPr>
              <w:rPr>
                <w:color w:val="auto"/>
              </w:rPr>
            </w:pPr>
            <w:r>
              <w:rPr>
                <w:color w:val="auto"/>
              </w:rPr>
              <w:t>Sept.</w:t>
            </w:r>
            <w:r w:rsidR="00996C06" w:rsidRPr="00CA3F84">
              <w:rPr>
                <w:color w:val="auto"/>
              </w:rPr>
              <w:t xml:space="preserve"> 2020</w:t>
            </w:r>
          </w:p>
        </w:tc>
        <w:tc>
          <w:tcPr>
            <w:tcW w:w="1276" w:type="dxa"/>
          </w:tcPr>
          <w:p w14:paraId="7E2691A0" w14:textId="02740A7E" w:rsidR="00996C06" w:rsidRPr="00CA3F84" w:rsidRDefault="00996C06" w:rsidP="00996C06">
            <w:pPr>
              <w:rPr>
                <w:color w:val="auto"/>
              </w:rPr>
            </w:pPr>
            <w:r w:rsidRPr="00CA3F84">
              <w:rPr>
                <w:color w:val="auto"/>
              </w:rPr>
              <w:t>Mars 2022</w:t>
            </w:r>
          </w:p>
        </w:tc>
      </w:tr>
      <w:tr w:rsidR="00996C06" w:rsidRPr="00CA3F84" w14:paraId="42ACFB5C" w14:textId="77777777" w:rsidTr="007A197F">
        <w:tc>
          <w:tcPr>
            <w:tcW w:w="2411" w:type="dxa"/>
          </w:tcPr>
          <w:p w14:paraId="293DC54C" w14:textId="67A311FF" w:rsidR="00996C06" w:rsidRPr="00CA3F84" w:rsidRDefault="00996C06" w:rsidP="00996C06">
            <w:pPr>
              <w:rPr>
                <w:color w:val="auto"/>
              </w:rPr>
            </w:pPr>
            <w:r w:rsidRPr="000F0B00">
              <w:rPr>
                <w:color w:val="auto"/>
              </w:rPr>
              <w:t>2.1.2.  Mobiliser les employés de la CFP pour qu’ils « Publient avec un but »</w:t>
            </w:r>
          </w:p>
        </w:tc>
        <w:tc>
          <w:tcPr>
            <w:tcW w:w="3969" w:type="dxa"/>
          </w:tcPr>
          <w:p w14:paraId="41C6B439" w14:textId="0B322C9D" w:rsidR="00996C06" w:rsidRPr="00CA3F84" w:rsidRDefault="00996C06" w:rsidP="001D36F1">
            <w:pPr>
              <w:rPr>
                <w:color w:val="auto"/>
              </w:rPr>
            </w:pPr>
            <w:r w:rsidRPr="00CA3F84">
              <w:rPr>
                <w:color w:val="auto"/>
              </w:rPr>
              <w:t>2.1.2.</w:t>
            </w:r>
            <w:r w:rsidR="001D36F1">
              <w:rPr>
                <w:color w:val="auto"/>
              </w:rPr>
              <w:t>5</w:t>
            </w:r>
            <w:r w:rsidRPr="00CA3F84">
              <w:rPr>
                <w:color w:val="auto"/>
              </w:rPr>
              <w:t>.  Communication d’une mise à jour trimestrielle sur les initiatives pour le gouvernement ouvert</w:t>
            </w:r>
          </w:p>
        </w:tc>
        <w:tc>
          <w:tcPr>
            <w:tcW w:w="992" w:type="dxa"/>
          </w:tcPr>
          <w:p w14:paraId="7EFCD0B6" w14:textId="591FAB7E" w:rsidR="00996C06" w:rsidRPr="00CA3F84" w:rsidRDefault="00996C06" w:rsidP="00996C06">
            <w:pPr>
              <w:rPr>
                <w:color w:val="auto"/>
              </w:rPr>
            </w:pPr>
            <w:r w:rsidRPr="00CA3F84">
              <w:rPr>
                <w:color w:val="auto"/>
              </w:rPr>
              <w:t>SGO</w:t>
            </w:r>
          </w:p>
        </w:tc>
        <w:tc>
          <w:tcPr>
            <w:tcW w:w="992" w:type="dxa"/>
          </w:tcPr>
          <w:p w14:paraId="43DFC66F" w14:textId="1F350F6B" w:rsidR="00996C06" w:rsidRPr="00CA3F84" w:rsidRDefault="00996C06" w:rsidP="00996C06">
            <w:pPr>
              <w:rPr>
                <w:color w:val="auto"/>
              </w:rPr>
            </w:pPr>
            <w:r>
              <w:rPr>
                <w:color w:val="auto"/>
              </w:rPr>
              <w:t>Aucun</w:t>
            </w:r>
          </w:p>
        </w:tc>
        <w:tc>
          <w:tcPr>
            <w:tcW w:w="1276" w:type="dxa"/>
          </w:tcPr>
          <w:p w14:paraId="10AF8C4F" w14:textId="397D0F4E" w:rsidR="00996C06" w:rsidRPr="00CA3F84" w:rsidRDefault="00996C06" w:rsidP="00996C06">
            <w:pPr>
              <w:rPr>
                <w:color w:val="auto"/>
              </w:rPr>
            </w:pPr>
            <w:r w:rsidRPr="00CA3F84">
              <w:rPr>
                <w:color w:val="auto"/>
              </w:rPr>
              <w:t>À la f</w:t>
            </w:r>
            <w:r>
              <w:rPr>
                <w:color w:val="auto"/>
              </w:rPr>
              <w:t xml:space="preserve">in de chaque trimestre - </w:t>
            </w:r>
            <w:r w:rsidRPr="00CA3F84">
              <w:rPr>
                <w:color w:val="auto"/>
              </w:rPr>
              <w:t>à compter de juillet 2020</w:t>
            </w:r>
          </w:p>
        </w:tc>
        <w:tc>
          <w:tcPr>
            <w:tcW w:w="1276" w:type="dxa"/>
          </w:tcPr>
          <w:p w14:paraId="39A67A42" w14:textId="3131A632" w:rsidR="00996C06" w:rsidRPr="00CA3F84" w:rsidRDefault="00996C06" w:rsidP="00996C06">
            <w:pPr>
              <w:rPr>
                <w:color w:val="auto"/>
              </w:rPr>
            </w:pPr>
            <w:r w:rsidRPr="00CA3F84">
              <w:rPr>
                <w:color w:val="auto"/>
              </w:rPr>
              <w:t>Mars 2022</w:t>
            </w:r>
          </w:p>
        </w:tc>
      </w:tr>
      <w:tr w:rsidR="00996C06" w:rsidRPr="00CA3F84" w14:paraId="249E5951" w14:textId="77777777" w:rsidTr="007A197F">
        <w:tc>
          <w:tcPr>
            <w:tcW w:w="2411" w:type="dxa"/>
          </w:tcPr>
          <w:p w14:paraId="46595C74" w14:textId="14BCA587" w:rsidR="00996C06" w:rsidRPr="00CA3F84" w:rsidRDefault="00996C06" w:rsidP="00996C06">
            <w:pPr>
              <w:rPr>
                <w:color w:val="auto"/>
              </w:rPr>
            </w:pPr>
            <w:r w:rsidRPr="00CA3F84">
              <w:rPr>
                <w:color w:val="auto"/>
              </w:rPr>
              <w:lastRenderedPageBreak/>
              <w:t>2.1.3.  Mobiliser un dialogue avec les fonctionnaires sur la « Publication avec un but »</w:t>
            </w:r>
          </w:p>
        </w:tc>
        <w:tc>
          <w:tcPr>
            <w:tcW w:w="3969" w:type="dxa"/>
          </w:tcPr>
          <w:p w14:paraId="6D3C9984" w14:textId="6EBF5285" w:rsidR="00996C06" w:rsidRPr="00CA3F84" w:rsidRDefault="00996C06" w:rsidP="00996C06">
            <w:pPr>
              <w:rPr>
                <w:color w:val="auto"/>
              </w:rPr>
            </w:pPr>
            <w:r w:rsidRPr="00CA3F84">
              <w:rPr>
                <w:color w:val="auto"/>
              </w:rPr>
              <w:t xml:space="preserve">2.1.3.1.  Incorporation des points à faire valoir sur le gouvernement ouvert dans les activités de sensibilisation menées par les unités opérationnelles, dont : Enquêtes, conseillers au soutien en dotation, Communauté nationale des gestionnaires, Conseil consultatif mixte de la CFP, Conseil des ressources humaines, etc.  </w:t>
            </w:r>
          </w:p>
        </w:tc>
        <w:tc>
          <w:tcPr>
            <w:tcW w:w="992" w:type="dxa"/>
          </w:tcPr>
          <w:p w14:paraId="48DA52D1" w14:textId="1BCE879B" w:rsidR="00996C06" w:rsidRPr="00CA3F84" w:rsidRDefault="00996C06" w:rsidP="00996C06">
            <w:pPr>
              <w:rPr>
                <w:color w:val="auto"/>
              </w:rPr>
            </w:pPr>
            <w:r w:rsidRPr="00CA3F84">
              <w:rPr>
                <w:color w:val="auto"/>
              </w:rPr>
              <w:t>SGO</w:t>
            </w:r>
          </w:p>
        </w:tc>
        <w:tc>
          <w:tcPr>
            <w:tcW w:w="992" w:type="dxa"/>
          </w:tcPr>
          <w:p w14:paraId="7AA7EB1F" w14:textId="6FFBE244" w:rsidR="00996C06" w:rsidRPr="00CA3F84" w:rsidRDefault="00996C06" w:rsidP="00996C06">
            <w:pPr>
              <w:rPr>
                <w:color w:val="auto"/>
              </w:rPr>
            </w:pPr>
            <w:r w:rsidRPr="00431500">
              <w:rPr>
                <w:color w:val="auto"/>
              </w:rPr>
              <w:t>Aucun</w:t>
            </w:r>
          </w:p>
        </w:tc>
        <w:tc>
          <w:tcPr>
            <w:tcW w:w="1276" w:type="dxa"/>
          </w:tcPr>
          <w:p w14:paraId="2A537B4B" w14:textId="36DCC9BA" w:rsidR="00996C06" w:rsidRPr="00CA3F84" w:rsidRDefault="00996C06" w:rsidP="00996C06">
            <w:pPr>
              <w:rPr>
                <w:color w:val="auto"/>
              </w:rPr>
            </w:pPr>
            <w:r w:rsidRPr="00CA3F84">
              <w:rPr>
                <w:color w:val="auto"/>
              </w:rPr>
              <w:t>Avr.  2020</w:t>
            </w:r>
          </w:p>
        </w:tc>
        <w:tc>
          <w:tcPr>
            <w:tcW w:w="1276" w:type="dxa"/>
          </w:tcPr>
          <w:p w14:paraId="5FADABA2" w14:textId="185AC26B" w:rsidR="00996C06" w:rsidRPr="00CA3F84" w:rsidRDefault="00996C06" w:rsidP="00996C06">
            <w:pPr>
              <w:rPr>
                <w:color w:val="auto"/>
              </w:rPr>
            </w:pPr>
            <w:r w:rsidRPr="00CA3F84">
              <w:rPr>
                <w:color w:val="auto"/>
              </w:rPr>
              <w:t>Mars 2022</w:t>
            </w:r>
          </w:p>
        </w:tc>
      </w:tr>
      <w:tr w:rsidR="00996C06" w:rsidRPr="00CA3F84" w14:paraId="03307BAE" w14:textId="77777777" w:rsidTr="007A197F">
        <w:tc>
          <w:tcPr>
            <w:tcW w:w="2411" w:type="dxa"/>
          </w:tcPr>
          <w:p w14:paraId="787A8E90" w14:textId="2A646613" w:rsidR="00996C06" w:rsidRPr="00CA3F84" w:rsidRDefault="00996C06" w:rsidP="00996C06">
            <w:pPr>
              <w:rPr>
                <w:color w:val="auto"/>
              </w:rPr>
            </w:pPr>
            <w:r w:rsidRPr="00CA3F84">
              <w:rPr>
                <w:color w:val="auto"/>
              </w:rPr>
              <w:t>2.1.3.  Mobiliser un dialogue avec les fonctionnaires sur la « Publication avec un but »</w:t>
            </w:r>
          </w:p>
        </w:tc>
        <w:tc>
          <w:tcPr>
            <w:tcW w:w="3969" w:type="dxa"/>
          </w:tcPr>
          <w:p w14:paraId="10BC1025" w14:textId="0BC6DA3B" w:rsidR="00996C06" w:rsidRPr="00CA3F84" w:rsidRDefault="00996C06" w:rsidP="00996C06">
            <w:pPr>
              <w:rPr>
                <w:color w:val="auto"/>
              </w:rPr>
            </w:pPr>
            <w:r w:rsidRPr="00CA3F84">
              <w:rPr>
                <w:color w:val="auto"/>
              </w:rPr>
              <w:t>2.1.3.2.  Communication de mises à jour trimestrielles sur les initiatives du gouvernement ouvert à la CFP sur GCconnex et GCcollab</w:t>
            </w:r>
          </w:p>
        </w:tc>
        <w:tc>
          <w:tcPr>
            <w:tcW w:w="992" w:type="dxa"/>
          </w:tcPr>
          <w:p w14:paraId="19C4093A" w14:textId="5694AD88" w:rsidR="00996C06" w:rsidRPr="00CA3F84" w:rsidRDefault="00996C06" w:rsidP="00996C06">
            <w:pPr>
              <w:rPr>
                <w:color w:val="auto"/>
              </w:rPr>
            </w:pPr>
            <w:r w:rsidRPr="00CA3F84">
              <w:rPr>
                <w:color w:val="auto"/>
              </w:rPr>
              <w:t>SGO</w:t>
            </w:r>
          </w:p>
        </w:tc>
        <w:tc>
          <w:tcPr>
            <w:tcW w:w="992" w:type="dxa"/>
          </w:tcPr>
          <w:p w14:paraId="10A2A8E0" w14:textId="2D244044" w:rsidR="00996C06" w:rsidRPr="00CA3F84" w:rsidRDefault="00996C06" w:rsidP="00996C06">
            <w:pPr>
              <w:rPr>
                <w:color w:val="auto"/>
              </w:rPr>
            </w:pPr>
            <w:r w:rsidRPr="00431500">
              <w:rPr>
                <w:color w:val="auto"/>
              </w:rPr>
              <w:t>Aucun</w:t>
            </w:r>
          </w:p>
        </w:tc>
        <w:tc>
          <w:tcPr>
            <w:tcW w:w="1276" w:type="dxa"/>
          </w:tcPr>
          <w:p w14:paraId="57B24EC7" w14:textId="02803ACA" w:rsidR="00996C06" w:rsidRPr="00CA3F84" w:rsidRDefault="00996C06" w:rsidP="00996C06">
            <w:pPr>
              <w:rPr>
                <w:color w:val="auto"/>
              </w:rPr>
            </w:pPr>
            <w:r w:rsidRPr="00CA3F84">
              <w:rPr>
                <w:color w:val="auto"/>
              </w:rPr>
              <w:t xml:space="preserve">Fin de chaque trimestre </w:t>
            </w:r>
            <w:r>
              <w:rPr>
                <w:color w:val="auto"/>
              </w:rPr>
              <w:t>-</w:t>
            </w:r>
            <w:r w:rsidRPr="00CA3F84">
              <w:rPr>
                <w:color w:val="auto"/>
              </w:rPr>
              <w:t xml:space="preserve"> à compter de juillet 2020</w:t>
            </w:r>
          </w:p>
        </w:tc>
        <w:tc>
          <w:tcPr>
            <w:tcW w:w="1276" w:type="dxa"/>
          </w:tcPr>
          <w:p w14:paraId="6E851982" w14:textId="16D2074D" w:rsidR="00996C06" w:rsidRPr="00CA3F84" w:rsidRDefault="00996C06" w:rsidP="00996C06">
            <w:pPr>
              <w:rPr>
                <w:color w:val="auto"/>
              </w:rPr>
            </w:pPr>
            <w:r w:rsidRPr="00CA3F84">
              <w:rPr>
                <w:color w:val="auto"/>
              </w:rPr>
              <w:t>Mars 2022</w:t>
            </w:r>
          </w:p>
        </w:tc>
      </w:tr>
      <w:tr w:rsidR="00996C06" w:rsidRPr="00CA3F84" w14:paraId="35F27F32" w14:textId="77777777" w:rsidTr="007A197F">
        <w:tc>
          <w:tcPr>
            <w:tcW w:w="2411" w:type="dxa"/>
          </w:tcPr>
          <w:p w14:paraId="66C0C081" w14:textId="57F3EF6E" w:rsidR="00996C06" w:rsidRPr="00CA3F84" w:rsidRDefault="00996C06" w:rsidP="00996C06">
            <w:pPr>
              <w:rPr>
                <w:color w:val="auto"/>
              </w:rPr>
            </w:pPr>
            <w:r w:rsidRPr="00CA3F84">
              <w:rPr>
                <w:color w:val="auto"/>
              </w:rPr>
              <w:t>2.1.4.  Mobiliser les Canadiens sur la « Publication avec un but »</w:t>
            </w:r>
          </w:p>
        </w:tc>
        <w:tc>
          <w:tcPr>
            <w:tcW w:w="3969" w:type="dxa"/>
          </w:tcPr>
          <w:p w14:paraId="0BA5F9F2" w14:textId="45D2B900" w:rsidR="00996C06" w:rsidRPr="00CA3F84" w:rsidRDefault="00996C06" w:rsidP="00996C06">
            <w:pPr>
              <w:rPr>
                <w:color w:val="auto"/>
              </w:rPr>
            </w:pPr>
            <w:r w:rsidRPr="00CA3F84">
              <w:rPr>
                <w:color w:val="auto"/>
              </w:rPr>
              <w:t>2.1.4.1.  Création d’un groupe de travail composé de membres de la CFP et de la société civile pour servir d’organisme consultatif afin de rehausser la pertinence du gouvernement ouvert pour les Canadiens</w:t>
            </w:r>
          </w:p>
        </w:tc>
        <w:tc>
          <w:tcPr>
            <w:tcW w:w="992" w:type="dxa"/>
          </w:tcPr>
          <w:p w14:paraId="79726DA9" w14:textId="38D7EA1C" w:rsidR="00996C06" w:rsidRPr="00CA3F84" w:rsidRDefault="00996C06" w:rsidP="00996C06">
            <w:pPr>
              <w:rPr>
                <w:color w:val="auto"/>
              </w:rPr>
            </w:pPr>
            <w:r w:rsidRPr="00CA3F84">
              <w:rPr>
                <w:color w:val="auto"/>
              </w:rPr>
              <w:t>SGO</w:t>
            </w:r>
          </w:p>
        </w:tc>
        <w:tc>
          <w:tcPr>
            <w:tcW w:w="992" w:type="dxa"/>
          </w:tcPr>
          <w:p w14:paraId="35E5E7CD" w14:textId="75F5F1E4" w:rsidR="00996C06" w:rsidRPr="00CA3F84" w:rsidRDefault="00996C06" w:rsidP="00996C06">
            <w:pPr>
              <w:rPr>
                <w:color w:val="auto"/>
              </w:rPr>
            </w:pPr>
            <w:r w:rsidRPr="00917C2C">
              <w:rPr>
                <w:color w:val="auto"/>
              </w:rPr>
              <w:t>Aucun</w:t>
            </w:r>
          </w:p>
        </w:tc>
        <w:tc>
          <w:tcPr>
            <w:tcW w:w="1276" w:type="dxa"/>
          </w:tcPr>
          <w:p w14:paraId="5897ACDF" w14:textId="60E099A5" w:rsidR="00996C06" w:rsidRPr="00CA3F84" w:rsidRDefault="0037142F" w:rsidP="00996C06">
            <w:pPr>
              <w:rPr>
                <w:color w:val="auto"/>
              </w:rPr>
            </w:pPr>
            <w:r>
              <w:rPr>
                <w:color w:val="auto"/>
              </w:rPr>
              <w:t>Sept</w:t>
            </w:r>
            <w:r w:rsidR="00996C06" w:rsidRPr="00CA3F84">
              <w:rPr>
                <w:color w:val="auto"/>
              </w:rPr>
              <w:t>.  2020</w:t>
            </w:r>
          </w:p>
        </w:tc>
        <w:tc>
          <w:tcPr>
            <w:tcW w:w="1276" w:type="dxa"/>
          </w:tcPr>
          <w:p w14:paraId="4DCFBF80" w14:textId="5BCA80C1" w:rsidR="00996C06" w:rsidRPr="00CA3F84" w:rsidRDefault="00402902" w:rsidP="00996C06">
            <w:pPr>
              <w:rPr>
                <w:color w:val="auto"/>
              </w:rPr>
            </w:pPr>
            <w:r>
              <w:rPr>
                <w:color w:val="auto"/>
              </w:rPr>
              <w:t>Mars 2021</w:t>
            </w:r>
          </w:p>
        </w:tc>
      </w:tr>
      <w:tr w:rsidR="00996C06" w:rsidRPr="00CA3F84" w14:paraId="03063EF4" w14:textId="77777777" w:rsidTr="007A197F">
        <w:tc>
          <w:tcPr>
            <w:tcW w:w="2411" w:type="dxa"/>
          </w:tcPr>
          <w:p w14:paraId="5913B8DC" w14:textId="13870D90" w:rsidR="00996C06" w:rsidRPr="00CA3F84" w:rsidRDefault="00996C06" w:rsidP="00996C06">
            <w:pPr>
              <w:rPr>
                <w:color w:val="auto"/>
              </w:rPr>
            </w:pPr>
            <w:r w:rsidRPr="008F600D">
              <w:rPr>
                <w:color w:val="auto"/>
              </w:rPr>
              <w:t>2.1.4.  Mobiliser les Canadiens sur la « Publication avec un but »</w:t>
            </w:r>
          </w:p>
        </w:tc>
        <w:tc>
          <w:tcPr>
            <w:tcW w:w="3969" w:type="dxa"/>
          </w:tcPr>
          <w:p w14:paraId="64A7C256" w14:textId="0B24FC4D" w:rsidR="00996C06" w:rsidRPr="00CA3F84" w:rsidRDefault="00996C06" w:rsidP="00996C06">
            <w:pPr>
              <w:rPr>
                <w:color w:val="auto"/>
              </w:rPr>
            </w:pPr>
            <w:r w:rsidRPr="00CA3F84">
              <w:rPr>
                <w:color w:val="auto"/>
              </w:rPr>
              <w:t>2.1.4.2.  Consultation des secteurs opérationnels de la CFP, y compris les régions et les CSD, sur les possibilités de tirer parti de forums existants à l’extérieur de la CFP, dont ECAMT (Enseignement coopératif et apprentissage en milieu de travail Canada</w:t>
            </w:r>
          </w:p>
        </w:tc>
        <w:tc>
          <w:tcPr>
            <w:tcW w:w="992" w:type="dxa"/>
          </w:tcPr>
          <w:p w14:paraId="12D74519" w14:textId="139AC571" w:rsidR="00996C06" w:rsidRPr="00CA3F84" w:rsidRDefault="00996C06" w:rsidP="00996C06">
            <w:pPr>
              <w:rPr>
                <w:color w:val="auto"/>
              </w:rPr>
            </w:pPr>
            <w:r w:rsidRPr="00CA3F84">
              <w:rPr>
                <w:color w:val="auto"/>
              </w:rPr>
              <w:t>SGO</w:t>
            </w:r>
          </w:p>
        </w:tc>
        <w:tc>
          <w:tcPr>
            <w:tcW w:w="992" w:type="dxa"/>
          </w:tcPr>
          <w:p w14:paraId="67827A1D" w14:textId="774DB64E" w:rsidR="00996C06" w:rsidRPr="00CA3F84" w:rsidRDefault="00996C06" w:rsidP="00996C06">
            <w:pPr>
              <w:rPr>
                <w:color w:val="auto"/>
              </w:rPr>
            </w:pPr>
            <w:r w:rsidRPr="00917C2C">
              <w:rPr>
                <w:color w:val="auto"/>
              </w:rPr>
              <w:t>Aucun</w:t>
            </w:r>
          </w:p>
        </w:tc>
        <w:tc>
          <w:tcPr>
            <w:tcW w:w="1276" w:type="dxa"/>
          </w:tcPr>
          <w:p w14:paraId="22774CEE" w14:textId="1F5AA394" w:rsidR="00996C06" w:rsidRPr="00CA3F84" w:rsidRDefault="00996C06" w:rsidP="00996C06">
            <w:pPr>
              <w:rPr>
                <w:color w:val="auto"/>
              </w:rPr>
            </w:pPr>
            <w:r w:rsidRPr="00CA3F84">
              <w:rPr>
                <w:color w:val="auto"/>
              </w:rPr>
              <w:t>Avr.  2020</w:t>
            </w:r>
          </w:p>
        </w:tc>
        <w:tc>
          <w:tcPr>
            <w:tcW w:w="1276" w:type="dxa"/>
          </w:tcPr>
          <w:p w14:paraId="55CF0BD8" w14:textId="3F68B150" w:rsidR="00996C06" w:rsidRPr="00CA3F84" w:rsidRDefault="00996C06" w:rsidP="00996C06">
            <w:pPr>
              <w:rPr>
                <w:color w:val="auto"/>
              </w:rPr>
            </w:pPr>
            <w:r w:rsidRPr="00CA3F84">
              <w:rPr>
                <w:color w:val="auto"/>
              </w:rPr>
              <w:t>Mars 2022</w:t>
            </w:r>
          </w:p>
        </w:tc>
      </w:tr>
      <w:tr w:rsidR="00996C06" w:rsidRPr="00CA3F84" w14:paraId="5823B4F2" w14:textId="77777777" w:rsidTr="007A197F">
        <w:tc>
          <w:tcPr>
            <w:tcW w:w="2411" w:type="dxa"/>
          </w:tcPr>
          <w:p w14:paraId="7B026118" w14:textId="3F1FFAA5" w:rsidR="00996C06" w:rsidRPr="00CA3F84" w:rsidRDefault="00996C06" w:rsidP="00996C06">
            <w:pPr>
              <w:rPr>
                <w:color w:val="auto"/>
              </w:rPr>
            </w:pPr>
            <w:r w:rsidRPr="008F600D">
              <w:rPr>
                <w:color w:val="auto"/>
              </w:rPr>
              <w:t>2.1.4.  Mobiliser les Canadiens sur la « Publication avec un but »</w:t>
            </w:r>
          </w:p>
        </w:tc>
        <w:tc>
          <w:tcPr>
            <w:tcW w:w="3969" w:type="dxa"/>
          </w:tcPr>
          <w:p w14:paraId="2553C464" w14:textId="4D4F0A2A" w:rsidR="00996C06" w:rsidRPr="00CA3F84" w:rsidRDefault="00996C06" w:rsidP="00996C06">
            <w:pPr>
              <w:rPr>
                <w:color w:val="auto"/>
              </w:rPr>
            </w:pPr>
            <w:r w:rsidRPr="00CA3F84">
              <w:rPr>
                <w:color w:val="auto"/>
              </w:rPr>
              <w:t>2.1.4.3.  Création d’une carte des intervenants</w:t>
            </w:r>
          </w:p>
        </w:tc>
        <w:tc>
          <w:tcPr>
            <w:tcW w:w="992" w:type="dxa"/>
          </w:tcPr>
          <w:p w14:paraId="19A1EEBF" w14:textId="006A76C0" w:rsidR="00996C06" w:rsidRPr="00CA3F84" w:rsidRDefault="00996C06" w:rsidP="00996C06">
            <w:pPr>
              <w:rPr>
                <w:color w:val="auto"/>
              </w:rPr>
            </w:pPr>
            <w:r w:rsidRPr="00CA3F84">
              <w:rPr>
                <w:color w:val="auto"/>
              </w:rPr>
              <w:t>SGO</w:t>
            </w:r>
          </w:p>
        </w:tc>
        <w:tc>
          <w:tcPr>
            <w:tcW w:w="992" w:type="dxa"/>
          </w:tcPr>
          <w:p w14:paraId="7450D4A0" w14:textId="6E41E59A" w:rsidR="00996C06" w:rsidRPr="00CA3F84" w:rsidRDefault="00996C06" w:rsidP="00996C06">
            <w:pPr>
              <w:rPr>
                <w:color w:val="auto"/>
              </w:rPr>
            </w:pPr>
            <w:r w:rsidRPr="00CA3F84">
              <w:rPr>
                <w:color w:val="auto"/>
              </w:rPr>
              <w:t xml:space="preserve">DSTI </w:t>
            </w:r>
          </w:p>
        </w:tc>
        <w:tc>
          <w:tcPr>
            <w:tcW w:w="1276" w:type="dxa"/>
          </w:tcPr>
          <w:p w14:paraId="1C9F5C4E" w14:textId="4C66D695" w:rsidR="00996C06" w:rsidRPr="00CA3F84" w:rsidRDefault="00996C06" w:rsidP="00996C06">
            <w:pPr>
              <w:rPr>
                <w:color w:val="auto"/>
              </w:rPr>
            </w:pPr>
            <w:r w:rsidRPr="00CA3F84">
              <w:rPr>
                <w:color w:val="auto"/>
              </w:rPr>
              <w:t>Janv.  2021</w:t>
            </w:r>
          </w:p>
        </w:tc>
        <w:tc>
          <w:tcPr>
            <w:tcW w:w="1276" w:type="dxa"/>
          </w:tcPr>
          <w:p w14:paraId="28A4DFA0" w14:textId="40A2EEF1" w:rsidR="00996C06" w:rsidRPr="00CA3F84" w:rsidRDefault="00996C06" w:rsidP="00996C06">
            <w:pPr>
              <w:rPr>
                <w:color w:val="auto"/>
              </w:rPr>
            </w:pPr>
            <w:r w:rsidRPr="00CA3F84">
              <w:rPr>
                <w:color w:val="auto"/>
              </w:rPr>
              <w:t>Févr.  2021</w:t>
            </w:r>
          </w:p>
        </w:tc>
      </w:tr>
      <w:tr w:rsidR="00996C06" w:rsidRPr="00CA3F84" w14:paraId="53702159" w14:textId="77777777" w:rsidTr="007A197F">
        <w:tc>
          <w:tcPr>
            <w:tcW w:w="2411" w:type="dxa"/>
          </w:tcPr>
          <w:p w14:paraId="3AA9E31D" w14:textId="48DF61A9" w:rsidR="00996C06" w:rsidRPr="00CA3F84" w:rsidRDefault="00996C06" w:rsidP="00996C06">
            <w:pPr>
              <w:rPr>
                <w:color w:val="auto"/>
              </w:rPr>
            </w:pPr>
            <w:r w:rsidRPr="008F600D">
              <w:rPr>
                <w:color w:val="auto"/>
              </w:rPr>
              <w:t>2.1.4.  Mobiliser les Canadiens sur la « Publication avec un but »</w:t>
            </w:r>
          </w:p>
        </w:tc>
        <w:tc>
          <w:tcPr>
            <w:tcW w:w="3969" w:type="dxa"/>
          </w:tcPr>
          <w:p w14:paraId="227A9179" w14:textId="5ABCB7D0" w:rsidR="00996C06" w:rsidRPr="00CA3F84" w:rsidRDefault="00996C06" w:rsidP="00996C06">
            <w:pPr>
              <w:rPr>
                <w:color w:val="auto"/>
              </w:rPr>
            </w:pPr>
            <w:r w:rsidRPr="00CA3F84">
              <w:rPr>
                <w:color w:val="auto"/>
              </w:rPr>
              <w:t>2.1.4.4.  Création d’un plan de sensibilisation et de communication externes afin de mobiliser les Canadiens et les intervenants en vue de cerner les problèmes et les questions qu’ils veulent régler</w:t>
            </w:r>
          </w:p>
        </w:tc>
        <w:tc>
          <w:tcPr>
            <w:tcW w:w="992" w:type="dxa"/>
          </w:tcPr>
          <w:p w14:paraId="532BA2CD" w14:textId="1763E2A9" w:rsidR="00996C06" w:rsidRPr="00CA3F84" w:rsidRDefault="00996C06" w:rsidP="00996C06">
            <w:pPr>
              <w:rPr>
                <w:color w:val="auto"/>
              </w:rPr>
            </w:pPr>
            <w:r w:rsidRPr="00CA3F84">
              <w:rPr>
                <w:color w:val="auto"/>
              </w:rPr>
              <w:t>SGO</w:t>
            </w:r>
          </w:p>
        </w:tc>
        <w:tc>
          <w:tcPr>
            <w:tcW w:w="992" w:type="dxa"/>
          </w:tcPr>
          <w:p w14:paraId="4C117620" w14:textId="7B57BF8D" w:rsidR="00996C06" w:rsidRPr="00CA3F84" w:rsidRDefault="00996C06" w:rsidP="00996C06">
            <w:pPr>
              <w:rPr>
                <w:color w:val="auto"/>
              </w:rPr>
            </w:pPr>
            <w:r>
              <w:rPr>
                <w:color w:val="auto"/>
              </w:rPr>
              <w:t>Aucun</w:t>
            </w:r>
          </w:p>
        </w:tc>
        <w:tc>
          <w:tcPr>
            <w:tcW w:w="1276" w:type="dxa"/>
          </w:tcPr>
          <w:p w14:paraId="3A31D75D" w14:textId="1CD9C432" w:rsidR="00996C06" w:rsidRPr="00CA3F84" w:rsidRDefault="00996C06" w:rsidP="00996C06">
            <w:pPr>
              <w:rPr>
                <w:color w:val="auto"/>
              </w:rPr>
            </w:pPr>
            <w:r w:rsidRPr="00CA3F84">
              <w:rPr>
                <w:color w:val="auto"/>
              </w:rPr>
              <w:t>Févr.  2021</w:t>
            </w:r>
          </w:p>
        </w:tc>
        <w:tc>
          <w:tcPr>
            <w:tcW w:w="1276" w:type="dxa"/>
          </w:tcPr>
          <w:p w14:paraId="251FE3BA" w14:textId="43440456" w:rsidR="00996C06" w:rsidRPr="00CA3F84" w:rsidRDefault="00996C06" w:rsidP="00996C06">
            <w:pPr>
              <w:rPr>
                <w:color w:val="auto"/>
              </w:rPr>
            </w:pPr>
            <w:r w:rsidRPr="00CA3F84">
              <w:rPr>
                <w:color w:val="auto"/>
              </w:rPr>
              <w:t>Mars 2021</w:t>
            </w:r>
          </w:p>
        </w:tc>
      </w:tr>
      <w:tr w:rsidR="00CA3F84" w:rsidRPr="00CA3F84" w14:paraId="039855EC" w14:textId="77777777" w:rsidTr="00BF375D">
        <w:trPr>
          <w:trHeight w:val="769"/>
        </w:trPr>
        <w:tc>
          <w:tcPr>
            <w:tcW w:w="2411" w:type="dxa"/>
          </w:tcPr>
          <w:p w14:paraId="71A5B977" w14:textId="3CB26271" w:rsidR="00CB635F" w:rsidRPr="00CA3F84" w:rsidRDefault="00996C06" w:rsidP="00BF375D">
            <w:pPr>
              <w:rPr>
                <w:color w:val="auto"/>
              </w:rPr>
            </w:pPr>
            <w:r w:rsidRPr="00CA3F84">
              <w:rPr>
                <w:color w:val="auto"/>
              </w:rPr>
              <w:lastRenderedPageBreak/>
              <w:t>2.1.4.  Mobiliser les Canadiens sur la « Publication avec un but »</w:t>
            </w:r>
          </w:p>
          <w:p w14:paraId="7DEC283D" w14:textId="6D1C4C3D" w:rsidR="00CB635F" w:rsidRPr="00CA3F84" w:rsidRDefault="00CB635F" w:rsidP="00BF375D">
            <w:pPr>
              <w:rPr>
                <w:color w:val="auto"/>
              </w:rPr>
            </w:pPr>
          </w:p>
        </w:tc>
        <w:tc>
          <w:tcPr>
            <w:tcW w:w="3969" w:type="dxa"/>
          </w:tcPr>
          <w:p w14:paraId="40CE70FE" w14:textId="1CB1B0BF" w:rsidR="00CB635F" w:rsidRPr="00CA3F84" w:rsidRDefault="00CB635F" w:rsidP="00B10DFB">
            <w:pPr>
              <w:rPr>
                <w:color w:val="auto"/>
              </w:rPr>
            </w:pPr>
            <w:r w:rsidRPr="00CA3F84">
              <w:rPr>
                <w:color w:val="auto"/>
              </w:rPr>
              <w:t>2.1.4.5</w:t>
            </w:r>
            <w:r w:rsidR="00B4312D" w:rsidRPr="00CA3F84">
              <w:rPr>
                <w:color w:val="auto"/>
              </w:rPr>
              <w:t xml:space="preserve">.  </w:t>
            </w:r>
            <w:r w:rsidR="00B10DFB" w:rsidRPr="00CA3F84">
              <w:rPr>
                <w:color w:val="auto"/>
              </w:rPr>
              <w:t>Amélioration de la présence du gouvernement ouvert à la CFP sur les médias sociaux (</w:t>
            </w:r>
            <w:r w:rsidRPr="00CA3F84">
              <w:rPr>
                <w:color w:val="auto"/>
              </w:rPr>
              <w:t>Twitter, LinkedIn, GCcollab, etc.)</w:t>
            </w:r>
          </w:p>
        </w:tc>
        <w:tc>
          <w:tcPr>
            <w:tcW w:w="992" w:type="dxa"/>
          </w:tcPr>
          <w:p w14:paraId="4AD1A92C" w14:textId="5849942D" w:rsidR="00CB635F" w:rsidRPr="00CA3F84" w:rsidRDefault="00CB635F" w:rsidP="00721B1B">
            <w:pPr>
              <w:rPr>
                <w:color w:val="auto"/>
              </w:rPr>
            </w:pPr>
            <w:r w:rsidRPr="00CA3F84">
              <w:rPr>
                <w:color w:val="auto"/>
              </w:rPr>
              <w:t>SGO</w:t>
            </w:r>
          </w:p>
        </w:tc>
        <w:tc>
          <w:tcPr>
            <w:tcW w:w="992" w:type="dxa"/>
          </w:tcPr>
          <w:p w14:paraId="6853E236" w14:textId="63A3439B" w:rsidR="00CB635F" w:rsidRPr="00CA3F84" w:rsidRDefault="00CB635F" w:rsidP="00721B1B">
            <w:pPr>
              <w:rPr>
                <w:color w:val="auto"/>
              </w:rPr>
            </w:pPr>
            <w:r w:rsidRPr="00CA3F84">
              <w:rPr>
                <w:color w:val="auto"/>
              </w:rPr>
              <w:t>DSTI</w:t>
            </w:r>
          </w:p>
        </w:tc>
        <w:tc>
          <w:tcPr>
            <w:tcW w:w="1276" w:type="dxa"/>
          </w:tcPr>
          <w:p w14:paraId="057DDEED" w14:textId="269E329B" w:rsidR="00CB635F" w:rsidRPr="00CA3F84" w:rsidRDefault="00CB635F" w:rsidP="00514749">
            <w:pPr>
              <w:rPr>
                <w:color w:val="auto"/>
              </w:rPr>
            </w:pPr>
            <w:r w:rsidRPr="00CA3F84">
              <w:rPr>
                <w:color w:val="auto"/>
              </w:rPr>
              <w:t>Avr</w:t>
            </w:r>
            <w:r w:rsidR="00B4312D" w:rsidRPr="00CA3F84">
              <w:rPr>
                <w:color w:val="auto"/>
              </w:rPr>
              <w:t xml:space="preserve">.  </w:t>
            </w:r>
            <w:r w:rsidRPr="00CA3F84">
              <w:rPr>
                <w:color w:val="auto"/>
              </w:rPr>
              <w:t>2020</w:t>
            </w:r>
          </w:p>
        </w:tc>
        <w:tc>
          <w:tcPr>
            <w:tcW w:w="1276" w:type="dxa"/>
          </w:tcPr>
          <w:p w14:paraId="48DDE49E" w14:textId="4712587A" w:rsidR="00CB635F" w:rsidRPr="00CA3F84" w:rsidRDefault="00CB635F" w:rsidP="00514749">
            <w:pPr>
              <w:rPr>
                <w:color w:val="auto"/>
              </w:rPr>
            </w:pPr>
            <w:r w:rsidRPr="00CA3F84">
              <w:rPr>
                <w:color w:val="auto"/>
              </w:rPr>
              <w:t>Mars 2022</w:t>
            </w:r>
          </w:p>
        </w:tc>
      </w:tr>
    </w:tbl>
    <w:p w14:paraId="13B15C2F" w14:textId="2537BF0A" w:rsidR="0041491D" w:rsidRPr="005957F6" w:rsidRDefault="00996C06" w:rsidP="00BF375D">
      <w:pPr>
        <w:pStyle w:val="Heading2"/>
        <w:ind w:left="-851"/>
      </w:pPr>
      <w:bookmarkStart w:id="79" w:name="_Toc44323402"/>
      <w:r>
        <w:br/>
      </w:r>
      <w:bookmarkStart w:id="80" w:name="_Toc50038772"/>
      <w:r w:rsidR="0041491D" w:rsidRPr="005957F6">
        <w:t>3.0 Optimi</w:t>
      </w:r>
      <w:r w:rsidR="00E054AA">
        <w:t>ser le libre-service grâce à l’innovation</w:t>
      </w:r>
      <w:bookmarkEnd w:id="79"/>
      <w:bookmarkEnd w:id="80"/>
      <w:r w:rsidR="0041491D" w:rsidRPr="005957F6">
        <w:t xml:space="preserve"> </w:t>
      </w:r>
    </w:p>
    <w:p w14:paraId="162A3A96" w14:textId="3D5648B3" w:rsidR="0041491D" w:rsidRPr="00CA3F84" w:rsidRDefault="0041491D" w:rsidP="0041491D">
      <w:pPr>
        <w:pStyle w:val="Heading3"/>
        <w:ind w:left="-851"/>
        <w:rPr>
          <w:color w:val="auto"/>
        </w:rPr>
      </w:pPr>
      <w:bookmarkStart w:id="81" w:name="_Toc30058984"/>
      <w:bookmarkStart w:id="82" w:name="_Toc30682134"/>
      <w:bookmarkStart w:id="83" w:name="_Toc44404885"/>
      <w:bookmarkStart w:id="84" w:name="_Toc44323403"/>
      <w:bookmarkStart w:id="85" w:name="_Toc46827423"/>
      <w:bookmarkStart w:id="86" w:name="_Toc49767863"/>
      <w:bookmarkStart w:id="87" w:name="_Toc50038773"/>
      <w:r w:rsidRPr="00CA3F84">
        <w:rPr>
          <w:color w:val="auto"/>
        </w:rPr>
        <w:t>3.1</w:t>
      </w:r>
      <w:r w:rsidR="00B4312D" w:rsidRPr="00CA3F84">
        <w:rPr>
          <w:color w:val="auto"/>
        </w:rPr>
        <w:t xml:space="preserve">.  </w:t>
      </w:r>
      <w:bookmarkEnd w:id="81"/>
      <w:r w:rsidR="00B10DFB" w:rsidRPr="00CA3F84">
        <w:rPr>
          <w:color w:val="auto"/>
        </w:rPr>
        <w:t>Assurer la convivialité interne du gouvernement ouvert pour les employés</w:t>
      </w:r>
      <w:bookmarkEnd w:id="82"/>
      <w:bookmarkEnd w:id="83"/>
      <w:bookmarkEnd w:id="84"/>
      <w:bookmarkEnd w:id="85"/>
      <w:bookmarkEnd w:id="86"/>
      <w:bookmarkEnd w:id="87"/>
    </w:p>
    <w:tbl>
      <w:tblPr>
        <w:tblStyle w:val="TableGrid"/>
        <w:tblW w:w="10916" w:type="dxa"/>
        <w:tblInd w:w="-856" w:type="dxa"/>
        <w:tblLayout w:type="fixed"/>
        <w:tblLook w:val="04A0" w:firstRow="1" w:lastRow="0" w:firstColumn="1" w:lastColumn="0" w:noHBand="0" w:noVBand="1"/>
        <w:tblDescription w:val="Ce tableau est composé de 6 colonnes et 8 lignes, et ne contient aucune cellules divisées ou fusionnées"/>
      </w:tblPr>
      <w:tblGrid>
        <w:gridCol w:w="2411"/>
        <w:gridCol w:w="3969"/>
        <w:gridCol w:w="992"/>
        <w:gridCol w:w="992"/>
        <w:gridCol w:w="1276"/>
        <w:gridCol w:w="1276"/>
      </w:tblGrid>
      <w:tr w:rsidR="00CA3F84" w:rsidRPr="00CA3F84" w14:paraId="7689DAD0" w14:textId="77777777" w:rsidTr="006968CC">
        <w:trPr>
          <w:trHeight w:val="685"/>
          <w:tblHeader/>
        </w:trPr>
        <w:tc>
          <w:tcPr>
            <w:tcW w:w="2411" w:type="dxa"/>
            <w:shd w:val="clear" w:color="auto" w:fill="D9D9D9" w:themeFill="background1" w:themeFillShade="D9"/>
          </w:tcPr>
          <w:p w14:paraId="6D165937" w14:textId="4AEB1617" w:rsidR="005957F6" w:rsidRPr="00CA3F84" w:rsidRDefault="005957F6" w:rsidP="00232E05">
            <w:pPr>
              <w:jc w:val="center"/>
              <w:rPr>
                <w:b/>
                <w:color w:val="auto"/>
              </w:rPr>
            </w:pPr>
            <w:r w:rsidRPr="00CA3F84">
              <w:rPr>
                <w:b/>
                <w:color w:val="auto"/>
              </w:rPr>
              <w:t>Activités</w:t>
            </w:r>
          </w:p>
        </w:tc>
        <w:tc>
          <w:tcPr>
            <w:tcW w:w="3969" w:type="dxa"/>
            <w:shd w:val="clear" w:color="auto" w:fill="D9D9D9" w:themeFill="background1" w:themeFillShade="D9"/>
          </w:tcPr>
          <w:p w14:paraId="0D699330" w14:textId="26A17745" w:rsidR="005957F6" w:rsidRPr="00CA3F84" w:rsidRDefault="005957F6" w:rsidP="00232E05">
            <w:pPr>
              <w:jc w:val="center"/>
              <w:rPr>
                <w:b/>
                <w:color w:val="auto"/>
              </w:rPr>
            </w:pPr>
            <w:r w:rsidRPr="00CA3F84">
              <w:rPr>
                <w:b/>
                <w:color w:val="auto"/>
              </w:rPr>
              <w:t>Produits livrables</w:t>
            </w:r>
          </w:p>
        </w:tc>
        <w:tc>
          <w:tcPr>
            <w:tcW w:w="992" w:type="dxa"/>
            <w:shd w:val="clear" w:color="auto" w:fill="D9D9D9" w:themeFill="background1" w:themeFillShade="D9"/>
          </w:tcPr>
          <w:p w14:paraId="264043D3" w14:textId="337D9610" w:rsidR="005957F6" w:rsidRPr="00CA3F84" w:rsidRDefault="005957F6" w:rsidP="00232E05">
            <w:pPr>
              <w:jc w:val="center"/>
              <w:rPr>
                <w:b/>
                <w:color w:val="auto"/>
              </w:rPr>
            </w:pPr>
            <w:r w:rsidRPr="00CA3F84">
              <w:rPr>
                <w:b/>
                <w:color w:val="auto"/>
              </w:rPr>
              <w:t>Responsable</w:t>
            </w:r>
          </w:p>
        </w:tc>
        <w:tc>
          <w:tcPr>
            <w:tcW w:w="992" w:type="dxa"/>
            <w:shd w:val="clear" w:color="auto" w:fill="D9D9D9" w:themeFill="background1" w:themeFillShade="D9"/>
          </w:tcPr>
          <w:p w14:paraId="0A76AFA7" w14:textId="3F716339" w:rsidR="005957F6" w:rsidRPr="00CA3F84" w:rsidRDefault="005957F6" w:rsidP="00232E05">
            <w:pPr>
              <w:jc w:val="center"/>
              <w:rPr>
                <w:b/>
                <w:color w:val="auto"/>
              </w:rPr>
            </w:pPr>
            <w:r w:rsidRPr="00CA3F84">
              <w:rPr>
                <w:b/>
                <w:color w:val="auto"/>
              </w:rPr>
              <w:t>Soutien</w:t>
            </w:r>
          </w:p>
        </w:tc>
        <w:tc>
          <w:tcPr>
            <w:tcW w:w="1276" w:type="dxa"/>
            <w:shd w:val="clear" w:color="auto" w:fill="D9D9D9" w:themeFill="background1" w:themeFillShade="D9"/>
          </w:tcPr>
          <w:p w14:paraId="7669B145" w14:textId="02A052BE" w:rsidR="005957F6" w:rsidRPr="00CA3F84" w:rsidRDefault="005957F6" w:rsidP="00232E05">
            <w:pPr>
              <w:jc w:val="center"/>
              <w:rPr>
                <w:b/>
                <w:color w:val="auto"/>
              </w:rPr>
            </w:pPr>
            <w:r w:rsidRPr="00CA3F84">
              <w:rPr>
                <w:b/>
                <w:color w:val="auto"/>
              </w:rPr>
              <w:t>Date de début</w:t>
            </w:r>
          </w:p>
        </w:tc>
        <w:tc>
          <w:tcPr>
            <w:tcW w:w="1276" w:type="dxa"/>
            <w:shd w:val="clear" w:color="auto" w:fill="D9D9D9" w:themeFill="background1" w:themeFillShade="D9"/>
          </w:tcPr>
          <w:p w14:paraId="4FC292E2" w14:textId="2E35B320" w:rsidR="005957F6" w:rsidRPr="00CA3F84" w:rsidRDefault="005957F6" w:rsidP="00232E05">
            <w:pPr>
              <w:jc w:val="center"/>
              <w:rPr>
                <w:b/>
                <w:color w:val="auto"/>
              </w:rPr>
            </w:pPr>
            <w:r w:rsidRPr="00CA3F84">
              <w:rPr>
                <w:b/>
                <w:color w:val="auto"/>
              </w:rPr>
              <w:t>Date de fin</w:t>
            </w:r>
          </w:p>
        </w:tc>
      </w:tr>
      <w:tr w:rsidR="00CA3F84" w:rsidRPr="00CA3F84" w14:paraId="2C1254F3" w14:textId="77777777" w:rsidTr="007A197F">
        <w:tc>
          <w:tcPr>
            <w:tcW w:w="2411" w:type="dxa"/>
          </w:tcPr>
          <w:p w14:paraId="219C614A" w14:textId="10599D51" w:rsidR="00164803" w:rsidRPr="00CA3F84" w:rsidRDefault="00164803" w:rsidP="00A91E85">
            <w:pPr>
              <w:rPr>
                <w:color w:val="auto"/>
              </w:rPr>
            </w:pPr>
            <w:r w:rsidRPr="00CA3F84">
              <w:rPr>
                <w:color w:val="auto"/>
              </w:rPr>
              <w:t>3.1.1</w:t>
            </w:r>
            <w:r w:rsidR="00B4312D" w:rsidRPr="00CA3F84">
              <w:rPr>
                <w:color w:val="auto"/>
              </w:rPr>
              <w:t xml:space="preserve">.  </w:t>
            </w:r>
            <w:r w:rsidR="00B10DFB" w:rsidRPr="00CA3F84">
              <w:rPr>
                <w:color w:val="auto"/>
              </w:rPr>
              <w:t xml:space="preserve">Actualiser les modèles de la CFP pour que ceux-ci incluent les </w:t>
            </w:r>
            <w:r w:rsidR="00A91E85" w:rsidRPr="00CA3F84">
              <w:rPr>
                <w:color w:val="auto"/>
              </w:rPr>
              <w:t xml:space="preserve">considérations liées </w:t>
            </w:r>
            <w:r w:rsidR="00B10DFB" w:rsidRPr="00CA3F84">
              <w:rPr>
                <w:color w:val="auto"/>
              </w:rPr>
              <w:t>au gouvernement ouvert</w:t>
            </w:r>
          </w:p>
        </w:tc>
        <w:tc>
          <w:tcPr>
            <w:tcW w:w="3969" w:type="dxa"/>
          </w:tcPr>
          <w:p w14:paraId="3303105E" w14:textId="452D335E" w:rsidR="00164803" w:rsidRPr="00CA3F84" w:rsidRDefault="00164803" w:rsidP="00A91E85">
            <w:pPr>
              <w:rPr>
                <w:color w:val="auto"/>
              </w:rPr>
            </w:pPr>
            <w:r w:rsidRPr="00CA3F84">
              <w:rPr>
                <w:color w:val="auto"/>
              </w:rPr>
              <w:t>3.1.1.1</w:t>
            </w:r>
            <w:r w:rsidR="00B4312D" w:rsidRPr="00CA3F84">
              <w:rPr>
                <w:color w:val="auto"/>
              </w:rPr>
              <w:t xml:space="preserve">.  </w:t>
            </w:r>
            <w:r w:rsidR="00B10DFB" w:rsidRPr="00CA3F84">
              <w:rPr>
                <w:color w:val="auto"/>
              </w:rPr>
              <w:t>Évaluation de la faisabilité d’</w:t>
            </w:r>
            <w:r w:rsidR="00A91E85" w:rsidRPr="00CA3F84">
              <w:rPr>
                <w:color w:val="auto"/>
              </w:rPr>
              <w:t xml:space="preserve">inclure les considérations liées </w:t>
            </w:r>
            <w:r w:rsidR="00B10DFB" w:rsidRPr="00CA3F84">
              <w:rPr>
                <w:color w:val="auto"/>
              </w:rPr>
              <w:t xml:space="preserve">au gouvernement ouvert dans les modèles des notes d’information </w:t>
            </w:r>
          </w:p>
        </w:tc>
        <w:tc>
          <w:tcPr>
            <w:tcW w:w="992" w:type="dxa"/>
          </w:tcPr>
          <w:p w14:paraId="273AAACD" w14:textId="7FF1A5FB" w:rsidR="00164803" w:rsidRPr="00CA3F84" w:rsidRDefault="00B10DFB" w:rsidP="00B10DFB">
            <w:pPr>
              <w:rPr>
                <w:color w:val="auto"/>
              </w:rPr>
            </w:pPr>
            <w:r w:rsidRPr="00CA3F84">
              <w:rPr>
                <w:color w:val="auto"/>
              </w:rPr>
              <w:t>SAG</w:t>
            </w:r>
          </w:p>
        </w:tc>
        <w:tc>
          <w:tcPr>
            <w:tcW w:w="992" w:type="dxa"/>
          </w:tcPr>
          <w:p w14:paraId="032B3341" w14:textId="6A8EE650" w:rsidR="00DD5765" w:rsidRPr="00CA3F84" w:rsidRDefault="005957F6" w:rsidP="0041491D">
            <w:pPr>
              <w:rPr>
                <w:color w:val="auto"/>
              </w:rPr>
            </w:pPr>
            <w:r w:rsidRPr="00CA3F84">
              <w:rPr>
                <w:color w:val="auto"/>
              </w:rPr>
              <w:t>SGO</w:t>
            </w:r>
          </w:p>
          <w:p w14:paraId="64D0A708" w14:textId="16027D7E" w:rsidR="00164803" w:rsidRPr="00CA3F84" w:rsidRDefault="005957F6" w:rsidP="00B743B0">
            <w:pPr>
              <w:rPr>
                <w:color w:val="auto"/>
              </w:rPr>
            </w:pPr>
            <w:r w:rsidRPr="00CA3F84">
              <w:rPr>
                <w:color w:val="auto"/>
              </w:rPr>
              <w:t>DSTI</w:t>
            </w:r>
          </w:p>
        </w:tc>
        <w:tc>
          <w:tcPr>
            <w:tcW w:w="1276" w:type="dxa"/>
          </w:tcPr>
          <w:p w14:paraId="554BBC77" w14:textId="247AE199" w:rsidR="00164803" w:rsidRPr="00CA3F84" w:rsidRDefault="006D4609" w:rsidP="00514749">
            <w:pPr>
              <w:rPr>
                <w:color w:val="auto"/>
              </w:rPr>
            </w:pPr>
            <w:r>
              <w:rPr>
                <w:color w:val="auto"/>
              </w:rPr>
              <w:t>Janv. 2021</w:t>
            </w:r>
          </w:p>
        </w:tc>
        <w:tc>
          <w:tcPr>
            <w:tcW w:w="1276" w:type="dxa"/>
          </w:tcPr>
          <w:p w14:paraId="558A0C9A" w14:textId="1357B962" w:rsidR="00164803" w:rsidRPr="00CA3F84" w:rsidRDefault="005957F6" w:rsidP="00514749">
            <w:pPr>
              <w:rPr>
                <w:color w:val="auto"/>
              </w:rPr>
            </w:pPr>
            <w:r w:rsidRPr="00CA3F84">
              <w:rPr>
                <w:color w:val="auto"/>
              </w:rPr>
              <w:t>Mars</w:t>
            </w:r>
            <w:r w:rsidR="00DD5765" w:rsidRPr="00CA3F84">
              <w:rPr>
                <w:color w:val="auto"/>
              </w:rPr>
              <w:t xml:space="preserve"> 2021</w:t>
            </w:r>
          </w:p>
        </w:tc>
      </w:tr>
      <w:tr w:rsidR="00CA3F84" w:rsidRPr="00CA3F84" w14:paraId="0DBC6A50" w14:textId="77777777" w:rsidTr="007A197F">
        <w:tc>
          <w:tcPr>
            <w:tcW w:w="2411" w:type="dxa"/>
          </w:tcPr>
          <w:p w14:paraId="5651C26C" w14:textId="5D6ECEEF" w:rsidR="00164803" w:rsidRPr="00CA3F84" w:rsidRDefault="00996C06" w:rsidP="0041491D">
            <w:pPr>
              <w:rPr>
                <w:color w:val="auto"/>
              </w:rPr>
            </w:pPr>
            <w:r w:rsidRPr="00CA3F84">
              <w:rPr>
                <w:color w:val="auto"/>
              </w:rPr>
              <w:t>3.1.1.  Actualiser les modèles de la CFP pour que ceux-ci incluent les considérations liées au gouvernement ouvert</w:t>
            </w:r>
          </w:p>
        </w:tc>
        <w:tc>
          <w:tcPr>
            <w:tcW w:w="3969" w:type="dxa"/>
          </w:tcPr>
          <w:p w14:paraId="244362BD" w14:textId="301F102A" w:rsidR="00164803" w:rsidRPr="00CA3F84" w:rsidRDefault="00164803" w:rsidP="00F7461D">
            <w:pPr>
              <w:rPr>
                <w:color w:val="auto"/>
              </w:rPr>
            </w:pPr>
            <w:r w:rsidRPr="00CA3F84">
              <w:rPr>
                <w:color w:val="auto"/>
              </w:rPr>
              <w:t>3.1.1.2</w:t>
            </w:r>
            <w:r w:rsidR="00B4312D" w:rsidRPr="00CA3F84">
              <w:rPr>
                <w:color w:val="auto"/>
              </w:rPr>
              <w:t xml:space="preserve">.  </w:t>
            </w:r>
            <w:r w:rsidR="00F7461D" w:rsidRPr="00CA3F84">
              <w:rPr>
                <w:color w:val="auto"/>
              </w:rPr>
              <w:t>M</w:t>
            </w:r>
            <w:r w:rsidR="00A91E85" w:rsidRPr="00CA3F84">
              <w:rPr>
                <w:color w:val="auto"/>
              </w:rPr>
              <w:t xml:space="preserve">odèle </w:t>
            </w:r>
            <w:r w:rsidR="008A5D9D" w:rsidRPr="00CA3F84">
              <w:rPr>
                <w:color w:val="auto"/>
              </w:rPr>
              <w:t xml:space="preserve">de présentation révisé </w:t>
            </w:r>
            <w:r w:rsidR="00A91E85" w:rsidRPr="00CA3F84">
              <w:rPr>
                <w:color w:val="auto"/>
              </w:rPr>
              <w:t>de la CFP</w:t>
            </w:r>
            <w:r w:rsidR="00F7461D" w:rsidRPr="00CA3F84">
              <w:rPr>
                <w:color w:val="auto"/>
              </w:rPr>
              <w:t xml:space="preserve"> incluant des considérations liées au gouvernement ouvert</w:t>
            </w:r>
          </w:p>
        </w:tc>
        <w:tc>
          <w:tcPr>
            <w:tcW w:w="992" w:type="dxa"/>
          </w:tcPr>
          <w:p w14:paraId="482FC4C7" w14:textId="1D075AFF" w:rsidR="00164803" w:rsidRPr="00CA3F84" w:rsidRDefault="005957F6" w:rsidP="0041491D">
            <w:pPr>
              <w:rPr>
                <w:color w:val="auto"/>
              </w:rPr>
            </w:pPr>
            <w:r w:rsidRPr="00CA3F84">
              <w:rPr>
                <w:color w:val="auto"/>
              </w:rPr>
              <w:t>DCAP</w:t>
            </w:r>
          </w:p>
        </w:tc>
        <w:tc>
          <w:tcPr>
            <w:tcW w:w="992" w:type="dxa"/>
          </w:tcPr>
          <w:p w14:paraId="6B9CD125" w14:textId="08719D56" w:rsidR="00164803" w:rsidRPr="00CA3F84" w:rsidRDefault="005957F6" w:rsidP="0041491D">
            <w:pPr>
              <w:rPr>
                <w:color w:val="auto"/>
              </w:rPr>
            </w:pPr>
            <w:r w:rsidRPr="00CA3F84">
              <w:rPr>
                <w:color w:val="auto"/>
              </w:rPr>
              <w:t>DSTI</w:t>
            </w:r>
            <w:r w:rsidR="00B743B0" w:rsidRPr="00CA3F84">
              <w:rPr>
                <w:color w:val="auto"/>
              </w:rPr>
              <w:t xml:space="preserve"> </w:t>
            </w:r>
          </w:p>
        </w:tc>
        <w:tc>
          <w:tcPr>
            <w:tcW w:w="1276" w:type="dxa"/>
          </w:tcPr>
          <w:p w14:paraId="61D4E796" w14:textId="20FFBE0C" w:rsidR="00164803" w:rsidRPr="00CA3F84" w:rsidRDefault="006D4609" w:rsidP="006D4609">
            <w:pPr>
              <w:rPr>
                <w:color w:val="auto"/>
              </w:rPr>
            </w:pPr>
            <w:r>
              <w:rPr>
                <w:color w:val="auto"/>
              </w:rPr>
              <w:t>Janv</w:t>
            </w:r>
            <w:r w:rsidR="00B4312D" w:rsidRPr="00CA3F84">
              <w:rPr>
                <w:color w:val="auto"/>
              </w:rPr>
              <w:t xml:space="preserve">.  </w:t>
            </w:r>
            <w:r w:rsidR="00164803" w:rsidRPr="00CA3F84">
              <w:rPr>
                <w:color w:val="auto"/>
              </w:rPr>
              <w:t>202</w:t>
            </w:r>
            <w:r>
              <w:rPr>
                <w:color w:val="auto"/>
              </w:rPr>
              <w:t>1</w:t>
            </w:r>
          </w:p>
        </w:tc>
        <w:tc>
          <w:tcPr>
            <w:tcW w:w="1276" w:type="dxa"/>
          </w:tcPr>
          <w:p w14:paraId="3FC54387" w14:textId="3E480463" w:rsidR="00164803" w:rsidRPr="00CA3F84" w:rsidRDefault="005957F6" w:rsidP="006D4609">
            <w:pPr>
              <w:rPr>
                <w:color w:val="auto"/>
              </w:rPr>
            </w:pPr>
            <w:r w:rsidRPr="00CA3F84">
              <w:rPr>
                <w:color w:val="auto"/>
              </w:rPr>
              <w:t>M</w:t>
            </w:r>
            <w:r w:rsidR="006D4609">
              <w:rPr>
                <w:color w:val="auto"/>
              </w:rPr>
              <w:t>ars</w:t>
            </w:r>
            <w:r w:rsidR="00164803" w:rsidRPr="00CA3F84">
              <w:rPr>
                <w:color w:val="auto"/>
              </w:rPr>
              <w:t xml:space="preserve"> 202</w:t>
            </w:r>
            <w:r w:rsidR="006D4609">
              <w:rPr>
                <w:color w:val="auto"/>
              </w:rPr>
              <w:t>1</w:t>
            </w:r>
          </w:p>
        </w:tc>
      </w:tr>
      <w:tr w:rsidR="00CA3F84" w:rsidRPr="00CA3F84" w14:paraId="50B0682F" w14:textId="77777777" w:rsidTr="007A197F">
        <w:tc>
          <w:tcPr>
            <w:tcW w:w="2411" w:type="dxa"/>
          </w:tcPr>
          <w:p w14:paraId="65662C68" w14:textId="7F059F61" w:rsidR="00164803" w:rsidRPr="00CA3F84" w:rsidRDefault="00996C06" w:rsidP="00516284">
            <w:pPr>
              <w:rPr>
                <w:color w:val="auto"/>
              </w:rPr>
            </w:pPr>
            <w:r w:rsidRPr="00CA3F84">
              <w:rPr>
                <w:color w:val="auto"/>
              </w:rPr>
              <w:t>3.1.1.  Actualiser les modèles de la CFP pour que ceux-ci incluent les considérations liées au gouvernement ouvert</w:t>
            </w:r>
          </w:p>
        </w:tc>
        <w:tc>
          <w:tcPr>
            <w:tcW w:w="3969" w:type="dxa"/>
          </w:tcPr>
          <w:p w14:paraId="1BC281A7" w14:textId="37738B81" w:rsidR="00164803" w:rsidRPr="00CA3F84" w:rsidRDefault="00164803" w:rsidP="00F7461D">
            <w:pPr>
              <w:rPr>
                <w:color w:val="auto"/>
              </w:rPr>
            </w:pPr>
            <w:r w:rsidRPr="00CA3F84">
              <w:rPr>
                <w:color w:val="auto"/>
              </w:rPr>
              <w:t>3.1.1.3</w:t>
            </w:r>
            <w:r w:rsidR="00B4312D" w:rsidRPr="00CA3F84">
              <w:rPr>
                <w:color w:val="auto"/>
              </w:rPr>
              <w:t xml:space="preserve">.  </w:t>
            </w:r>
            <w:r w:rsidR="00F7461D" w:rsidRPr="00CA3F84">
              <w:rPr>
                <w:color w:val="auto"/>
              </w:rPr>
              <w:t xml:space="preserve">Modèle </w:t>
            </w:r>
            <w:r w:rsidR="008A5D9D" w:rsidRPr="00CA3F84">
              <w:rPr>
                <w:color w:val="auto"/>
              </w:rPr>
              <w:t xml:space="preserve">de rapport </w:t>
            </w:r>
            <w:r w:rsidR="00A91E85" w:rsidRPr="00CA3F84">
              <w:rPr>
                <w:color w:val="auto"/>
              </w:rPr>
              <w:t>révisé de la CFP</w:t>
            </w:r>
            <w:r w:rsidR="00F7461D" w:rsidRPr="00CA3F84">
              <w:rPr>
                <w:color w:val="auto"/>
              </w:rPr>
              <w:t xml:space="preserve"> incluant des considérations liées au gouvernement ouvert</w:t>
            </w:r>
          </w:p>
        </w:tc>
        <w:tc>
          <w:tcPr>
            <w:tcW w:w="992" w:type="dxa"/>
          </w:tcPr>
          <w:p w14:paraId="0FF49E6A" w14:textId="6C5B157C" w:rsidR="00164803" w:rsidRPr="00CA3F84" w:rsidRDefault="005957F6" w:rsidP="00516284">
            <w:pPr>
              <w:rPr>
                <w:color w:val="auto"/>
              </w:rPr>
            </w:pPr>
            <w:r w:rsidRPr="00CA3F84">
              <w:rPr>
                <w:color w:val="auto"/>
              </w:rPr>
              <w:t>DCAP</w:t>
            </w:r>
          </w:p>
        </w:tc>
        <w:tc>
          <w:tcPr>
            <w:tcW w:w="992" w:type="dxa"/>
          </w:tcPr>
          <w:p w14:paraId="366E0B92" w14:textId="6702CE6D" w:rsidR="00164803" w:rsidRPr="00CA3F84" w:rsidRDefault="005957F6" w:rsidP="00516284">
            <w:pPr>
              <w:rPr>
                <w:color w:val="auto"/>
              </w:rPr>
            </w:pPr>
            <w:r w:rsidRPr="00CA3F84">
              <w:rPr>
                <w:color w:val="auto"/>
              </w:rPr>
              <w:t>DSTI</w:t>
            </w:r>
            <w:r w:rsidR="00B743B0" w:rsidRPr="00CA3F84">
              <w:rPr>
                <w:color w:val="auto"/>
              </w:rPr>
              <w:t xml:space="preserve"> </w:t>
            </w:r>
          </w:p>
        </w:tc>
        <w:tc>
          <w:tcPr>
            <w:tcW w:w="1276" w:type="dxa"/>
          </w:tcPr>
          <w:p w14:paraId="4B727AFE" w14:textId="2D85D75B" w:rsidR="00164803" w:rsidRPr="00CA3F84" w:rsidRDefault="006D4609" w:rsidP="006D4609">
            <w:pPr>
              <w:rPr>
                <w:color w:val="auto"/>
              </w:rPr>
            </w:pPr>
            <w:r>
              <w:rPr>
                <w:color w:val="auto"/>
              </w:rPr>
              <w:t>Janv</w:t>
            </w:r>
            <w:r w:rsidR="00B4312D" w:rsidRPr="00CA3F84">
              <w:rPr>
                <w:color w:val="auto"/>
              </w:rPr>
              <w:t xml:space="preserve">.  </w:t>
            </w:r>
            <w:r w:rsidR="00164803" w:rsidRPr="00CA3F84">
              <w:rPr>
                <w:color w:val="auto"/>
              </w:rPr>
              <w:t>202</w:t>
            </w:r>
            <w:r>
              <w:rPr>
                <w:color w:val="auto"/>
              </w:rPr>
              <w:t>1</w:t>
            </w:r>
          </w:p>
        </w:tc>
        <w:tc>
          <w:tcPr>
            <w:tcW w:w="1276" w:type="dxa"/>
          </w:tcPr>
          <w:p w14:paraId="01E531B4" w14:textId="3B2C5BC7" w:rsidR="00164803" w:rsidRPr="00CA3F84" w:rsidRDefault="005957F6" w:rsidP="00516284">
            <w:pPr>
              <w:rPr>
                <w:color w:val="auto"/>
              </w:rPr>
            </w:pPr>
            <w:r w:rsidRPr="00CA3F84">
              <w:rPr>
                <w:color w:val="auto"/>
              </w:rPr>
              <w:t>M</w:t>
            </w:r>
            <w:r w:rsidR="006D4609">
              <w:rPr>
                <w:color w:val="auto"/>
              </w:rPr>
              <w:t>ars 2021</w:t>
            </w:r>
          </w:p>
        </w:tc>
      </w:tr>
      <w:tr w:rsidR="00CA3F84" w:rsidRPr="00CA3F84" w14:paraId="7CDA27CE" w14:textId="77777777" w:rsidTr="007A197F">
        <w:tc>
          <w:tcPr>
            <w:tcW w:w="2411" w:type="dxa"/>
          </w:tcPr>
          <w:p w14:paraId="65414B80" w14:textId="15C05669" w:rsidR="00164803" w:rsidRPr="00CA3F84" w:rsidRDefault="00996C06" w:rsidP="00516284">
            <w:pPr>
              <w:rPr>
                <w:color w:val="auto"/>
              </w:rPr>
            </w:pPr>
            <w:r w:rsidRPr="00CA3F84">
              <w:rPr>
                <w:color w:val="auto"/>
              </w:rPr>
              <w:t>3.1.1.  Actualiser les modèles de la CFP pour que ceux-ci incluent les considérations liées au gouvernement ouvert</w:t>
            </w:r>
          </w:p>
        </w:tc>
        <w:tc>
          <w:tcPr>
            <w:tcW w:w="3969" w:type="dxa"/>
          </w:tcPr>
          <w:p w14:paraId="14FA628A" w14:textId="6BF4B597" w:rsidR="00164803" w:rsidRPr="00CA3F84" w:rsidRDefault="00164803" w:rsidP="00F7461D">
            <w:pPr>
              <w:rPr>
                <w:color w:val="auto"/>
              </w:rPr>
            </w:pPr>
            <w:r w:rsidRPr="00CA3F84">
              <w:rPr>
                <w:color w:val="auto"/>
              </w:rPr>
              <w:t>3.1.1.4</w:t>
            </w:r>
            <w:r w:rsidR="00B4312D" w:rsidRPr="00CA3F84">
              <w:rPr>
                <w:color w:val="auto"/>
              </w:rPr>
              <w:t xml:space="preserve">.  </w:t>
            </w:r>
            <w:r w:rsidR="00F7461D" w:rsidRPr="00CA3F84">
              <w:rPr>
                <w:color w:val="auto"/>
              </w:rPr>
              <w:t>D</w:t>
            </w:r>
            <w:r w:rsidR="00A91E85" w:rsidRPr="00CA3F84">
              <w:rPr>
                <w:color w:val="auto"/>
              </w:rPr>
              <w:t>ocumentation révisée de gestion de projet, notamment les modèles d’analyse de rentabilisation et de charte de projet</w:t>
            </w:r>
            <w:r w:rsidR="00F7461D" w:rsidRPr="00CA3F84">
              <w:rPr>
                <w:color w:val="auto"/>
              </w:rPr>
              <w:t xml:space="preserve"> incluant des considérations liées au gouvernement ouvert</w:t>
            </w:r>
          </w:p>
        </w:tc>
        <w:tc>
          <w:tcPr>
            <w:tcW w:w="992" w:type="dxa"/>
          </w:tcPr>
          <w:p w14:paraId="64A31755" w14:textId="6FD5E187" w:rsidR="00164803" w:rsidRPr="00CA3F84" w:rsidRDefault="005957F6" w:rsidP="00B743B0">
            <w:pPr>
              <w:rPr>
                <w:color w:val="auto"/>
              </w:rPr>
            </w:pPr>
            <w:r w:rsidRPr="00CA3F84">
              <w:rPr>
                <w:color w:val="auto"/>
              </w:rPr>
              <w:t>DSTI</w:t>
            </w:r>
            <w:r w:rsidR="00B743B0" w:rsidRPr="00CA3F84">
              <w:rPr>
                <w:color w:val="auto"/>
              </w:rPr>
              <w:t xml:space="preserve"> </w:t>
            </w:r>
          </w:p>
        </w:tc>
        <w:tc>
          <w:tcPr>
            <w:tcW w:w="992" w:type="dxa"/>
          </w:tcPr>
          <w:p w14:paraId="5FC2F17E" w14:textId="6AE7D653" w:rsidR="00164803" w:rsidRPr="00CA3F84" w:rsidRDefault="005957F6" w:rsidP="00516284">
            <w:pPr>
              <w:rPr>
                <w:color w:val="auto"/>
              </w:rPr>
            </w:pPr>
            <w:r w:rsidRPr="00CA3F84">
              <w:rPr>
                <w:color w:val="auto"/>
              </w:rPr>
              <w:t>SGO</w:t>
            </w:r>
          </w:p>
        </w:tc>
        <w:tc>
          <w:tcPr>
            <w:tcW w:w="1276" w:type="dxa"/>
          </w:tcPr>
          <w:p w14:paraId="17CDF0AC" w14:textId="5125A332" w:rsidR="00164803" w:rsidRPr="00CA3F84" w:rsidRDefault="006D4609" w:rsidP="006D4609">
            <w:pPr>
              <w:rPr>
                <w:color w:val="auto"/>
              </w:rPr>
            </w:pPr>
            <w:r>
              <w:rPr>
                <w:color w:val="auto"/>
              </w:rPr>
              <w:t>Sept.</w:t>
            </w:r>
            <w:r w:rsidR="006F25AE" w:rsidRPr="00CA3F84">
              <w:rPr>
                <w:color w:val="auto"/>
              </w:rPr>
              <w:t xml:space="preserve"> 2020</w:t>
            </w:r>
          </w:p>
        </w:tc>
        <w:tc>
          <w:tcPr>
            <w:tcW w:w="1276" w:type="dxa"/>
          </w:tcPr>
          <w:p w14:paraId="5296C396" w14:textId="46FDB7E8" w:rsidR="00164803" w:rsidRPr="00CA3F84" w:rsidRDefault="006D4609" w:rsidP="006D4609">
            <w:pPr>
              <w:rPr>
                <w:color w:val="auto"/>
              </w:rPr>
            </w:pPr>
            <w:r>
              <w:rPr>
                <w:color w:val="auto"/>
              </w:rPr>
              <w:t>Mar</w:t>
            </w:r>
            <w:r w:rsidR="00B4312D" w:rsidRPr="00CA3F84">
              <w:rPr>
                <w:color w:val="auto"/>
              </w:rPr>
              <w:t xml:space="preserve">.  </w:t>
            </w:r>
            <w:r w:rsidR="006F25AE" w:rsidRPr="00CA3F84">
              <w:rPr>
                <w:color w:val="auto"/>
              </w:rPr>
              <w:t>202</w:t>
            </w:r>
            <w:r>
              <w:rPr>
                <w:color w:val="auto"/>
              </w:rPr>
              <w:t>1</w:t>
            </w:r>
          </w:p>
        </w:tc>
      </w:tr>
      <w:tr w:rsidR="00CA3F84" w:rsidRPr="00CA3F84" w14:paraId="3D71861E" w14:textId="77777777" w:rsidTr="007A197F">
        <w:tc>
          <w:tcPr>
            <w:tcW w:w="2411" w:type="dxa"/>
          </w:tcPr>
          <w:p w14:paraId="1047317E" w14:textId="272409E1" w:rsidR="00D139B2" w:rsidRPr="00CA3F84" w:rsidRDefault="00D139B2" w:rsidP="00A91E85">
            <w:pPr>
              <w:rPr>
                <w:color w:val="auto"/>
              </w:rPr>
            </w:pPr>
            <w:r w:rsidRPr="00CA3F84">
              <w:rPr>
                <w:color w:val="auto"/>
              </w:rPr>
              <w:t>3.1.2</w:t>
            </w:r>
            <w:r w:rsidR="00B4312D" w:rsidRPr="00CA3F84">
              <w:rPr>
                <w:color w:val="auto"/>
              </w:rPr>
              <w:t xml:space="preserve">.  </w:t>
            </w:r>
            <w:r w:rsidRPr="00CA3F84">
              <w:rPr>
                <w:color w:val="auto"/>
              </w:rPr>
              <w:t>Optimi</w:t>
            </w:r>
            <w:r w:rsidR="00A91E85" w:rsidRPr="00CA3F84">
              <w:rPr>
                <w:color w:val="auto"/>
              </w:rPr>
              <w:t xml:space="preserve">ser l’utilisation de </w:t>
            </w:r>
            <w:r w:rsidRPr="00CA3F84">
              <w:rPr>
                <w:color w:val="auto"/>
              </w:rPr>
              <w:t>GC</w:t>
            </w:r>
            <w:r w:rsidR="00A91E85" w:rsidRPr="00CA3F84">
              <w:rPr>
                <w:color w:val="auto"/>
              </w:rPr>
              <w:t>doc</w:t>
            </w:r>
            <w:r w:rsidRPr="00CA3F84">
              <w:rPr>
                <w:color w:val="auto"/>
              </w:rPr>
              <w:t>s</w:t>
            </w:r>
          </w:p>
        </w:tc>
        <w:tc>
          <w:tcPr>
            <w:tcW w:w="3969" w:type="dxa"/>
          </w:tcPr>
          <w:p w14:paraId="26976E13" w14:textId="6E114523" w:rsidR="00D139B2" w:rsidRPr="00CA3F84" w:rsidRDefault="00D139B2" w:rsidP="00A91E85">
            <w:pPr>
              <w:rPr>
                <w:color w:val="auto"/>
              </w:rPr>
            </w:pPr>
            <w:r w:rsidRPr="00CA3F84">
              <w:rPr>
                <w:color w:val="auto"/>
              </w:rPr>
              <w:t>3.1.2.1</w:t>
            </w:r>
            <w:r w:rsidR="00B4312D" w:rsidRPr="00CA3F84">
              <w:rPr>
                <w:color w:val="auto"/>
              </w:rPr>
              <w:t xml:space="preserve">.  </w:t>
            </w:r>
            <w:r w:rsidR="00A91E85" w:rsidRPr="00CA3F84">
              <w:rPr>
                <w:color w:val="auto"/>
              </w:rPr>
              <w:t>Élaboration d’une stratégie de communication interne sur l’ouverture des permissions de GCdocs</w:t>
            </w:r>
          </w:p>
        </w:tc>
        <w:tc>
          <w:tcPr>
            <w:tcW w:w="992" w:type="dxa"/>
          </w:tcPr>
          <w:p w14:paraId="297936BF" w14:textId="78F2A645" w:rsidR="00D139B2" w:rsidRPr="00CA3F84" w:rsidRDefault="005957F6" w:rsidP="00D139B2">
            <w:pPr>
              <w:rPr>
                <w:color w:val="auto"/>
              </w:rPr>
            </w:pPr>
            <w:r w:rsidRPr="00CA3F84">
              <w:rPr>
                <w:color w:val="auto"/>
              </w:rPr>
              <w:t>DSTI</w:t>
            </w:r>
            <w:r w:rsidR="00B743B0" w:rsidRPr="00CA3F84">
              <w:rPr>
                <w:color w:val="auto"/>
              </w:rPr>
              <w:t xml:space="preserve"> </w:t>
            </w:r>
          </w:p>
        </w:tc>
        <w:tc>
          <w:tcPr>
            <w:tcW w:w="992" w:type="dxa"/>
          </w:tcPr>
          <w:p w14:paraId="2A360B77" w14:textId="22058082" w:rsidR="00D139B2" w:rsidRPr="00CA3F84" w:rsidRDefault="005957F6" w:rsidP="00133081">
            <w:pPr>
              <w:rPr>
                <w:color w:val="auto"/>
              </w:rPr>
            </w:pPr>
            <w:r w:rsidRPr="00CA3F84">
              <w:rPr>
                <w:color w:val="auto"/>
              </w:rPr>
              <w:t>DCAP</w:t>
            </w:r>
          </w:p>
        </w:tc>
        <w:tc>
          <w:tcPr>
            <w:tcW w:w="1276" w:type="dxa"/>
          </w:tcPr>
          <w:p w14:paraId="3E89AA94" w14:textId="2ED3FF91" w:rsidR="00D139B2" w:rsidRPr="00CA3F84" w:rsidRDefault="006D4609" w:rsidP="00514749">
            <w:pPr>
              <w:rPr>
                <w:color w:val="auto"/>
              </w:rPr>
            </w:pPr>
            <w:r>
              <w:rPr>
                <w:color w:val="auto"/>
              </w:rPr>
              <w:t>Janv. 2021</w:t>
            </w:r>
            <w:r w:rsidR="00D139B2" w:rsidRPr="00CA3F84">
              <w:rPr>
                <w:color w:val="auto"/>
              </w:rPr>
              <w:t xml:space="preserve"> </w:t>
            </w:r>
          </w:p>
        </w:tc>
        <w:tc>
          <w:tcPr>
            <w:tcW w:w="1276" w:type="dxa"/>
          </w:tcPr>
          <w:p w14:paraId="4261CFE6" w14:textId="7EE50C0A" w:rsidR="00D139B2" w:rsidRPr="00CA3F84" w:rsidRDefault="005957F6" w:rsidP="009A0277">
            <w:pPr>
              <w:rPr>
                <w:color w:val="auto"/>
              </w:rPr>
            </w:pPr>
            <w:r w:rsidRPr="00CA3F84">
              <w:rPr>
                <w:color w:val="auto"/>
              </w:rPr>
              <w:t>Mars</w:t>
            </w:r>
            <w:r w:rsidR="00D139B2" w:rsidRPr="00CA3F84">
              <w:rPr>
                <w:color w:val="auto"/>
              </w:rPr>
              <w:t xml:space="preserve"> 202</w:t>
            </w:r>
            <w:r w:rsidR="009A0277" w:rsidRPr="00CA3F84">
              <w:rPr>
                <w:color w:val="auto"/>
              </w:rPr>
              <w:t>1</w:t>
            </w:r>
            <w:r w:rsidR="00D139B2" w:rsidRPr="00CA3F84">
              <w:rPr>
                <w:color w:val="auto"/>
              </w:rPr>
              <w:t xml:space="preserve"> </w:t>
            </w:r>
          </w:p>
        </w:tc>
      </w:tr>
      <w:tr w:rsidR="00CA3F84" w:rsidRPr="00CA3F84" w14:paraId="55289B28" w14:textId="77777777" w:rsidTr="007A197F">
        <w:tc>
          <w:tcPr>
            <w:tcW w:w="2411" w:type="dxa"/>
          </w:tcPr>
          <w:p w14:paraId="12B8EAC6" w14:textId="026FACC7" w:rsidR="00D139B2" w:rsidRPr="00CA3F84" w:rsidRDefault="00996C06" w:rsidP="00D139B2">
            <w:pPr>
              <w:rPr>
                <w:color w:val="auto"/>
              </w:rPr>
            </w:pPr>
            <w:r w:rsidRPr="00CA3F84">
              <w:rPr>
                <w:color w:val="auto"/>
              </w:rPr>
              <w:lastRenderedPageBreak/>
              <w:t>3.1.2.  Optimiser l’utilisation de GCdocs</w:t>
            </w:r>
          </w:p>
        </w:tc>
        <w:tc>
          <w:tcPr>
            <w:tcW w:w="3969" w:type="dxa"/>
          </w:tcPr>
          <w:p w14:paraId="5B13690C" w14:textId="11B8E387" w:rsidR="00D139B2" w:rsidRPr="00CA3F84" w:rsidRDefault="00D139B2" w:rsidP="00A91E85">
            <w:pPr>
              <w:rPr>
                <w:color w:val="auto"/>
              </w:rPr>
            </w:pPr>
            <w:r w:rsidRPr="00CA3F84">
              <w:rPr>
                <w:color w:val="auto"/>
              </w:rPr>
              <w:t>3.1.2.2</w:t>
            </w:r>
            <w:r w:rsidR="00B4312D" w:rsidRPr="00CA3F84">
              <w:rPr>
                <w:color w:val="auto"/>
              </w:rPr>
              <w:t xml:space="preserve">.  </w:t>
            </w:r>
            <w:r w:rsidR="00A91E85" w:rsidRPr="00CA3F84">
              <w:rPr>
                <w:color w:val="auto"/>
              </w:rPr>
              <w:t>Développement et communication d’une documentation de formation sur l’utilisation de GCdocs pour les processus du gouvernement ouvert</w:t>
            </w:r>
          </w:p>
        </w:tc>
        <w:tc>
          <w:tcPr>
            <w:tcW w:w="992" w:type="dxa"/>
          </w:tcPr>
          <w:p w14:paraId="12B1D744" w14:textId="5DA2646B" w:rsidR="00D139B2" w:rsidRPr="00CA3F84" w:rsidRDefault="005957F6" w:rsidP="00D139B2">
            <w:pPr>
              <w:rPr>
                <w:color w:val="auto"/>
              </w:rPr>
            </w:pPr>
            <w:r w:rsidRPr="00CA3F84">
              <w:rPr>
                <w:color w:val="auto"/>
              </w:rPr>
              <w:t>DSTI</w:t>
            </w:r>
          </w:p>
        </w:tc>
        <w:tc>
          <w:tcPr>
            <w:tcW w:w="992" w:type="dxa"/>
          </w:tcPr>
          <w:p w14:paraId="4B9C0061" w14:textId="0A0CC70E" w:rsidR="00D139B2" w:rsidRPr="00CA3F84" w:rsidRDefault="005957F6" w:rsidP="00D139B2">
            <w:pPr>
              <w:rPr>
                <w:color w:val="auto"/>
              </w:rPr>
            </w:pPr>
            <w:r w:rsidRPr="00CA3F84">
              <w:rPr>
                <w:color w:val="auto"/>
              </w:rPr>
              <w:t>DCAP</w:t>
            </w:r>
          </w:p>
        </w:tc>
        <w:tc>
          <w:tcPr>
            <w:tcW w:w="1276" w:type="dxa"/>
          </w:tcPr>
          <w:p w14:paraId="0C6D7C3F" w14:textId="3A0CFBAD" w:rsidR="00D139B2" w:rsidRPr="00CA3F84" w:rsidRDefault="006D4609" w:rsidP="006D4609">
            <w:pPr>
              <w:rPr>
                <w:color w:val="auto"/>
              </w:rPr>
            </w:pPr>
            <w:r>
              <w:rPr>
                <w:color w:val="auto"/>
              </w:rPr>
              <w:t>Janv. 2021</w:t>
            </w:r>
          </w:p>
        </w:tc>
        <w:tc>
          <w:tcPr>
            <w:tcW w:w="1276" w:type="dxa"/>
          </w:tcPr>
          <w:p w14:paraId="5F442ABE" w14:textId="437F4F33" w:rsidR="00D139B2" w:rsidRPr="00CA3F84" w:rsidRDefault="005957F6" w:rsidP="00514749">
            <w:pPr>
              <w:rPr>
                <w:color w:val="auto"/>
              </w:rPr>
            </w:pPr>
            <w:r w:rsidRPr="00CA3F84">
              <w:rPr>
                <w:color w:val="auto"/>
              </w:rPr>
              <w:t>Mars</w:t>
            </w:r>
            <w:r w:rsidR="00D139B2" w:rsidRPr="00CA3F84">
              <w:rPr>
                <w:color w:val="auto"/>
              </w:rPr>
              <w:t xml:space="preserve"> 2022 </w:t>
            </w:r>
          </w:p>
        </w:tc>
      </w:tr>
      <w:tr w:rsidR="00CA3F84" w:rsidRPr="00CA3F84" w14:paraId="48F3A6FD" w14:textId="77777777" w:rsidTr="007A197F">
        <w:tc>
          <w:tcPr>
            <w:tcW w:w="2411" w:type="dxa"/>
          </w:tcPr>
          <w:p w14:paraId="5CEA948B" w14:textId="11441208" w:rsidR="00164803" w:rsidRPr="00CA3F84" w:rsidRDefault="00996C06" w:rsidP="005B4B39">
            <w:pPr>
              <w:rPr>
                <w:color w:val="auto"/>
              </w:rPr>
            </w:pPr>
            <w:r w:rsidRPr="00CA3F84">
              <w:rPr>
                <w:color w:val="auto"/>
              </w:rPr>
              <w:t>3.1.2.  Optimiser l’utilisation de GCdocs</w:t>
            </w:r>
          </w:p>
        </w:tc>
        <w:tc>
          <w:tcPr>
            <w:tcW w:w="3969" w:type="dxa"/>
          </w:tcPr>
          <w:p w14:paraId="1CE6188F" w14:textId="0E90252C" w:rsidR="00164803" w:rsidRPr="00CA3F84" w:rsidRDefault="00164803" w:rsidP="00A91E85">
            <w:pPr>
              <w:rPr>
                <w:color w:val="auto"/>
              </w:rPr>
            </w:pPr>
            <w:r w:rsidRPr="00CA3F84">
              <w:rPr>
                <w:color w:val="auto"/>
              </w:rPr>
              <w:t>3.1.2.3</w:t>
            </w:r>
            <w:r w:rsidR="00B4312D" w:rsidRPr="00CA3F84">
              <w:rPr>
                <w:color w:val="auto"/>
              </w:rPr>
              <w:t xml:space="preserve">.  </w:t>
            </w:r>
            <w:r w:rsidR="00A91E85" w:rsidRPr="00CA3F84">
              <w:rPr>
                <w:color w:val="auto"/>
              </w:rPr>
              <w:t>Réalisation de l’évaluation en prévision de l’automatisation de la production d’ensembles de données ouvertes</w:t>
            </w:r>
          </w:p>
        </w:tc>
        <w:tc>
          <w:tcPr>
            <w:tcW w:w="992" w:type="dxa"/>
            <w:shd w:val="clear" w:color="auto" w:fill="auto"/>
          </w:tcPr>
          <w:p w14:paraId="4248F633" w14:textId="797C5327" w:rsidR="00164803" w:rsidRPr="00CA3F84" w:rsidRDefault="005957F6" w:rsidP="00516284">
            <w:pPr>
              <w:rPr>
                <w:color w:val="auto"/>
              </w:rPr>
            </w:pPr>
            <w:r w:rsidRPr="00CA3F84">
              <w:rPr>
                <w:color w:val="auto"/>
              </w:rPr>
              <w:t>SGO</w:t>
            </w:r>
          </w:p>
        </w:tc>
        <w:tc>
          <w:tcPr>
            <w:tcW w:w="992" w:type="dxa"/>
          </w:tcPr>
          <w:p w14:paraId="0419CA9D" w14:textId="669C6ED5" w:rsidR="00164803" w:rsidRPr="00CA3F84" w:rsidRDefault="005957F6" w:rsidP="00516284">
            <w:pPr>
              <w:rPr>
                <w:color w:val="auto"/>
              </w:rPr>
            </w:pPr>
            <w:r w:rsidRPr="00CA3F84">
              <w:rPr>
                <w:color w:val="auto"/>
              </w:rPr>
              <w:t>DSDA</w:t>
            </w:r>
          </w:p>
        </w:tc>
        <w:tc>
          <w:tcPr>
            <w:tcW w:w="1276" w:type="dxa"/>
          </w:tcPr>
          <w:p w14:paraId="4EC5F097" w14:textId="46BD6A23" w:rsidR="00164803" w:rsidRPr="00CA3F84" w:rsidRDefault="008E7A02" w:rsidP="00514749">
            <w:pPr>
              <w:rPr>
                <w:color w:val="auto"/>
              </w:rPr>
            </w:pPr>
            <w:r w:rsidRPr="00CA3F84">
              <w:rPr>
                <w:color w:val="auto"/>
              </w:rPr>
              <w:t>Sept</w:t>
            </w:r>
            <w:r w:rsidR="00B4312D" w:rsidRPr="00CA3F84">
              <w:rPr>
                <w:color w:val="auto"/>
              </w:rPr>
              <w:t xml:space="preserve">.  </w:t>
            </w:r>
            <w:r w:rsidRPr="00CA3F84">
              <w:rPr>
                <w:color w:val="auto"/>
              </w:rPr>
              <w:t>2020</w:t>
            </w:r>
          </w:p>
        </w:tc>
        <w:tc>
          <w:tcPr>
            <w:tcW w:w="1276" w:type="dxa"/>
          </w:tcPr>
          <w:p w14:paraId="1AABB962" w14:textId="69A293A7" w:rsidR="00164803" w:rsidRPr="00CA3F84" w:rsidRDefault="005957F6" w:rsidP="00514749">
            <w:pPr>
              <w:rPr>
                <w:color w:val="auto"/>
              </w:rPr>
            </w:pPr>
            <w:r w:rsidRPr="00CA3F84">
              <w:rPr>
                <w:color w:val="auto"/>
              </w:rPr>
              <w:t>Mars</w:t>
            </w:r>
            <w:r w:rsidR="008E7A02" w:rsidRPr="00CA3F84">
              <w:rPr>
                <w:color w:val="auto"/>
              </w:rPr>
              <w:t xml:space="preserve"> 2021</w:t>
            </w:r>
          </w:p>
        </w:tc>
      </w:tr>
    </w:tbl>
    <w:p w14:paraId="0B6294AA" w14:textId="1295507D" w:rsidR="0041491D" w:rsidRPr="00CA3F84" w:rsidRDefault="00561BF1" w:rsidP="00BF375D">
      <w:pPr>
        <w:pStyle w:val="Heading3"/>
        <w:ind w:left="-851"/>
        <w:rPr>
          <w:color w:val="auto"/>
        </w:rPr>
      </w:pPr>
      <w:bookmarkStart w:id="88" w:name="_Toc30058985"/>
      <w:bookmarkStart w:id="89" w:name="_Toc30682135"/>
      <w:bookmarkStart w:id="90" w:name="_Toc44404886"/>
      <w:bookmarkStart w:id="91" w:name="_Toc44323404"/>
      <w:bookmarkStart w:id="92" w:name="_Toc46827424"/>
      <w:r>
        <w:rPr>
          <w:color w:val="auto"/>
        </w:rPr>
        <w:br/>
      </w:r>
      <w:bookmarkStart w:id="93" w:name="_Toc49767864"/>
      <w:bookmarkStart w:id="94" w:name="_Toc50038774"/>
      <w:r w:rsidR="0041491D" w:rsidRPr="00CA3F84">
        <w:rPr>
          <w:color w:val="auto"/>
        </w:rPr>
        <w:t>3</w:t>
      </w:r>
      <w:r w:rsidR="00B4312D" w:rsidRPr="00CA3F84">
        <w:rPr>
          <w:color w:val="auto"/>
        </w:rPr>
        <w:t>.</w:t>
      </w:r>
      <w:r w:rsidR="0041491D" w:rsidRPr="00CA3F84">
        <w:rPr>
          <w:color w:val="auto"/>
        </w:rPr>
        <w:t>2</w:t>
      </w:r>
      <w:r w:rsidR="00B4312D" w:rsidRPr="00CA3F84">
        <w:rPr>
          <w:color w:val="auto"/>
        </w:rPr>
        <w:t xml:space="preserve">.  </w:t>
      </w:r>
      <w:bookmarkEnd w:id="88"/>
      <w:r w:rsidR="00A91E85" w:rsidRPr="00CA3F84">
        <w:rPr>
          <w:color w:val="auto"/>
        </w:rPr>
        <w:t>Assurer la convivialité externe du gouvernement ouvert pour les Canadiens</w:t>
      </w:r>
      <w:bookmarkEnd w:id="89"/>
      <w:bookmarkEnd w:id="90"/>
      <w:bookmarkEnd w:id="91"/>
      <w:bookmarkEnd w:id="92"/>
      <w:bookmarkEnd w:id="93"/>
      <w:bookmarkEnd w:id="94"/>
    </w:p>
    <w:tbl>
      <w:tblPr>
        <w:tblStyle w:val="TableGrid"/>
        <w:tblW w:w="10916" w:type="dxa"/>
        <w:tblInd w:w="-856" w:type="dxa"/>
        <w:tblLayout w:type="fixed"/>
        <w:tblLook w:val="04A0" w:firstRow="1" w:lastRow="0" w:firstColumn="1" w:lastColumn="0" w:noHBand="0" w:noVBand="1"/>
        <w:tblDescription w:val="Ce tableau est composé de 6 colonnes et 6 lignes, et ne contient aucune cellules divisées ou fusionnées."/>
      </w:tblPr>
      <w:tblGrid>
        <w:gridCol w:w="2411"/>
        <w:gridCol w:w="3969"/>
        <w:gridCol w:w="992"/>
        <w:gridCol w:w="992"/>
        <w:gridCol w:w="1276"/>
        <w:gridCol w:w="1276"/>
      </w:tblGrid>
      <w:tr w:rsidR="00CA3F84" w:rsidRPr="00CA3F84" w14:paraId="25737668" w14:textId="77777777" w:rsidTr="006968CC">
        <w:trPr>
          <w:trHeight w:val="685"/>
          <w:tblHeader/>
        </w:trPr>
        <w:tc>
          <w:tcPr>
            <w:tcW w:w="2411" w:type="dxa"/>
            <w:shd w:val="clear" w:color="auto" w:fill="D9D9D9" w:themeFill="background1" w:themeFillShade="D9"/>
          </w:tcPr>
          <w:p w14:paraId="5FEDEE3C" w14:textId="49C6B4A4" w:rsidR="005957F6" w:rsidRPr="00CA3F84" w:rsidRDefault="005957F6" w:rsidP="00232E05">
            <w:pPr>
              <w:jc w:val="center"/>
              <w:rPr>
                <w:b/>
                <w:color w:val="auto"/>
              </w:rPr>
            </w:pPr>
            <w:r w:rsidRPr="00CA3F84">
              <w:rPr>
                <w:b/>
                <w:color w:val="auto"/>
              </w:rPr>
              <w:t>Activités</w:t>
            </w:r>
          </w:p>
        </w:tc>
        <w:tc>
          <w:tcPr>
            <w:tcW w:w="3969" w:type="dxa"/>
            <w:shd w:val="clear" w:color="auto" w:fill="D9D9D9" w:themeFill="background1" w:themeFillShade="D9"/>
          </w:tcPr>
          <w:p w14:paraId="45D961A4" w14:textId="7171AB8D" w:rsidR="005957F6" w:rsidRPr="00CA3F84" w:rsidRDefault="005957F6" w:rsidP="00232E05">
            <w:pPr>
              <w:jc w:val="center"/>
              <w:rPr>
                <w:b/>
                <w:color w:val="auto"/>
              </w:rPr>
            </w:pPr>
            <w:r w:rsidRPr="00CA3F84">
              <w:rPr>
                <w:b/>
                <w:color w:val="auto"/>
              </w:rPr>
              <w:t>Produits livrables</w:t>
            </w:r>
          </w:p>
        </w:tc>
        <w:tc>
          <w:tcPr>
            <w:tcW w:w="992" w:type="dxa"/>
            <w:shd w:val="clear" w:color="auto" w:fill="D9D9D9" w:themeFill="background1" w:themeFillShade="D9"/>
          </w:tcPr>
          <w:p w14:paraId="3F83B55B" w14:textId="15FC3468" w:rsidR="005957F6" w:rsidRPr="00CA3F84" w:rsidRDefault="005957F6" w:rsidP="00232E05">
            <w:pPr>
              <w:jc w:val="center"/>
              <w:rPr>
                <w:b/>
                <w:color w:val="auto"/>
              </w:rPr>
            </w:pPr>
            <w:r w:rsidRPr="00CA3F84">
              <w:rPr>
                <w:b/>
                <w:color w:val="auto"/>
              </w:rPr>
              <w:t>Responsable</w:t>
            </w:r>
          </w:p>
        </w:tc>
        <w:tc>
          <w:tcPr>
            <w:tcW w:w="992" w:type="dxa"/>
            <w:shd w:val="clear" w:color="auto" w:fill="D9D9D9" w:themeFill="background1" w:themeFillShade="D9"/>
          </w:tcPr>
          <w:p w14:paraId="3AD149A9" w14:textId="6B5C4EF6" w:rsidR="005957F6" w:rsidRPr="00CA3F84" w:rsidRDefault="005957F6" w:rsidP="00232E05">
            <w:pPr>
              <w:jc w:val="center"/>
              <w:rPr>
                <w:b/>
                <w:color w:val="auto"/>
              </w:rPr>
            </w:pPr>
            <w:r w:rsidRPr="00CA3F84">
              <w:rPr>
                <w:b/>
                <w:color w:val="auto"/>
              </w:rPr>
              <w:t>Soutien</w:t>
            </w:r>
          </w:p>
        </w:tc>
        <w:tc>
          <w:tcPr>
            <w:tcW w:w="1276" w:type="dxa"/>
            <w:shd w:val="clear" w:color="auto" w:fill="D9D9D9" w:themeFill="background1" w:themeFillShade="D9"/>
          </w:tcPr>
          <w:p w14:paraId="4C99E54B" w14:textId="04376F92" w:rsidR="005957F6" w:rsidRPr="00CA3F84" w:rsidRDefault="005957F6" w:rsidP="00232E05">
            <w:pPr>
              <w:jc w:val="center"/>
              <w:rPr>
                <w:b/>
                <w:color w:val="auto"/>
              </w:rPr>
            </w:pPr>
            <w:r w:rsidRPr="00CA3F84">
              <w:rPr>
                <w:b/>
                <w:color w:val="auto"/>
              </w:rPr>
              <w:t>Date de début</w:t>
            </w:r>
          </w:p>
        </w:tc>
        <w:tc>
          <w:tcPr>
            <w:tcW w:w="1276" w:type="dxa"/>
            <w:shd w:val="clear" w:color="auto" w:fill="D9D9D9" w:themeFill="background1" w:themeFillShade="D9"/>
          </w:tcPr>
          <w:p w14:paraId="46FE50ED" w14:textId="26F35B30" w:rsidR="005957F6" w:rsidRPr="00CA3F84" w:rsidRDefault="005957F6" w:rsidP="00232E05">
            <w:pPr>
              <w:jc w:val="center"/>
              <w:rPr>
                <w:b/>
                <w:color w:val="auto"/>
              </w:rPr>
            </w:pPr>
            <w:r w:rsidRPr="00CA3F84">
              <w:rPr>
                <w:b/>
                <w:color w:val="auto"/>
              </w:rPr>
              <w:t>Date de fin</w:t>
            </w:r>
          </w:p>
        </w:tc>
      </w:tr>
      <w:tr w:rsidR="00561BF1" w:rsidRPr="00CA3F84" w14:paraId="4EA3985E" w14:textId="77777777" w:rsidTr="00CF62D0">
        <w:trPr>
          <w:trHeight w:val="1756"/>
        </w:trPr>
        <w:tc>
          <w:tcPr>
            <w:tcW w:w="2411" w:type="dxa"/>
          </w:tcPr>
          <w:p w14:paraId="58C4CBF4" w14:textId="078BF9FB" w:rsidR="00561BF1" w:rsidRPr="00CA3F84" w:rsidRDefault="00561BF1" w:rsidP="00A91E85">
            <w:pPr>
              <w:rPr>
                <w:color w:val="auto"/>
              </w:rPr>
            </w:pPr>
            <w:r w:rsidRPr="00CA3F84">
              <w:rPr>
                <w:color w:val="auto"/>
              </w:rPr>
              <w:t>3.2.1.  Étudier les possibilités d’augmenter l’utilisation de données ouvertes à l’aide d’outils de visualisation</w:t>
            </w:r>
          </w:p>
        </w:tc>
        <w:tc>
          <w:tcPr>
            <w:tcW w:w="3969" w:type="dxa"/>
          </w:tcPr>
          <w:p w14:paraId="10D14834" w14:textId="7ECC58C7" w:rsidR="00561BF1" w:rsidRPr="00CA3F84" w:rsidRDefault="00561BF1" w:rsidP="00A91E85">
            <w:pPr>
              <w:rPr>
                <w:color w:val="auto"/>
              </w:rPr>
            </w:pPr>
            <w:r w:rsidRPr="00CA3F84">
              <w:rPr>
                <w:color w:val="auto"/>
              </w:rPr>
              <w:t>3.2.1.1.  Évaluation des options de visualisation des données ouvertes</w:t>
            </w:r>
          </w:p>
        </w:tc>
        <w:tc>
          <w:tcPr>
            <w:tcW w:w="992" w:type="dxa"/>
          </w:tcPr>
          <w:p w14:paraId="389FDB5F" w14:textId="77777777" w:rsidR="00561BF1" w:rsidRPr="00CA3F84" w:rsidRDefault="00561BF1" w:rsidP="00AA48AD">
            <w:pPr>
              <w:rPr>
                <w:color w:val="auto"/>
              </w:rPr>
            </w:pPr>
            <w:r w:rsidRPr="00CA3F84">
              <w:rPr>
                <w:color w:val="auto"/>
              </w:rPr>
              <w:t>DSDA</w:t>
            </w:r>
          </w:p>
          <w:p w14:paraId="47CBB055" w14:textId="67AF9FF4" w:rsidR="00561BF1" w:rsidRPr="00CA3F84" w:rsidRDefault="00561BF1" w:rsidP="00AA48AD">
            <w:pPr>
              <w:rPr>
                <w:color w:val="auto"/>
              </w:rPr>
            </w:pPr>
            <w:r w:rsidRPr="00CA3F84">
              <w:rPr>
                <w:color w:val="auto"/>
              </w:rPr>
              <w:t>DSTI</w:t>
            </w:r>
          </w:p>
        </w:tc>
        <w:tc>
          <w:tcPr>
            <w:tcW w:w="992" w:type="dxa"/>
          </w:tcPr>
          <w:p w14:paraId="6C38849E" w14:textId="5418E601" w:rsidR="00561BF1" w:rsidRPr="00CA3F84" w:rsidRDefault="00561BF1" w:rsidP="00AA48AD">
            <w:pPr>
              <w:rPr>
                <w:color w:val="auto"/>
              </w:rPr>
            </w:pPr>
            <w:r w:rsidRPr="00CA3F84">
              <w:rPr>
                <w:color w:val="auto"/>
              </w:rPr>
              <w:t>SGO</w:t>
            </w:r>
          </w:p>
        </w:tc>
        <w:tc>
          <w:tcPr>
            <w:tcW w:w="1276" w:type="dxa"/>
          </w:tcPr>
          <w:p w14:paraId="40B4E54C" w14:textId="5461500A" w:rsidR="00561BF1" w:rsidRPr="00CA3F84" w:rsidRDefault="00561BF1" w:rsidP="00514749">
            <w:pPr>
              <w:rPr>
                <w:color w:val="auto"/>
              </w:rPr>
            </w:pPr>
            <w:r>
              <w:rPr>
                <w:color w:val="auto"/>
              </w:rPr>
              <w:t>DSDA:</w:t>
            </w:r>
            <w:r>
              <w:rPr>
                <w:color w:val="auto"/>
              </w:rPr>
              <w:br/>
            </w:r>
            <w:r w:rsidRPr="00CA3F84">
              <w:rPr>
                <w:color w:val="auto"/>
              </w:rPr>
              <w:t>Avr.  2020</w:t>
            </w:r>
          </w:p>
          <w:p w14:paraId="2951B0A8" w14:textId="27F3945D" w:rsidR="00561BF1" w:rsidRDefault="00561BF1" w:rsidP="00AA48AD">
            <w:pPr>
              <w:rPr>
                <w:color w:val="auto"/>
              </w:rPr>
            </w:pPr>
            <w:r>
              <w:rPr>
                <w:color w:val="auto"/>
              </w:rPr>
              <w:t>DSTI:</w:t>
            </w:r>
          </w:p>
          <w:p w14:paraId="1540968F" w14:textId="3DF2D574" w:rsidR="00561BF1" w:rsidRPr="00CA3F84" w:rsidRDefault="00561BF1" w:rsidP="00AA48AD">
            <w:pPr>
              <w:rPr>
                <w:color w:val="auto"/>
              </w:rPr>
            </w:pPr>
            <w:r w:rsidRPr="00CA3F84">
              <w:rPr>
                <w:color w:val="auto"/>
              </w:rPr>
              <w:t>Avr.  2020</w:t>
            </w:r>
          </w:p>
        </w:tc>
        <w:tc>
          <w:tcPr>
            <w:tcW w:w="1276" w:type="dxa"/>
          </w:tcPr>
          <w:p w14:paraId="59EB700C" w14:textId="77777777" w:rsidR="00561BF1" w:rsidRPr="00CA3F84" w:rsidRDefault="00561BF1" w:rsidP="00514749">
            <w:pPr>
              <w:rPr>
                <w:color w:val="auto"/>
              </w:rPr>
            </w:pPr>
            <w:r>
              <w:rPr>
                <w:color w:val="auto"/>
              </w:rPr>
              <w:t>DSDA:</w:t>
            </w:r>
            <w:r>
              <w:rPr>
                <w:color w:val="auto"/>
              </w:rPr>
              <w:br/>
            </w:r>
            <w:r w:rsidRPr="00CA3F84">
              <w:rPr>
                <w:color w:val="auto"/>
              </w:rPr>
              <w:t>Mars 2021</w:t>
            </w:r>
          </w:p>
          <w:p w14:paraId="633D54BA" w14:textId="77777777" w:rsidR="00561BF1" w:rsidRDefault="00561BF1" w:rsidP="00561BF1">
            <w:pPr>
              <w:rPr>
                <w:color w:val="auto"/>
              </w:rPr>
            </w:pPr>
            <w:r>
              <w:rPr>
                <w:color w:val="auto"/>
              </w:rPr>
              <w:t>DSTI:</w:t>
            </w:r>
          </w:p>
          <w:p w14:paraId="69DC9741" w14:textId="38366722" w:rsidR="00561BF1" w:rsidRPr="00CA3F84" w:rsidRDefault="00561BF1" w:rsidP="00DB5CC6">
            <w:pPr>
              <w:rPr>
                <w:color w:val="auto"/>
              </w:rPr>
            </w:pPr>
            <w:r w:rsidRPr="00CA3F84">
              <w:rPr>
                <w:color w:val="auto"/>
              </w:rPr>
              <w:t>Mars 2021</w:t>
            </w:r>
          </w:p>
        </w:tc>
      </w:tr>
      <w:tr w:rsidR="00CA3F84" w:rsidRPr="00CA3F84" w14:paraId="015E320D" w14:textId="77777777" w:rsidTr="007A197F">
        <w:tc>
          <w:tcPr>
            <w:tcW w:w="2411" w:type="dxa"/>
          </w:tcPr>
          <w:p w14:paraId="1165002E" w14:textId="2B60A528" w:rsidR="00164803" w:rsidRPr="00CA3F84" w:rsidRDefault="00164803" w:rsidP="00A91E85">
            <w:pPr>
              <w:rPr>
                <w:color w:val="auto"/>
              </w:rPr>
            </w:pPr>
            <w:r w:rsidRPr="00CA3F84">
              <w:rPr>
                <w:color w:val="auto"/>
              </w:rPr>
              <w:t>3.2.2</w:t>
            </w:r>
            <w:r w:rsidR="00B4312D" w:rsidRPr="00CA3F84">
              <w:rPr>
                <w:color w:val="auto"/>
              </w:rPr>
              <w:t xml:space="preserve">.  </w:t>
            </w:r>
            <w:r w:rsidR="00A91E85" w:rsidRPr="00CA3F84">
              <w:rPr>
                <w:color w:val="auto"/>
              </w:rPr>
              <w:t>Partager nos solutions et notre code au moyen de sources ouvertes</w:t>
            </w:r>
          </w:p>
        </w:tc>
        <w:tc>
          <w:tcPr>
            <w:tcW w:w="3969" w:type="dxa"/>
          </w:tcPr>
          <w:p w14:paraId="6AC4B22F" w14:textId="3F7438AC" w:rsidR="00164803" w:rsidRPr="00CA3F84" w:rsidRDefault="00164803" w:rsidP="008A5D9D">
            <w:pPr>
              <w:rPr>
                <w:color w:val="auto"/>
              </w:rPr>
            </w:pPr>
            <w:r w:rsidRPr="00CA3F84">
              <w:rPr>
                <w:color w:val="auto"/>
              </w:rPr>
              <w:t>3.2.2.1</w:t>
            </w:r>
            <w:r w:rsidR="00B4312D" w:rsidRPr="00CA3F84">
              <w:rPr>
                <w:color w:val="auto"/>
              </w:rPr>
              <w:t xml:space="preserve">.  </w:t>
            </w:r>
            <w:r w:rsidR="00A91E85" w:rsidRPr="00CA3F84">
              <w:rPr>
                <w:color w:val="auto"/>
              </w:rPr>
              <w:t xml:space="preserve">Partage </w:t>
            </w:r>
            <w:r w:rsidR="008A5D9D" w:rsidRPr="00CA3F84">
              <w:rPr>
                <w:color w:val="auto"/>
              </w:rPr>
              <w:t xml:space="preserve">du code développé </w:t>
            </w:r>
            <w:r w:rsidR="00A91E85" w:rsidRPr="00CA3F84">
              <w:rPr>
                <w:color w:val="auto"/>
              </w:rPr>
              <w:t>sur une plateforme à source ouverte</w:t>
            </w:r>
          </w:p>
        </w:tc>
        <w:tc>
          <w:tcPr>
            <w:tcW w:w="992" w:type="dxa"/>
          </w:tcPr>
          <w:p w14:paraId="16F4AE3C" w14:textId="76660AEC" w:rsidR="00164803" w:rsidRPr="00CA3F84" w:rsidRDefault="005957F6" w:rsidP="00AA48AD">
            <w:pPr>
              <w:rPr>
                <w:color w:val="auto"/>
              </w:rPr>
            </w:pPr>
            <w:r w:rsidRPr="00CA3F84">
              <w:rPr>
                <w:color w:val="auto"/>
              </w:rPr>
              <w:t>DSTI</w:t>
            </w:r>
          </w:p>
        </w:tc>
        <w:tc>
          <w:tcPr>
            <w:tcW w:w="992" w:type="dxa"/>
          </w:tcPr>
          <w:p w14:paraId="43CD02B2" w14:textId="1DE8CB47" w:rsidR="00164803" w:rsidRPr="00CA3F84" w:rsidRDefault="00DD3AB7" w:rsidP="00AA48AD">
            <w:pPr>
              <w:rPr>
                <w:color w:val="auto"/>
              </w:rPr>
            </w:pPr>
            <w:r>
              <w:rPr>
                <w:color w:val="auto"/>
              </w:rPr>
              <w:t>Aucun</w:t>
            </w:r>
          </w:p>
        </w:tc>
        <w:tc>
          <w:tcPr>
            <w:tcW w:w="1276" w:type="dxa"/>
          </w:tcPr>
          <w:p w14:paraId="6C5A34D1" w14:textId="1A3A482F" w:rsidR="00164803" w:rsidRPr="00CA3F84" w:rsidRDefault="005957F6" w:rsidP="00514749">
            <w:pPr>
              <w:rPr>
                <w:color w:val="auto"/>
              </w:rPr>
            </w:pPr>
            <w:r w:rsidRPr="00CA3F84">
              <w:rPr>
                <w:color w:val="auto"/>
              </w:rPr>
              <w:t>Avr</w:t>
            </w:r>
            <w:r w:rsidR="00B4312D" w:rsidRPr="00CA3F84">
              <w:rPr>
                <w:color w:val="auto"/>
              </w:rPr>
              <w:t xml:space="preserve">.  </w:t>
            </w:r>
            <w:r w:rsidR="00164803" w:rsidRPr="00CA3F84">
              <w:rPr>
                <w:color w:val="auto"/>
              </w:rPr>
              <w:t>2020</w:t>
            </w:r>
          </w:p>
        </w:tc>
        <w:tc>
          <w:tcPr>
            <w:tcW w:w="1276" w:type="dxa"/>
          </w:tcPr>
          <w:p w14:paraId="5BA91A2E" w14:textId="1AE3506D" w:rsidR="00164803" w:rsidRPr="00CA3F84" w:rsidRDefault="005957F6" w:rsidP="00514749">
            <w:pPr>
              <w:rPr>
                <w:color w:val="auto"/>
              </w:rPr>
            </w:pPr>
            <w:r w:rsidRPr="00CA3F84">
              <w:rPr>
                <w:color w:val="auto"/>
              </w:rPr>
              <w:t>Mars</w:t>
            </w:r>
            <w:r w:rsidR="00514749" w:rsidRPr="00CA3F84">
              <w:rPr>
                <w:color w:val="auto"/>
              </w:rPr>
              <w:t xml:space="preserve"> </w:t>
            </w:r>
            <w:r w:rsidR="00164803" w:rsidRPr="00CA3F84">
              <w:rPr>
                <w:color w:val="auto"/>
              </w:rPr>
              <w:t>2022</w:t>
            </w:r>
          </w:p>
        </w:tc>
      </w:tr>
      <w:tr w:rsidR="00CA3F84" w:rsidRPr="00CA3F84" w14:paraId="482C5E80" w14:textId="77777777" w:rsidTr="007A197F">
        <w:tc>
          <w:tcPr>
            <w:tcW w:w="2411" w:type="dxa"/>
          </w:tcPr>
          <w:p w14:paraId="15B2E050" w14:textId="35EB26B7" w:rsidR="00164803" w:rsidRPr="00CA3F84" w:rsidRDefault="00A91E85" w:rsidP="00A91E85">
            <w:pPr>
              <w:rPr>
                <w:color w:val="auto"/>
              </w:rPr>
            </w:pPr>
            <w:r w:rsidRPr="00CA3F84">
              <w:rPr>
                <w:color w:val="auto"/>
              </w:rPr>
              <w:t>3.2.3</w:t>
            </w:r>
            <w:r w:rsidR="00B4312D" w:rsidRPr="00CA3F84">
              <w:rPr>
                <w:color w:val="auto"/>
              </w:rPr>
              <w:t xml:space="preserve">.  </w:t>
            </w:r>
            <w:r w:rsidRPr="00CA3F84">
              <w:rPr>
                <w:color w:val="auto"/>
              </w:rPr>
              <w:t>Étudier la création de données et d’information</w:t>
            </w:r>
            <w:r w:rsidR="006C352C" w:rsidRPr="00CA3F84">
              <w:rPr>
                <w:color w:val="auto"/>
              </w:rPr>
              <w:t>s</w:t>
            </w:r>
            <w:r w:rsidRPr="00CA3F84">
              <w:rPr>
                <w:color w:val="auto"/>
              </w:rPr>
              <w:t xml:space="preserve"> en divers formats pour accroître leur exploitabilité </w:t>
            </w:r>
          </w:p>
        </w:tc>
        <w:tc>
          <w:tcPr>
            <w:tcW w:w="3969" w:type="dxa"/>
          </w:tcPr>
          <w:p w14:paraId="551FA5E9" w14:textId="3CC7CB3B" w:rsidR="00164803" w:rsidRPr="00CA3F84" w:rsidRDefault="00164803" w:rsidP="00A91E85">
            <w:pPr>
              <w:rPr>
                <w:color w:val="auto"/>
              </w:rPr>
            </w:pPr>
            <w:r w:rsidRPr="00CA3F84">
              <w:rPr>
                <w:color w:val="auto"/>
              </w:rPr>
              <w:t>3.2.3.1</w:t>
            </w:r>
            <w:r w:rsidR="00B4312D" w:rsidRPr="00CA3F84">
              <w:rPr>
                <w:color w:val="auto"/>
              </w:rPr>
              <w:t xml:space="preserve">.  </w:t>
            </w:r>
            <w:r w:rsidR="00A91E85" w:rsidRPr="00CA3F84">
              <w:rPr>
                <w:color w:val="auto"/>
              </w:rPr>
              <w:t>Diffusion sur YouTube de la vidéo du SDIP «</w:t>
            </w:r>
            <w:r w:rsidR="00133081" w:rsidRPr="00CA3F84">
              <w:rPr>
                <w:color w:val="auto"/>
              </w:rPr>
              <w:t> </w:t>
            </w:r>
            <w:r w:rsidR="00A91E85" w:rsidRPr="00CA3F84">
              <w:rPr>
                <w:color w:val="auto"/>
              </w:rPr>
              <w:t>Navigation des données ouvertes</w:t>
            </w:r>
            <w:r w:rsidR="00133081" w:rsidRPr="00CA3F84">
              <w:rPr>
                <w:color w:val="auto"/>
              </w:rPr>
              <w:t> </w:t>
            </w:r>
            <w:r w:rsidR="00A91E85" w:rsidRPr="00CA3F84">
              <w:rPr>
                <w:color w:val="auto"/>
              </w:rPr>
              <w:t>»</w:t>
            </w:r>
          </w:p>
        </w:tc>
        <w:tc>
          <w:tcPr>
            <w:tcW w:w="992" w:type="dxa"/>
          </w:tcPr>
          <w:p w14:paraId="3A2CBC57" w14:textId="61C8FFCF" w:rsidR="00164803" w:rsidRPr="00CA3F84" w:rsidRDefault="005957F6" w:rsidP="00E434E8">
            <w:pPr>
              <w:rPr>
                <w:color w:val="auto"/>
              </w:rPr>
            </w:pPr>
            <w:r w:rsidRPr="00CA3F84">
              <w:rPr>
                <w:color w:val="auto"/>
              </w:rPr>
              <w:t>SGO</w:t>
            </w:r>
          </w:p>
        </w:tc>
        <w:tc>
          <w:tcPr>
            <w:tcW w:w="992" w:type="dxa"/>
          </w:tcPr>
          <w:p w14:paraId="0E9D0C23" w14:textId="12F70D06" w:rsidR="00164803" w:rsidRPr="00CA3F84" w:rsidRDefault="005957F6" w:rsidP="00AA48AD">
            <w:pPr>
              <w:rPr>
                <w:color w:val="auto"/>
              </w:rPr>
            </w:pPr>
            <w:r w:rsidRPr="00CA3F84">
              <w:rPr>
                <w:color w:val="auto"/>
              </w:rPr>
              <w:t>DSDA</w:t>
            </w:r>
          </w:p>
          <w:p w14:paraId="320DE2B7" w14:textId="70362488" w:rsidR="00164803" w:rsidRPr="00CA3F84" w:rsidRDefault="005957F6" w:rsidP="00AA48AD">
            <w:pPr>
              <w:rPr>
                <w:color w:val="auto"/>
              </w:rPr>
            </w:pPr>
            <w:r w:rsidRPr="00CA3F84">
              <w:rPr>
                <w:color w:val="auto"/>
              </w:rPr>
              <w:t>DCAP</w:t>
            </w:r>
          </w:p>
          <w:p w14:paraId="61422BEC" w14:textId="19805D42" w:rsidR="00164803" w:rsidRPr="00CA3F84" w:rsidRDefault="00164803" w:rsidP="00AA48AD">
            <w:pPr>
              <w:rPr>
                <w:color w:val="auto"/>
              </w:rPr>
            </w:pPr>
          </w:p>
        </w:tc>
        <w:tc>
          <w:tcPr>
            <w:tcW w:w="1276" w:type="dxa"/>
          </w:tcPr>
          <w:p w14:paraId="70F38685" w14:textId="4E0A2E0B" w:rsidR="00164803" w:rsidRPr="00CA3F84" w:rsidRDefault="005957F6" w:rsidP="00AA48AD">
            <w:pPr>
              <w:rPr>
                <w:color w:val="auto"/>
              </w:rPr>
            </w:pPr>
            <w:r w:rsidRPr="00CA3F84">
              <w:rPr>
                <w:color w:val="auto"/>
              </w:rPr>
              <w:t>Mai</w:t>
            </w:r>
            <w:r w:rsidR="00164803" w:rsidRPr="00CA3F84">
              <w:rPr>
                <w:color w:val="auto"/>
              </w:rPr>
              <w:t xml:space="preserve"> 2020</w:t>
            </w:r>
          </w:p>
        </w:tc>
        <w:tc>
          <w:tcPr>
            <w:tcW w:w="1276" w:type="dxa"/>
          </w:tcPr>
          <w:p w14:paraId="497C7F4C" w14:textId="683D58D5" w:rsidR="00164803" w:rsidRPr="00CA3F84" w:rsidRDefault="006D4609" w:rsidP="006D4609">
            <w:pPr>
              <w:rPr>
                <w:color w:val="auto"/>
              </w:rPr>
            </w:pPr>
            <w:r>
              <w:rPr>
                <w:color w:val="auto"/>
              </w:rPr>
              <w:t>Sep</w:t>
            </w:r>
            <w:r w:rsidR="005957F6" w:rsidRPr="00CA3F84">
              <w:rPr>
                <w:color w:val="auto"/>
              </w:rPr>
              <w:t>t</w:t>
            </w:r>
            <w:r>
              <w:rPr>
                <w:color w:val="auto"/>
              </w:rPr>
              <w:t>.</w:t>
            </w:r>
            <w:r w:rsidR="00164803" w:rsidRPr="00CA3F84">
              <w:rPr>
                <w:color w:val="auto"/>
              </w:rPr>
              <w:t xml:space="preserve"> 2020</w:t>
            </w:r>
          </w:p>
        </w:tc>
      </w:tr>
      <w:tr w:rsidR="00CA3F84" w:rsidRPr="00CA3F84" w14:paraId="3D8CC7D6" w14:textId="77777777" w:rsidTr="007A197F">
        <w:tc>
          <w:tcPr>
            <w:tcW w:w="2411" w:type="dxa"/>
          </w:tcPr>
          <w:p w14:paraId="693230CF" w14:textId="258B4179" w:rsidR="00164803" w:rsidRPr="00CA3F84" w:rsidRDefault="00561BF1" w:rsidP="00AA48AD">
            <w:pPr>
              <w:rPr>
                <w:color w:val="auto"/>
              </w:rPr>
            </w:pPr>
            <w:r w:rsidRPr="00CA3F84">
              <w:rPr>
                <w:color w:val="auto"/>
              </w:rPr>
              <w:t>3.2.3.  Étudier la création de données et d’informations en divers formats pour accroître leur exploitabilité</w:t>
            </w:r>
          </w:p>
        </w:tc>
        <w:tc>
          <w:tcPr>
            <w:tcW w:w="3969" w:type="dxa"/>
          </w:tcPr>
          <w:p w14:paraId="776DD092" w14:textId="57A02EC0" w:rsidR="00164803" w:rsidRPr="00CA3F84" w:rsidRDefault="00164803" w:rsidP="00A91E85">
            <w:pPr>
              <w:rPr>
                <w:color w:val="auto"/>
              </w:rPr>
            </w:pPr>
            <w:r w:rsidRPr="00CA3F84">
              <w:rPr>
                <w:color w:val="auto"/>
              </w:rPr>
              <w:t>3.2.3.2</w:t>
            </w:r>
            <w:r w:rsidR="00B4312D" w:rsidRPr="00CA3F84">
              <w:rPr>
                <w:color w:val="auto"/>
              </w:rPr>
              <w:t xml:space="preserve">.  </w:t>
            </w:r>
            <w:r w:rsidR="00A91E85" w:rsidRPr="00CA3F84">
              <w:rPr>
                <w:color w:val="auto"/>
              </w:rPr>
              <w:t>Diffusion sur YouTube de la vidéo d’ELS «</w:t>
            </w:r>
            <w:r w:rsidR="00133081" w:rsidRPr="00CA3F84">
              <w:rPr>
                <w:color w:val="auto"/>
              </w:rPr>
              <w:t> </w:t>
            </w:r>
            <w:r w:rsidR="00A91E85" w:rsidRPr="00CA3F84">
              <w:rPr>
                <w:color w:val="auto"/>
              </w:rPr>
              <w:t>Navigation des données ouvertes</w:t>
            </w:r>
            <w:r w:rsidR="00133081" w:rsidRPr="00CA3F84">
              <w:rPr>
                <w:color w:val="auto"/>
              </w:rPr>
              <w:t> </w:t>
            </w:r>
            <w:r w:rsidR="00A91E85" w:rsidRPr="00CA3F84">
              <w:rPr>
                <w:color w:val="auto"/>
              </w:rPr>
              <w:t xml:space="preserve">» </w:t>
            </w:r>
          </w:p>
        </w:tc>
        <w:tc>
          <w:tcPr>
            <w:tcW w:w="992" w:type="dxa"/>
          </w:tcPr>
          <w:p w14:paraId="4AE771FE" w14:textId="6B8A1004" w:rsidR="00164803" w:rsidRPr="00CA3F84" w:rsidRDefault="005957F6" w:rsidP="00AA48AD">
            <w:pPr>
              <w:rPr>
                <w:color w:val="auto"/>
              </w:rPr>
            </w:pPr>
            <w:r w:rsidRPr="00CA3F84">
              <w:rPr>
                <w:color w:val="auto"/>
              </w:rPr>
              <w:t>SGO</w:t>
            </w:r>
          </w:p>
        </w:tc>
        <w:tc>
          <w:tcPr>
            <w:tcW w:w="992" w:type="dxa"/>
          </w:tcPr>
          <w:p w14:paraId="5B3AF619" w14:textId="25929720" w:rsidR="00164803" w:rsidRPr="00CA3F84" w:rsidRDefault="005957F6" w:rsidP="00AA48AD">
            <w:pPr>
              <w:rPr>
                <w:color w:val="auto"/>
              </w:rPr>
            </w:pPr>
            <w:r w:rsidRPr="00CA3F84">
              <w:rPr>
                <w:color w:val="auto"/>
              </w:rPr>
              <w:t>CPP</w:t>
            </w:r>
          </w:p>
          <w:p w14:paraId="2C0CE7FA" w14:textId="560C1E18" w:rsidR="00164803" w:rsidRPr="00CA3F84" w:rsidRDefault="005957F6" w:rsidP="00AA48AD">
            <w:pPr>
              <w:rPr>
                <w:color w:val="auto"/>
              </w:rPr>
            </w:pPr>
            <w:r w:rsidRPr="00CA3F84">
              <w:rPr>
                <w:color w:val="auto"/>
              </w:rPr>
              <w:t>DCAP</w:t>
            </w:r>
          </w:p>
        </w:tc>
        <w:tc>
          <w:tcPr>
            <w:tcW w:w="1276" w:type="dxa"/>
          </w:tcPr>
          <w:p w14:paraId="6A866DBA" w14:textId="025F785B" w:rsidR="00164803" w:rsidRPr="00CA3F84" w:rsidRDefault="0037142F" w:rsidP="006D4609">
            <w:pPr>
              <w:rPr>
                <w:color w:val="auto"/>
              </w:rPr>
            </w:pPr>
            <w:r>
              <w:rPr>
                <w:color w:val="auto"/>
              </w:rPr>
              <w:t>Janv</w:t>
            </w:r>
            <w:r w:rsidR="00B4312D" w:rsidRPr="00CA3F84">
              <w:rPr>
                <w:color w:val="auto"/>
              </w:rPr>
              <w:t xml:space="preserve">.  </w:t>
            </w:r>
            <w:r w:rsidR="00164803" w:rsidRPr="00CA3F84">
              <w:rPr>
                <w:color w:val="auto"/>
              </w:rPr>
              <w:t>202</w:t>
            </w:r>
            <w:r w:rsidR="006D4609">
              <w:rPr>
                <w:color w:val="auto"/>
              </w:rPr>
              <w:t>1</w:t>
            </w:r>
          </w:p>
        </w:tc>
        <w:tc>
          <w:tcPr>
            <w:tcW w:w="1276" w:type="dxa"/>
          </w:tcPr>
          <w:p w14:paraId="422C6E35" w14:textId="7F3C2484" w:rsidR="00164803" w:rsidRPr="00CA3F84" w:rsidRDefault="0037142F" w:rsidP="006D4609">
            <w:pPr>
              <w:rPr>
                <w:color w:val="auto"/>
              </w:rPr>
            </w:pPr>
            <w:r>
              <w:rPr>
                <w:color w:val="auto"/>
              </w:rPr>
              <w:t>Mars</w:t>
            </w:r>
            <w:r w:rsidR="00B4312D" w:rsidRPr="00CA3F84">
              <w:rPr>
                <w:color w:val="auto"/>
              </w:rPr>
              <w:t xml:space="preserve">  </w:t>
            </w:r>
            <w:r w:rsidR="00164803" w:rsidRPr="00CA3F84">
              <w:rPr>
                <w:color w:val="auto"/>
              </w:rPr>
              <w:t>202</w:t>
            </w:r>
            <w:r w:rsidR="006D4609">
              <w:rPr>
                <w:color w:val="auto"/>
              </w:rPr>
              <w:t>1</w:t>
            </w:r>
          </w:p>
        </w:tc>
      </w:tr>
      <w:tr w:rsidR="00CA3F84" w:rsidRPr="00CA3F84" w14:paraId="04057C63" w14:textId="77777777" w:rsidTr="007A197F">
        <w:tc>
          <w:tcPr>
            <w:tcW w:w="2411" w:type="dxa"/>
          </w:tcPr>
          <w:p w14:paraId="775BC98C" w14:textId="02F24175" w:rsidR="00164803" w:rsidRPr="00CA3F84" w:rsidRDefault="00164803" w:rsidP="006C352C">
            <w:pPr>
              <w:rPr>
                <w:color w:val="auto"/>
              </w:rPr>
            </w:pPr>
            <w:r w:rsidRPr="00CA3F84">
              <w:rPr>
                <w:color w:val="auto"/>
              </w:rPr>
              <w:lastRenderedPageBreak/>
              <w:t>3.2.</w:t>
            </w:r>
            <w:r w:rsidR="00161447" w:rsidRPr="00CA3F84">
              <w:rPr>
                <w:color w:val="auto"/>
              </w:rPr>
              <w:t>4</w:t>
            </w:r>
            <w:r w:rsidR="00B4312D" w:rsidRPr="00CA3F84">
              <w:rPr>
                <w:color w:val="auto"/>
              </w:rPr>
              <w:t xml:space="preserve">.  </w:t>
            </w:r>
            <w:r w:rsidR="003A060E" w:rsidRPr="00CA3F84">
              <w:rPr>
                <w:color w:val="auto"/>
              </w:rPr>
              <w:t>Faciliter la recherche d</w:t>
            </w:r>
            <w:r w:rsidR="008A5D9D" w:rsidRPr="00CA3F84">
              <w:rPr>
                <w:color w:val="auto"/>
              </w:rPr>
              <w:t>es</w:t>
            </w:r>
            <w:r w:rsidR="003A060E" w:rsidRPr="00CA3F84">
              <w:rPr>
                <w:color w:val="auto"/>
              </w:rPr>
              <w:t xml:space="preserve"> données ouvertes et </w:t>
            </w:r>
            <w:r w:rsidR="008A5D9D" w:rsidRPr="00CA3F84">
              <w:rPr>
                <w:color w:val="auto"/>
              </w:rPr>
              <w:t>d</w:t>
            </w:r>
            <w:r w:rsidR="006C352C" w:rsidRPr="00CA3F84">
              <w:rPr>
                <w:color w:val="auto"/>
              </w:rPr>
              <w:t xml:space="preserve">es informations ouvertes </w:t>
            </w:r>
            <w:r w:rsidR="003A060E" w:rsidRPr="00CA3F84">
              <w:rPr>
                <w:color w:val="auto"/>
              </w:rPr>
              <w:t xml:space="preserve">de la CFP sur le portail </w:t>
            </w:r>
          </w:p>
        </w:tc>
        <w:tc>
          <w:tcPr>
            <w:tcW w:w="3969" w:type="dxa"/>
          </w:tcPr>
          <w:p w14:paraId="73E2AEC3" w14:textId="1A391156" w:rsidR="00164803" w:rsidRPr="00CA3F84" w:rsidRDefault="00164803" w:rsidP="003A060E">
            <w:pPr>
              <w:rPr>
                <w:color w:val="auto"/>
              </w:rPr>
            </w:pPr>
            <w:r w:rsidRPr="00CA3F84">
              <w:rPr>
                <w:color w:val="auto"/>
              </w:rPr>
              <w:t>3.2.</w:t>
            </w:r>
            <w:r w:rsidR="00161447" w:rsidRPr="00CA3F84">
              <w:rPr>
                <w:color w:val="auto"/>
              </w:rPr>
              <w:t>4</w:t>
            </w:r>
            <w:r w:rsidRPr="00CA3F84">
              <w:rPr>
                <w:color w:val="auto"/>
              </w:rPr>
              <w:t>.1</w:t>
            </w:r>
            <w:r w:rsidR="00B4312D" w:rsidRPr="00CA3F84">
              <w:rPr>
                <w:color w:val="auto"/>
              </w:rPr>
              <w:t xml:space="preserve">.  </w:t>
            </w:r>
            <w:r w:rsidR="003A060E" w:rsidRPr="00CA3F84">
              <w:rPr>
                <w:color w:val="auto"/>
              </w:rPr>
              <w:t xml:space="preserve">Modification de la forme des métadonnées pour inclure une méthode de catégorisation du contenu sur le portail </w:t>
            </w:r>
          </w:p>
        </w:tc>
        <w:tc>
          <w:tcPr>
            <w:tcW w:w="992" w:type="dxa"/>
          </w:tcPr>
          <w:p w14:paraId="5A5769DF" w14:textId="48406EA0" w:rsidR="00164803" w:rsidRPr="00CA3F84" w:rsidRDefault="005957F6" w:rsidP="00AA48AD">
            <w:pPr>
              <w:rPr>
                <w:color w:val="auto"/>
              </w:rPr>
            </w:pPr>
            <w:r w:rsidRPr="00CA3F84">
              <w:rPr>
                <w:color w:val="auto"/>
              </w:rPr>
              <w:t>DCAP</w:t>
            </w:r>
          </w:p>
        </w:tc>
        <w:tc>
          <w:tcPr>
            <w:tcW w:w="992" w:type="dxa"/>
          </w:tcPr>
          <w:p w14:paraId="54563504" w14:textId="3D209086" w:rsidR="00164803" w:rsidRPr="00CA3F84" w:rsidRDefault="005957F6" w:rsidP="00AA48AD">
            <w:pPr>
              <w:rPr>
                <w:color w:val="auto"/>
              </w:rPr>
            </w:pPr>
            <w:r w:rsidRPr="00CA3F84">
              <w:rPr>
                <w:color w:val="auto"/>
              </w:rPr>
              <w:t>SGO</w:t>
            </w:r>
          </w:p>
          <w:p w14:paraId="668573BD" w14:textId="69026386" w:rsidR="00164803" w:rsidRPr="00CA3F84" w:rsidRDefault="005957F6" w:rsidP="00AA48AD">
            <w:pPr>
              <w:rPr>
                <w:color w:val="auto"/>
              </w:rPr>
            </w:pPr>
            <w:r w:rsidRPr="00CA3F84">
              <w:rPr>
                <w:color w:val="auto"/>
              </w:rPr>
              <w:t>DSTI</w:t>
            </w:r>
            <w:r w:rsidR="00B743B0" w:rsidRPr="00CA3F84">
              <w:rPr>
                <w:color w:val="auto"/>
              </w:rPr>
              <w:t xml:space="preserve"> </w:t>
            </w:r>
          </w:p>
        </w:tc>
        <w:tc>
          <w:tcPr>
            <w:tcW w:w="1276" w:type="dxa"/>
          </w:tcPr>
          <w:p w14:paraId="6BAF349A" w14:textId="3D5B8177" w:rsidR="00164803" w:rsidRPr="00CA3F84" w:rsidRDefault="00164803" w:rsidP="0037142F">
            <w:pPr>
              <w:rPr>
                <w:color w:val="auto"/>
              </w:rPr>
            </w:pPr>
            <w:r w:rsidRPr="00CA3F84">
              <w:rPr>
                <w:color w:val="auto"/>
              </w:rPr>
              <w:t xml:space="preserve"> </w:t>
            </w:r>
            <w:r w:rsidR="0037142F">
              <w:rPr>
                <w:color w:val="auto"/>
              </w:rPr>
              <w:t>Sept</w:t>
            </w:r>
            <w:r w:rsidR="00B4312D" w:rsidRPr="00CA3F84">
              <w:rPr>
                <w:color w:val="auto"/>
              </w:rPr>
              <w:t xml:space="preserve">. </w:t>
            </w:r>
            <w:r w:rsidRPr="00CA3F84">
              <w:rPr>
                <w:color w:val="auto"/>
              </w:rPr>
              <w:t>2020</w:t>
            </w:r>
          </w:p>
        </w:tc>
        <w:tc>
          <w:tcPr>
            <w:tcW w:w="1276" w:type="dxa"/>
          </w:tcPr>
          <w:p w14:paraId="3B81F7A0" w14:textId="11CCD6E2" w:rsidR="00164803" w:rsidRPr="00CA3F84" w:rsidRDefault="0037142F" w:rsidP="00AA48AD">
            <w:pPr>
              <w:rPr>
                <w:color w:val="auto"/>
              </w:rPr>
            </w:pPr>
            <w:r>
              <w:rPr>
                <w:color w:val="auto"/>
              </w:rPr>
              <w:t>Déc</w:t>
            </w:r>
            <w:r w:rsidR="00164803" w:rsidRPr="00CA3F84">
              <w:rPr>
                <w:color w:val="auto"/>
              </w:rPr>
              <w:t xml:space="preserve"> 2020</w:t>
            </w:r>
          </w:p>
        </w:tc>
      </w:tr>
    </w:tbl>
    <w:p w14:paraId="0E8EF982" w14:textId="6A5B9798" w:rsidR="00AA48AD" w:rsidRPr="005957F6" w:rsidRDefault="00561BF1" w:rsidP="00C86CD1">
      <w:pPr>
        <w:pStyle w:val="Heading2"/>
        <w:ind w:left="-900"/>
      </w:pPr>
      <w:bookmarkStart w:id="95" w:name="_Toc44323405"/>
      <w:r>
        <w:br/>
      </w:r>
      <w:bookmarkStart w:id="96" w:name="_Toc50038775"/>
      <w:r w:rsidR="003A060E">
        <w:t xml:space="preserve">4.0 </w:t>
      </w:r>
      <w:r w:rsidR="00EB7892">
        <w:t xml:space="preserve"> </w:t>
      </w:r>
      <w:r w:rsidR="003A060E">
        <w:t>Appuyer les engagements et les attentes du gouvernement du Canada</w:t>
      </w:r>
      <w:bookmarkEnd w:id="95"/>
      <w:bookmarkEnd w:id="96"/>
    </w:p>
    <w:p w14:paraId="1E06A8E0" w14:textId="25B2B707" w:rsidR="00AA48AD" w:rsidRPr="00CA3F84" w:rsidRDefault="00AA48AD" w:rsidP="00AA48AD">
      <w:pPr>
        <w:pStyle w:val="Heading3"/>
        <w:ind w:left="-851"/>
        <w:rPr>
          <w:color w:val="auto"/>
        </w:rPr>
      </w:pPr>
      <w:bookmarkStart w:id="97" w:name="_Toc30058987"/>
      <w:bookmarkStart w:id="98" w:name="_Toc30682137"/>
      <w:bookmarkStart w:id="99" w:name="_Toc44404888"/>
      <w:bookmarkStart w:id="100" w:name="_Toc44323406"/>
      <w:bookmarkStart w:id="101" w:name="_Toc46827426"/>
      <w:bookmarkStart w:id="102" w:name="_Toc49767866"/>
      <w:bookmarkStart w:id="103" w:name="_Toc50038776"/>
      <w:r w:rsidRPr="00CA3F84">
        <w:rPr>
          <w:color w:val="auto"/>
        </w:rPr>
        <w:t xml:space="preserve">4.1 </w:t>
      </w:r>
      <w:r w:rsidR="00EB7892" w:rsidRPr="00CA3F84">
        <w:rPr>
          <w:color w:val="auto"/>
        </w:rPr>
        <w:t xml:space="preserve"> </w:t>
      </w:r>
      <w:r w:rsidRPr="00CA3F84">
        <w:rPr>
          <w:color w:val="auto"/>
        </w:rPr>
        <w:t>Maximi</w:t>
      </w:r>
      <w:r w:rsidR="003A060E" w:rsidRPr="00CA3F84">
        <w:rPr>
          <w:color w:val="auto"/>
        </w:rPr>
        <w:t>ser la publication de données et d’information</w:t>
      </w:r>
      <w:bookmarkEnd w:id="97"/>
      <w:bookmarkEnd w:id="98"/>
      <w:bookmarkEnd w:id="99"/>
      <w:bookmarkEnd w:id="100"/>
      <w:bookmarkEnd w:id="101"/>
      <w:bookmarkEnd w:id="102"/>
      <w:bookmarkEnd w:id="103"/>
    </w:p>
    <w:tbl>
      <w:tblPr>
        <w:tblStyle w:val="TableGrid"/>
        <w:tblW w:w="10916" w:type="dxa"/>
        <w:tblInd w:w="-856" w:type="dxa"/>
        <w:tblLayout w:type="fixed"/>
        <w:tblLook w:val="04A0" w:firstRow="1" w:lastRow="0" w:firstColumn="1" w:lastColumn="0" w:noHBand="0" w:noVBand="1"/>
        <w:tblDescription w:val="Ce tableau est composé de 6 colonnes et 24 lignes, et ne contient aucune cellules divisées ou fusionnées."/>
      </w:tblPr>
      <w:tblGrid>
        <w:gridCol w:w="2411"/>
        <w:gridCol w:w="3827"/>
        <w:gridCol w:w="1134"/>
        <w:gridCol w:w="992"/>
        <w:gridCol w:w="1276"/>
        <w:gridCol w:w="1276"/>
      </w:tblGrid>
      <w:tr w:rsidR="00CA3F84" w:rsidRPr="00CA3F84" w14:paraId="68C083B7" w14:textId="77777777" w:rsidTr="006968CC">
        <w:trPr>
          <w:trHeight w:val="685"/>
          <w:tblHeader/>
        </w:trPr>
        <w:tc>
          <w:tcPr>
            <w:tcW w:w="2411" w:type="dxa"/>
            <w:shd w:val="clear" w:color="auto" w:fill="D9D9D9" w:themeFill="background1" w:themeFillShade="D9"/>
          </w:tcPr>
          <w:p w14:paraId="00895925" w14:textId="109836A0" w:rsidR="005957F6" w:rsidRPr="00CA3F84" w:rsidRDefault="005957F6" w:rsidP="00232E05">
            <w:pPr>
              <w:jc w:val="center"/>
              <w:rPr>
                <w:b/>
                <w:color w:val="auto"/>
              </w:rPr>
            </w:pPr>
            <w:r w:rsidRPr="00CA3F84">
              <w:rPr>
                <w:b/>
                <w:color w:val="auto"/>
              </w:rPr>
              <w:t>Activités</w:t>
            </w:r>
          </w:p>
        </w:tc>
        <w:tc>
          <w:tcPr>
            <w:tcW w:w="3827" w:type="dxa"/>
            <w:shd w:val="clear" w:color="auto" w:fill="D9D9D9" w:themeFill="background1" w:themeFillShade="D9"/>
          </w:tcPr>
          <w:p w14:paraId="302D83A9" w14:textId="19A20ED6" w:rsidR="005957F6" w:rsidRPr="00CA3F84" w:rsidRDefault="005957F6" w:rsidP="00232E05">
            <w:pPr>
              <w:jc w:val="center"/>
              <w:rPr>
                <w:b/>
                <w:color w:val="auto"/>
              </w:rPr>
            </w:pPr>
            <w:r w:rsidRPr="00CA3F84">
              <w:rPr>
                <w:b/>
                <w:color w:val="auto"/>
              </w:rPr>
              <w:t>Produits livrables</w:t>
            </w:r>
          </w:p>
        </w:tc>
        <w:tc>
          <w:tcPr>
            <w:tcW w:w="1134" w:type="dxa"/>
            <w:shd w:val="clear" w:color="auto" w:fill="D9D9D9" w:themeFill="background1" w:themeFillShade="D9"/>
          </w:tcPr>
          <w:p w14:paraId="5D20AC1B" w14:textId="58E44597" w:rsidR="005957F6" w:rsidRPr="00CA3F84" w:rsidRDefault="005957F6" w:rsidP="00232E05">
            <w:pPr>
              <w:jc w:val="center"/>
              <w:rPr>
                <w:b/>
                <w:color w:val="auto"/>
              </w:rPr>
            </w:pPr>
            <w:r w:rsidRPr="00CA3F84">
              <w:rPr>
                <w:b/>
                <w:color w:val="auto"/>
              </w:rPr>
              <w:t>Responsable</w:t>
            </w:r>
          </w:p>
        </w:tc>
        <w:tc>
          <w:tcPr>
            <w:tcW w:w="992" w:type="dxa"/>
            <w:shd w:val="clear" w:color="auto" w:fill="D9D9D9" w:themeFill="background1" w:themeFillShade="D9"/>
          </w:tcPr>
          <w:p w14:paraId="4977789D" w14:textId="07AB44D7" w:rsidR="005957F6" w:rsidRPr="00CA3F84" w:rsidRDefault="005957F6" w:rsidP="00232E05">
            <w:pPr>
              <w:jc w:val="center"/>
              <w:rPr>
                <w:b/>
                <w:color w:val="auto"/>
              </w:rPr>
            </w:pPr>
            <w:r w:rsidRPr="00CA3F84">
              <w:rPr>
                <w:b/>
                <w:color w:val="auto"/>
              </w:rPr>
              <w:t>Soutien</w:t>
            </w:r>
          </w:p>
        </w:tc>
        <w:tc>
          <w:tcPr>
            <w:tcW w:w="1276" w:type="dxa"/>
            <w:shd w:val="clear" w:color="auto" w:fill="D9D9D9" w:themeFill="background1" w:themeFillShade="D9"/>
          </w:tcPr>
          <w:p w14:paraId="47CE1DC3" w14:textId="5944DA51" w:rsidR="005957F6" w:rsidRPr="00CA3F84" w:rsidRDefault="005957F6" w:rsidP="00232E05">
            <w:pPr>
              <w:jc w:val="center"/>
              <w:rPr>
                <w:b/>
                <w:color w:val="auto"/>
              </w:rPr>
            </w:pPr>
            <w:r w:rsidRPr="00CA3F84">
              <w:rPr>
                <w:b/>
                <w:color w:val="auto"/>
              </w:rPr>
              <w:t>Date de début</w:t>
            </w:r>
          </w:p>
        </w:tc>
        <w:tc>
          <w:tcPr>
            <w:tcW w:w="1276" w:type="dxa"/>
            <w:shd w:val="clear" w:color="auto" w:fill="D9D9D9" w:themeFill="background1" w:themeFillShade="D9"/>
          </w:tcPr>
          <w:p w14:paraId="4958A50B" w14:textId="3A7AD839" w:rsidR="005957F6" w:rsidRPr="00CA3F84" w:rsidRDefault="005957F6" w:rsidP="00232E05">
            <w:pPr>
              <w:jc w:val="center"/>
              <w:rPr>
                <w:b/>
                <w:color w:val="auto"/>
              </w:rPr>
            </w:pPr>
            <w:r w:rsidRPr="00CA3F84">
              <w:rPr>
                <w:b/>
                <w:color w:val="auto"/>
              </w:rPr>
              <w:t>Date de fin</w:t>
            </w:r>
          </w:p>
        </w:tc>
      </w:tr>
      <w:tr w:rsidR="00B06254" w:rsidRPr="00CA3F84" w14:paraId="4CABEDAD" w14:textId="77777777" w:rsidTr="00DD3AB7">
        <w:trPr>
          <w:trHeight w:val="1463"/>
        </w:trPr>
        <w:tc>
          <w:tcPr>
            <w:tcW w:w="2411" w:type="dxa"/>
          </w:tcPr>
          <w:p w14:paraId="3C89F2D3" w14:textId="1BA12C35" w:rsidR="00B06254" w:rsidRPr="00CA3F84" w:rsidRDefault="00B06254" w:rsidP="00B06254">
            <w:pPr>
              <w:rPr>
                <w:color w:val="auto"/>
              </w:rPr>
            </w:pPr>
            <w:r w:rsidRPr="00CA3F84">
              <w:rPr>
                <w:color w:val="auto"/>
              </w:rPr>
              <w:t>4.1.1.  Mettre à jour les ensembles de données ouvertes et la documentation à l’appui</w:t>
            </w:r>
          </w:p>
        </w:tc>
        <w:tc>
          <w:tcPr>
            <w:tcW w:w="3827" w:type="dxa"/>
          </w:tcPr>
          <w:p w14:paraId="019792E2" w14:textId="054CF481" w:rsidR="00B06254" w:rsidRPr="00CA3F84" w:rsidRDefault="00B06254" w:rsidP="00B06254">
            <w:pPr>
              <w:rPr>
                <w:color w:val="auto"/>
              </w:rPr>
            </w:pPr>
            <w:r w:rsidRPr="00CA3F84">
              <w:rPr>
                <w:color w:val="auto"/>
              </w:rPr>
              <w:t xml:space="preserve"> 4.1.1.1.  Ensembles de données des Enquêtes mis à jour</w:t>
            </w:r>
          </w:p>
        </w:tc>
        <w:tc>
          <w:tcPr>
            <w:tcW w:w="1134" w:type="dxa"/>
          </w:tcPr>
          <w:p w14:paraId="2EEA8866" w14:textId="7576F2FC" w:rsidR="00B06254" w:rsidRPr="00CA3F84" w:rsidRDefault="00B06254" w:rsidP="00B06254">
            <w:pPr>
              <w:rPr>
                <w:color w:val="auto"/>
              </w:rPr>
            </w:pPr>
            <w:r w:rsidRPr="00CA3F84">
              <w:rPr>
                <w:color w:val="auto"/>
              </w:rPr>
              <w:t>Enquêtes</w:t>
            </w:r>
          </w:p>
        </w:tc>
        <w:tc>
          <w:tcPr>
            <w:tcW w:w="992" w:type="dxa"/>
          </w:tcPr>
          <w:p w14:paraId="1D0A50D9" w14:textId="543D8F9D" w:rsidR="00B06254" w:rsidRPr="00CA3F84" w:rsidRDefault="00B06254" w:rsidP="00B06254">
            <w:pPr>
              <w:rPr>
                <w:color w:val="auto"/>
              </w:rPr>
            </w:pPr>
            <w:r w:rsidRPr="00CA3F84">
              <w:rPr>
                <w:color w:val="auto"/>
              </w:rPr>
              <w:t>SGO</w:t>
            </w:r>
          </w:p>
          <w:p w14:paraId="11E71F92" w14:textId="4C51FEAB" w:rsidR="00B06254" w:rsidRPr="00CA3F84" w:rsidRDefault="00B06254" w:rsidP="00B06254">
            <w:pPr>
              <w:rPr>
                <w:color w:val="auto"/>
              </w:rPr>
            </w:pPr>
            <w:r w:rsidRPr="00CA3F84">
              <w:rPr>
                <w:color w:val="auto"/>
              </w:rPr>
              <w:t>DCAP</w:t>
            </w:r>
          </w:p>
        </w:tc>
        <w:tc>
          <w:tcPr>
            <w:tcW w:w="1276" w:type="dxa"/>
          </w:tcPr>
          <w:p w14:paraId="3EF01C39" w14:textId="77777777" w:rsidR="00B06254" w:rsidRPr="00AF0DA6" w:rsidRDefault="00B06254" w:rsidP="00B06254">
            <w:pPr>
              <w:rPr>
                <w:color w:val="auto"/>
              </w:rPr>
            </w:pPr>
            <w:r w:rsidRPr="00AF0DA6">
              <w:rPr>
                <w:color w:val="auto"/>
              </w:rPr>
              <w:t>Oct.  2020</w:t>
            </w:r>
          </w:p>
          <w:p w14:paraId="1C778024" w14:textId="5A0F6F1D" w:rsidR="00B06254" w:rsidRPr="00AF0DA6" w:rsidRDefault="00AF0DA6" w:rsidP="00B06254">
            <w:pPr>
              <w:rPr>
                <w:color w:val="auto"/>
              </w:rPr>
            </w:pPr>
            <w:r w:rsidRPr="00AF0DA6">
              <w:rPr>
                <w:color w:val="auto"/>
              </w:rPr>
              <w:t>Av</w:t>
            </w:r>
            <w:r w:rsidR="00B06254" w:rsidRPr="00AF0DA6">
              <w:rPr>
                <w:color w:val="auto"/>
              </w:rPr>
              <w:t>r</w:t>
            </w:r>
            <w:r w:rsidRPr="00AF0DA6">
              <w:rPr>
                <w:color w:val="auto"/>
              </w:rPr>
              <w:t>.</w:t>
            </w:r>
            <w:r w:rsidR="00B06254" w:rsidRPr="00AF0DA6">
              <w:rPr>
                <w:color w:val="auto"/>
              </w:rPr>
              <w:t xml:space="preserve">  2021</w:t>
            </w:r>
          </w:p>
          <w:p w14:paraId="6D5B4E15" w14:textId="2F7B98DB" w:rsidR="00B06254" w:rsidRPr="00CA3F84" w:rsidRDefault="00B06254" w:rsidP="00B06254">
            <w:pPr>
              <w:rPr>
                <w:color w:val="auto"/>
              </w:rPr>
            </w:pPr>
            <w:r w:rsidRPr="00AF0DA6">
              <w:rPr>
                <w:color w:val="auto"/>
              </w:rPr>
              <w:t>Oct.  2021</w:t>
            </w:r>
          </w:p>
        </w:tc>
        <w:tc>
          <w:tcPr>
            <w:tcW w:w="1276" w:type="dxa"/>
          </w:tcPr>
          <w:p w14:paraId="2E8BD1EE" w14:textId="77777777" w:rsidR="00B06254" w:rsidRPr="00AF0DA6" w:rsidRDefault="00B06254" w:rsidP="00B06254">
            <w:pPr>
              <w:rPr>
                <w:color w:val="auto"/>
              </w:rPr>
            </w:pPr>
            <w:r w:rsidRPr="00AF0DA6">
              <w:rPr>
                <w:color w:val="auto"/>
              </w:rPr>
              <w:t>Nov.  2020</w:t>
            </w:r>
          </w:p>
          <w:p w14:paraId="4501672F" w14:textId="0F603B03" w:rsidR="00B06254" w:rsidRPr="00AF0DA6" w:rsidRDefault="00B06254" w:rsidP="00B06254">
            <w:pPr>
              <w:rPr>
                <w:color w:val="auto"/>
              </w:rPr>
            </w:pPr>
            <w:r w:rsidRPr="00AF0DA6">
              <w:rPr>
                <w:color w:val="auto"/>
              </w:rPr>
              <w:t>Ma</w:t>
            </w:r>
            <w:r w:rsidR="00AF0DA6">
              <w:rPr>
                <w:color w:val="auto"/>
              </w:rPr>
              <w:t>i</w:t>
            </w:r>
            <w:r w:rsidRPr="00AF0DA6">
              <w:rPr>
                <w:color w:val="auto"/>
              </w:rPr>
              <w:t xml:space="preserve"> 2021</w:t>
            </w:r>
          </w:p>
          <w:p w14:paraId="62CF7AEE" w14:textId="61E05A1A" w:rsidR="00B06254" w:rsidRPr="00CA3F84" w:rsidRDefault="00B06254" w:rsidP="00B06254">
            <w:pPr>
              <w:rPr>
                <w:color w:val="auto"/>
              </w:rPr>
            </w:pPr>
            <w:r w:rsidRPr="00AF0DA6">
              <w:rPr>
                <w:color w:val="auto"/>
              </w:rPr>
              <w:t>Nov.  2021</w:t>
            </w:r>
          </w:p>
        </w:tc>
      </w:tr>
      <w:tr w:rsidR="00DD3AB7" w:rsidRPr="00CA3F84" w14:paraId="684B84A0" w14:textId="77777777" w:rsidTr="00DD3AB7">
        <w:trPr>
          <w:trHeight w:val="1463"/>
        </w:trPr>
        <w:tc>
          <w:tcPr>
            <w:tcW w:w="2411" w:type="dxa"/>
          </w:tcPr>
          <w:p w14:paraId="7AC9F14B" w14:textId="3CED2064" w:rsidR="00DD3AB7" w:rsidRPr="00CA3F84" w:rsidRDefault="00DD3AB7" w:rsidP="00DD3AB7">
            <w:pPr>
              <w:rPr>
                <w:color w:val="auto"/>
              </w:rPr>
            </w:pPr>
            <w:r w:rsidRPr="004663D9">
              <w:rPr>
                <w:color w:val="auto"/>
              </w:rPr>
              <w:t>4.1.1.  Mettre à jour les ensembles de données ouvertes et la documentation à l’appui</w:t>
            </w:r>
          </w:p>
        </w:tc>
        <w:tc>
          <w:tcPr>
            <w:tcW w:w="3827" w:type="dxa"/>
          </w:tcPr>
          <w:p w14:paraId="576D5271" w14:textId="6F04084C" w:rsidR="00DD3AB7" w:rsidRPr="00CA3F84" w:rsidRDefault="00DD3AB7" w:rsidP="00DD3AB7">
            <w:pPr>
              <w:rPr>
                <w:color w:val="auto"/>
              </w:rPr>
            </w:pPr>
            <w:r w:rsidRPr="00CA3F84">
              <w:rPr>
                <w:color w:val="auto"/>
              </w:rPr>
              <w:t>4.1.1.2.  Ensembles de données du Système de gestion de l’information sur les priorités mis à jour</w:t>
            </w:r>
          </w:p>
        </w:tc>
        <w:tc>
          <w:tcPr>
            <w:tcW w:w="1134" w:type="dxa"/>
          </w:tcPr>
          <w:p w14:paraId="18009990" w14:textId="6AE04BEB" w:rsidR="00DD3AB7" w:rsidRPr="00CA3F84" w:rsidRDefault="00DD3AB7" w:rsidP="00DD3AB7">
            <w:pPr>
              <w:rPr>
                <w:color w:val="auto"/>
              </w:rPr>
            </w:pPr>
            <w:r w:rsidRPr="00CA3F84">
              <w:rPr>
                <w:color w:val="auto"/>
              </w:rPr>
              <w:t>SGIP</w:t>
            </w:r>
          </w:p>
        </w:tc>
        <w:tc>
          <w:tcPr>
            <w:tcW w:w="992" w:type="dxa"/>
          </w:tcPr>
          <w:p w14:paraId="3539BE41" w14:textId="27E08F47" w:rsidR="00DD3AB7" w:rsidRPr="00CA3F84" w:rsidRDefault="00DD3AB7" w:rsidP="00DD3AB7">
            <w:pPr>
              <w:rPr>
                <w:color w:val="auto"/>
              </w:rPr>
            </w:pPr>
            <w:r w:rsidRPr="00CA3F84">
              <w:rPr>
                <w:color w:val="auto"/>
              </w:rPr>
              <w:t>SGO</w:t>
            </w:r>
          </w:p>
          <w:p w14:paraId="6A0FDAFD" w14:textId="281BAE9B" w:rsidR="00DD3AB7" w:rsidRPr="00CA3F84" w:rsidRDefault="00DD3AB7" w:rsidP="00DD3AB7">
            <w:pPr>
              <w:rPr>
                <w:color w:val="auto"/>
              </w:rPr>
            </w:pPr>
            <w:r w:rsidRPr="00CA3F84">
              <w:rPr>
                <w:color w:val="auto"/>
              </w:rPr>
              <w:t>DCAP</w:t>
            </w:r>
          </w:p>
        </w:tc>
        <w:tc>
          <w:tcPr>
            <w:tcW w:w="1276" w:type="dxa"/>
          </w:tcPr>
          <w:p w14:paraId="05AED589" w14:textId="77777777" w:rsidR="00DD3AB7" w:rsidRPr="00CA3F84" w:rsidRDefault="00DD3AB7" w:rsidP="00DD3AB7">
            <w:pPr>
              <w:rPr>
                <w:color w:val="auto"/>
              </w:rPr>
            </w:pPr>
            <w:r w:rsidRPr="00CA3F84">
              <w:rPr>
                <w:color w:val="auto"/>
              </w:rPr>
              <w:t>Avr.  2020</w:t>
            </w:r>
          </w:p>
          <w:p w14:paraId="28661C1A" w14:textId="1F42AC6F" w:rsidR="00DD3AB7" w:rsidRPr="00CA3F84" w:rsidRDefault="00DD3AB7" w:rsidP="00DD3AB7">
            <w:pPr>
              <w:rPr>
                <w:color w:val="auto"/>
              </w:rPr>
            </w:pPr>
            <w:r w:rsidRPr="00CA3F84">
              <w:rPr>
                <w:color w:val="auto"/>
              </w:rPr>
              <w:t>Avr.  2021</w:t>
            </w:r>
          </w:p>
        </w:tc>
        <w:tc>
          <w:tcPr>
            <w:tcW w:w="1276" w:type="dxa"/>
          </w:tcPr>
          <w:p w14:paraId="63A9E86F" w14:textId="77777777" w:rsidR="00DD3AB7" w:rsidRPr="00CA3F84" w:rsidRDefault="00DD3AB7" w:rsidP="00DD3AB7">
            <w:pPr>
              <w:rPr>
                <w:color w:val="auto"/>
              </w:rPr>
            </w:pPr>
            <w:r w:rsidRPr="00CA3F84">
              <w:rPr>
                <w:color w:val="auto"/>
              </w:rPr>
              <w:t>Mai 2020</w:t>
            </w:r>
          </w:p>
          <w:p w14:paraId="7050D6C0" w14:textId="0846D720" w:rsidR="00DD3AB7" w:rsidRPr="00CA3F84" w:rsidRDefault="00DD3AB7" w:rsidP="00DD3AB7">
            <w:pPr>
              <w:rPr>
                <w:color w:val="auto"/>
              </w:rPr>
            </w:pPr>
            <w:r w:rsidRPr="00CA3F84">
              <w:rPr>
                <w:color w:val="auto"/>
              </w:rPr>
              <w:t>Mai 2021</w:t>
            </w:r>
          </w:p>
        </w:tc>
      </w:tr>
      <w:tr w:rsidR="00DD3AB7" w:rsidRPr="00CA3F84" w14:paraId="2A8CD319" w14:textId="77777777" w:rsidTr="00DD3AB7">
        <w:tc>
          <w:tcPr>
            <w:tcW w:w="2411" w:type="dxa"/>
          </w:tcPr>
          <w:p w14:paraId="342BD826" w14:textId="70006215" w:rsidR="00DD3AB7" w:rsidRPr="00CA3F84" w:rsidRDefault="00DD3AB7" w:rsidP="00DD3AB7">
            <w:pPr>
              <w:rPr>
                <w:color w:val="auto"/>
              </w:rPr>
            </w:pPr>
            <w:r w:rsidRPr="004663D9">
              <w:rPr>
                <w:color w:val="auto"/>
              </w:rPr>
              <w:t>4.1.1.  Mettre à jour les ensembles de données ouvertes et la documentation à l’appui</w:t>
            </w:r>
          </w:p>
        </w:tc>
        <w:tc>
          <w:tcPr>
            <w:tcW w:w="3827" w:type="dxa"/>
          </w:tcPr>
          <w:p w14:paraId="2E884131" w14:textId="0E89AE57" w:rsidR="00DD3AB7" w:rsidRPr="00CA3F84" w:rsidRDefault="00DD3AB7" w:rsidP="00DD3AB7">
            <w:pPr>
              <w:rPr>
                <w:color w:val="auto"/>
              </w:rPr>
            </w:pPr>
            <w:r w:rsidRPr="00CA3F84">
              <w:rPr>
                <w:color w:val="auto"/>
              </w:rPr>
              <w:t>4.1.1.3.  Liste des établissements et des programmes universitaires postsecondaires validés par les ensembles de données de la CFP mise à jour mensuellement</w:t>
            </w:r>
          </w:p>
        </w:tc>
        <w:tc>
          <w:tcPr>
            <w:tcW w:w="1134" w:type="dxa"/>
          </w:tcPr>
          <w:p w14:paraId="3C39C739" w14:textId="3889BD55" w:rsidR="00DD3AB7" w:rsidRPr="00CA3F84" w:rsidRDefault="00DD3AB7" w:rsidP="00DD3AB7">
            <w:pPr>
              <w:rPr>
                <w:color w:val="auto"/>
              </w:rPr>
            </w:pPr>
            <w:r w:rsidRPr="00CA3F84">
              <w:rPr>
                <w:color w:val="auto"/>
              </w:rPr>
              <w:t>DPCBR</w:t>
            </w:r>
          </w:p>
        </w:tc>
        <w:tc>
          <w:tcPr>
            <w:tcW w:w="992" w:type="dxa"/>
          </w:tcPr>
          <w:p w14:paraId="7953A894" w14:textId="37B1B8F3" w:rsidR="00DD3AB7" w:rsidRPr="00CA3F84" w:rsidRDefault="00DD3AB7" w:rsidP="00DD3AB7">
            <w:pPr>
              <w:rPr>
                <w:color w:val="auto"/>
              </w:rPr>
            </w:pPr>
            <w:r w:rsidRPr="00CA3F84">
              <w:rPr>
                <w:color w:val="auto"/>
              </w:rPr>
              <w:t>SGO</w:t>
            </w:r>
          </w:p>
          <w:p w14:paraId="0F9CA80E" w14:textId="0EC80E78" w:rsidR="00DD3AB7" w:rsidRPr="00CA3F84" w:rsidRDefault="00DD3AB7" w:rsidP="00DD3AB7">
            <w:pPr>
              <w:rPr>
                <w:color w:val="auto"/>
              </w:rPr>
            </w:pPr>
            <w:r w:rsidRPr="00CA3F84">
              <w:rPr>
                <w:color w:val="auto"/>
              </w:rPr>
              <w:t>DCAP</w:t>
            </w:r>
          </w:p>
        </w:tc>
        <w:tc>
          <w:tcPr>
            <w:tcW w:w="1276" w:type="dxa"/>
          </w:tcPr>
          <w:p w14:paraId="676760BA" w14:textId="29884176" w:rsidR="00DD3AB7" w:rsidRPr="00CA3F84" w:rsidRDefault="00DD3AB7" w:rsidP="00DD3AB7">
            <w:pPr>
              <w:rPr>
                <w:color w:val="auto"/>
              </w:rPr>
            </w:pPr>
            <w:r w:rsidRPr="00CA3F84">
              <w:rPr>
                <w:color w:val="auto"/>
              </w:rPr>
              <w:t>Avr.  2020</w:t>
            </w:r>
          </w:p>
        </w:tc>
        <w:tc>
          <w:tcPr>
            <w:tcW w:w="1276" w:type="dxa"/>
          </w:tcPr>
          <w:p w14:paraId="13E5AF8E" w14:textId="66A06FDA" w:rsidR="00DD3AB7" w:rsidRPr="00CA3F84" w:rsidRDefault="00DD3AB7" w:rsidP="00DD3AB7">
            <w:pPr>
              <w:rPr>
                <w:color w:val="auto"/>
              </w:rPr>
            </w:pPr>
            <w:r w:rsidRPr="00CA3F84">
              <w:rPr>
                <w:color w:val="auto"/>
              </w:rPr>
              <w:t xml:space="preserve">Mars 2022 </w:t>
            </w:r>
          </w:p>
          <w:p w14:paraId="03F6B510" w14:textId="5C071996" w:rsidR="00DD3AB7" w:rsidRPr="00CA3F84" w:rsidRDefault="00DD3AB7" w:rsidP="00DD3AB7">
            <w:pPr>
              <w:rPr>
                <w:color w:val="auto"/>
              </w:rPr>
            </w:pPr>
            <w:r w:rsidRPr="00CA3F84">
              <w:rPr>
                <w:color w:val="auto"/>
              </w:rPr>
              <w:t>(continu, tous les mois)</w:t>
            </w:r>
          </w:p>
        </w:tc>
      </w:tr>
      <w:tr w:rsidR="00DD3AB7" w:rsidRPr="00CA3F84" w14:paraId="25B57114" w14:textId="77777777" w:rsidTr="00DD3AB7">
        <w:trPr>
          <w:trHeight w:val="1463"/>
        </w:trPr>
        <w:tc>
          <w:tcPr>
            <w:tcW w:w="2411" w:type="dxa"/>
          </w:tcPr>
          <w:p w14:paraId="778B26F8" w14:textId="59BFC3F3" w:rsidR="00DD3AB7" w:rsidRPr="00CA3F84" w:rsidRDefault="00DD3AB7" w:rsidP="00DD3AB7">
            <w:pPr>
              <w:rPr>
                <w:color w:val="auto"/>
              </w:rPr>
            </w:pPr>
            <w:r w:rsidRPr="004663D9">
              <w:rPr>
                <w:color w:val="auto"/>
              </w:rPr>
              <w:t>4.1.1.  Mettre à jour les ensembles de données ouvertes et la documentation à l’appui</w:t>
            </w:r>
          </w:p>
        </w:tc>
        <w:tc>
          <w:tcPr>
            <w:tcW w:w="3827" w:type="dxa"/>
          </w:tcPr>
          <w:p w14:paraId="584A4E24" w14:textId="77777777" w:rsidR="00DD3AB7" w:rsidRPr="00CA3F84" w:rsidRDefault="00DD3AB7" w:rsidP="00DD3AB7">
            <w:pPr>
              <w:rPr>
                <w:color w:val="auto"/>
              </w:rPr>
            </w:pPr>
            <w:r w:rsidRPr="00CA3F84">
              <w:rPr>
                <w:color w:val="auto"/>
              </w:rPr>
              <w:t>4.1.1.4.  Ensembles de données sur les dispositions concernant la mobilité mis à jour</w:t>
            </w:r>
          </w:p>
          <w:p w14:paraId="5BD73BA7" w14:textId="3098403A" w:rsidR="00DD3AB7" w:rsidRPr="00CA3F84" w:rsidRDefault="00DD3AB7" w:rsidP="00DD3AB7">
            <w:pPr>
              <w:rPr>
                <w:color w:val="auto"/>
              </w:rPr>
            </w:pPr>
          </w:p>
        </w:tc>
        <w:tc>
          <w:tcPr>
            <w:tcW w:w="1134" w:type="dxa"/>
          </w:tcPr>
          <w:p w14:paraId="2249B663" w14:textId="0F928183" w:rsidR="00DD3AB7" w:rsidRPr="00CA3F84" w:rsidRDefault="00DD3AB7" w:rsidP="00DD3AB7">
            <w:pPr>
              <w:rPr>
                <w:color w:val="auto"/>
              </w:rPr>
            </w:pPr>
            <w:r w:rsidRPr="00CA3F84">
              <w:rPr>
                <w:color w:val="auto"/>
              </w:rPr>
              <w:t>DAPIP</w:t>
            </w:r>
          </w:p>
        </w:tc>
        <w:tc>
          <w:tcPr>
            <w:tcW w:w="992" w:type="dxa"/>
          </w:tcPr>
          <w:p w14:paraId="0C02837F" w14:textId="015414E3" w:rsidR="00DD3AB7" w:rsidRPr="00CA3F84" w:rsidRDefault="00DD3AB7" w:rsidP="00DD3AB7">
            <w:pPr>
              <w:rPr>
                <w:color w:val="auto"/>
              </w:rPr>
            </w:pPr>
            <w:r w:rsidRPr="00CA3F84">
              <w:rPr>
                <w:color w:val="auto"/>
              </w:rPr>
              <w:t xml:space="preserve"> SGO</w:t>
            </w:r>
          </w:p>
          <w:p w14:paraId="00E6BAED" w14:textId="41CEDE44" w:rsidR="00DD3AB7" w:rsidRPr="00CA3F84" w:rsidRDefault="00DD3AB7" w:rsidP="00DD3AB7">
            <w:pPr>
              <w:rPr>
                <w:color w:val="auto"/>
              </w:rPr>
            </w:pPr>
            <w:r w:rsidRPr="00CA3F84">
              <w:rPr>
                <w:color w:val="auto"/>
              </w:rPr>
              <w:t>DCAP</w:t>
            </w:r>
          </w:p>
        </w:tc>
        <w:tc>
          <w:tcPr>
            <w:tcW w:w="1276" w:type="dxa"/>
          </w:tcPr>
          <w:p w14:paraId="41A078B9" w14:textId="77777777" w:rsidR="00DD3AB7" w:rsidRPr="00CA3F84" w:rsidRDefault="00DD3AB7" w:rsidP="00DD3AB7">
            <w:pPr>
              <w:rPr>
                <w:color w:val="auto"/>
              </w:rPr>
            </w:pPr>
            <w:r w:rsidRPr="00CA3F84">
              <w:rPr>
                <w:color w:val="auto"/>
              </w:rPr>
              <w:t>Mars 2021</w:t>
            </w:r>
          </w:p>
          <w:p w14:paraId="765EFD2B" w14:textId="44441D42" w:rsidR="00DD3AB7" w:rsidRPr="00CA3F84" w:rsidRDefault="00DD3AB7" w:rsidP="00DD3AB7">
            <w:pPr>
              <w:rPr>
                <w:color w:val="auto"/>
              </w:rPr>
            </w:pPr>
            <w:r w:rsidRPr="00CA3F84">
              <w:rPr>
                <w:color w:val="auto"/>
              </w:rPr>
              <w:t>Mars 2022</w:t>
            </w:r>
          </w:p>
        </w:tc>
        <w:tc>
          <w:tcPr>
            <w:tcW w:w="1276" w:type="dxa"/>
          </w:tcPr>
          <w:p w14:paraId="49A2CC2C" w14:textId="77777777" w:rsidR="00DD3AB7" w:rsidRPr="00CA3F84" w:rsidRDefault="00DD3AB7" w:rsidP="00DD3AB7">
            <w:pPr>
              <w:rPr>
                <w:color w:val="auto"/>
              </w:rPr>
            </w:pPr>
            <w:r w:rsidRPr="00CA3F84">
              <w:rPr>
                <w:color w:val="auto"/>
              </w:rPr>
              <w:t>Avr.  2021</w:t>
            </w:r>
          </w:p>
          <w:p w14:paraId="35234907" w14:textId="057F8223" w:rsidR="00DD3AB7" w:rsidRPr="00CA3F84" w:rsidRDefault="00DD3AB7" w:rsidP="00DD3AB7">
            <w:pPr>
              <w:rPr>
                <w:color w:val="auto"/>
              </w:rPr>
            </w:pPr>
            <w:r w:rsidRPr="00CA3F84">
              <w:rPr>
                <w:color w:val="auto"/>
              </w:rPr>
              <w:t>Avr.  2022</w:t>
            </w:r>
          </w:p>
        </w:tc>
      </w:tr>
      <w:tr w:rsidR="00DD3AB7" w:rsidRPr="00CA3F84" w14:paraId="6D6CA7A8" w14:textId="77777777" w:rsidTr="00DD3AB7">
        <w:trPr>
          <w:trHeight w:val="1463"/>
        </w:trPr>
        <w:tc>
          <w:tcPr>
            <w:tcW w:w="2411" w:type="dxa"/>
          </w:tcPr>
          <w:p w14:paraId="3CBFD672" w14:textId="2CCD3917" w:rsidR="00DD3AB7" w:rsidRPr="00CA3F84" w:rsidRDefault="00DD3AB7" w:rsidP="00DD3AB7">
            <w:pPr>
              <w:rPr>
                <w:color w:val="auto"/>
              </w:rPr>
            </w:pPr>
            <w:r w:rsidRPr="004663D9">
              <w:rPr>
                <w:color w:val="auto"/>
              </w:rPr>
              <w:t>4.1.1.  Mettre à jour les ensembles de données ouvertes et la documentation à l’appui</w:t>
            </w:r>
          </w:p>
        </w:tc>
        <w:tc>
          <w:tcPr>
            <w:tcW w:w="3827" w:type="dxa"/>
          </w:tcPr>
          <w:p w14:paraId="630AB3EC" w14:textId="386148BE" w:rsidR="00DD3AB7" w:rsidRPr="00CA3F84" w:rsidRDefault="00DD3AB7" w:rsidP="00DD3AB7">
            <w:pPr>
              <w:rPr>
                <w:color w:val="auto"/>
              </w:rPr>
            </w:pPr>
            <w:r w:rsidRPr="00CA3F84">
              <w:rPr>
                <w:color w:val="auto"/>
              </w:rPr>
              <w:t xml:space="preserve">4.1.1.5.  Ensembles de données sur l’effectif régi par la </w:t>
            </w:r>
            <w:r w:rsidRPr="00797DD2">
              <w:rPr>
                <w:rStyle w:val="SubtleEmphasis"/>
                <w:color w:val="auto"/>
              </w:rPr>
              <w:t>Loi sur l’emploi dans la fonction publique</w:t>
            </w:r>
            <w:r w:rsidRPr="00CA3F84">
              <w:rPr>
                <w:i/>
                <w:color w:val="auto"/>
              </w:rPr>
              <w:t xml:space="preserve"> </w:t>
            </w:r>
            <w:r w:rsidRPr="00CA3F84">
              <w:rPr>
                <w:color w:val="auto"/>
              </w:rPr>
              <w:t>mis à jour</w:t>
            </w:r>
          </w:p>
        </w:tc>
        <w:tc>
          <w:tcPr>
            <w:tcW w:w="1134" w:type="dxa"/>
          </w:tcPr>
          <w:p w14:paraId="2CA557C0" w14:textId="71BA6D8B" w:rsidR="00DD3AB7" w:rsidRPr="00CA3F84" w:rsidRDefault="00DD3AB7" w:rsidP="00DD3AB7">
            <w:pPr>
              <w:rPr>
                <w:color w:val="auto"/>
              </w:rPr>
            </w:pPr>
            <w:r w:rsidRPr="00CA3F84">
              <w:rPr>
                <w:color w:val="auto"/>
              </w:rPr>
              <w:t>DSDA</w:t>
            </w:r>
          </w:p>
        </w:tc>
        <w:tc>
          <w:tcPr>
            <w:tcW w:w="992" w:type="dxa"/>
          </w:tcPr>
          <w:p w14:paraId="3228D8F9" w14:textId="75295210" w:rsidR="00DD3AB7" w:rsidRPr="00CA3F84" w:rsidRDefault="00DD3AB7" w:rsidP="00DD3AB7">
            <w:pPr>
              <w:rPr>
                <w:color w:val="auto"/>
              </w:rPr>
            </w:pPr>
            <w:r w:rsidRPr="00CA3F84">
              <w:rPr>
                <w:color w:val="auto"/>
              </w:rPr>
              <w:t>SGO</w:t>
            </w:r>
          </w:p>
          <w:p w14:paraId="5E24339F" w14:textId="627A36C2" w:rsidR="00DD3AB7" w:rsidRPr="00CA3F84" w:rsidRDefault="00DD3AB7" w:rsidP="00DD3AB7">
            <w:pPr>
              <w:rPr>
                <w:color w:val="auto"/>
              </w:rPr>
            </w:pPr>
            <w:r w:rsidRPr="00CA3F84">
              <w:rPr>
                <w:color w:val="auto"/>
              </w:rPr>
              <w:t>DCAP</w:t>
            </w:r>
          </w:p>
        </w:tc>
        <w:tc>
          <w:tcPr>
            <w:tcW w:w="1276" w:type="dxa"/>
          </w:tcPr>
          <w:p w14:paraId="41C4C787" w14:textId="77777777" w:rsidR="00DD3AB7" w:rsidRPr="00CA3F84" w:rsidRDefault="00DD3AB7" w:rsidP="00DD3AB7">
            <w:pPr>
              <w:rPr>
                <w:color w:val="auto"/>
              </w:rPr>
            </w:pPr>
            <w:r w:rsidRPr="00CA3F84">
              <w:rPr>
                <w:color w:val="auto"/>
              </w:rPr>
              <w:t>Oct.  2020</w:t>
            </w:r>
          </w:p>
          <w:p w14:paraId="199C909A" w14:textId="35276F05" w:rsidR="00DD3AB7" w:rsidRPr="00CA3F84" w:rsidRDefault="00DD3AB7" w:rsidP="004117EE">
            <w:pPr>
              <w:rPr>
                <w:color w:val="auto"/>
              </w:rPr>
            </w:pPr>
            <w:r w:rsidRPr="00CA3F84">
              <w:rPr>
                <w:color w:val="auto"/>
              </w:rPr>
              <w:t>Oct.  2021</w:t>
            </w:r>
          </w:p>
        </w:tc>
        <w:tc>
          <w:tcPr>
            <w:tcW w:w="1276" w:type="dxa"/>
          </w:tcPr>
          <w:p w14:paraId="019414B9" w14:textId="77777777" w:rsidR="00DD3AB7" w:rsidRPr="00CA3F84" w:rsidRDefault="00DD3AB7" w:rsidP="00DD3AB7">
            <w:pPr>
              <w:rPr>
                <w:color w:val="auto"/>
              </w:rPr>
            </w:pPr>
            <w:r w:rsidRPr="00CA3F84">
              <w:rPr>
                <w:color w:val="auto"/>
              </w:rPr>
              <w:t>Oct.  2020</w:t>
            </w:r>
          </w:p>
          <w:p w14:paraId="266435B2" w14:textId="28EBAE10" w:rsidR="00DD3AB7" w:rsidRPr="00CA3F84" w:rsidRDefault="00DD3AB7" w:rsidP="00514749">
            <w:pPr>
              <w:rPr>
                <w:color w:val="auto"/>
              </w:rPr>
            </w:pPr>
            <w:r w:rsidRPr="00CA3F84">
              <w:rPr>
                <w:color w:val="auto"/>
              </w:rPr>
              <w:t>Oct.  2021</w:t>
            </w:r>
          </w:p>
        </w:tc>
      </w:tr>
      <w:tr w:rsidR="00DD3AB7" w:rsidRPr="00CA3F84" w14:paraId="010743B2" w14:textId="77777777" w:rsidTr="00DD3AB7">
        <w:tc>
          <w:tcPr>
            <w:tcW w:w="2411" w:type="dxa"/>
          </w:tcPr>
          <w:p w14:paraId="7C68C87F" w14:textId="28E2BBC3" w:rsidR="00DD3AB7" w:rsidRPr="00CA3F84" w:rsidRDefault="00DD3AB7" w:rsidP="00DD3AB7">
            <w:pPr>
              <w:rPr>
                <w:color w:val="auto"/>
              </w:rPr>
            </w:pPr>
            <w:r w:rsidRPr="005457C0">
              <w:rPr>
                <w:color w:val="auto"/>
              </w:rPr>
              <w:lastRenderedPageBreak/>
              <w:t>4.1.1.  Mettre à jour les ensembles de données ouvertes et la documentation à l’appui</w:t>
            </w:r>
          </w:p>
        </w:tc>
        <w:tc>
          <w:tcPr>
            <w:tcW w:w="3827" w:type="dxa"/>
          </w:tcPr>
          <w:p w14:paraId="76CEA2E3" w14:textId="41768F34" w:rsidR="00DD3AB7" w:rsidRPr="00CA3F84" w:rsidRDefault="00DD3AB7" w:rsidP="00DD3AB7">
            <w:pPr>
              <w:rPr>
                <w:color w:val="auto"/>
              </w:rPr>
            </w:pPr>
            <w:r w:rsidRPr="00CA3F84">
              <w:rPr>
                <w:color w:val="auto"/>
              </w:rPr>
              <w:t xml:space="preserve">4.1.1.6.  Ensembles de données sur les groupes visés par l’équité en emploi régis par la </w:t>
            </w:r>
            <w:r w:rsidRPr="00797DD2">
              <w:rPr>
                <w:rStyle w:val="SubtleEmphasis"/>
                <w:color w:val="auto"/>
              </w:rPr>
              <w:t>Loi sur l’emploi dans la fonction publique</w:t>
            </w:r>
            <w:r w:rsidRPr="00797DD2">
              <w:rPr>
                <w:i/>
                <w:color w:val="auto"/>
              </w:rPr>
              <w:t xml:space="preserve"> </w:t>
            </w:r>
            <w:r w:rsidRPr="00CA3F84">
              <w:rPr>
                <w:color w:val="auto"/>
              </w:rPr>
              <w:t>mis à jour</w:t>
            </w:r>
          </w:p>
        </w:tc>
        <w:tc>
          <w:tcPr>
            <w:tcW w:w="1134" w:type="dxa"/>
          </w:tcPr>
          <w:p w14:paraId="704BD3F3" w14:textId="397AE38A" w:rsidR="00DD3AB7" w:rsidRPr="00CA3F84" w:rsidRDefault="00DD3AB7" w:rsidP="00DD3AB7">
            <w:pPr>
              <w:rPr>
                <w:color w:val="auto"/>
              </w:rPr>
            </w:pPr>
            <w:r w:rsidRPr="00CA3F84">
              <w:rPr>
                <w:color w:val="auto"/>
              </w:rPr>
              <w:t>DSDA</w:t>
            </w:r>
          </w:p>
        </w:tc>
        <w:tc>
          <w:tcPr>
            <w:tcW w:w="992" w:type="dxa"/>
          </w:tcPr>
          <w:p w14:paraId="08ED96A1" w14:textId="66DD1E7A" w:rsidR="00DD3AB7" w:rsidRPr="00CA3F84" w:rsidRDefault="00DD3AB7" w:rsidP="00DD3AB7">
            <w:pPr>
              <w:rPr>
                <w:color w:val="auto"/>
              </w:rPr>
            </w:pPr>
            <w:r w:rsidRPr="00CA3F84">
              <w:rPr>
                <w:color w:val="auto"/>
              </w:rPr>
              <w:t>SGO</w:t>
            </w:r>
          </w:p>
          <w:p w14:paraId="280F0A4A" w14:textId="08845339" w:rsidR="00DD3AB7" w:rsidRPr="00CA3F84" w:rsidRDefault="00DD3AB7" w:rsidP="00DD3AB7">
            <w:pPr>
              <w:rPr>
                <w:color w:val="auto"/>
              </w:rPr>
            </w:pPr>
            <w:r w:rsidRPr="00CA3F84">
              <w:rPr>
                <w:color w:val="auto"/>
              </w:rPr>
              <w:t>DCAP</w:t>
            </w:r>
          </w:p>
        </w:tc>
        <w:tc>
          <w:tcPr>
            <w:tcW w:w="1276" w:type="dxa"/>
          </w:tcPr>
          <w:p w14:paraId="00F13FD2" w14:textId="36725DD8" w:rsidR="00DD3AB7" w:rsidRPr="00CA3F84" w:rsidRDefault="00DD3AB7" w:rsidP="00DD3AB7">
            <w:pPr>
              <w:rPr>
                <w:color w:val="auto"/>
              </w:rPr>
            </w:pPr>
            <w:r w:rsidRPr="00CA3F84">
              <w:rPr>
                <w:color w:val="auto"/>
              </w:rPr>
              <w:t>Dès la disponibilité des données</w:t>
            </w:r>
          </w:p>
        </w:tc>
        <w:tc>
          <w:tcPr>
            <w:tcW w:w="1276" w:type="dxa"/>
          </w:tcPr>
          <w:p w14:paraId="60859DE5" w14:textId="4778AD0E" w:rsidR="00DD3AB7" w:rsidRPr="00CA3F84" w:rsidRDefault="00DD3AB7" w:rsidP="00DD3AB7">
            <w:pPr>
              <w:rPr>
                <w:color w:val="auto"/>
              </w:rPr>
            </w:pPr>
            <w:r w:rsidRPr="00CA3F84">
              <w:rPr>
                <w:color w:val="auto"/>
              </w:rPr>
              <w:t>Dès la disponibilité des données</w:t>
            </w:r>
          </w:p>
        </w:tc>
      </w:tr>
      <w:tr w:rsidR="00DD3AB7" w:rsidRPr="00CA3F84" w14:paraId="067CDF62" w14:textId="77777777" w:rsidTr="00DD3AB7">
        <w:trPr>
          <w:trHeight w:val="1463"/>
        </w:trPr>
        <w:tc>
          <w:tcPr>
            <w:tcW w:w="2411" w:type="dxa"/>
          </w:tcPr>
          <w:p w14:paraId="0EBCAD8D" w14:textId="1D49F5EB" w:rsidR="00DD3AB7" w:rsidRPr="00CA3F84" w:rsidRDefault="00DD3AB7" w:rsidP="00DD3AB7">
            <w:pPr>
              <w:rPr>
                <w:color w:val="auto"/>
              </w:rPr>
            </w:pPr>
            <w:r w:rsidRPr="005457C0">
              <w:rPr>
                <w:color w:val="auto"/>
              </w:rPr>
              <w:t>4.1.1.  Mettre à jour les ensembles de données ouvertes et la documentation à l’appui</w:t>
            </w:r>
          </w:p>
        </w:tc>
        <w:tc>
          <w:tcPr>
            <w:tcW w:w="3827" w:type="dxa"/>
          </w:tcPr>
          <w:p w14:paraId="6FDD05A2" w14:textId="22787DC9" w:rsidR="00DD3AB7" w:rsidRPr="00CA3F84" w:rsidRDefault="00DD3AB7" w:rsidP="00DD3AB7">
            <w:pPr>
              <w:rPr>
                <w:color w:val="auto"/>
              </w:rPr>
            </w:pPr>
            <w:r w:rsidRPr="00CA3F84">
              <w:rPr>
                <w:color w:val="auto"/>
              </w:rPr>
              <w:t>4.1.1.7.  Ensembles de données sur les activités d’embauche et de dotation de la fonction publique mis à jour</w:t>
            </w:r>
          </w:p>
        </w:tc>
        <w:tc>
          <w:tcPr>
            <w:tcW w:w="1134" w:type="dxa"/>
          </w:tcPr>
          <w:p w14:paraId="0D2E119D" w14:textId="25D426C8" w:rsidR="00DD3AB7" w:rsidRPr="00CA3F84" w:rsidRDefault="00DD3AB7" w:rsidP="00DD3AB7">
            <w:pPr>
              <w:rPr>
                <w:color w:val="auto"/>
              </w:rPr>
            </w:pPr>
            <w:r w:rsidRPr="00CA3F84">
              <w:rPr>
                <w:color w:val="auto"/>
              </w:rPr>
              <w:t>DSDA</w:t>
            </w:r>
          </w:p>
        </w:tc>
        <w:tc>
          <w:tcPr>
            <w:tcW w:w="992" w:type="dxa"/>
          </w:tcPr>
          <w:p w14:paraId="4A1F7EF7" w14:textId="7BA0A280" w:rsidR="00DD3AB7" w:rsidRPr="00CA3F84" w:rsidRDefault="00DD3AB7" w:rsidP="00DD3AB7">
            <w:pPr>
              <w:rPr>
                <w:color w:val="auto"/>
              </w:rPr>
            </w:pPr>
            <w:r w:rsidRPr="00CA3F84">
              <w:rPr>
                <w:color w:val="auto"/>
              </w:rPr>
              <w:t>SGO</w:t>
            </w:r>
          </w:p>
          <w:p w14:paraId="3B666DF5" w14:textId="65D29D43" w:rsidR="00DD3AB7" w:rsidRPr="00CA3F84" w:rsidRDefault="00DD3AB7" w:rsidP="00DD3AB7">
            <w:pPr>
              <w:rPr>
                <w:color w:val="auto"/>
              </w:rPr>
            </w:pPr>
            <w:r w:rsidRPr="00CA3F84">
              <w:rPr>
                <w:color w:val="auto"/>
              </w:rPr>
              <w:t>DCAP</w:t>
            </w:r>
          </w:p>
        </w:tc>
        <w:tc>
          <w:tcPr>
            <w:tcW w:w="1276" w:type="dxa"/>
          </w:tcPr>
          <w:p w14:paraId="317C9353" w14:textId="77777777" w:rsidR="00DD3AB7" w:rsidRPr="00CA3F84" w:rsidRDefault="00DD3AB7" w:rsidP="00DD3AB7">
            <w:pPr>
              <w:rPr>
                <w:color w:val="auto"/>
              </w:rPr>
            </w:pPr>
            <w:r w:rsidRPr="00CA3F84">
              <w:rPr>
                <w:color w:val="auto"/>
              </w:rPr>
              <w:t>Oct.  2020</w:t>
            </w:r>
          </w:p>
          <w:p w14:paraId="690C1C53" w14:textId="132CA05C" w:rsidR="00DD3AB7" w:rsidRPr="00CA3F84" w:rsidRDefault="00DD3AB7" w:rsidP="00DD3AB7">
            <w:pPr>
              <w:rPr>
                <w:color w:val="auto"/>
              </w:rPr>
            </w:pPr>
            <w:r w:rsidRPr="00CA3F84">
              <w:rPr>
                <w:color w:val="auto"/>
              </w:rPr>
              <w:t>Oct.  2021</w:t>
            </w:r>
          </w:p>
        </w:tc>
        <w:tc>
          <w:tcPr>
            <w:tcW w:w="1276" w:type="dxa"/>
          </w:tcPr>
          <w:p w14:paraId="5C3DFCFE" w14:textId="77777777" w:rsidR="00DD3AB7" w:rsidRPr="00CA3F84" w:rsidRDefault="00DD3AB7" w:rsidP="00DD3AB7">
            <w:pPr>
              <w:rPr>
                <w:color w:val="auto"/>
              </w:rPr>
            </w:pPr>
            <w:r w:rsidRPr="00CA3F84">
              <w:rPr>
                <w:color w:val="auto"/>
              </w:rPr>
              <w:t>Oct.  2020</w:t>
            </w:r>
          </w:p>
          <w:p w14:paraId="10A78A9A" w14:textId="511F88EB" w:rsidR="00DD3AB7" w:rsidRPr="00CA3F84" w:rsidRDefault="00DD3AB7" w:rsidP="00DD3AB7">
            <w:pPr>
              <w:rPr>
                <w:color w:val="auto"/>
              </w:rPr>
            </w:pPr>
            <w:r w:rsidRPr="00CA3F84">
              <w:rPr>
                <w:color w:val="auto"/>
              </w:rPr>
              <w:t>Oct.  2021</w:t>
            </w:r>
          </w:p>
        </w:tc>
      </w:tr>
      <w:tr w:rsidR="00DD3AB7" w:rsidRPr="00CA3F84" w14:paraId="5E6026DC" w14:textId="77777777" w:rsidTr="00DD3AB7">
        <w:trPr>
          <w:trHeight w:val="1463"/>
        </w:trPr>
        <w:tc>
          <w:tcPr>
            <w:tcW w:w="2411" w:type="dxa"/>
          </w:tcPr>
          <w:p w14:paraId="7F92773B" w14:textId="396BF630" w:rsidR="00DD3AB7" w:rsidRPr="00CA3F84" w:rsidRDefault="00DD3AB7" w:rsidP="00DD3AB7">
            <w:pPr>
              <w:rPr>
                <w:color w:val="auto"/>
              </w:rPr>
            </w:pPr>
            <w:r w:rsidRPr="005457C0">
              <w:rPr>
                <w:color w:val="auto"/>
              </w:rPr>
              <w:t>4.1.1.  Mettre à jour les ensembles de données ouvertes et la documentation à l’appui</w:t>
            </w:r>
          </w:p>
        </w:tc>
        <w:tc>
          <w:tcPr>
            <w:tcW w:w="3827" w:type="dxa"/>
          </w:tcPr>
          <w:p w14:paraId="470C2F9D" w14:textId="287222EF" w:rsidR="00DD3AB7" w:rsidRPr="00CA3F84" w:rsidRDefault="00DD3AB7" w:rsidP="00DD3AB7">
            <w:pPr>
              <w:rPr>
                <w:color w:val="auto"/>
              </w:rPr>
            </w:pPr>
            <w:r w:rsidRPr="00CA3F84">
              <w:rPr>
                <w:color w:val="auto"/>
              </w:rPr>
              <w:t>4.1.1.8.  Ensembles de données sur les évaluations réalisées par la CFP mis à jour — tableaux 1 à 4</w:t>
            </w:r>
          </w:p>
        </w:tc>
        <w:tc>
          <w:tcPr>
            <w:tcW w:w="1134" w:type="dxa"/>
          </w:tcPr>
          <w:p w14:paraId="398B784C" w14:textId="6D211A5F" w:rsidR="00DD3AB7" w:rsidRPr="00CA3F84" w:rsidRDefault="00DD3AB7" w:rsidP="00DD3AB7">
            <w:pPr>
              <w:rPr>
                <w:color w:val="auto"/>
              </w:rPr>
            </w:pPr>
            <w:r w:rsidRPr="00CA3F84">
              <w:rPr>
                <w:color w:val="auto"/>
              </w:rPr>
              <w:t>CPP</w:t>
            </w:r>
          </w:p>
        </w:tc>
        <w:tc>
          <w:tcPr>
            <w:tcW w:w="992" w:type="dxa"/>
          </w:tcPr>
          <w:p w14:paraId="348669C8" w14:textId="418B6867" w:rsidR="00DD3AB7" w:rsidRPr="00CA3F84" w:rsidRDefault="00DD3AB7" w:rsidP="00DD3AB7">
            <w:pPr>
              <w:rPr>
                <w:color w:val="auto"/>
              </w:rPr>
            </w:pPr>
            <w:r w:rsidRPr="00CA3F84">
              <w:rPr>
                <w:color w:val="auto"/>
              </w:rPr>
              <w:t>SGO</w:t>
            </w:r>
          </w:p>
          <w:p w14:paraId="3692C26B" w14:textId="7090552F" w:rsidR="00DD3AB7" w:rsidRPr="00CA3F84" w:rsidRDefault="00DD3AB7" w:rsidP="00DD3AB7">
            <w:pPr>
              <w:rPr>
                <w:color w:val="auto"/>
              </w:rPr>
            </w:pPr>
            <w:r w:rsidRPr="00CA3F84">
              <w:rPr>
                <w:color w:val="auto"/>
              </w:rPr>
              <w:t>DCAP</w:t>
            </w:r>
          </w:p>
        </w:tc>
        <w:tc>
          <w:tcPr>
            <w:tcW w:w="1276" w:type="dxa"/>
          </w:tcPr>
          <w:p w14:paraId="459A142F" w14:textId="17D7FEA8" w:rsidR="00DD3AB7" w:rsidRPr="00CA3F84" w:rsidRDefault="00DD3AB7" w:rsidP="00DD3AB7">
            <w:pPr>
              <w:rPr>
                <w:color w:val="auto"/>
              </w:rPr>
            </w:pPr>
            <w:r w:rsidRPr="00CA3F84">
              <w:rPr>
                <w:color w:val="auto"/>
              </w:rPr>
              <w:t>Juil.  2020</w:t>
            </w:r>
          </w:p>
          <w:p w14:paraId="2CA3FAF1" w14:textId="7B3F7452" w:rsidR="00DD3AB7" w:rsidRPr="00CA3F84" w:rsidRDefault="00DD3AB7" w:rsidP="00DD3AB7">
            <w:pPr>
              <w:rPr>
                <w:color w:val="auto"/>
              </w:rPr>
            </w:pPr>
            <w:r w:rsidRPr="00CA3F84">
              <w:rPr>
                <w:color w:val="auto"/>
              </w:rPr>
              <w:t>Juil.  2021</w:t>
            </w:r>
          </w:p>
        </w:tc>
        <w:tc>
          <w:tcPr>
            <w:tcW w:w="1276" w:type="dxa"/>
          </w:tcPr>
          <w:p w14:paraId="04A55CC8" w14:textId="77777777" w:rsidR="00DD3AB7" w:rsidRPr="00CA3F84" w:rsidRDefault="00DD3AB7" w:rsidP="00DD3AB7">
            <w:pPr>
              <w:rPr>
                <w:color w:val="auto"/>
              </w:rPr>
            </w:pPr>
            <w:r w:rsidRPr="00CA3F84">
              <w:rPr>
                <w:color w:val="auto"/>
              </w:rPr>
              <w:t>Juil.  2020</w:t>
            </w:r>
          </w:p>
          <w:p w14:paraId="29DEAB58" w14:textId="56E51403" w:rsidR="00DD3AB7" w:rsidRPr="00CA3F84" w:rsidRDefault="00DD3AB7" w:rsidP="00DD3AB7">
            <w:pPr>
              <w:rPr>
                <w:color w:val="auto"/>
              </w:rPr>
            </w:pPr>
            <w:r w:rsidRPr="00CA3F84">
              <w:rPr>
                <w:color w:val="auto"/>
              </w:rPr>
              <w:t>Juil.  2021</w:t>
            </w:r>
          </w:p>
        </w:tc>
      </w:tr>
      <w:tr w:rsidR="00DD3AB7" w:rsidRPr="00CA3F84" w14:paraId="2A1F6564" w14:textId="77777777" w:rsidTr="00DD3AB7">
        <w:trPr>
          <w:trHeight w:val="1463"/>
        </w:trPr>
        <w:tc>
          <w:tcPr>
            <w:tcW w:w="2411" w:type="dxa"/>
          </w:tcPr>
          <w:p w14:paraId="29BFA23C" w14:textId="7DD063A7" w:rsidR="00DD3AB7" w:rsidRPr="00CA3F84" w:rsidRDefault="00DD3AB7" w:rsidP="00DD3AB7">
            <w:pPr>
              <w:rPr>
                <w:color w:val="auto"/>
              </w:rPr>
            </w:pPr>
            <w:r w:rsidRPr="005457C0">
              <w:rPr>
                <w:color w:val="auto"/>
              </w:rPr>
              <w:t>4.1.1.  Mettre à jour les ensembles de données ouvertes et la documentation à l’appui</w:t>
            </w:r>
          </w:p>
        </w:tc>
        <w:tc>
          <w:tcPr>
            <w:tcW w:w="3827" w:type="dxa"/>
          </w:tcPr>
          <w:p w14:paraId="4ECC9A5F" w14:textId="6B8AA05F" w:rsidR="00DD3AB7" w:rsidRPr="00CA3F84" w:rsidRDefault="00DD3AB7" w:rsidP="00DD3AB7">
            <w:pPr>
              <w:rPr>
                <w:color w:val="auto"/>
              </w:rPr>
            </w:pPr>
            <w:r w:rsidRPr="00CA3F84">
              <w:rPr>
                <w:color w:val="auto"/>
              </w:rPr>
              <w:t>4.1.1.9.  Ensembles de données sur les demandes d’emploi présentées à la fonction publique mis à jour</w:t>
            </w:r>
          </w:p>
        </w:tc>
        <w:tc>
          <w:tcPr>
            <w:tcW w:w="1134" w:type="dxa"/>
          </w:tcPr>
          <w:p w14:paraId="1A4B091A" w14:textId="7F4C7E67" w:rsidR="00DD3AB7" w:rsidRPr="00CA3F84" w:rsidRDefault="00DD3AB7" w:rsidP="00DD3AB7">
            <w:pPr>
              <w:rPr>
                <w:color w:val="auto"/>
              </w:rPr>
            </w:pPr>
            <w:r w:rsidRPr="00CA3F84">
              <w:rPr>
                <w:color w:val="auto"/>
              </w:rPr>
              <w:t>DSDA</w:t>
            </w:r>
          </w:p>
        </w:tc>
        <w:tc>
          <w:tcPr>
            <w:tcW w:w="992" w:type="dxa"/>
          </w:tcPr>
          <w:p w14:paraId="0D080C89" w14:textId="1FC955A9" w:rsidR="00DD3AB7" w:rsidRPr="00CA3F84" w:rsidRDefault="00DD3AB7" w:rsidP="00DD3AB7">
            <w:pPr>
              <w:rPr>
                <w:color w:val="auto"/>
              </w:rPr>
            </w:pPr>
            <w:r w:rsidRPr="00CA3F84">
              <w:rPr>
                <w:color w:val="auto"/>
              </w:rPr>
              <w:t>SGO</w:t>
            </w:r>
          </w:p>
          <w:p w14:paraId="4BA8F513" w14:textId="440FC8D2" w:rsidR="00DD3AB7" w:rsidRPr="00CA3F84" w:rsidRDefault="00DD3AB7" w:rsidP="00DD3AB7">
            <w:pPr>
              <w:rPr>
                <w:color w:val="auto"/>
              </w:rPr>
            </w:pPr>
            <w:r w:rsidRPr="00CA3F84">
              <w:rPr>
                <w:color w:val="auto"/>
              </w:rPr>
              <w:t>DCAP</w:t>
            </w:r>
          </w:p>
        </w:tc>
        <w:tc>
          <w:tcPr>
            <w:tcW w:w="1276" w:type="dxa"/>
          </w:tcPr>
          <w:p w14:paraId="26584301" w14:textId="77777777" w:rsidR="00DD3AB7" w:rsidRPr="00CA3F84" w:rsidRDefault="00DD3AB7" w:rsidP="00DD3AB7">
            <w:pPr>
              <w:rPr>
                <w:color w:val="auto"/>
              </w:rPr>
            </w:pPr>
            <w:r w:rsidRPr="00CA3F84">
              <w:rPr>
                <w:color w:val="auto"/>
              </w:rPr>
              <w:t>Oct.  2020</w:t>
            </w:r>
          </w:p>
          <w:p w14:paraId="3353D763" w14:textId="230F3F01" w:rsidR="00DD3AB7" w:rsidRPr="00CA3F84" w:rsidRDefault="00DD3AB7" w:rsidP="00DD3AB7">
            <w:pPr>
              <w:rPr>
                <w:color w:val="auto"/>
              </w:rPr>
            </w:pPr>
            <w:r w:rsidRPr="00CA3F84">
              <w:rPr>
                <w:color w:val="auto"/>
              </w:rPr>
              <w:t>Oct.  2021</w:t>
            </w:r>
          </w:p>
        </w:tc>
        <w:tc>
          <w:tcPr>
            <w:tcW w:w="1276" w:type="dxa"/>
          </w:tcPr>
          <w:p w14:paraId="3A68F553" w14:textId="77777777" w:rsidR="00DD3AB7" w:rsidRPr="00CA3F84" w:rsidRDefault="00DD3AB7" w:rsidP="00DD3AB7">
            <w:pPr>
              <w:rPr>
                <w:color w:val="auto"/>
              </w:rPr>
            </w:pPr>
            <w:r w:rsidRPr="00CA3F84">
              <w:rPr>
                <w:color w:val="auto"/>
              </w:rPr>
              <w:t>Oct.  2020</w:t>
            </w:r>
          </w:p>
          <w:p w14:paraId="327ABFDE" w14:textId="679832B6" w:rsidR="00DD3AB7" w:rsidRPr="00CA3F84" w:rsidRDefault="00DD3AB7" w:rsidP="00DD3AB7">
            <w:pPr>
              <w:rPr>
                <w:color w:val="auto"/>
              </w:rPr>
            </w:pPr>
            <w:r w:rsidRPr="00CA3F84">
              <w:rPr>
                <w:color w:val="auto"/>
              </w:rPr>
              <w:t>Oct.  2021</w:t>
            </w:r>
          </w:p>
        </w:tc>
      </w:tr>
      <w:tr w:rsidR="00DD3AB7" w:rsidRPr="00CA3F84" w14:paraId="708C204D" w14:textId="77777777" w:rsidTr="00DD3AB7">
        <w:tc>
          <w:tcPr>
            <w:tcW w:w="2411" w:type="dxa"/>
          </w:tcPr>
          <w:p w14:paraId="11817A95" w14:textId="3E8C042A" w:rsidR="00DD3AB7" w:rsidRPr="00CA3F84" w:rsidRDefault="00DD3AB7" w:rsidP="00DD3AB7">
            <w:pPr>
              <w:rPr>
                <w:color w:val="auto"/>
              </w:rPr>
            </w:pPr>
            <w:r w:rsidRPr="005457C0">
              <w:rPr>
                <w:color w:val="auto"/>
              </w:rPr>
              <w:t>4.1.1.  Mettre à jour les ensembles de données ouvertes et la documentation à l’appui</w:t>
            </w:r>
          </w:p>
        </w:tc>
        <w:tc>
          <w:tcPr>
            <w:tcW w:w="3827" w:type="dxa"/>
          </w:tcPr>
          <w:p w14:paraId="0731EF02" w14:textId="7DB09BE9" w:rsidR="00DD3AB7" w:rsidRPr="00CA3F84" w:rsidRDefault="00DD3AB7" w:rsidP="00DD3AB7">
            <w:pPr>
              <w:rPr>
                <w:color w:val="auto"/>
              </w:rPr>
            </w:pPr>
            <w:r w:rsidRPr="00CA3F84">
              <w:rPr>
                <w:color w:val="auto"/>
              </w:rPr>
              <w:t xml:space="preserve">4.1.1.10.  Ensembles de données sur le Sondage sur la dotation et l’impartialité politique mis à jour </w:t>
            </w:r>
          </w:p>
        </w:tc>
        <w:tc>
          <w:tcPr>
            <w:tcW w:w="1134" w:type="dxa"/>
          </w:tcPr>
          <w:p w14:paraId="21AAD561" w14:textId="1D43ECB3" w:rsidR="00DD3AB7" w:rsidRPr="00CA3F84" w:rsidRDefault="00DD3AB7" w:rsidP="00DD3AB7">
            <w:pPr>
              <w:rPr>
                <w:color w:val="auto"/>
              </w:rPr>
            </w:pPr>
            <w:r w:rsidRPr="00CA3F84">
              <w:rPr>
                <w:color w:val="auto"/>
              </w:rPr>
              <w:t>DSDA</w:t>
            </w:r>
          </w:p>
        </w:tc>
        <w:tc>
          <w:tcPr>
            <w:tcW w:w="992" w:type="dxa"/>
          </w:tcPr>
          <w:p w14:paraId="3BDD1D12" w14:textId="25321416" w:rsidR="00DD3AB7" w:rsidRPr="00CA3F84" w:rsidRDefault="00DD3AB7" w:rsidP="00DD3AB7">
            <w:pPr>
              <w:rPr>
                <w:color w:val="auto"/>
              </w:rPr>
            </w:pPr>
            <w:r w:rsidRPr="00CA3F84">
              <w:rPr>
                <w:color w:val="auto"/>
              </w:rPr>
              <w:t>SGO</w:t>
            </w:r>
          </w:p>
          <w:p w14:paraId="31C89FD0" w14:textId="5A8F3640" w:rsidR="00DD3AB7" w:rsidRPr="00CA3F84" w:rsidRDefault="00DD3AB7" w:rsidP="00DD3AB7">
            <w:pPr>
              <w:rPr>
                <w:color w:val="auto"/>
              </w:rPr>
            </w:pPr>
            <w:r w:rsidRPr="00CA3F84">
              <w:rPr>
                <w:color w:val="auto"/>
              </w:rPr>
              <w:t>DCAP</w:t>
            </w:r>
          </w:p>
        </w:tc>
        <w:tc>
          <w:tcPr>
            <w:tcW w:w="1276" w:type="dxa"/>
          </w:tcPr>
          <w:p w14:paraId="5705117F" w14:textId="2F9F5137" w:rsidR="00DD3AB7" w:rsidRPr="00CA3F84" w:rsidRDefault="00DD3AB7" w:rsidP="006D4609">
            <w:pPr>
              <w:rPr>
                <w:color w:val="auto"/>
              </w:rPr>
            </w:pPr>
            <w:r w:rsidRPr="00CA3F84">
              <w:rPr>
                <w:color w:val="auto"/>
              </w:rPr>
              <w:t>Sept.  202</w:t>
            </w:r>
            <w:r w:rsidR="006D4609">
              <w:rPr>
                <w:color w:val="auto"/>
              </w:rPr>
              <w:t>1</w:t>
            </w:r>
          </w:p>
        </w:tc>
        <w:tc>
          <w:tcPr>
            <w:tcW w:w="1276" w:type="dxa"/>
          </w:tcPr>
          <w:p w14:paraId="787D0DEC" w14:textId="2A5A3D5E" w:rsidR="00DD3AB7" w:rsidRPr="00CA3F84" w:rsidRDefault="006D4609" w:rsidP="006D4609">
            <w:pPr>
              <w:rPr>
                <w:color w:val="auto"/>
              </w:rPr>
            </w:pPr>
            <w:r>
              <w:rPr>
                <w:color w:val="auto"/>
              </w:rPr>
              <w:t>Déc</w:t>
            </w:r>
            <w:r w:rsidR="00DD3AB7" w:rsidRPr="00CA3F84">
              <w:rPr>
                <w:color w:val="auto"/>
              </w:rPr>
              <w:t>.  2021</w:t>
            </w:r>
          </w:p>
        </w:tc>
      </w:tr>
      <w:tr w:rsidR="00DD3AB7" w:rsidRPr="00CA3F84" w14:paraId="5B649FC3" w14:textId="77777777" w:rsidTr="00DD3AB7">
        <w:trPr>
          <w:trHeight w:val="1463"/>
        </w:trPr>
        <w:tc>
          <w:tcPr>
            <w:tcW w:w="2411" w:type="dxa"/>
          </w:tcPr>
          <w:p w14:paraId="2BB9008C" w14:textId="1C889AE6" w:rsidR="00DD3AB7" w:rsidRPr="00CA3F84" w:rsidRDefault="00DD3AB7" w:rsidP="00DD3AB7">
            <w:pPr>
              <w:rPr>
                <w:color w:val="auto"/>
              </w:rPr>
            </w:pPr>
            <w:r w:rsidRPr="005457C0">
              <w:rPr>
                <w:color w:val="auto"/>
              </w:rPr>
              <w:t>4.1.1.  Mettre à jour les ensembles de données ouvertes et la documentation à l’appui</w:t>
            </w:r>
          </w:p>
        </w:tc>
        <w:tc>
          <w:tcPr>
            <w:tcW w:w="3827" w:type="dxa"/>
          </w:tcPr>
          <w:p w14:paraId="7356C629" w14:textId="4A124CB1" w:rsidR="00DD3AB7" w:rsidRPr="00CA3F84" w:rsidRDefault="00DD3AB7" w:rsidP="00DD3AB7">
            <w:pPr>
              <w:rPr>
                <w:color w:val="auto"/>
              </w:rPr>
            </w:pPr>
            <w:r w:rsidRPr="00CA3F84">
              <w:rPr>
                <w:color w:val="auto"/>
              </w:rPr>
              <w:t>4.1.1.11.  Publication de l’ensemble des données sur les permissions consenties</w:t>
            </w:r>
          </w:p>
        </w:tc>
        <w:tc>
          <w:tcPr>
            <w:tcW w:w="1134" w:type="dxa"/>
          </w:tcPr>
          <w:p w14:paraId="62FD01C9" w14:textId="6833F8CD" w:rsidR="00DD3AB7" w:rsidRPr="00CA3F84" w:rsidRDefault="00DD3AB7" w:rsidP="00DD3AB7">
            <w:pPr>
              <w:rPr>
                <w:color w:val="auto"/>
              </w:rPr>
            </w:pPr>
            <w:r w:rsidRPr="00CA3F84">
              <w:rPr>
                <w:color w:val="auto"/>
              </w:rPr>
              <w:t>DAPIP</w:t>
            </w:r>
          </w:p>
        </w:tc>
        <w:tc>
          <w:tcPr>
            <w:tcW w:w="992" w:type="dxa"/>
          </w:tcPr>
          <w:p w14:paraId="1D9FBDAB" w14:textId="6998FBDB" w:rsidR="00DD3AB7" w:rsidRPr="00CA3F84" w:rsidRDefault="00DD3AB7" w:rsidP="00DD3AB7">
            <w:pPr>
              <w:rPr>
                <w:color w:val="auto"/>
              </w:rPr>
            </w:pPr>
            <w:r w:rsidRPr="00CA3F84">
              <w:rPr>
                <w:color w:val="auto"/>
              </w:rPr>
              <w:t>SGO</w:t>
            </w:r>
          </w:p>
          <w:p w14:paraId="1F3A75A1" w14:textId="66A2F325" w:rsidR="00DD3AB7" w:rsidRPr="00CA3F84" w:rsidRDefault="00DD3AB7" w:rsidP="00DD3AB7">
            <w:pPr>
              <w:rPr>
                <w:color w:val="auto"/>
              </w:rPr>
            </w:pPr>
            <w:r w:rsidRPr="00CA3F84">
              <w:rPr>
                <w:color w:val="auto"/>
              </w:rPr>
              <w:t>DCAP</w:t>
            </w:r>
          </w:p>
        </w:tc>
        <w:tc>
          <w:tcPr>
            <w:tcW w:w="1276" w:type="dxa"/>
          </w:tcPr>
          <w:p w14:paraId="12D6478B" w14:textId="0D2DD526" w:rsidR="00DD3AB7" w:rsidRPr="00CA3F84" w:rsidRDefault="00AF0DA6" w:rsidP="00DD3AB7">
            <w:pPr>
              <w:rPr>
                <w:color w:val="auto"/>
              </w:rPr>
            </w:pPr>
            <w:r>
              <w:rPr>
                <w:color w:val="auto"/>
              </w:rPr>
              <w:t>Avr.  2020</w:t>
            </w:r>
          </w:p>
          <w:p w14:paraId="6BC8C43F" w14:textId="7367F9B1" w:rsidR="00DD3AB7" w:rsidRPr="00CA3F84" w:rsidRDefault="00AF0DA6" w:rsidP="00DD3AB7">
            <w:pPr>
              <w:rPr>
                <w:color w:val="auto"/>
              </w:rPr>
            </w:pPr>
            <w:r>
              <w:rPr>
                <w:color w:val="auto"/>
              </w:rPr>
              <w:t>Avr.  2021</w:t>
            </w:r>
          </w:p>
        </w:tc>
        <w:tc>
          <w:tcPr>
            <w:tcW w:w="1276" w:type="dxa"/>
          </w:tcPr>
          <w:p w14:paraId="3DFC112C" w14:textId="7F4F135E" w:rsidR="00DD3AB7" w:rsidRPr="00CA3F84" w:rsidRDefault="00AF0DA6" w:rsidP="00DD3AB7">
            <w:pPr>
              <w:rPr>
                <w:color w:val="auto"/>
              </w:rPr>
            </w:pPr>
            <w:r>
              <w:rPr>
                <w:color w:val="auto"/>
              </w:rPr>
              <w:t>Avr.  2020</w:t>
            </w:r>
          </w:p>
          <w:p w14:paraId="101D9EE0" w14:textId="05F3F68E" w:rsidR="00DD3AB7" w:rsidRPr="00CA3F84" w:rsidRDefault="00AF0DA6" w:rsidP="00DD3AB7">
            <w:pPr>
              <w:rPr>
                <w:color w:val="auto"/>
              </w:rPr>
            </w:pPr>
            <w:r>
              <w:rPr>
                <w:color w:val="auto"/>
              </w:rPr>
              <w:t>Avr.  2021</w:t>
            </w:r>
          </w:p>
        </w:tc>
      </w:tr>
      <w:tr w:rsidR="00DD3AB7" w:rsidRPr="00CA3F84" w14:paraId="3DD68C37" w14:textId="77777777" w:rsidTr="00DD3AB7">
        <w:tc>
          <w:tcPr>
            <w:tcW w:w="2411" w:type="dxa"/>
          </w:tcPr>
          <w:p w14:paraId="4AC016B1" w14:textId="3FAB22A7" w:rsidR="00DD3AB7" w:rsidRPr="00CA3F84" w:rsidRDefault="00DD3AB7" w:rsidP="00DD3AB7">
            <w:pPr>
              <w:rPr>
                <w:color w:val="auto"/>
              </w:rPr>
            </w:pPr>
            <w:r w:rsidRPr="005457C0">
              <w:rPr>
                <w:color w:val="auto"/>
              </w:rPr>
              <w:t>4.1.1.  Mettre à jour les ensembles de données ouvertes et la documentation à l’appui</w:t>
            </w:r>
          </w:p>
        </w:tc>
        <w:tc>
          <w:tcPr>
            <w:tcW w:w="3827" w:type="dxa"/>
          </w:tcPr>
          <w:p w14:paraId="3EEB3781" w14:textId="780122A7" w:rsidR="00DD3AB7" w:rsidRPr="00CA3F84" w:rsidRDefault="00DD3AB7" w:rsidP="00DD3AB7">
            <w:pPr>
              <w:rPr>
                <w:color w:val="auto"/>
              </w:rPr>
            </w:pPr>
            <w:r w:rsidRPr="00CA3F84">
              <w:rPr>
                <w:color w:val="auto"/>
              </w:rPr>
              <w:t>4.1.1.12.  Documentation à l’appui pour inviter les utilisateurs à communiquer avec la CFP lorsque des données ouvertes sont utilisées pour communiquer avec un public élargi mise à jour</w:t>
            </w:r>
          </w:p>
        </w:tc>
        <w:tc>
          <w:tcPr>
            <w:tcW w:w="1134" w:type="dxa"/>
          </w:tcPr>
          <w:p w14:paraId="60BD2BA6" w14:textId="2EFC1544" w:rsidR="00DD3AB7" w:rsidRPr="00CA3F84" w:rsidRDefault="00DD3AB7" w:rsidP="00DD3AB7">
            <w:pPr>
              <w:rPr>
                <w:color w:val="auto"/>
              </w:rPr>
            </w:pPr>
            <w:r w:rsidRPr="00CA3F84">
              <w:rPr>
                <w:color w:val="auto"/>
              </w:rPr>
              <w:t>Tous les secteurs</w:t>
            </w:r>
          </w:p>
        </w:tc>
        <w:tc>
          <w:tcPr>
            <w:tcW w:w="992" w:type="dxa"/>
          </w:tcPr>
          <w:p w14:paraId="4A75C532" w14:textId="6749AA1F" w:rsidR="00DD3AB7" w:rsidRPr="00CA3F84" w:rsidRDefault="00DD3AB7" w:rsidP="00DD3AB7">
            <w:pPr>
              <w:rPr>
                <w:color w:val="auto"/>
              </w:rPr>
            </w:pPr>
            <w:r w:rsidRPr="00CA3F84">
              <w:rPr>
                <w:color w:val="auto"/>
              </w:rPr>
              <w:t>SGO</w:t>
            </w:r>
          </w:p>
          <w:p w14:paraId="54406CB3" w14:textId="6082E521" w:rsidR="00DD3AB7" w:rsidRPr="00CA3F84" w:rsidRDefault="00DD3AB7" w:rsidP="00DD3AB7">
            <w:pPr>
              <w:rPr>
                <w:color w:val="auto"/>
              </w:rPr>
            </w:pPr>
            <w:r w:rsidRPr="00CA3F84">
              <w:rPr>
                <w:color w:val="auto"/>
              </w:rPr>
              <w:t>DCAP</w:t>
            </w:r>
          </w:p>
        </w:tc>
        <w:tc>
          <w:tcPr>
            <w:tcW w:w="1276" w:type="dxa"/>
          </w:tcPr>
          <w:p w14:paraId="278FD164" w14:textId="0AA0B42C" w:rsidR="00DD3AB7" w:rsidRPr="00CA3F84" w:rsidRDefault="00DD3AB7" w:rsidP="00DD3AB7">
            <w:pPr>
              <w:rPr>
                <w:color w:val="auto"/>
              </w:rPr>
            </w:pPr>
            <w:r w:rsidRPr="00CA3F84">
              <w:rPr>
                <w:color w:val="auto"/>
              </w:rPr>
              <w:t>Avr.  2020</w:t>
            </w:r>
          </w:p>
        </w:tc>
        <w:tc>
          <w:tcPr>
            <w:tcW w:w="1276" w:type="dxa"/>
          </w:tcPr>
          <w:p w14:paraId="5360A63E" w14:textId="53AC5997" w:rsidR="00DD3AB7" w:rsidRPr="00CA3F84" w:rsidRDefault="00DD3AB7" w:rsidP="00DD3AB7">
            <w:pPr>
              <w:rPr>
                <w:color w:val="auto"/>
              </w:rPr>
            </w:pPr>
            <w:r w:rsidRPr="00CA3F84">
              <w:rPr>
                <w:color w:val="auto"/>
              </w:rPr>
              <w:t>Mars 2022</w:t>
            </w:r>
          </w:p>
        </w:tc>
      </w:tr>
      <w:tr w:rsidR="00CA3F84" w:rsidRPr="00CA3F84" w14:paraId="2EDAB2F3" w14:textId="77777777" w:rsidTr="00DD3AB7">
        <w:tc>
          <w:tcPr>
            <w:tcW w:w="2411" w:type="dxa"/>
          </w:tcPr>
          <w:p w14:paraId="54308D9E" w14:textId="18372953" w:rsidR="00A82B38" w:rsidRPr="00CA3F84" w:rsidRDefault="00A82B38" w:rsidP="00A82B38">
            <w:pPr>
              <w:rPr>
                <w:color w:val="auto"/>
              </w:rPr>
            </w:pPr>
            <w:r w:rsidRPr="00CA3F84">
              <w:rPr>
                <w:color w:val="auto"/>
              </w:rPr>
              <w:lastRenderedPageBreak/>
              <w:t>4.1.2</w:t>
            </w:r>
            <w:r w:rsidR="00B4312D" w:rsidRPr="00CA3F84">
              <w:rPr>
                <w:color w:val="auto"/>
              </w:rPr>
              <w:t xml:space="preserve">.  </w:t>
            </w:r>
            <w:r w:rsidRPr="00CA3F84">
              <w:rPr>
                <w:color w:val="auto"/>
              </w:rPr>
              <w:t>Continuer à évaluer les possibilités d’ensemble</w:t>
            </w:r>
            <w:r w:rsidR="000D4464" w:rsidRPr="00CA3F84">
              <w:rPr>
                <w:color w:val="auto"/>
              </w:rPr>
              <w:t>s nouveaux ou consolidés</w:t>
            </w:r>
            <w:r w:rsidRPr="00CA3F84">
              <w:rPr>
                <w:color w:val="auto"/>
              </w:rPr>
              <w:t xml:space="preserve"> de données</w:t>
            </w:r>
            <w:r w:rsidR="008A5D9D" w:rsidRPr="00CA3F84">
              <w:rPr>
                <w:color w:val="auto"/>
              </w:rPr>
              <w:t xml:space="preserve"> ouvertes</w:t>
            </w:r>
          </w:p>
        </w:tc>
        <w:tc>
          <w:tcPr>
            <w:tcW w:w="3827" w:type="dxa"/>
          </w:tcPr>
          <w:p w14:paraId="08187BC9" w14:textId="04EF98ED" w:rsidR="00A82B38" w:rsidRPr="00CA3F84" w:rsidRDefault="00A82B38" w:rsidP="009F150A">
            <w:pPr>
              <w:rPr>
                <w:color w:val="auto"/>
              </w:rPr>
            </w:pPr>
            <w:r w:rsidRPr="00CA3F84">
              <w:rPr>
                <w:color w:val="auto"/>
              </w:rPr>
              <w:t>4.1.2.1</w:t>
            </w:r>
            <w:r w:rsidR="00B4312D" w:rsidRPr="00CA3F84">
              <w:rPr>
                <w:color w:val="auto"/>
              </w:rPr>
              <w:t xml:space="preserve">.  </w:t>
            </w:r>
            <w:r w:rsidR="009F150A" w:rsidRPr="00CA3F84">
              <w:rPr>
                <w:color w:val="auto"/>
              </w:rPr>
              <w:t>E</w:t>
            </w:r>
            <w:r w:rsidRPr="00CA3F84">
              <w:rPr>
                <w:color w:val="auto"/>
              </w:rPr>
              <w:t>nsembles de données existants</w:t>
            </w:r>
            <w:r w:rsidR="009F150A" w:rsidRPr="00CA3F84">
              <w:rPr>
                <w:color w:val="auto"/>
              </w:rPr>
              <w:t xml:space="preserve"> consolidés</w:t>
            </w:r>
            <w:r w:rsidRPr="00CA3F84">
              <w:rPr>
                <w:color w:val="auto"/>
              </w:rPr>
              <w:t xml:space="preserve"> (s’il y a lieu)</w:t>
            </w:r>
          </w:p>
        </w:tc>
        <w:tc>
          <w:tcPr>
            <w:tcW w:w="1134" w:type="dxa"/>
          </w:tcPr>
          <w:p w14:paraId="2E517ECD" w14:textId="5E728804" w:rsidR="00A82B38" w:rsidRPr="00CA3F84" w:rsidRDefault="00A82B38" w:rsidP="008474C7">
            <w:pPr>
              <w:rPr>
                <w:color w:val="auto"/>
              </w:rPr>
            </w:pPr>
            <w:r w:rsidRPr="00CA3F84">
              <w:rPr>
                <w:color w:val="auto"/>
              </w:rPr>
              <w:t>SGO</w:t>
            </w:r>
          </w:p>
        </w:tc>
        <w:tc>
          <w:tcPr>
            <w:tcW w:w="992" w:type="dxa"/>
          </w:tcPr>
          <w:p w14:paraId="077A3B78" w14:textId="367B9C43" w:rsidR="00A82B38" w:rsidRPr="00CA3F84" w:rsidRDefault="00A82B38" w:rsidP="005957F6">
            <w:pPr>
              <w:rPr>
                <w:color w:val="auto"/>
              </w:rPr>
            </w:pPr>
            <w:r w:rsidRPr="00CA3F84">
              <w:rPr>
                <w:color w:val="auto"/>
              </w:rPr>
              <w:t>Tous les secteurs</w:t>
            </w:r>
          </w:p>
        </w:tc>
        <w:tc>
          <w:tcPr>
            <w:tcW w:w="1276" w:type="dxa"/>
          </w:tcPr>
          <w:p w14:paraId="23E1B3C8" w14:textId="5157B2DB" w:rsidR="00A82B38" w:rsidRPr="00CA3F84" w:rsidRDefault="00A82B38" w:rsidP="00514749">
            <w:pPr>
              <w:rPr>
                <w:color w:val="auto"/>
              </w:rPr>
            </w:pPr>
            <w:r w:rsidRPr="00CA3F84">
              <w:rPr>
                <w:color w:val="auto"/>
              </w:rPr>
              <w:t>Avr</w:t>
            </w:r>
            <w:r w:rsidR="00B4312D" w:rsidRPr="00CA3F84">
              <w:rPr>
                <w:color w:val="auto"/>
              </w:rPr>
              <w:t xml:space="preserve">.  </w:t>
            </w:r>
            <w:r w:rsidRPr="00CA3F84">
              <w:rPr>
                <w:color w:val="auto"/>
              </w:rPr>
              <w:t>2020</w:t>
            </w:r>
          </w:p>
        </w:tc>
        <w:tc>
          <w:tcPr>
            <w:tcW w:w="1276" w:type="dxa"/>
          </w:tcPr>
          <w:p w14:paraId="24BAD719" w14:textId="11BD9662" w:rsidR="00A82B38" w:rsidRPr="00CA3F84" w:rsidRDefault="00A82B38" w:rsidP="00514749">
            <w:pPr>
              <w:rPr>
                <w:color w:val="auto"/>
              </w:rPr>
            </w:pPr>
            <w:r w:rsidRPr="00CA3F84">
              <w:rPr>
                <w:color w:val="auto"/>
              </w:rPr>
              <w:t>Mars 2022</w:t>
            </w:r>
          </w:p>
        </w:tc>
      </w:tr>
      <w:tr w:rsidR="00DD3AB7" w:rsidRPr="00CA3F84" w14:paraId="62437D7E" w14:textId="77777777" w:rsidTr="00DD3AB7">
        <w:tc>
          <w:tcPr>
            <w:tcW w:w="2411" w:type="dxa"/>
          </w:tcPr>
          <w:p w14:paraId="147473B0" w14:textId="29C0A265" w:rsidR="00DD3AB7" w:rsidRPr="00CA3F84" w:rsidRDefault="00DD3AB7" w:rsidP="00DD3AB7">
            <w:pPr>
              <w:rPr>
                <w:color w:val="auto"/>
              </w:rPr>
            </w:pPr>
            <w:r w:rsidRPr="007C6F5A">
              <w:rPr>
                <w:color w:val="auto"/>
              </w:rPr>
              <w:t>4.1.2.  Continuer à évaluer les possibilités d’ensembles nouveaux ou consolidés de données ouvertes</w:t>
            </w:r>
          </w:p>
        </w:tc>
        <w:tc>
          <w:tcPr>
            <w:tcW w:w="3827" w:type="dxa"/>
          </w:tcPr>
          <w:p w14:paraId="5286F43A" w14:textId="2C9938E2" w:rsidR="00DD3AB7" w:rsidRPr="00CA3F84" w:rsidRDefault="00DD3AB7" w:rsidP="00DD3AB7">
            <w:pPr>
              <w:rPr>
                <w:color w:val="auto"/>
              </w:rPr>
            </w:pPr>
            <w:r w:rsidRPr="00CA3F84">
              <w:rPr>
                <w:color w:val="auto"/>
              </w:rPr>
              <w:t>4.1.2.2.  Développement et mise en œuvre de la phase IV des données ouvertes; la phase IV exposera des stratégies visant à identifier de nouveaux ensembles de données qui ne relèvent pas des 27 fonds de données identifiés</w:t>
            </w:r>
          </w:p>
        </w:tc>
        <w:tc>
          <w:tcPr>
            <w:tcW w:w="1134" w:type="dxa"/>
          </w:tcPr>
          <w:p w14:paraId="1E5429A1" w14:textId="1E6FA641" w:rsidR="00DD3AB7" w:rsidRPr="00CA3F84" w:rsidRDefault="00DD3AB7" w:rsidP="00DD3AB7">
            <w:pPr>
              <w:rPr>
                <w:color w:val="auto"/>
              </w:rPr>
            </w:pPr>
            <w:r w:rsidRPr="00CA3F84">
              <w:rPr>
                <w:color w:val="auto"/>
              </w:rPr>
              <w:t>SGO</w:t>
            </w:r>
          </w:p>
        </w:tc>
        <w:tc>
          <w:tcPr>
            <w:tcW w:w="992" w:type="dxa"/>
          </w:tcPr>
          <w:p w14:paraId="1DCDCB79" w14:textId="5A66ED8F" w:rsidR="00DD3AB7" w:rsidRPr="00CA3F84" w:rsidRDefault="00DD3AB7" w:rsidP="00DD3AB7">
            <w:pPr>
              <w:rPr>
                <w:color w:val="auto"/>
              </w:rPr>
            </w:pPr>
            <w:r>
              <w:rPr>
                <w:color w:val="auto"/>
              </w:rPr>
              <w:t>Aucun</w:t>
            </w:r>
          </w:p>
        </w:tc>
        <w:tc>
          <w:tcPr>
            <w:tcW w:w="1276" w:type="dxa"/>
          </w:tcPr>
          <w:p w14:paraId="57224CCD" w14:textId="52D07B0D" w:rsidR="00DD3AB7" w:rsidRPr="00CA3F84" w:rsidRDefault="00DD3AB7" w:rsidP="00DD3AB7">
            <w:pPr>
              <w:rPr>
                <w:color w:val="auto"/>
              </w:rPr>
            </w:pPr>
            <w:r w:rsidRPr="00CA3F84">
              <w:rPr>
                <w:color w:val="auto"/>
              </w:rPr>
              <w:t>Avr.  2020</w:t>
            </w:r>
          </w:p>
        </w:tc>
        <w:tc>
          <w:tcPr>
            <w:tcW w:w="1276" w:type="dxa"/>
          </w:tcPr>
          <w:p w14:paraId="59E93282" w14:textId="5553222B" w:rsidR="00DD3AB7" w:rsidRPr="00CA3F84" w:rsidRDefault="00DD3AB7" w:rsidP="00DD3AB7">
            <w:pPr>
              <w:rPr>
                <w:color w:val="auto"/>
              </w:rPr>
            </w:pPr>
            <w:r w:rsidRPr="00CA3F84">
              <w:rPr>
                <w:color w:val="auto"/>
              </w:rPr>
              <w:t>Mars 2022</w:t>
            </w:r>
          </w:p>
        </w:tc>
      </w:tr>
      <w:tr w:rsidR="00DD3AB7" w:rsidRPr="00CA3F84" w14:paraId="211D8332" w14:textId="77777777" w:rsidTr="00DD3AB7">
        <w:tc>
          <w:tcPr>
            <w:tcW w:w="2411" w:type="dxa"/>
          </w:tcPr>
          <w:p w14:paraId="6A577F32" w14:textId="5E22C153" w:rsidR="00DD3AB7" w:rsidRPr="00CA3F84" w:rsidRDefault="00DD3AB7" w:rsidP="00DD3AB7">
            <w:pPr>
              <w:rPr>
                <w:color w:val="auto"/>
              </w:rPr>
            </w:pPr>
            <w:r w:rsidRPr="007C6F5A">
              <w:rPr>
                <w:color w:val="auto"/>
              </w:rPr>
              <w:t>4.1.2.  Continuer à évaluer les possibilités d’ensembles nouveaux ou consolidés de données ouvertes</w:t>
            </w:r>
          </w:p>
        </w:tc>
        <w:tc>
          <w:tcPr>
            <w:tcW w:w="3827" w:type="dxa"/>
          </w:tcPr>
          <w:p w14:paraId="39B78E56" w14:textId="5AD0AC60" w:rsidR="00DD3AB7" w:rsidRPr="00CA3F84" w:rsidRDefault="00DD3AB7" w:rsidP="00DD3AB7">
            <w:pPr>
              <w:rPr>
                <w:color w:val="auto"/>
              </w:rPr>
            </w:pPr>
            <w:r w:rsidRPr="00CA3F84">
              <w:rPr>
                <w:color w:val="auto"/>
              </w:rPr>
              <w:t>4.1.2.3.  Publication du nombre de jours nécessaires pour mener à terme un processus de recrutement — Indicateur de résultat ministériel n</w:t>
            </w:r>
            <w:r w:rsidRPr="00CA3F84">
              <w:rPr>
                <w:color w:val="auto"/>
                <w:vertAlign w:val="superscript"/>
              </w:rPr>
              <w:t>o</w:t>
            </w:r>
            <w:r w:rsidRPr="00CA3F84">
              <w:rPr>
                <w:color w:val="auto"/>
              </w:rPr>
              <w:t xml:space="preserve"> 1 du Cadre des résultats ministériels</w:t>
            </w:r>
          </w:p>
        </w:tc>
        <w:tc>
          <w:tcPr>
            <w:tcW w:w="1134" w:type="dxa"/>
          </w:tcPr>
          <w:p w14:paraId="51DC45AB" w14:textId="0D73D80F" w:rsidR="00DD3AB7" w:rsidRPr="00CA3F84" w:rsidRDefault="00DD3AB7" w:rsidP="00DD3AB7">
            <w:pPr>
              <w:rPr>
                <w:color w:val="auto"/>
              </w:rPr>
            </w:pPr>
            <w:r w:rsidRPr="00CA3F84">
              <w:rPr>
                <w:color w:val="auto"/>
              </w:rPr>
              <w:t>DSDA</w:t>
            </w:r>
          </w:p>
        </w:tc>
        <w:tc>
          <w:tcPr>
            <w:tcW w:w="992" w:type="dxa"/>
          </w:tcPr>
          <w:p w14:paraId="7F5A8869" w14:textId="761D510A" w:rsidR="00DD3AB7" w:rsidRPr="00CA3F84" w:rsidRDefault="00DD3AB7" w:rsidP="00DD3AB7">
            <w:pPr>
              <w:rPr>
                <w:color w:val="auto"/>
              </w:rPr>
            </w:pPr>
            <w:r w:rsidRPr="00CA3F84">
              <w:rPr>
                <w:color w:val="auto"/>
              </w:rPr>
              <w:t>SGO</w:t>
            </w:r>
          </w:p>
          <w:p w14:paraId="0A699574" w14:textId="77777777" w:rsidR="00DD3AB7" w:rsidRPr="00CA3F84" w:rsidRDefault="00DD3AB7" w:rsidP="00DD3AB7">
            <w:pPr>
              <w:rPr>
                <w:color w:val="auto"/>
              </w:rPr>
            </w:pPr>
          </w:p>
        </w:tc>
        <w:tc>
          <w:tcPr>
            <w:tcW w:w="1276" w:type="dxa"/>
          </w:tcPr>
          <w:p w14:paraId="38562EB7" w14:textId="07364C4B" w:rsidR="00DD3AB7" w:rsidRPr="00CA3F84" w:rsidRDefault="00B50972" w:rsidP="00DD3AB7">
            <w:pPr>
              <w:rPr>
                <w:color w:val="auto"/>
              </w:rPr>
            </w:pPr>
            <w:r>
              <w:rPr>
                <w:color w:val="auto"/>
              </w:rPr>
              <w:t>Nov. 2020</w:t>
            </w:r>
          </w:p>
        </w:tc>
        <w:tc>
          <w:tcPr>
            <w:tcW w:w="1276" w:type="dxa"/>
          </w:tcPr>
          <w:p w14:paraId="5D4AFECA" w14:textId="3FC2DC86" w:rsidR="00DD3AB7" w:rsidRPr="00CA3F84" w:rsidRDefault="00FA1CD4" w:rsidP="00DD3AB7">
            <w:pPr>
              <w:rPr>
                <w:color w:val="auto"/>
              </w:rPr>
            </w:pPr>
            <w:r>
              <w:rPr>
                <w:color w:val="auto"/>
              </w:rPr>
              <w:t>Janv. 2021</w:t>
            </w:r>
          </w:p>
        </w:tc>
      </w:tr>
      <w:tr w:rsidR="00B50972" w:rsidRPr="00CA3F84" w14:paraId="547AAA34" w14:textId="77777777" w:rsidTr="00DD3AB7">
        <w:tc>
          <w:tcPr>
            <w:tcW w:w="2411" w:type="dxa"/>
          </w:tcPr>
          <w:p w14:paraId="351DE435" w14:textId="765F75AD" w:rsidR="00B50972" w:rsidRPr="00CA3F84" w:rsidRDefault="00B50972" w:rsidP="00B50972">
            <w:pPr>
              <w:rPr>
                <w:color w:val="auto"/>
              </w:rPr>
            </w:pPr>
            <w:r w:rsidRPr="007C6F5A">
              <w:rPr>
                <w:color w:val="auto"/>
              </w:rPr>
              <w:t>4.1.2.  Continuer à évaluer les possibilités d’ensembles nouveaux ou consolidés de données ouvertes</w:t>
            </w:r>
          </w:p>
        </w:tc>
        <w:tc>
          <w:tcPr>
            <w:tcW w:w="3827" w:type="dxa"/>
          </w:tcPr>
          <w:p w14:paraId="56C88BFC" w14:textId="31438515" w:rsidR="00B50972" w:rsidRPr="00CA3F84" w:rsidRDefault="00B50972" w:rsidP="00B50972">
            <w:pPr>
              <w:rPr>
                <w:color w:val="auto"/>
              </w:rPr>
            </w:pPr>
            <w:r w:rsidRPr="00CA3F84">
              <w:rPr>
                <w:color w:val="auto"/>
              </w:rPr>
              <w:t>4.1.2.4.  Publication du pourcentage des personnes nouvellement embauchées qui ont moins de 35 ans — Indicateur de résultat ministériel n</w:t>
            </w:r>
            <w:r w:rsidRPr="00CA3F84">
              <w:rPr>
                <w:color w:val="auto"/>
                <w:vertAlign w:val="superscript"/>
              </w:rPr>
              <w:t>o</w:t>
            </w:r>
            <w:r w:rsidRPr="00CA3F84">
              <w:rPr>
                <w:color w:val="auto"/>
              </w:rPr>
              <w:t xml:space="preserve"> 9 du Cadre des résultats ministériels</w:t>
            </w:r>
          </w:p>
        </w:tc>
        <w:tc>
          <w:tcPr>
            <w:tcW w:w="1134" w:type="dxa"/>
          </w:tcPr>
          <w:p w14:paraId="4F302E3D" w14:textId="68105F95" w:rsidR="00B50972" w:rsidRPr="00CA3F84" w:rsidRDefault="00B50972" w:rsidP="00B50972">
            <w:pPr>
              <w:rPr>
                <w:color w:val="auto"/>
              </w:rPr>
            </w:pPr>
            <w:r w:rsidRPr="00CA3F84">
              <w:rPr>
                <w:color w:val="auto"/>
              </w:rPr>
              <w:t>DSDA</w:t>
            </w:r>
          </w:p>
          <w:p w14:paraId="66AF2E5E" w14:textId="77777777" w:rsidR="00B50972" w:rsidRPr="00CA3F84" w:rsidRDefault="00B50972" w:rsidP="00B50972">
            <w:pPr>
              <w:rPr>
                <w:color w:val="auto"/>
              </w:rPr>
            </w:pPr>
          </w:p>
        </w:tc>
        <w:tc>
          <w:tcPr>
            <w:tcW w:w="992" w:type="dxa"/>
          </w:tcPr>
          <w:p w14:paraId="6992B499" w14:textId="658A3198" w:rsidR="00B50972" w:rsidRPr="00CA3F84" w:rsidRDefault="00B50972" w:rsidP="00B50972">
            <w:pPr>
              <w:rPr>
                <w:color w:val="auto"/>
              </w:rPr>
            </w:pPr>
            <w:r w:rsidRPr="00CA3F84">
              <w:rPr>
                <w:color w:val="auto"/>
              </w:rPr>
              <w:t>SGO</w:t>
            </w:r>
          </w:p>
        </w:tc>
        <w:tc>
          <w:tcPr>
            <w:tcW w:w="1276" w:type="dxa"/>
          </w:tcPr>
          <w:p w14:paraId="46EA5233" w14:textId="570FE0A1" w:rsidR="00B50972" w:rsidRPr="00CA3F84" w:rsidRDefault="00B50972" w:rsidP="00B50972">
            <w:pPr>
              <w:rPr>
                <w:color w:val="auto"/>
              </w:rPr>
            </w:pPr>
            <w:r>
              <w:rPr>
                <w:color w:val="auto"/>
              </w:rPr>
              <w:t>Nov. 2020</w:t>
            </w:r>
          </w:p>
        </w:tc>
        <w:tc>
          <w:tcPr>
            <w:tcW w:w="1276" w:type="dxa"/>
          </w:tcPr>
          <w:p w14:paraId="26603915" w14:textId="286CBAD6" w:rsidR="00B50972" w:rsidRPr="00CA3F84" w:rsidRDefault="00B50972" w:rsidP="00B50972">
            <w:pPr>
              <w:rPr>
                <w:color w:val="auto"/>
              </w:rPr>
            </w:pPr>
            <w:r>
              <w:rPr>
                <w:color w:val="auto"/>
              </w:rPr>
              <w:t>Janv. 2021</w:t>
            </w:r>
          </w:p>
        </w:tc>
      </w:tr>
      <w:tr w:rsidR="00B50972" w:rsidRPr="00CA3F84" w14:paraId="158EF23A" w14:textId="77777777" w:rsidTr="00DD3AB7">
        <w:tc>
          <w:tcPr>
            <w:tcW w:w="2411" w:type="dxa"/>
          </w:tcPr>
          <w:p w14:paraId="75FCCE05" w14:textId="47325699" w:rsidR="00B50972" w:rsidRPr="00CA3F84" w:rsidRDefault="00B50972" w:rsidP="00B50972">
            <w:pPr>
              <w:rPr>
                <w:color w:val="auto"/>
              </w:rPr>
            </w:pPr>
            <w:r w:rsidRPr="007C6F5A">
              <w:rPr>
                <w:color w:val="auto"/>
              </w:rPr>
              <w:t>4.1.2.  Continuer à évaluer les possibilités d’ensembles nouveaux ou consolidés de données ouvertes</w:t>
            </w:r>
          </w:p>
        </w:tc>
        <w:tc>
          <w:tcPr>
            <w:tcW w:w="3827" w:type="dxa"/>
          </w:tcPr>
          <w:p w14:paraId="7E787B57" w14:textId="10E329F1" w:rsidR="00B50972" w:rsidRPr="00CA3F84" w:rsidRDefault="00B50972" w:rsidP="00B50972">
            <w:pPr>
              <w:rPr>
                <w:color w:val="auto"/>
              </w:rPr>
            </w:pPr>
            <w:r w:rsidRPr="00CA3F84">
              <w:rPr>
                <w:color w:val="auto"/>
              </w:rPr>
              <w:t>4.1.2.5.  Publication du pourcentage de postulants appartenant à une communauté de langue officielle en situation minoritaire (francophones hors Québec et anglophones au Québec) — Indicateur de résultat ministériel n</w:t>
            </w:r>
            <w:r w:rsidRPr="00CA3F84">
              <w:rPr>
                <w:color w:val="auto"/>
                <w:vertAlign w:val="superscript"/>
              </w:rPr>
              <w:t>o</w:t>
            </w:r>
            <w:r w:rsidRPr="00CA3F84">
              <w:rPr>
                <w:color w:val="auto"/>
              </w:rPr>
              <w:t xml:space="preserve"> 10 du Cadre des résultats ministériels </w:t>
            </w:r>
          </w:p>
        </w:tc>
        <w:tc>
          <w:tcPr>
            <w:tcW w:w="1134" w:type="dxa"/>
          </w:tcPr>
          <w:p w14:paraId="6F20BD9A" w14:textId="60D21025" w:rsidR="00B50972" w:rsidRPr="00CA3F84" w:rsidRDefault="00B50972" w:rsidP="00B50972">
            <w:pPr>
              <w:rPr>
                <w:color w:val="auto"/>
              </w:rPr>
            </w:pPr>
            <w:r w:rsidRPr="00CA3F84">
              <w:rPr>
                <w:color w:val="auto"/>
              </w:rPr>
              <w:t>DSDA</w:t>
            </w:r>
          </w:p>
        </w:tc>
        <w:tc>
          <w:tcPr>
            <w:tcW w:w="992" w:type="dxa"/>
          </w:tcPr>
          <w:p w14:paraId="5616A6AB" w14:textId="10C79949" w:rsidR="00B50972" w:rsidRPr="00CA3F84" w:rsidRDefault="00B50972" w:rsidP="00B50972">
            <w:pPr>
              <w:rPr>
                <w:color w:val="auto"/>
              </w:rPr>
            </w:pPr>
            <w:r w:rsidRPr="00CA3F84">
              <w:rPr>
                <w:color w:val="auto"/>
              </w:rPr>
              <w:t>SGO</w:t>
            </w:r>
          </w:p>
        </w:tc>
        <w:tc>
          <w:tcPr>
            <w:tcW w:w="1276" w:type="dxa"/>
          </w:tcPr>
          <w:p w14:paraId="5A2CE661" w14:textId="0144B165" w:rsidR="00B50972" w:rsidRPr="00CA3F84" w:rsidRDefault="00B50972" w:rsidP="00B50972">
            <w:pPr>
              <w:rPr>
                <w:color w:val="auto"/>
              </w:rPr>
            </w:pPr>
            <w:r>
              <w:rPr>
                <w:color w:val="auto"/>
              </w:rPr>
              <w:t>Nov. 2020</w:t>
            </w:r>
          </w:p>
        </w:tc>
        <w:tc>
          <w:tcPr>
            <w:tcW w:w="1276" w:type="dxa"/>
          </w:tcPr>
          <w:p w14:paraId="078F0A68" w14:textId="5B78CFD1" w:rsidR="00B50972" w:rsidRPr="00CA3F84" w:rsidRDefault="00B50972" w:rsidP="00B50972">
            <w:pPr>
              <w:rPr>
                <w:color w:val="auto"/>
              </w:rPr>
            </w:pPr>
            <w:r>
              <w:rPr>
                <w:color w:val="auto"/>
              </w:rPr>
              <w:t>Janv. 2021</w:t>
            </w:r>
          </w:p>
        </w:tc>
      </w:tr>
      <w:tr w:rsidR="00B50972" w:rsidRPr="00CA3F84" w14:paraId="4BAD526A" w14:textId="77777777" w:rsidTr="00DD3AB7">
        <w:tc>
          <w:tcPr>
            <w:tcW w:w="2411" w:type="dxa"/>
          </w:tcPr>
          <w:p w14:paraId="44FE3C09" w14:textId="31FDDBA3" w:rsidR="00B50972" w:rsidRPr="00CA3F84" w:rsidRDefault="00B50972" w:rsidP="00B50972">
            <w:pPr>
              <w:rPr>
                <w:color w:val="auto"/>
              </w:rPr>
            </w:pPr>
            <w:r w:rsidRPr="001876DD">
              <w:rPr>
                <w:color w:val="auto"/>
              </w:rPr>
              <w:t>4.1.2.  Continuer à évaluer les possibilités d’ensembles nouveaux ou consolidés de données ouvertes</w:t>
            </w:r>
          </w:p>
        </w:tc>
        <w:tc>
          <w:tcPr>
            <w:tcW w:w="3827" w:type="dxa"/>
          </w:tcPr>
          <w:p w14:paraId="68520ED7" w14:textId="4C66DA13" w:rsidR="00B50972" w:rsidRPr="00CA3F84" w:rsidRDefault="00B50972" w:rsidP="00B50972">
            <w:pPr>
              <w:rPr>
                <w:color w:val="auto"/>
              </w:rPr>
            </w:pPr>
            <w:r w:rsidRPr="00CA3F84">
              <w:rPr>
                <w:color w:val="auto"/>
              </w:rPr>
              <w:t>4.1.2.6.  Publication du pourcentage de personnes nouvellement embauchées qui ont postulé à l’extérieur de la région de la capitale nationale — Indicateur de résultat ministériel n</w:t>
            </w:r>
            <w:r w:rsidRPr="00CA3F84">
              <w:rPr>
                <w:color w:val="auto"/>
                <w:vertAlign w:val="superscript"/>
              </w:rPr>
              <w:t>o</w:t>
            </w:r>
            <w:r w:rsidRPr="00CA3F84">
              <w:rPr>
                <w:color w:val="auto"/>
              </w:rPr>
              <w:t xml:space="preserve"> 11 du Cadre des résultats ministériels </w:t>
            </w:r>
          </w:p>
        </w:tc>
        <w:tc>
          <w:tcPr>
            <w:tcW w:w="1134" w:type="dxa"/>
          </w:tcPr>
          <w:p w14:paraId="2F104BB0" w14:textId="3931DDEC" w:rsidR="00B50972" w:rsidRPr="00CA3F84" w:rsidRDefault="00B50972" w:rsidP="00B50972">
            <w:pPr>
              <w:rPr>
                <w:color w:val="auto"/>
              </w:rPr>
            </w:pPr>
            <w:r w:rsidRPr="00CA3F84">
              <w:rPr>
                <w:color w:val="auto"/>
              </w:rPr>
              <w:t>DSDA</w:t>
            </w:r>
          </w:p>
        </w:tc>
        <w:tc>
          <w:tcPr>
            <w:tcW w:w="992" w:type="dxa"/>
          </w:tcPr>
          <w:p w14:paraId="1F3462E6" w14:textId="277EAB18" w:rsidR="00B50972" w:rsidRPr="00CA3F84" w:rsidRDefault="00B50972" w:rsidP="00B50972">
            <w:pPr>
              <w:rPr>
                <w:color w:val="auto"/>
              </w:rPr>
            </w:pPr>
            <w:r w:rsidRPr="00CA3F84">
              <w:rPr>
                <w:color w:val="auto"/>
              </w:rPr>
              <w:t>SGO</w:t>
            </w:r>
          </w:p>
        </w:tc>
        <w:tc>
          <w:tcPr>
            <w:tcW w:w="1276" w:type="dxa"/>
          </w:tcPr>
          <w:p w14:paraId="4A5A840C" w14:textId="60B57247" w:rsidR="00B50972" w:rsidRPr="00CA3F84" w:rsidRDefault="00B50972" w:rsidP="00B50972">
            <w:pPr>
              <w:rPr>
                <w:color w:val="auto"/>
              </w:rPr>
            </w:pPr>
            <w:r>
              <w:rPr>
                <w:color w:val="auto"/>
              </w:rPr>
              <w:t>Nov. 2020</w:t>
            </w:r>
          </w:p>
        </w:tc>
        <w:tc>
          <w:tcPr>
            <w:tcW w:w="1276" w:type="dxa"/>
          </w:tcPr>
          <w:p w14:paraId="0D889448" w14:textId="65B2EBC8" w:rsidR="00B50972" w:rsidRPr="00CA3F84" w:rsidRDefault="00B50972" w:rsidP="00B50972">
            <w:pPr>
              <w:rPr>
                <w:color w:val="auto"/>
              </w:rPr>
            </w:pPr>
            <w:r>
              <w:rPr>
                <w:color w:val="auto"/>
              </w:rPr>
              <w:t>Janv. 2021</w:t>
            </w:r>
          </w:p>
        </w:tc>
      </w:tr>
      <w:tr w:rsidR="00DD3AB7" w:rsidRPr="00CA3F84" w14:paraId="62D50B2D" w14:textId="77777777" w:rsidTr="00DD3AB7">
        <w:tc>
          <w:tcPr>
            <w:tcW w:w="2411" w:type="dxa"/>
          </w:tcPr>
          <w:p w14:paraId="0A429DEE" w14:textId="72DFCA83" w:rsidR="00DD3AB7" w:rsidRPr="00CA3F84" w:rsidRDefault="00DD3AB7" w:rsidP="00DD3AB7">
            <w:pPr>
              <w:rPr>
                <w:color w:val="auto"/>
              </w:rPr>
            </w:pPr>
            <w:r w:rsidRPr="001876DD">
              <w:rPr>
                <w:color w:val="auto"/>
              </w:rPr>
              <w:lastRenderedPageBreak/>
              <w:t>4.1.2.  Continuer à évaluer les possibilités d’ensembles nouveaux ou consolidés de données ouvertes</w:t>
            </w:r>
          </w:p>
        </w:tc>
        <w:tc>
          <w:tcPr>
            <w:tcW w:w="3827" w:type="dxa"/>
          </w:tcPr>
          <w:p w14:paraId="38B1716D" w14:textId="53DFB702" w:rsidR="00DD3AB7" w:rsidRPr="00CA3F84" w:rsidRDefault="00DD3AB7" w:rsidP="00DD3AB7">
            <w:pPr>
              <w:rPr>
                <w:color w:val="auto"/>
              </w:rPr>
            </w:pPr>
            <w:r w:rsidRPr="00CA3F84">
              <w:rPr>
                <w:color w:val="auto"/>
              </w:rPr>
              <w:t>4.1.2.7.  Ensembles de données sur les évaluations — Examens d’ELS — tableaux 5, 6 et 7</w:t>
            </w:r>
          </w:p>
        </w:tc>
        <w:tc>
          <w:tcPr>
            <w:tcW w:w="1134" w:type="dxa"/>
          </w:tcPr>
          <w:p w14:paraId="0A5944C2" w14:textId="02A9054D" w:rsidR="00DD3AB7" w:rsidRPr="00CA3F84" w:rsidRDefault="00DD3AB7" w:rsidP="00DD3AB7">
            <w:pPr>
              <w:rPr>
                <w:color w:val="auto"/>
              </w:rPr>
            </w:pPr>
            <w:r w:rsidRPr="00CA3F84">
              <w:rPr>
                <w:color w:val="auto"/>
              </w:rPr>
              <w:t>CPP</w:t>
            </w:r>
          </w:p>
        </w:tc>
        <w:tc>
          <w:tcPr>
            <w:tcW w:w="992" w:type="dxa"/>
          </w:tcPr>
          <w:p w14:paraId="1DAF7802" w14:textId="7817C208" w:rsidR="00DD3AB7" w:rsidRPr="00D05C85" w:rsidRDefault="00DD3AB7" w:rsidP="00DD3AB7">
            <w:pPr>
              <w:rPr>
                <w:color w:val="auto"/>
              </w:rPr>
            </w:pPr>
            <w:r w:rsidRPr="00D05C85">
              <w:rPr>
                <w:color w:val="auto"/>
              </w:rPr>
              <w:t>SGO</w:t>
            </w:r>
          </w:p>
        </w:tc>
        <w:tc>
          <w:tcPr>
            <w:tcW w:w="1276" w:type="dxa"/>
          </w:tcPr>
          <w:p w14:paraId="3F89B04C" w14:textId="70CCD41E" w:rsidR="00DD3AB7" w:rsidRPr="00D05C85" w:rsidRDefault="00DD3AB7" w:rsidP="00DD3AB7">
            <w:pPr>
              <w:rPr>
                <w:color w:val="auto"/>
              </w:rPr>
            </w:pPr>
            <w:r w:rsidRPr="00D05C85">
              <w:rPr>
                <w:color w:val="auto"/>
              </w:rPr>
              <w:t>Août 2020</w:t>
            </w:r>
          </w:p>
        </w:tc>
        <w:tc>
          <w:tcPr>
            <w:tcW w:w="1276" w:type="dxa"/>
          </w:tcPr>
          <w:p w14:paraId="203D182C" w14:textId="5B066BC5" w:rsidR="00DD3AB7" w:rsidRPr="00D05C85" w:rsidRDefault="00AF0DA6" w:rsidP="00DD3AB7">
            <w:pPr>
              <w:rPr>
                <w:color w:val="auto"/>
              </w:rPr>
            </w:pPr>
            <w:r w:rsidRPr="00D05C85">
              <w:rPr>
                <w:color w:val="auto"/>
              </w:rPr>
              <w:t>Sept.</w:t>
            </w:r>
            <w:r w:rsidR="00DD3AB7" w:rsidRPr="00D05C85">
              <w:rPr>
                <w:color w:val="auto"/>
              </w:rPr>
              <w:t xml:space="preserve"> 2020</w:t>
            </w:r>
          </w:p>
        </w:tc>
      </w:tr>
      <w:tr w:rsidR="00DD3AB7" w:rsidRPr="00CA3F84" w14:paraId="5BF8DA7F" w14:textId="77777777" w:rsidTr="00DD3AB7">
        <w:tc>
          <w:tcPr>
            <w:tcW w:w="2411" w:type="dxa"/>
          </w:tcPr>
          <w:p w14:paraId="0484B9F7" w14:textId="387109EE" w:rsidR="00DD3AB7" w:rsidRPr="00CA3F84" w:rsidRDefault="00DD3AB7" w:rsidP="00DD3AB7">
            <w:pPr>
              <w:rPr>
                <w:color w:val="auto"/>
              </w:rPr>
            </w:pPr>
            <w:r w:rsidRPr="0068142F">
              <w:rPr>
                <w:color w:val="auto"/>
              </w:rPr>
              <w:t>4.1.2.  Continuer à évaluer les possibilités d’ensembles nouveaux ou consolidés de données ouvertes</w:t>
            </w:r>
          </w:p>
        </w:tc>
        <w:tc>
          <w:tcPr>
            <w:tcW w:w="3827" w:type="dxa"/>
          </w:tcPr>
          <w:p w14:paraId="72DEDD11" w14:textId="715D3D30" w:rsidR="00DD3AB7" w:rsidRPr="00CA3F84" w:rsidRDefault="00DD3AB7" w:rsidP="00DD3AB7">
            <w:pPr>
              <w:rPr>
                <w:color w:val="auto"/>
              </w:rPr>
            </w:pPr>
            <w:r w:rsidRPr="00CA3F84">
              <w:rPr>
                <w:color w:val="auto"/>
              </w:rPr>
              <w:t>4.1.2.8.  Ensembles de données sur les évaluations — Examens d’ELS — tableaux 8 et 9</w:t>
            </w:r>
          </w:p>
        </w:tc>
        <w:tc>
          <w:tcPr>
            <w:tcW w:w="1134" w:type="dxa"/>
          </w:tcPr>
          <w:p w14:paraId="6AD3D90C" w14:textId="2862AC4E" w:rsidR="00DD3AB7" w:rsidRPr="00CA3F84" w:rsidRDefault="00DD3AB7" w:rsidP="00DD3AB7">
            <w:pPr>
              <w:rPr>
                <w:color w:val="auto"/>
              </w:rPr>
            </w:pPr>
            <w:r w:rsidRPr="00CA3F84">
              <w:rPr>
                <w:color w:val="auto"/>
              </w:rPr>
              <w:t>CPP</w:t>
            </w:r>
          </w:p>
        </w:tc>
        <w:tc>
          <w:tcPr>
            <w:tcW w:w="992" w:type="dxa"/>
          </w:tcPr>
          <w:p w14:paraId="5C3A9592" w14:textId="19F567A7" w:rsidR="00DD3AB7" w:rsidRPr="00D05C85" w:rsidRDefault="00DD3AB7" w:rsidP="00DD3AB7">
            <w:pPr>
              <w:rPr>
                <w:color w:val="auto"/>
              </w:rPr>
            </w:pPr>
            <w:r w:rsidRPr="00D05C85">
              <w:rPr>
                <w:color w:val="auto"/>
              </w:rPr>
              <w:t>SGO</w:t>
            </w:r>
          </w:p>
        </w:tc>
        <w:tc>
          <w:tcPr>
            <w:tcW w:w="1276" w:type="dxa"/>
          </w:tcPr>
          <w:p w14:paraId="7795684C" w14:textId="23F0CE2E" w:rsidR="00DD3AB7" w:rsidRPr="00D05C85" w:rsidRDefault="00AF0DA6" w:rsidP="00DD3AB7">
            <w:pPr>
              <w:rPr>
                <w:color w:val="auto"/>
              </w:rPr>
            </w:pPr>
            <w:r w:rsidRPr="00D05C85">
              <w:rPr>
                <w:color w:val="auto"/>
              </w:rPr>
              <w:t>Sep</w:t>
            </w:r>
            <w:r w:rsidR="00DD3AB7" w:rsidRPr="00D05C85">
              <w:rPr>
                <w:color w:val="auto"/>
              </w:rPr>
              <w:t>t.  2020</w:t>
            </w:r>
          </w:p>
        </w:tc>
        <w:tc>
          <w:tcPr>
            <w:tcW w:w="1276" w:type="dxa"/>
          </w:tcPr>
          <w:p w14:paraId="39CF2CDD" w14:textId="24C4FF57" w:rsidR="00DD3AB7" w:rsidRPr="00D05C85" w:rsidRDefault="00DD3AB7" w:rsidP="00DD3AB7">
            <w:pPr>
              <w:rPr>
                <w:color w:val="auto"/>
              </w:rPr>
            </w:pPr>
            <w:r w:rsidRPr="00D05C85">
              <w:rPr>
                <w:color w:val="auto"/>
              </w:rPr>
              <w:t>Oct.  2020</w:t>
            </w:r>
          </w:p>
        </w:tc>
      </w:tr>
      <w:tr w:rsidR="00DD3AB7" w:rsidRPr="00CA3F84" w14:paraId="52DFBD8B" w14:textId="77777777" w:rsidTr="00DD3AB7">
        <w:tc>
          <w:tcPr>
            <w:tcW w:w="2411" w:type="dxa"/>
          </w:tcPr>
          <w:p w14:paraId="6ADB2333" w14:textId="6396BB70" w:rsidR="00DD3AB7" w:rsidRPr="00CA3F84" w:rsidRDefault="00DD3AB7" w:rsidP="00DD3AB7">
            <w:pPr>
              <w:rPr>
                <w:color w:val="auto"/>
              </w:rPr>
            </w:pPr>
            <w:r w:rsidRPr="0068142F">
              <w:rPr>
                <w:color w:val="auto"/>
              </w:rPr>
              <w:t>4.1.2.  Continuer à évaluer les possibilités d’ensembles nouveaux ou consolidés de données ouvertes</w:t>
            </w:r>
          </w:p>
        </w:tc>
        <w:tc>
          <w:tcPr>
            <w:tcW w:w="3827" w:type="dxa"/>
          </w:tcPr>
          <w:p w14:paraId="73E24121" w14:textId="59EA634F" w:rsidR="00DD3AB7" w:rsidRPr="00CA3F84" w:rsidRDefault="00DD3AB7" w:rsidP="00DD3AB7">
            <w:pPr>
              <w:rPr>
                <w:color w:val="auto"/>
              </w:rPr>
            </w:pPr>
            <w:r w:rsidRPr="00CA3F84">
              <w:rPr>
                <w:color w:val="auto"/>
              </w:rPr>
              <w:t>4.1.2.9.  Processus annoncés</w:t>
            </w:r>
          </w:p>
        </w:tc>
        <w:tc>
          <w:tcPr>
            <w:tcW w:w="1134" w:type="dxa"/>
          </w:tcPr>
          <w:p w14:paraId="49E97484" w14:textId="3B324657" w:rsidR="00DD3AB7" w:rsidRPr="00CA3F84" w:rsidRDefault="00DD3AB7" w:rsidP="00DD3AB7">
            <w:pPr>
              <w:rPr>
                <w:color w:val="auto"/>
              </w:rPr>
            </w:pPr>
            <w:r w:rsidRPr="00CA3F84">
              <w:rPr>
                <w:color w:val="auto"/>
              </w:rPr>
              <w:t>DSDA</w:t>
            </w:r>
          </w:p>
        </w:tc>
        <w:tc>
          <w:tcPr>
            <w:tcW w:w="992" w:type="dxa"/>
          </w:tcPr>
          <w:p w14:paraId="1C27CA97" w14:textId="7C3DCA07" w:rsidR="00DD3AB7" w:rsidRPr="00CA3F84" w:rsidRDefault="00DD3AB7" w:rsidP="00DD3AB7">
            <w:pPr>
              <w:rPr>
                <w:color w:val="auto"/>
              </w:rPr>
            </w:pPr>
            <w:r w:rsidRPr="00CA3F84">
              <w:rPr>
                <w:color w:val="auto"/>
              </w:rPr>
              <w:t>SGO</w:t>
            </w:r>
          </w:p>
        </w:tc>
        <w:tc>
          <w:tcPr>
            <w:tcW w:w="1276" w:type="dxa"/>
          </w:tcPr>
          <w:p w14:paraId="3D93C624" w14:textId="22F87586" w:rsidR="00DD3AB7" w:rsidRPr="00CA3F84" w:rsidRDefault="00DD3AB7" w:rsidP="00DD3AB7">
            <w:pPr>
              <w:rPr>
                <w:color w:val="auto"/>
              </w:rPr>
            </w:pPr>
            <w:r w:rsidRPr="00CA3F84">
              <w:rPr>
                <w:color w:val="auto"/>
              </w:rPr>
              <w:t>Avr.  2021</w:t>
            </w:r>
          </w:p>
        </w:tc>
        <w:tc>
          <w:tcPr>
            <w:tcW w:w="1276" w:type="dxa"/>
          </w:tcPr>
          <w:p w14:paraId="69253143" w14:textId="0BDBC372" w:rsidR="00DD3AB7" w:rsidRPr="00CA3F84" w:rsidRDefault="00DD3AB7" w:rsidP="00DD3AB7">
            <w:pPr>
              <w:rPr>
                <w:color w:val="auto"/>
              </w:rPr>
            </w:pPr>
            <w:r w:rsidRPr="00CA3F84">
              <w:rPr>
                <w:color w:val="auto"/>
              </w:rPr>
              <w:t>Mars 2022</w:t>
            </w:r>
          </w:p>
        </w:tc>
      </w:tr>
      <w:tr w:rsidR="00CA3F84" w:rsidRPr="00CA3F84" w14:paraId="37A4958E" w14:textId="77777777" w:rsidTr="00DD3AB7">
        <w:tc>
          <w:tcPr>
            <w:tcW w:w="2411" w:type="dxa"/>
          </w:tcPr>
          <w:p w14:paraId="170FD817" w14:textId="065364D7" w:rsidR="00A82B38" w:rsidRPr="00CA3F84" w:rsidRDefault="00A82B38" w:rsidP="006C352C">
            <w:pPr>
              <w:rPr>
                <w:color w:val="auto"/>
              </w:rPr>
            </w:pPr>
            <w:r w:rsidRPr="00CA3F84">
              <w:rPr>
                <w:color w:val="auto"/>
              </w:rPr>
              <w:t>4.1.3</w:t>
            </w:r>
            <w:r w:rsidR="00B4312D" w:rsidRPr="00CA3F84">
              <w:rPr>
                <w:color w:val="auto"/>
              </w:rPr>
              <w:t xml:space="preserve">.  </w:t>
            </w:r>
            <w:r w:rsidR="000C1919" w:rsidRPr="00CA3F84">
              <w:rPr>
                <w:color w:val="auto"/>
              </w:rPr>
              <w:t>Continuer à identifier et à diffuser d</w:t>
            </w:r>
            <w:r w:rsidR="00F53EC2" w:rsidRPr="00CA3F84">
              <w:rPr>
                <w:color w:val="auto"/>
              </w:rPr>
              <w:t>e n</w:t>
            </w:r>
            <w:r w:rsidR="006C352C" w:rsidRPr="00CA3F84">
              <w:rPr>
                <w:color w:val="auto"/>
              </w:rPr>
              <w:t>ouvelles ressources d’informations ouvertes</w:t>
            </w:r>
          </w:p>
        </w:tc>
        <w:tc>
          <w:tcPr>
            <w:tcW w:w="3827" w:type="dxa"/>
          </w:tcPr>
          <w:p w14:paraId="4DA70C93" w14:textId="48901537" w:rsidR="00A82B38" w:rsidRPr="00CA3F84" w:rsidRDefault="00A82B38" w:rsidP="006C352C">
            <w:pPr>
              <w:rPr>
                <w:color w:val="auto"/>
              </w:rPr>
            </w:pPr>
            <w:r w:rsidRPr="00CA3F84">
              <w:rPr>
                <w:color w:val="auto"/>
              </w:rPr>
              <w:t>4.1.3.1</w:t>
            </w:r>
            <w:r w:rsidR="00B4312D" w:rsidRPr="00CA3F84">
              <w:rPr>
                <w:color w:val="auto"/>
              </w:rPr>
              <w:t xml:space="preserve">.  </w:t>
            </w:r>
            <w:r w:rsidR="0039126A" w:rsidRPr="00CA3F84">
              <w:rPr>
                <w:color w:val="auto"/>
              </w:rPr>
              <w:t xml:space="preserve">Identification des </w:t>
            </w:r>
            <w:r w:rsidR="006C352C" w:rsidRPr="00CA3F84">
              <w:rPr>
                <w:color w:val="auto"/>
              </w:rPr>
              <w:t>ressources</w:t>
            </w:r>
            <w:r w:rsidR="0039126A" w:rsidRPr="00CA3F84">
              <w:rPr>
                <w:color w:val="auto"/>
              </w:rPr>
              <w:t xml:space="preserve"> en entamant et en poursuivant un dialogue continu avec les unités opérationnelles et les groupes de travail pour la publication de </w:t>
            </w:r>
            <w:r w:rsidR="006C352C" w:rsidRPr="00CA3F84">
              <w:rPr>
                <w:color w:val="auto"/>
              </w:rPr>
              <w:t xml:space="preserve">nouvelles ressources d’informations </w:t>
            </w:r>
          </w:p>
        </w:tc>
        <w:tc>
          <w:tcPr>
            <w:tcW w:w="1134" w:type="dxa"/>
          </w:tcPr>
          <w:p w14:paraId="1C9A3693" w14:textId="7019662E" w:rsidR="00A82B38" w:rsidRPr="00CA3F84" w:rsidRDefault="00A82B38" w:rsidP="00B743B0">
            <w:pPr>
              <w:rPr>
                <w:color w:val="auto"/>
              </w:rPr>
            </w:pPr>
            <w:r w:rsidRPr="00CA3F84">
              <w:rPr>
                <w:color w:val="auto"/>
              </w:rPr>
              <w:t xml:space="preserve">DSTI </w:t>
            </w:r>
          </w:p>
        </w:tc>
        <w:tc>
          <w:tcPr>
            <w:tcW w:w="992" w:type="dxa"/>
          </w:tcPr>
          <w:p w14:paraId="3AEC9849" w14:textId="28A19892" w:rsidR="00A82B38" w:rsidRPr="00CA3F84" w:rsidRDefault="00DD3AB7" w:rsidP="00A05BE3">
            <w:pPr>
              <w:rPr>
                <w:color w:val="auto"/>
              </w:rPr>
            </w:pPr>
            <w:r>
              <w:rPr>
                <w:color w:val="auto"/>
              </w:rPr>
              <w:t>Aucun</w:t>
            </w:r>
          </w:p>
        </w:tc>
        <w:tc>
          <w:tcPr>
            <w:tcW w:w="1276" w:type="dxa"/>
          </w:tcPr>
          <w:p w14:paraId="51B96079" w14:textId="189BCE0C" w:rsidR="00A82B38" w:rsidRPr="00CA3F84" w:rsidRDefault="00A82B38" w:rsidP="00514749">
            <w:pPr>
              <w:rPr>
                <w:color w:val="auto"/>
              </w:rPr>
            </w:pPr>
            <w:r w:rsidRPr="00CA3F84">
              <w:rPr>
                <w:color w:val="auto"/>
              </w:rPr>
              <w:t>Avr</w:t>
            </w:r>
            <w:r w:rsidR="00B4312D" w:rsidRPr="00CA3F84">
              <w:rPr>
                <w:color w:val="auto"/>
              </w:rPr>
              <w:t xml:space="preserve">.  </w:t>
            </w:r>
            <w:r w:rsidRPr="00CA3F84">
              <w:rPr>
                <w:color w:val="auto"/>
              </w:rPr>
              <w:t xml:space="preserve">2020 </w:t>
            </w:r>
          </w:p>
        </w:tc>
        <w:tc>
          <w:tcPr>
            <w:tcW w:w="1276" w:type="dxa"/>
          </w:tcPr>
          <w:p w14:paraId="4FB6ECBB" w14:textId="6DD1ACE0" w:rsidR="00A82B38" w:rsidRPr="00CA3F84" w:rsidRDefault="00A82B38" w:rsidP="00514749">
            <w:pPr>
              <w:rPr>
                <w:color w:val="auto"/>
              </w:rPr>
            </w:pPr>
            <w:r w:rsidRPr="00CA3F84">
              <w:rPr>
                <w:color w:val="auto"/>
              </w:rPr>
              <w:t xml:space="preserve">Mars 2022 </w:t>
            </w:r>
          </w:p>
        </w:tc>
      </w:tr>
      <w:tr w:rsidR="00CA3F84" w:rsidRPr="00CA3F84" w14:paraId="3B12986E" w14:textId="77777777" w:rsidTr="00DD3AB7">
        <w:tc>
          <w:tcPr>
            <w:tcW w:w="2411" w:type="dxa"/>
          </w:tcPr>
          <w:p w14:paraId="438321A2" w14:textId="244526EE" w:rsidR="00A82B38" w:rsidRPr="00CA3F84" w:rsidRDefault="00A82B38" w:rsidP="000C1919">
            <w:pPr>
              <w:rPr>
                <w:color w:val="auto"/>
              </w:rPr>
            </w:pPr>
            <w:r w:rsidRPr="00CA3F84">
              <w:rPr>
                <w:color w:val="auto"/>
              </w:rPr>
              <w:t>4.1.4</w:t>
            </w:r>
            <w:r w:rsidR="00B4312D" w:rsidRPr="00CA3F84">
              <w:rPr>
                <w:color w:val="auto"/>
              </w:rPr>
              <w:t xml:space="preserve">.  </w:t>
            </w:r>
            <w:r w:rsidRPr="00CA3F84">
              <w:rPr>
                <w:color w:val="auto"/>
              </w:rPr>
              <w:t>Continue</w:t>
            </w:r>
            <w:r w:rsidR="000C1919" w:rsidRPr="00CA3F84">
              <w:rPr>
                <w:color w:val="auto"/>
              </w:rPr>
              <w:t>r à mettre à jour le répertoire de données de la CFP</w:t>
            </w:r>
          </w:p>
        </w:tc>
        <w:tc>
          <w:tcPr>
            <w:tcW w:w="3827" w:type="dxa"/>
          </w:tcPr>
          <w:p w14:paraId="18AE0B56" w14:textId="468AE143" w:rsidR="00A82B38" w:rsidRPr="00CA3F84" w:rsidRDefault="00A82B38" w:rsidP="00905A1B">
            <w:pPr>
              <w:rPr>
                <w:color w:val="auto"/>
              </w:rPr>
            </w:pPr>
            <w:r w:rsidRPr="00CA3F84">
              <w:rPr>
                <w:color w:val="auto"/>
              </w:rPr>
              <w:t xml:space="preserve">4.1.4.1 </w:t>
            </w:r>
            <w:r w:rsidR="00905A1B" w:rsidRPr="00CA3F84">
              <w:rPr>
                <w:color w:val="auto"/>
              </w:rPr>
              <w:t>R</w:t>
            </w:r>
            <w:r w:rsidR="000C1919" w:rsidRPr="00CA3F84">
              <w:rPr>
                <w:color w:val="auto"/>
              </w:rPr>
              <w:t xml:space="preserve">épertoire de données </w:t>
            </w:r>
            <w:r w:rsidR="00905A1B" w:rsidRPr="00CA3F84">
              <w:rPr>
                <w:color w:val="auto"/>
              </w:rPr>
              <w:t xml:space="preserve">mis à jour </w:t>
            </w:r>
            <w:r w:rsidR="000C1919" w:rsidRPr="00CA3F84">
              <w:rPr>
                <w:color w:val="auto"/>
              </w:rPr>
              <w:t>à mesure que de nouveaux ensembles de données pour le gouvernement ouvert sont identifiés</w:t>
            </w:r>
          </w:p>
        </w:tc>
        <w:tc>
          <w:tcPr>
            <w:tcW w:w="1134" w:type="dxa"/>
          </w:tcPr>
          <w:p w14:paraId="67F5A0A8" w14:textId="65CE25D7" w:rsidR="00A82B38" w:rsidRPr="00CA3F84" w:rsidRDefault="00A82B38" w:rsidP="00295C83">
            <w:pPr>
              <w:rPr>
                <w:color w:val="auto"/>
              </w:rPr>
            </w:pPr>
            <w:r w:rsidRPr="00CA3F84">
              <w:rPr>
                <w:color w:val="auto"/>
              </w:rPr>
              <w:t>SGO</w:t>
            </w:r>
          </w:p>
        </w:tc>
        <w:tc>
          <w:tcPr>
            <w:tcW w:w="992" w:type="dxa"/>
          </w:tcPr>
          <w:p w14:paraId="552132A2" w14:textId="5EA9A87D" w:rsidR="00A82B38" w:rsidRPr="00CA3F84" w:rsidRDefault="00A82B38" w:rsidP="00295C83">
            <w:pPr>
              <w:rPr>
                <w:color w:val="auto"/>
              </w:rPr>
            </w:pPr>
            <w:r w:rsidRPr="00CA3F84">
              <w:rPr>
                <w:color w:val="auto"/>
              </w:rPr>
              <w:t>DCAP</w:t>
            </w:r>
          </w:p>
        </w:tc>
        <w:tc>
          <w:tcPr>
            <w:tcW w:w="1276" w:type="dxa"/>
          </w:tcPr>
          <w:p w14:paraId="231EA5CD" w14:textId="0DC38704" w:rsidR="00A82B38" w:rsidRPr="00CA3F84" w:rsidRDefault="00A82B38" w:rsidP="00514749">
            <w:pPr>
              <w:rPr>
                <w:color w:val="auto"/>
              </w:rPr>
            </w:pPr>
            <w:r w:rsidRPr="00CA3F84">
              <w:rPr>
                <w:color w:val="auto"/>
              </w:rPr>
              <w:t>Avr</w:t>
            </w:r>
            <w:r w:rsidR="00B4312D" w:rsidRPr="00CA3F84">
              <w:rPr>
                <w:color w:val="auto"/>
              </w:rPr>
              <w:t xml:space="preserve">.  </w:t>
            </w:r>
            <w:r w:rsidRPr="00CA3F84">
              <w:rPr>
                <w:color w:val="auto"/>
              </w:rPr>
              <w:t>2020</w:t>
            </w:r>
          </w:p>
        </w:tc>
        <w:tc>
          <w:tcPr>
            <w:tcW w:w="1276" w:type="dxa"/>
          </w:tcPr>
          <w:p w14:paraId="69CB65F0" w14:textId="3B6C9854" w:rsidR="00A82B38" w:rsidRPr="00CA3F84" w:rsidRDefault="00A82B38" w:rsidP="00514749">
            <w:pPr>
              <w:rPr>
                <w:color w:val="auto"/>
              </w:rPr>
            </w:pPr>
            <w:r w:rsidRPr="00CA3F84">
              <w:rPr>
                <w:color w:val="auto"/>
              </w:rPr>
              <w:t>Mars 2022</w:t>
            </w:r>
          </w:p>
        </w:tc>
      </w:tr>
    </w:tbl>
    <w:p w14:paraId="62F9B468" w14:textId="47FD7BAD" w:rsidR="00AA48AD" w:rsidRPr="00CA3F84" w:rsidRDefault="005A5F14" w:rsidP="00AA48AD">
      <w:pPr>
        <w:pStyle w:val="Heading3"/>
        <w:ind w:left="-851"/>
        <w:rPr>
          <w:color w:val="auto"/>
        </w:rPr>
      </w:pPr>
      <w:bookmarkStart w:id="104" w:name="_Toc30058988"/>
      <w:bookmarkStart w:id="105" w:name="_Toc30682138"/>
      <w:bookmarkStart w:id="106" w:name="_Toc44404889"/>
      <w:bookmarkStart w:id="107" w:name="_Toc44323407"/>
      <w:bookmarkStart w:id="108" w:name="_Toc46827427"/>
      <w:r>
        <w:rPr>
          <w:color w:val="auto"/>
        </w:rPr>
        <w:br/>
      </w:r>
      <w:bookmarkStart w:id="109" w:name="_Toc49767867"/>
      <w:bookmarkStart w:id="110" w:name="_Toc50038777"/>
      <w:r w:rsidR="00AA48AD" w:rsidRPr="00CA3F84">
        <w:rPr>
          <w:color w:val="auto"/>
        </w:rPr>
        <w:t>4.2</w:t>
      </w:r>
      <w:r w:rsidR="00B4312D" w:rsidRPr="00CA3F84">
        <w:rPr>
          <w:color w:val="auto"/>
        </w:rPr>
        <w:t xml:space="preserve">.  </w:t>
      </w:r>
      <w:bookmarkEnd w:id="104"/>
      <w:r w:rsidR="0039126A" w:rsidRPr="00CA3F84">
        <w:rPr>
          <w:color w:val="auto"/>
        </w:rPr>
        <w:t>Harmoniser avec l’orientation du gouvernement du Canada</w:t>
      </w:r>
      <w:bookmarkEnd w:id="105"/>
      <w:bookmarkEnd w:id="106"/>
      <w:bookmarkEnd w:id="107"/>
      <w:bookmarkEnd w:id="108"/>
      <w:bookmarkEnd w:id="109"/>
      <w:bookmarkEnd w:id="110"/>
    </w:p>
    <w:tbl>
      <w:tblPr>
        <w:tblStyle w:val="TableGrid"/>
        <w:tblW w:w="10916" w:type="dxa"/>
        <w:tblInd w:w="-856" w:type="dxa"/>
        <w:tblLayout w:type="fixed"/>
        <w:tblLook w:val="04A0" w:firstRow="1" w:lastRow="0" w:firstColumn="1" w:lastColumn="0" w:noHBand="0" w:noVBand="1"/>
        <w:tblDescription w:val="Ce tableau est composé de 6 colonnes et 2 lignes, et ne contient aucune cellules divisées ou fusionnées."/>
      </w:tblPr>
      <w:tblGrid>
        <w:gridCol w:w="2411"/>
        <w:gridCol w:w="3969"/>
        <w:gridCol w:w="992"/>
        <w:gridCol w:w="992"/>
        <w:gridCol w:w="1276"/>
        <w:gridCol w:w="1276"/>
      </w:tblGrid>
      <w:tr w:rsidR="00CA3F84" w:rsidRPr="00CA3F84" w14:paraId="478CA5AF" w14:textId="77777777" w:rsidTr="006968CC">
        <w:trPr>
          <w:trHeight w:val="685"/>
          <w:tblHeader/>
        </w:trPr>
        <w:tc>
          <w:tcPr>
            <w:tcW w:w="2411" w:type="dxa"/>
            <w:shd w:val="clear" w:color="auto" w:fill="D9D9D9" w:themeFill="background1" w:themeFillShade="D9"/>
          </w:tcPr>
          <w:p w14:paraId="208AF5A4" w14:textId="62092DAD" w:rsidR="005957F6" w:rsidRPr="00CA3F84" w:rsidRDefault="005957F6" w:rsidP="00232E05">
            <w:pPr>
              <w:jc w:val="center"/>
              <w:rPr>
                <w:b/>
                <w:color w:val="auto"/>
              </w:rPr>
            </w:pPr>
            <w:r w:rsidRPr="00CA3F84">
              <w:rPr>
                <w:b/>
                <w:color w:val="auto"/>
              </w:rPr>
              <w:t>Activités</w:t>
            </w:r>
          </w:p>
        </w:tc>
        <w:tc>
          <w:tcPr>
            <w:tcW w:w="3969" w:type="dxa"/>
            <w:shd w:val="clear" w:color="auto" w:fill="D9D9D9" w:themeFill="background1" w:themeFillShade="D9"/>
          </w:tcPr>
          <w:p w14:paraId="0DFE51B9" w14:textId="0BE6366C" w:rsidR="005957F6" w:rsidRPr="00CA3F84" w:rsidRDefault="005957F6" w:rsidP="00232E05">
            <w:pPr>
              <w:jc w:val="center"/>
              <w:rPr>
                <w:b/>
                <w:color w:val="auto"/>
              </w:rPr>
            </w:pPr>
            <w:r w:rsidRPr="00CA3F84">
              <w:rPr>
                <w:b/>
                <w:color w:val="auto"/>
              </w:rPr>
              <w:t>Produits livrables</w:t>
            </w:r>
          </w:p>
        </w:tc>
        <w:tc>
          <w:tcPr>
            <w:tcW w:w="992" w:type="dxa"/>
            <w:shd w:val="clear" w:color="auto" w:fill="D9D9D9" w:themeFill="background1" w:themeFillShade="D9"/>
          </w:tcPr>
          <w:p w14:paraId="7091E212" w14:textId="58A4F733" w:rsidR="005957F6" w:rsidRPr="00CA3F84" w:rsidRDefault="005957F6" w:rsidP="00232E05">
            <w:pPr>
              <w:jc w:val="center"/>
              <w:rPr>
                <w:b/>
                <w:color w:val="auto"/>
              </w:rPr>
            </w:pPr>
            <w:r w:rsidRPr="00CA3F84">
              <w:rPr>
                <w:b/>
                <w:color w:val="auto"/>
              </w:rPr>
              <w:t>Responsable</w:t>
            </w:r>
          </w:p>
        </w:tc>
        <w:tc>
          <w:tcPr>
            <w:tcW w:w="992" w:type="dxa"/>
            <w:shd w:val="clear" w:color="auto" w:fill="D9D9D9" w:themeFill="background1" w:themeFillShade="D9"/>
          </w:tcPr>
          <w:p w14:paraId="279AD1C3" w14:textId="28A8E241" w:rsidR="005957F6" w:rsidRPr="00CA3F84" w:rsidRDefault="005957F6" w:rsidP="00232E05">
            <w:pPr>
              <w:jc w:val="center"/>
              <w:rPr>
                <w:b/>
                <w:color w:val="auto"/>
              </w:rPr>
            </w:pPr>
            <w:r w:rsidRPr="00CA3F84">
              <w:rPr>
                <w:b/>
                <w:color w:val="auto"/>
              </w:rPr>
              <w:t>Soutien</w:t>
            </w:r>
          </w:p>
        </w:tc>
        <w:tc>
          <w:tcPr>
            <w:tcW w:w="1276" w:type="dxa"/>
            <w:shd w:val="clear" w:color="auto" w:fill="D9D9D9" w:themeFill="background1" w:themeFillShade="D9"/>
          </w:tcPr>
          <w:p w14:paraId="0BBD0A79" w14:textId="0350A1ED" w:rsidR="005957F6" w:rsidRPr="00CA3F84" w:rsidRDefault="005957F6" w:rsidP="00232E05">
            <w:pPr>
              <w:jc w:val="center"/>
              <w:rPr>
                <w:b/>
                <w:color w:val="auto"/>
              </w:rPr>
            </w:pPr>
            <w:r w:rsidRPr="00CA3F84">
              <w:rPr>
                <w:b/>
                <w:color w:val="auto"/>
              </w:rPr>
              <w:t>Date de début</w:t>
            </w:r>
          </w:p>
        </w:tc>
        <w:tc>
          <w:tcPr>
            <w:tcW w:w="1276" w:type="dxa"/>
            <w:shd w:val="clear" w:color="auto" w:fill="D9D9D9" w:themeFill="background1" w:themeFillShade="D9"/>
          </w:tcPr>
          <w:p w14:paraId="6E477CD3" w14:textId="610B1EF5" w:rsidR="005957F6" w:rsidRPr="00CA3F84" w:rsidRDefault="005957F6" w:rsidP="00232E05">
            <w:pPr>
              <w:jc w:val="center"/>
              <w:rPr>
                <w:b/>
                <w:color w:val="auto"/>
              </w:rPr>
            </w:pPr>
            <w:r w:rsidRPr="00CA3F84">
              <w:rPr>
                <w:b/>
                <w:color w:val="auto"/>
              </w:rPr>
              <w:t>Date de fin</w:t>
            </w:r>
          </w:p>
        </w:tc>
      </w:tr>
      <w:tr w:rsidR="00CA3F84" w:rsidRPr="00CA3F84" w14:paraId="5E8DF8B6" w14:textId="77777777" w:rsidTr="00756EBA">
        <w:trPr>
          <w:trHeight w:val="167"/>
          <w:tblHeader/>
        </w:trPr>
        <w:tc>
          <w:tcPr>
            <w:tcW w:w="2411" w:type="dxa"/>
          </w:tcPr>
          <w:p w14:paraId="79BD0E4D" w14:textId="21876FD6" w:rsidR="00164803" w:rsidRPr="00CA3F84" w:rsidRDefault="00164803" w:rsidP="00EE545F">
            <w:pPr>
              <w:rPr>
                <w:color w:val="auto"/>
              </w:rPr>
            </w:pPr>
            <w:r w:rsidRPr="00CA3F84">
              <w:rPr>
                <w:color w:val="auto"/>
              </w:rPr>
              <w:t>4.2.1</w:t>
            </w:r>
            <w:r w:rsidR="00B4312D" w:rsidRPr="00CA3F84">
              <w:rPr>
                <w:color w:val="auto"/>
              </w:rPr>
              <w:t xml:space="preserve">.  </w:t>
            </w:r>
            <w:r w:rsidR="0039126A" w:rsidRPr="00CA3F84">
              <w:rPr>
                <w:color w:val="auto"/>
              </w:rPr>
              <w:t xml:space="preserve">Examiner les constatations de </w:t>
            </w:r>
            <w:r w:rsidR="00EE545F" w:rsidRPr="00CA3F84">
              <w:rPr>
                <w:color w:val="auto"/>
              </w:rPr>
              <w:t xml:space="preserve">l’Évaluation </w:t>
            </w:r>
            <w:r w:rsidR="0039126A" w:rsidRPr="00CA3F84">
              <w:rPr>
                <w:color w:val="auto"/>
              </w:rPr>
              <w:t>horizontale du gouvernement ouvert</w:t>
            </w:r>
          </w:p>
        </w:tc>
        <w:tc>
          <w:tcPr>
            <w:tcW w:w="3969" w:type="dxa"/>
            <w:tcBorders>
              <w:bottom w:val="single" w:sz="4" w:space="0" w:color="auto"/>
            </w:tcBorders>
          </w:tcPr>
          <w:p w14:paraId="30E3DFD2" w14:textId="43C86C85" w:rsidR="00164803" w:rsidRPr="00CA3F84" w:rsidRDefault="00164803" w:rsidP="0039126A">
            <w:pPr>
              <w:rPr>
                <w:color w:val="auto"/>
              </w:rPr>
            </w:pPr>
            <w:r w:rsidRPr="00CA3F84">
              <w:rPr>
                <w:color w:val="auto"/>
              </w:rPr>
              <w:t>4.2.1.1</w:t>
            </w:r>
            <w:r w:rsidR="00B4312D" w:rsidRPr="00CA3F84">
              <w:rPr>
                <w:color w:val="auto"/>
              </w:rPr>
              <w:t xml:space="preserve">.  </w:t>
            </w:r>
            <w:r w:rsidR="0039126A" w:rsidRPr="00CA3F84">
              <w:rPr>
                <w:color w:val="auto"/>
              </w:rPr>
              <w:t>Réalisation de l’évaluation des constatations et des recommandations découlant de l’</w:t>
            </w:r>
            <w:r w:rsidR="000525F7" w:rsidRPr="00CA3F84">
              <w:rPr>
                <w:color w:val="auto"/>
              </w:rPr>
              <w:t>É</w:t>
            </w:r>
            <w:r w:rsidR="0039126A" w:rsidRPr="00CA3F84">
              <w:rPr>
                <w:color w:val="auto"/>
              </w:rPr>
              <w:t>valuation horizontale et élaboration d’un plan d’action</w:t>
            </w:r>
          </w:p>
        </w:tc>
        <w:tc>
          <w:tcPr>
            <w:tcW w:w="992" w:type="dxa"/>
          </w:tcPr>
          <w:p w14:paraId="310E3C2E" w14:textId="66CF293F" w:rsidR="00164803" w:rsidRPr="00CA3F84" w:rsidRDefault="005957F6" w:rsidP="00AA48AD">
            <w:pPr>
              <w:rPr>
                <w:color w:val="auto"/>
              </w:rPr>
            </w:pPr>
            <w:r w:rsidRPr="00CA3F84">
              <w:rPr>
                <w:color w:val="auto"/>
              </w:rPr>
              <w:t>SGO</w:t>
            </w:r>
          </w:p>
        </w:tc>
        <w:tc>
          <w:tcPr>
            <w:tcW w:w="992" w:type="dxa"/>
          </w:tcPr>
          <w:p w14:paraId="0A276FBB" w14:textId="403C5250" w:rsidR="00164803" w:rsidRPr="00CA3F84" w:rsidRDefault="005957F6" w:rsidP="00B743B0">
            <w:pPr>
              <w:rPr>
                <w:color w:val="auto"/>
              </w:rPr>
            </w:pPr>
            <w:r w:rsidRPr="00CA3F84">
              <w:rPr>
                <w:color w:val="auto"/>
              </w:rPr>
              <w:t>DSTI</w:t>
            </w:r>
            <w:r w:rsidR="00164803" w:rsidRPr="00CA3F84">
              <w:rPr>
                <w:color w:val="auto"/>
              </w:rPr>
              <w:t xml:space="preserve"> </w:t>
            </w:r>
          </w:p>
        </w:tc>
        <w:tc>
          <w:tcPr>
            <w:tcW w:w="1276" w:type="dxa"/>
          </w:tcPr>
          <w:p w14:paraId="69E559B9" w14:textId="18B89937" w:rsidR="00665DC0" w:rsidRPr="00CA3F84" w:rsidRDefault="00A60A51" w:rsidP="00AA48AD">
            <w:pPr>
              <w:rPr>
                <w:color w:val="auto"/>
              </w:rPr>
            </w:pPr>
            <w:r w:rsidRPr="00CA3F84">
              <w:rPr>
                <w:color w:val="auto"/>
              </w:rPr>
              <w:t>Sept</w:t>
            </w:r>
            <w:r w:rsidR="00B4312D" w:rsidRPr="00CA3F84">
              <w:rPr>
                <w:color w:val="auto"/>
              </w:rPr>
              <w:t xml:space="preserve">.  </w:t>
            </w:r>
            <w:r w:rsidRPr="00CA3F84">
              <w:rPr>
                <w:color w:val="auto"/>
              </w:rPr>
              <w:t>2020</w:t>
            </w:r>
          </w:p>
          <w:p w14:paraId="209CBA5F" w14:textId="77777777" w:rsidR="00164803" w:rsidRPr="00CA3F84" w:rsidRDefault="00164803" w:rsidP="00665DC0">
            <w:pPr>
              <w:rPr>
                <w:color w:val="auto"/>
              </w:rPr>
            </w:pPr>
          </w:p>
        </w:tc>
        <w:tc>
          <w:tcPr>
            <w:tcW w:w="1276" w:type="dxa"/>
          </w:tcPr>
          <w:p w14:paraId="1EAFEFC4" w14:textId="6596117C" w:rsidR="00164803" w:rsidRPr="00CA3F84" w:rsidRDefault="005957F6" w:rsidP="00514749">
            <w:pPr>
              <w:rPr>
                <w:color w:val="auto"/>
              </w:rPr>
            </w:pPr>
            <w:r w:rsidRPr="00CA3F84">
              <w:rPr>
                <w:color w:val="auto"/>
              </w:rPr>
              <w:t>Déc</w:t>
            </w:r>
            <w:r w:rsidR="00B4312D" w:rsidRPr="00CA3F84">
              <w:rPr>
                <w:color w:val="auto"/>
              </w:rPr>
              <w:t xml:space="preserve">.  </w:t>
            </w:r>
            <w:r w:rsidR="00514749" w:rsidRPr="00CA3F84">
              <w:rPr>
                <w:color w:val="auto"/>
              </w:rPr>
              <w:t>2</w:t>
            </w:r>
            <w:r w:rsidR="00A60A51" w:rsidRPr="00CA3F84">
              <w:rPr>
                <w:color w:val="auto"/>
              </w:rPr>
              <w:t>020</w:t>
            </w:r>
          </w:p>
        </w:tc>
      </w:tr>
    </w:tbl>
    <w:p w14:paraId="027E68B9" w14:textId="607B7507" w:rsidR="00AA48AD" w:rsidRPr="00CA3F84" w:rsidRDefault="00AA48AD" w:rsidP="00AA48AD">
      <w:pPr>
        <w:pStyle w:val="Heading3"/>
        <w:ind w:left="-851"/>
        <w:rPr>
          <w:color w:val="auto"/>
        </w:rPr>
      </w:pPr>
      <w:bookmarkStart w:id="111" w:name="_Toc30058989"/>
      <w:bookmarkStart w:id="112" w:name="_Toc30682139"/>
      <w:bookmarkStart w:id="113" w:name="_Toc44404890"/>
      <w:bookmarkStart w:id="114" w:name="_Toc44323408"/>
      <w:bookmarkStart w:id="115" w:name="_Toc46827428"/>
      <w:bookmarkStart w:id="116" w:name="_Toc49767868"/>
      <w:bookmarkStart w:id="117" w:name="_Toc50038778"/>
      <w:r w:rsidRPr="00CA3F84">
        <w:rPr>
          <w:color w:val="auto"/>
        </w:rPr>
        <w:lastRenderedPageBreak/>
        <w:t>4.3</w:t>
      </w:r>
      <w:r w:rsidR="00B4312D" w:rsidRPr="00CA3F84">
        <w:rPr>
          <w:color w:val="auto"/>
        </w:rPr>
        <w:t xml:space="preserve">.  </w:t>
      </w:r>
      <w:bookmarkEnd w:id="111"/>
      <w:r w:rsidR="005E1680" w:rsidRPr="00CA3F84">
        <w:rPr>
          <w:color w:val="auto"/>
        </w:rPr>
        <w:t>P</w:t>
      </w:r>
      <w:r w:rsidR="0039126A" w:rsidRPr="00CA3F84">
        <w:rPr>
          <w:color w:val="auto"/>
        </w:rPr>
        <w:t>lanifier le prochain plan de mise en œuvre pour le gouvernement ouvert</w:t>
      </w:r>
      <w:bookmarkEnd w:id="112"/>
      <w:bookmarkEnd w:id="113"/>
      <w:bookmarkEnd w:id="114"/>
      <w:bookmarkEnd w:id="115"/>
      <w:bookmarkEnd w:id="116"/>
      <w:bookmarkEnd w:id="117"/>
    </w:p>
    <w:tbl>
      <w:tblPr>
        <w:tblStyle w:val="TableGrid"/>
        <w:tblW w:w="10916" w:type="dxa"/>
        <w:tblInd w:w="-856" w:type="dxa"/>
        <w:tblLayout w:type="fixed"/>
        <w:tblLook w:val="04A0" w:firstRow="1" w:lastRow="0" w:firstColumn="1" w:lastColumn="0" w:noHBand="0" w:noVBand="1"/>
        <w:tblDescription w:val="Ce tableau est composé de 6 colonnes et 3 lignes, et ne contient aucune cellules divisées ou fusionnées."/>
      </w:tblPr>
      <w:tblGrid>
        <w:gridCol w:w="2411"/>
        <w:gridCol w:w="3969"/>
        <w:gridCol w:w="992"/>
        <w:gridCol w:w="992"/>
        <w:gridCol w:w="1276"/>
        <w:gridCol w:w="1276"/>
      </w:tblGrid>
      <w:tr w:rsidR="00CA3F84" w:rsidRPr="00CA3F84" w14:paraId="4EBF350A" w14:textId="77777777" w:rsidTr="006968CC">
        <w:trPr>
          <w:trHeight w:val="685"/>
          <w:tblHeader/>
        </w:trPr>
        <w:tc>
          <w:tcPr>
            <w:tcW w:w="2411" w:type="dxa"/>
            <w:shd w:val="clear" w:color="auto" w:fill="D9D9D9" w:themeFill="background1" w:themeFillShade="D9"/>
          </w:tcPr>
          <w:p w14:paraId="46843B80" w14:textId="20209953" w:rsidR="005957F6" w:rsidRPr="00CA3F84" w:rsidRDefault="005957F6" w:rsidP="00232E05">
            <w:pPr>
              <w:jc w:val="center"/>
              <w:rPr>
                <w:b/>
                <w:color w:val="auto"/>
              </w:rPr>
            </w:pPr>
            <w:r w:rsidRPr="00CA3F84">
              <w:rPr>
                <w:b/>
                <w:color w:val="auto"/>
              </w:rPr>
              <w:t>Activités</w:t>
            </w:r>
          </w:p>
        </w:tc>
        <w:tc>
          <w:tcPr>
            <w:tcW w:w="3969" w:type="dxa"/>
            <w:shd w:val="clear" w:color="auto" w:fill="D9D9D9" w:themeFill="background1" w:themeFillShade="D9"/>
          </w:tcPr>
          <w:p w14:paraId="59EB837A" w14:textId="22DA2992" w:rsidR="005957F6" w:rsidRPr="00CA3F84" w:rsidRDefault="005957F6" w:rsidP="00232E05">
            <w:pPr>
              <w:jc w:val="center"/>
              <w:rPr>
                <w:b/>
                <w:color w:val="auto"/>
              </w:rPr>
            </w:pPr>
            <w:r w:rsidRPr="00CA3F84">
              <w:rPr>
                <w:b/>
                <w:color w:val="auto"/>
              </w:rPr>
              <w:t>Produits livrables</w:t>
            </w:r>
          </w:p>
        </w:tc>
        <w:tc>
          <w:tcPr>
            <w:tcW w:w="992" w:type="dxa"/>
            <w:shd w:val="clear" w:color="auto" w:fill="D9D9D9" w:themeFill="background1" w:themeFillShade="D9"/>
          </w:tcPr>
          <w:p w14:paraId="3B1FD855" w14:textId="227E91D8" w:rsidR="005957F6" w:rsidRPr="00CA3F84" w:rsidRDefault="005957F6" w:rsidP="00232E05">
            <w:pPr>
              <w:jc w:val="center"/>
              <w:rPr>
                <w:b/>
                <w:color w:val="auto"/>
              </w:rPr>
            </w:pPr>
            <w:r w:rsidRPr="00CA3F84">
              <w:rPr>
                <w:b/>
                <w:color w:val="auto"/>
              </w:rPr>
              <w:t>Responsable</w:t>
            </w:r>
          </w:p>
        </w:tc>
        <w:tc>
          <w:tcPr>
            <w:tcW w:w="992" w:type="dxa"/>
            <w:shd w:val="clear" w:color="auto" w:fill="D9D9D9" w:themeFill="background1" w:themeFillShade="D9"/>
          </w:tcPr>
          <w:p w14:paraId="4FBAF5C4" w14:textId="6362FA7A" w:rsidR="005957F6" w:rsidRPr="00CA3F84" w:rsidRDefault="005957F6" w:rsidP="00232E05">
            <w:pPr>
              <w:jc w:val="center"/>
              <w:rPr>
                <w:b/>
                <w:color w:val="auto"/>
              </w:rPr>
            </w:pPr>
            <w:r w:rsidRPr="00CA3F84">
              <w:rPr>
                <w:b/>
                <w:color w:val="auto"/>
              </w:rPr>
              <w:t>Soutien</w:t>
            </w:r>
          </w:p>
        </w:tc>
        <w:tc>
          <w:tcPr>
            <w:tcW w:w="1276" w:type="dxa"/>
            <w:shd w:val="clear" w:color="auto" w:fill="D9D9D9" w:themeFill="background1" w:themeFillShade="D9"/>
          </w:tcPr>
          <w:p w14:paraId="2B4135C1" w14:textId="38853A3C" w:rsidR="005957F6" w:rsidRPr="00CA3F84" w:rsidRDefault="005957F6" w:rsidP="00232E05">
            <w:pPr>
              <w:jc w:val="center"/>
              <w:rPr>
                <w:b/>
                <w:color w:val="auto"/>
              </w:rPr>
            </w:pPr>
            <w:r w:rsidRPr="00CA3F84">
              <w:rPr>
                <w:b/>
                <w:color w:val="auto"/>
              </w:rPr>
              <w:t>Date de début</w:t>
            </w:r>
          </w:p>
        </w:tc>
        <w:tc>
          <w:tcPr>
            <w:tcW w:w="1276" w:type="dxa"/>
            <w:shd w:val="clear" w:color="auto" w:fill="D9D9D9" w:themeFill="background1" w:themeFillShade="D9"/>
          </w:tcPr>
          <w:p w14:paraId="7FB7F1AB" w14:textId="332E5B18" w:rsidR="005957F6" w:rsidRPr="00CA3F84" w:rsidRDefault="005957F6" w:rsidP="00232E05">
            <w:pPr>
              <w:jc w:val="center"/>
              <w:rPr>
                <w:b/>
                <w:color w:val="auto"/>
              </w:rPr>
            </w:pPr>
            <w:r w:rsidRPr="00CA3F84">
              <w:rPr>
                <w:b/>
                <w:color w:val="auto"/>
              </w:rPr>
              <w:t>Date de fin</w:t>
            </w:r>
          </w:p>
        </w:tc>
      </w:tr>
      <w:tr w:rsidR="00CA3F84" w:rsidRPr="00CA3F84" w14:paraId="74DF1CB8" w14:textId="77777777" w:rsidTr="00591B0B">
        <w:tc>
          <w:tcPr>
            <w:tcW w:w="2411" w:type="dxa"/>
          </w:tcPr>
          <w:p w14:paraId="1862ADA8" w14:textId="7F35F6A0" w:rsidR="00591B0B" w:rsidRPr="00CA3F84" w:rsidRDefault="00591B0B" w:rsidP="0039126A">
            <w:pPr>
              <w:rPr>
                <w:color w:val="auto"/>
              </w:rPr>
            </w:pPr>
            <w:r w:rsidRPr="00CA3F84">
              <w:rPr>
                <w:color w:val="auto"/>
              </w:rPr>
              <w:t>4.3.1</w:t>
            </w:r>
            <w:r w:rsidR="00B4312D" w:rsidRPr="00CA3F84">
              <w:rPr>
                <w:color w:val="auto"/>
              </w:rPr>
              <w:t xml:space="preserve">.  </w:t>
            </w:r>
            <w:r w:rsidR="0039126A" w:rsidRPr="00CA3F84">
              <w:rPr>
                <w:color w:val="auto"/>
              </w:rPr>
              <w:t>Créer le quatrième PMOGO de la CFP</w:t>
            </w:r>
          </w:p>
        </w:tc>
        <w:tc>
          <w:tcPr>
            <w:tcW w:w="3969" w:type="dxa"/>
          </w:tcPr>
          <w:p w14:paraId="1CACC486" w14:textId="38A0093E" w:rsidR="00591B0B" w:rsidRPr="00CA3F84" w:rsidRDefault="00591B0B" w:rsidP="0039126A">
            <w:pPr>
              <w:rPr>
                <w:color w:val="auto"/>
              </w:rPr>
            </w:pPr>
            <w:r w:rsidRPr="00CA3F84">
              <w:rPr>
                <w:color w:val="auto"/>
              </w:rPr>
              <w:t>4.3.1.1</w:t>
            </w:r>
            <w:r w:rsidR="00B4312D" w:rsidRPr="00CA3F84">
              <w:rPr>
                <w:color w:val="auto"/>
              </w:rPr>
              <w:t xml:space="preserve">.  </w:t>
            </w:r>
            <w:r w:rsidR="0039126A" w:rsidRPr="00CA3F84">
              <w:rPr>
                <w:color w:val="auto"/>
              </w:rPr>
              <w:t>Détermination des objectifs et des engagements pour un nouveau PMOGO</w:t>
            </w:r>
          </w:p>
        </w:tc>
        <w:tc>
          <w:tcPr>
            <w:tcW w:w="992" w:type="dxa"/>
          </w:tcPr>
          <w:p w14:paraId="2AFC0EE4" w14:textId="06543444" w:rsidR="00591B0B" w:rsidRPr="00CA3F84" w:rsidRDefault="005957F6" w:rsidP="00AA48AD">
            <w:pPr>
              <w:rPr>
                <w:color w:val="auto"/>
              </w:rPr>
            </w:pPr>
            <w:r w:rsidRPr="00CA3F84">
              <w:rPr>
                <w:color w:val="auto"/>
              </w:rPr>
              <w:t>SGO</w:t>
            </w:r>
          </w:p>
        </w:tc>
        <w:tc>
          <w:tcPr>
            <w:tcW w:w="992" w:type="dxa"/>
          </w:tcPr>
          <w:p w14:paraId="22D3FBE0" w14:textId="4A4C9F2A" w:rsidR="00591B0B" w:rsidRPr="00CA3F84" w:rsidRDefault="005957F6" w:rsidP="00AA48AD">
            <w:pPr>
              <w:rPr>
                <w:color w:val="auto"/>
              </w:rPr>
            </w:pPr>
            <w:r w:rsidRPr="00CA3F84">
              <w:rPr>
                <w:color w:val="auto"/>
              </w:rPr>
              <w:t>DSTI</w:t>
            </w:r>
          </w:p>
        </w:tc>
        <w:tc>
          <w:tcPr>
            <w:tcW w:w="1276" w:type="dxa"/>
          </w:tcPr>
          <w:p w14:paraId="7796BB12" w14:textId="453BD668" w:rsidR="00591B0B" w:rsidRPr="00CA3F84" w:rsidRDefault="005957F6" w:rsidP="00AA48AD">
            <w:pPr>
              <w:rPr>
                <w:color w:val="auto"/>
              </w:rPr>
            </w:pPr>
            <w:r w:rsidRPr="00CA3F84">
              <w:rPr>
                <w:color w:val="auto"/>
              </w:rPr>
              <w:t>Mai</w:t>
            </w:r>
            <w:r w:rsidR="00591B0B" w:rsidRPr="00CA3F84">
              <w:rPr>
                <w:color w:val="auto"/>
              </w:rPr>
              <w:t xml:space="preserve"> 2021</w:t>
            </w:r>
          </w:p>
        </w:tc>
        <w:tc>
          <w:tcPr>
            <w:tcW w:w="1276" w:type="dxa"/>
          </w:tcPr>
          <w:p w14:paraId="6C93959A" w14:textId="7420777F" w:rsidR="00591B0B" w:rsidRPr="00CA3F84" w:rsidRDefault="005957F6" w:rsidP="00514749">
            <w:pPr>
              <w:rPr>
                <w:color w:val="auto"/>
              </w:rPr>
            </w:pPr>
            <w:r w:rsidRPr="00CA3F84">
              <w:rPr>
                <w:color w:val="auto"/>
              </w:rPr>
              <w:t>Mars</w:t>
            </w:r>
            <w:r w:rsidR="00591B0B" w:rsidRPr="00CA3F84">
              <w:rPr>
                <w:color w:val="auto"/>
              </w:rPr>
              <w:t xml:space="preserve"> 2022</w:t>
            </w:r>
          </w:p>
        </w:tc>
      </w:tr>
      <w:tr w:rsidR="00CA3F84" w:rsidRPr="00CA3F84" w14:paraId="73B5C6A1" w14:textId="77777777" w:rsidTr="0039126A">
        <w:trPr>
          <w:trHeight w:val="770"/>
        </w:trPr>
        <w:tc>
          <w:tcPr>
            <w:tcW w:w="2411" w:type="dxa"/>
          </w:tcPr>
          <w:p w14:paraId="5867BF8A" w14:textId="291C6B1C" w:rsidR="00591B0B" w:rsidRPr="00CA3F84" w:rsidRDefault="005A5F14" w:rsidP="00AA48AD">
            <w:pPr>
              <w:rPr>
                <w:color w:val="auto"/>
              </w:rPr>
            </w:pPr>
            <w:r w:rsidRPr="00CA3F84">
              <w:rPr>
                <w:color w:val="auto"/>
              </w:rPr>
              <w:t>4.3.1.  Créer le quatrième PMOGO de la CFP</w:t>
            </w:r>
          </w:p>
        </w:tc>
        <w:tc>
          <w:tcPr>
            <w:tcW w:w="3969" w:type="dxa"/>
          </w:tcPr>
          <w:p w14:paraId="1F2C0041" w14:textId="0F11C33A" w:rsidR="00591B0B" w:rsidRPr="00CA3F84" w:rsidRDefault="00591B0B" w:rsidP="00716489">
            <w:pPr>
              <w:rPr>
                <w:color w:val="auto"/>
              </w:rPr>
            </w:pPr>
            <w:r w:rsidRPr="00CA3F84">
              <w:rPr>
                <w:color w:val="auto"/>
              </w:rPr>
              <w:t>4.3.1.2</w:t>
            </w:r>
            <w:r w:rsidR="00B4312D" w:rsidRPr="00CA3F84">
              <w:rPr>
                <w:color w:val="auto"/>
              </w:rPr>
              <w:t xml:space="preserve">.  </w:t>
            </w:r>
            <w:r w:rsidR="0039126A" w:rsidRPr="00CA3F84">
              <w:rPr>
                <w:color w:val="auto"/>
              </w:rPr>
              <w:t xml:space="preserve">PMOGO </w:t>
            </w:r>
            <w:r w:rsidR="00716489" w:rsidRPr="00CA3F84">
              <w:rPr>
                <w:color w:val="auto"/>
              </w:rPr>
              <w:t xml:space="preserve">approuvé </w:t>
            </w:r>
            <w:r w:rsidR="0039126A" w:rsidRPr="00CA3F84">
              <w:rPr>
                <w:color w:val="auto"/>
              </w:rPr>
              <w:t>par le CEG à la suite de consultations internes et externes</w:t>
            </w:r>
          </w:p>
        </w:tc>
        <w:tc>
          <w:tcPr>
            <w:tcW w:w="992" w:type="dxa"/>
          </w:tcPr>
          <w:p w14:paraId="76127F66" w14:textId="4783B576" w:rsidR="00591B0B" w:rsidRPr="00CA3F84" w:rsidRDefault="005957F6" w:rsidP="00AA48AD">
            <w:pPr>
              <w:rPr>
                <w:color w:val="auto"/>
              </w:rPr>
            </w:pPr>
            <w:r w:rsidRPr="00CA3F84">
              <w:rPr>
                <w:color w:val="auto"/>
              </w:rPr>
              <w:t>SGO</w:t>
            </w:r>
          </w:p>
        </w:tc>
        <w:tc>
          <w:tcPr>
            <w:tcW w:w="992" w:type="dxa"/>
          </w:tcPr>
          <w:p w14:paraId="3EAE5854" w14:textId="530BA1DD" w:rsidR="00591B0B" w:rsidRPr="00CA3F84" w:rsidRDefault="005957F6" w:rsidP="00AA48AD">
            <w:pPr>
              <w:rPr>
                <w:color w:val="auto"/>
              </w:rPr>
            </w:pPr>
            <w:r w:rsidRPr="00CA3F84">
              <w:rPr>
                <w:color w:val="auto"/>
              </w:rPr>
              <w:t>DSTI</w:t>
            </w:r>
          </w:p>
        </w:tc>
        <w:tc>
          <w:tcPr>
            <w:tcW w:w="1276" w:type="dxa"/>
          </w:tcPr>
          <w:p w14:paraId="4CCB1FA6" w14:textId="0F68A75C" w:rsidR="00591B0B" w:rsidRPr="00CA3F84" w:rsidRDefault="005957F6" w:rsidP="00AA48AD">
            <w:pPr>
              <w:rPr>
                <w:color w:val="auto"/>
              </w:rPr>
            </w:pPr>
            <w:r w:rsidRPr="00CA3F84">
              <w:rPr>
                <w:color w:val="auto"/>
              </w:rPr>
              <w:t>Févr</w:t>
            </w:r>
            <w:r w:rsidR="00B4312D" w:rsidRPr="00CA3F84">
              <w:rPr>
                <w:color w:val="auto"/>
              </w:rPr>
              <w:t xml:space="preserve">.  </w:t>
            </w:r>
            <w:r w:rsidR="00591B0B" w:rsidRPr="00CA3F84">
              <w:rPr>
                <w:color w:val="auto"/>
              </w:rPr>
              <w:t>2022</w:t>
            </w:r>
          </w:p>
        </w:tc>
        <w:tc>
          <w:tcPr>
            <w:tcW w:w="1276" w:type="dxa"/>
          </w:tcPr>
          <w:p w14:paraId="2789FCD9" w14:textId="268FC368" w:rsidR="00591B0B" w:rsidRPr="00CA3F84" w:rsidRDefault="005957F6" w:rsidP="00514749">
            <w:pPr>
              <w:rPr>
                <w:color w:val="auto"/>
              </w:rPr>
            </w:pPr>
            <w:r w:rsidRPr="00CA3F84">
              <w:rPr>
                <w:color w:val="auto"/>
              </w:rPr>
              <w:t>Mars</w:t>
            </w:r>
            <w:r w:rsidR="00591B0B" w:rsidRPr="00CA3F84">
              <w:rPr>
                <w:color w:val="auto"/>
              </w:rPr>
              <w:t xml:space="preserve"> 2022</w:t>
            </w:r>
          </w:p>
        </w:tc>
      </w:tr>
    </w:tbl>
    <w:p w14:paraId="0A57F9A1" w14:textId="3D2D2072" w:rsidR="00005240" w:rsidRPr="00CA3F84" w:rsidRDefault="00005240" w:rsidP="00005240">
      <w:pPr>
        <w:pStyle w:val="Heading1"/>
        <w:rPr>
          <w:color w:val="auto"/>
        </w:rPr>
      </w:pPr>
      <w:bookmarkStart w:id="118" w:name="_Toc28006898"/>
      <w:bookmarkStart w:id="119" w:name="_Toc29981521"/>
    </w:p>
    <w:p w14:paraId="49698ECC" w14:textId="77777777" w:rsidR="00005240" w:rsidRPr="005957F6" w:rsidRDefault="00005240">
      <w:pPr>
        <w:keepLines w:val="0"/>
        <w:rPr>
          <w:rFonts w:asciiTheme="majorHAnsi" w:eastAsiaTheme="majorEastAsia" w:hAnsiTheme="majorHAnsi" w:cstheme="majorBidi"/>
          <w:sz w:val="48"/>
          <w:szCs w:val="48"/>
        </w:rPr>
      </w:pPr>
      <w:r w:rsidRPr="005957F6">
        <w:br w:type="page"/>
      </w:r>
    </w:p>
    <w:p w14:paraId="19C61B05" w14:textId="4C236916" w:rsidR="00DC5A6B" w:rsidRPr="00CA3F84" w:rsidRDefault="00DC5A6B" w:rsidP="00472C04">
      <w:pPr>
        <w:pStyle w:val="Heading1"/>
        <w:rPr>
          <w:color w:val="auto"/>
        </w:rPr>
      </w:pPr>
      <w:bookmarkStart w:id="120" w:name="_Toc44323409"/>
      <w:bookmarkStart w:id="121" w:name="_Toc50038779"/>
      <w:bookmarkEnd w:id="118"/>
      <w:bookmarkEnd w:id="119"/>
      <w:r w:rsidRPr="00CA3F84">
        <w:rPr>
          <w:color w:val="auto"/>
        </w:rPr>
        <w:lastRenderedPageBreak/>
        <w:t>ANNEX</w:t>
      </w:r>
      <w:r w:rsidR="005957F6" w:rsidRPr="00CA3F84">
        <w:rPr>
          <w:color w:val="auto"/>
        </w:rPr>
        <w:t xml:space="preserve">E </w:t>
      </w:r>
      <w:r w:rsidRPr="00CA3F84">
        <w:rPr>
          <w:color w:val="auto"/>
        </w:rPr>
        <w:t>A</w:t>
      </w:r>
      <w:r w:rsidR="00133081" w:rsidRPr="00CA3F84">
        <w:rPr>
          <w:color w:val="auto"/>
        </w:rPr>
        <w:t> </w:t>
      </w:r>
      <w:r w:rsidR="005957F6" w:rsidRPr="00CA3F84">
        <w:rPr>
          <w:color w:val="auto"/>
        </w:rPr>
        <w:t>: Rôles et responsabilités</w:t>
      </w:r>
      <w:bookmarkEnd w:id="120"/>
      <w:bookmarkEnd w:id="121"/>
      <w:r w:rsidRPr="00CA3F84">
        <w:rPr>
          <w:color w:val="auto"/>
        </w:rPr>
        <w:t xml:space="preserve"> </w:t>
      </w:r>
    </w:p>
    <w:p w14:paraId="60075792" w14:textId="7D8E9194" w:rsidR="00DC5A6B" w:rsidRPr="00CA3F84" w:rsidRDefault="00216277" w:rsidP="00A46A3E">
      <w:pPr>
        <w:rPr>
          <w:rStyle w:val="IntenseEmphasis"/>
          <w:color w:val="auto"/>
        </w:rPr>
      </w:pPr>
      <w:r w:rsidRPr="00CA3F84">
        <w:rPr>
          <w:rStyle w:val="IntenseEmphasis"/>
          <w:color w:val="auto"/>
        </w:rPr>
        <w:t>La création d’un</w:t>
      </w:r>
      <w:r w:rsidR="0028670A" w:rsidRPr="00CA3F84">
        <w:rPr>
          <w:rStyle w:val="IntenseEmphasis"/>
          <w:color w:val="auto"/>
        </w:rPr>
        <w:t xml:space="preserve"> PMOGO exige une collaboration étroite</w:t>
      </w:r>
      <w:r w:rsidRPr="00CA3F84">
        <w:rPr>
          <w:rStyle w:val="IntenseEmphasis"/>
          <w:color w:val="auto"/>
        </w:rPr>
        <w:t xml:space="preserve"> entre la D</w:t>
      </w:r>
      <w:r w:rsidR="005957F6" w:rsidRPr="00CA3F84">
        <w:rPr>
          <w:rStyle w:val="IntenseEmphasis"/>
          <w:color w:val="auto"/>
        </w:rPr>
        <w:t>STI</w:t>
      </w:r>
      <w:r w:rsidR="00DC5A6B" w:rsidRPr="00CA3F84">
        <w:rPr>
          <w:rStyle w:val="IntenseEmphasis"/>
          <w:color w:val="auto"/>
        </w:rPr>
        <w:t xml:space="preserve">, </w:t>
      </w:r>
      <w:r w:rsidRPr="00CA3F84">
        <w:rPr>
          <w:rStyle w:val="IntenseEmphasis"/>
          <w:color w:val="auto"/>
        </w:rPr>
        <w:t xml:space="preserve">le </w:t>
      </w:r>
      <w:r w:rsidR="005957F6" w:rsidRPr="00CA3F84">
        <w:rPr>
          <w:rStyle w:val="IntenseEmphasis"/>
          <w:color w:val="auto"/>
        </w:rPr>
        <w:t>SGO</w:t>
      </w:r>
      <w:r w:rsidRPr="00CA3F84">
        <w:rPr>
          <w:rStyle w:val="IntenseEmphasis"/>
          <w:color w:val="auto"/>
        </w:rPr>
        <w:t xml:space="preserve"> et d’autres directions internes à la CFP</w:t>
      </w:r>
      <w:r w:rsidR="00B4312D" w:rsidRPr="00CA3F84">
        <w:rPr>
          <w:rStyle w:val="IntenseEmphasis"/>
          <w:color w:val="auto"/>
        </w:rPr>
        <w:t xml:space="preserve">.  </w:t>
      </w:r>
      <w:r w:rsidRPr="00CA3F84">
        <w:rPr>
          <w:rStyle w:val="IntenseEmphasis"/>
          <w:color w:val="auto"/>
        </w:rPr>
        <w:t xml:space="preserve">Dans le cadre de cette collaboration, le PMOGO de 2020-2022 continuera à </w:t>
      </w:r>
      <w:r w:rsidR="00A80EDF" w:rsidRPr="00CA3F84">
        <w:rPr>
          <w:rStyle w:val="IntenseEmphasis"/>
          <w:color w:val="auto"/>
        </w:rPr>
        <w:t xml:space="preserve">évoluer </w:t>
      </w:r>
      <w:r w:rsidRPr="00CA3F84">
        <w:rPr>
          <w:rStyle w:val="IntenseEmphasis"/>
          <w:color w:val="auto"/>
        </w:rPr>
        <w:t xml:space="preserve">en tant que document évolutif et, au moyen d’un processus itératif, tiendra compte de la nouvelle </w:t>
      </w:r>
      <w:hyperlink r:id="rId22" w:history="1">
        <w:r w:rsidR="00DC5A6B" w:rsidRPr="00CA3F84">
          <w:rPr>
            <w:rStyle w:val="Hyperlink"/>
            <w:i/>
            <w:color w:val="auto"/>
          </w:rPr>
          <w:t>Poli</w:t>
        </w:r>
        <w:r w:rsidRPr="00CA3F84">
          <w:rPr>
            <w:rStyle w:val="Hyperlink"/>
            <w:i/>
            <w:color w:val="auto"/>
          </w:rPr>
          <w:t>tique sur les services et le numérique</w:t>
        </w:r>
      </w:hyperlink>
      <w:r w:rsidR="00DC5A6B" w:rsidRPr="00CA3F84">
        <w:rPr>
          <w:rStyle w:val="IntenseEmphasis"/>
          <w:color w:val="auto"/>
        </w:rPr>
        <w:t xml:space="preserve"> </w:t>
      </w:r>
      <w:r w:rsidRPr="00CA3F84">
        <w:rPr>
          <w:rStyle w:val="IntenseEmphasis"/>
          <w:color w:val="auto"/>
        </w:rPr>
        <w:t xml:space="preserve">ainsi que de la </w:t>
      </w:r>
      <w:hyperlink r:id="rId23" w:history="1">
        <w:r w:rsidR="00DC5A6B" w:rsidRPr="00CA3F84">
          <w:rPr>
            <w:rStyle w:val="Hyperlink"/>
            <w:i/>
            <w:color w:val="auto"/>
          </w:rPr>
          <w:t xml:space="preserve">Directive </w:t>
        </w:r>
        <w:r w:rsidRPr="00CA3F84">
          <w:rPr>
            <w:rStyle w:val="Hyperlink"/>
            <w:i/>
            <w:color w:val="auto"/>
          </w:rPr>
          <w:t>sur les services et le numérique</w:t>
        </w:r>
      </w:hyperlink>
      <w:r w:rsidR="00DC5A6B" w:rsidRPr="00CA3F84">
        <w:rPr>
          <w:rStyle w:val="IntenseEmphasis"/>
          <w:color w:val="auto"/>
        </w:rPr>
        <w:t xml:space="preserve"> </w:t>
      </w:r>
      <w:r w:rsidRPr="00CA3F84">
        <w:rPr>
          <w:rStyle w:val="IntenseEmphasis"/>
          <w:color w:val="auto"/>
        </w:rPr>
        <w:t xml:space="preserve">qui incorporera la </w:t>
      </w:r>
      <w:r w:rsidR="00DD315A" w:rsidRPr="00CA3F84">
        <w:rPr>
          <w:rStyle w:val="IntenseEmphasis"/>
          <w:i/>
          <w:color w:val="auto"/>
        </w:rPr>
        <w:t>D</w:t>
      </w:r>
      <w:r w:rsidRPr="00CA3F84">
        <w:rPr>
          <w:rStyle w:val="IntenseEmphasis"/>
          <w:i/>
          <w:color w:val="auto"/>
        </w:rPr>
        <w:t>irective sur le gouvernement ouvert</w:t>
      </w:r>
      <w:r w:rsidR="00B4312D" w:rsidRPr="00CA3F84">
        <w:rPr>
          <w:rStyle w:val="IntenseEmphasis"/>
          <w:color w:val="auto"/>
        </w:rPr>
        <w:t xml:space="preserve">.  </w:t>
      </w:r>
    </w:p>
    <w:p w14:paraId="14B76431" w14:textId="5DF9A3E5" w:rsidR="00DC5A6B" w:rsidRPr="00CA3F84" w:rsidRDefault="00216277" w:rsidP="00DD315A">
      <w:pPr>
        <w:rPr>
          <w:rFonts w:asciiTheme="majorHAnsi" w:eastAsiaTheme="majorEastAsia" w:hAnsiTheme="majorHAnsi" w:cstheme="majorBidi"/>
          <w:color w:val="auto"/>
          <w:sz w:val="48"/>
          <w:szCs w:val="48"/>
        </w:rPr>
      </w:pPr>
      <w:bookmarkStart w:id="122" w:name="_Toc44404892"/>
      <w:bookmarkStart w:id="123" w:name="_Toc44323410"/>
      <w:r w:rsidRPr="00CA3F84">
        <w:rPr>
          <w:rStyle w:val="IntenseEmphasis"/>
          <w:color w:val="auto"/>
        </w:rPr>
        <w:t xml:space="preserve">Nous continuerons à collaborer à l’élaboration du PMOGO, et bien que </w:t>
      </w:r>
      <w:r w:rsidR="00A80EDF" w:rsidRPr="00CA3F84">
        <w:rPr>
          <w:rStyle w:val="IntenseEmphasis"/>
          <w:color w:val="auto"/>
        </w:rPr>
        <w:t>se</w:t>
      </w:r>
      <w:r w:rsidRPr="00CA3F84">
        <w:rPr>
          <w:rStyle w:val="IntenseEmphasis"/>
          <w:color w:val="auto"/>
        </w:rPr>
        <w:t>s versions</w:t>
      </w:r>
      <w:r w:rsidR="00A80EDF" w:rsidRPr="00CA3F84">
        <w:rPr>
          <w:rStyle w:val="IntenseEmphasis"/>
          <w:color w:val="auto"/>
        </w:rPr>
        <w:t xml:space="preserve"> </w:t>
      </w:r>
      <w:r w:rsidR="00C86CD1" w:rsidRPr="00CA3F84">
        <w:rPr>
          <w:rStyle w:val="IntenseEmphasis"/>
          <w:color w:val="auto"/>
        </w:rPr>
        <w:t>pui</w:t>
      </w:r>
      <w:r w:rsidRPr="00CA3F84">
        <w:rPr>
          <w:rStyle w:val="IntenseEmphasis"/>
          <w:color w:val="auto"/>
        </w:rPr>
        <w:t>ssent passer p</w:t>
      </w:r>
      <w:r w:rsidR="00C86CD1" w:rsidRPr="00CA3F84">
        <w:rPr>
          <w:rStyle w:val="IntenseEmphasis"/>
          <w:color w:val="auto"/>
        </w:rPr>
        <w:t>ar les comités de gouvernance, l</w:t>
      </w:r>
      <w:r w:rsidRPr="00CA3F84">
        <w:rPr>
          <w:rStyle w:val="IntenseEmphasis"/>
          <w:color w:val="auto"/>
        </w:rPr>
        <w:t>e plan continuera à évoluer</w:t>
      </w:r>
      <w:bookmarkEnd w:id="122"/>
      <w:bookmarkEnd w:id="123"/>
      <w:r w:rsidR="00B4312D" w:rsidRPr="00CA3F84">
        <w:rPr>
          <w:rStyle w:val="IntenseEmphasis"/>
          <w:color w:val="auto"/>
        </w:rPr>
        <w:t xml:space="preserve">.  </w:t>
      </w:r>
    </w:p>
    <w:tbl>
      <w:tblPr>
        <w:tblStyle w:val="TableGrid"/>
        <w:tblW w:w="0" w:type="auto"/>
        <w:tblLayout w:type="fixed"/>
        <w:tblLook w:val="04A0" w:firstRow="1" w:lastRow="0" w:firstColumn="1" w:lastColumn="0" w:noHBand="0" w:noVBand="1"/>
        <w:tblDescription w:val="Ce tableau est composé de 3 colonnes et 27 lignes, et ne contient aucune cellules divisées ou fusionnées."/>
      </w:tblPr>
      <w:tblGrid>
        <w:gridCol w:w="2263"/>
        <w:gridCol w:w="4943"/>
        <w:gridCol w:w="2144"/>
      </w:tblGrid>
      <w:tr w:rsidR="00CA3F84" w:rsidRPr="00CA3F84" w14:paraId="042FA1DF" w14:textId="77777777" w:rsidTr="00AA4FB6">
        <w:trPr>
          <w:tblHeader/>
        </w:trPr>
        <w:tc>
          <w:tcPr>
            <w:tcW w:w="2263" w:type="dxa"/>
            <w:tcBorders>
              <w:bottom w:val="single" w:sz="4" w:space="0" w:color="auto"/>
            </w:tcBorders>
            <w:shd w:val="clear" w:color="auto" w:fill="DADADA" w:themeFill="background2" w:themeFillShade="E6"/>
            <w:vAlign w:val="center"/>
          </w:tcPr>
          <w:p w14:paraId="5A8B71B5" w14:textId="7B9594CA" w:rsidR="00DC5A6B" w:rsidRPr="00CA3F84" w:rsidRDefault="0039126A" w:rsidP="0039126A">
            <w:pPr>
              <w:spacing w:after="160" w:line="259" w:lineRule="auto"/>
              <w:jc w:val="center"/>
              <w:rPr>
                <w:b/>
                <w:color w:val="auto"/>
              </w:rPr>
            </w:pPr>
            <w:r w:rsidRPr="00CA3F84">
              <w:rPr>
                <w:b/>
                <w:color w:val="auto"/>
              </w:rPr>
              <w:t>BPR</w:t>
            </w:r>
            <w:r w:rsidR="00DC5A6B" w:rsidRPr="00CA3F84">
              <w:rPr>
                <w:rStyle w:val="FootnoteReference"/>
                <w:b/>
                <w:color w:val="auto"/>
              </w:rPr>
              <w:footnoteReference w:id="12"/>
            </w:r>
          </w:p>
        </w:tc>
        <w:tc>
          <w:tcPr>
            <w:tcW w:w="4943" w:type="dxa"/>
            <w:shd w:val="clear" w:color="auto" w:fill="DADADA" w:themeFill="background2" w:themeFillShade="E6"/>
            <w:vAlign w:val="center"/>
          </w:tcPr>
          <w:p w14:paraId="329618A7" w14:textId="04DF0CB8" w:rsidR="00DC5A6B" w:rsidRPr="00CA3F84" w:rsidRDefault="00DC5A6B" w:rsidP="0039126A">
            <w:pPr>
              <w:spacing w:after="160" w:line="259" w:lineRule="auto"/>
              <w:jc w:val="center"/>
              <w:rPr>
                <w:b/>
                <w:color w:val="auto"/>
              </w:rPr>
            </w:pPr>
            <w:r w:rsidRPr="00CA3F84">
              <w:rPr>
                <w:b/>
                <w:color w:val="auto"/>
              </w:rPr>
              <w:t>Respons</w:t>
            </w:r>
            <w:r w:rsidR="0039126A" w:rsidRPr="00CA3F84">
              <w:rPr>
                <w:b/>
                <w:color w:val="auto"/>
              </w:rPr>
              <w:t>abilités</w:t>
            </w:r>
          </w:p>
        </w:tc>
        <w:tc>
          <w:tcPr>
            <w:tcW w:w="2144" w:type="dxa"/>
            <w:shd w:val="clear" w:color="auto" w:fill="DADADA" w:themeFill="background2" w:themeFillShade="E6"/>
            <w:vAlign w:val="center"/>
          </w:tcPr>
          <w:p w14:paraId="433C87B9" w14:textId="0C5C2960" w:rsidR="00DC5A6B" w:rsidRPr="00CA3F84" w:rsidRDefault="0039126A" w:rsidP="0039126A">
            <w:pPr>
              <w:spacing w:after="160" w:line="259" w:lineRule="auto"/>
              <w:jc w:val="center"/>
              <w:rPr>
                <w:b/>
                <w:color w:val="auto"/>
              </w:rPr>
            </w:pPr>
            <w:r w:rsidRPr="00CA3F84">
              <w:rPr>
                <w:b/>
                <w:color w:val="auto"/>
              </w:rPr>
              <w:t>BRC</w:t>
            </w:r>
            <w:r w:rsidR="00DC5A6B" w:rsidRPr="00CA3F84">
              <w:rPr>
                <w:rStyle w:val="FootnoteReference"/>
                <w:b/>
                <w:color w:val="auto"/>
              </w:rPr>
              <w:footnoteReference w:id="13"/>
            </w:r>
          </w:p>
        </w:tc>
      </w:tr>
      <w:tr w:rsidR="00CA3F84" w:rsidRPr="00CA3F84" w14:paraId="6D561250" w14:textId="77777777" w:rsidTr="00AA4FB6">
        <w:tc>
          <w:tcPr>
            <w:tcW w:w="2263" w:type="dxa"/>
            <w:tcBorders>
              <w:top w:val="single" w:sz="4" w:space="0" w:color="auto"/>
              <w:left w:val="single" w:sz="4" w:space="0" w:color="auto"/>
              <w:bottom w:val="single" w:sz="4" w:space="0" w:color="auto"/>
              <w:right w:val="single" w:sz="4" w:space="0" w:color="auto"/>
            </w:tcBorders>
          </w:tcPr>
          <w:p w14:paraId="32619D70" w14:textId="3923EE36" w:rsidR="0028670A" w:rsidRPr="00CA3F84" w:rsidRDefault="0028670A" w:rsidP="002B2218">
            <w:pPr>
              <w:rPr>
                <w:color w:val="auto"/>
              </w:rPr>
            </w:pPr>
            <w:r w:rsidRPr="00CA3F84">
              <w:rPr>
                <w:color w:val="auto"/>
              </w:rPr>
              <w:t>Président</w:t>
            </w:r>
          </w:p>
        </w:tc>
        <w:tc>
          <w:tcPr>
            <w:tcW w:w="4943" w:type="dxa"/>
            <w:tcBorders>
              <w:left w:val="single" w:sz="4" w:space="0" w:color="auto"/>
            </w:tcBorders>
          </w:tcPr>
          <w:p w14:paraId="65E198B8" w14:textId="5CA39F9E" w:rsidR="0028670A" w:rsidRPr="00CA3F84" w:rsidRDefault="006C352C" w:rsidP="006C352C">
            <w:pPr>
              <w:rPr>
                <w:color w:val="auto"/>
              </w:rPr>
            </w:pPr>
            <w:r w:rsidRPr="00CA3F84">
              <w:rPr>
                <w:color w:val="auto"/>
              </w:rPr>
              <w:t>Exercer la r</w:t>
            </w:r>
            <w:r w:rsidR="0028670A" w:rsidRPr="00CA3F84">
              <w:rPr>
                <w:color w:val="auto"/>
              </w:rPr>
              <w:t>esponsabilisation organisationnelle</w:t>
            </w:r>
          </w:p>
        </w:tc>
        <w:tc>
          <w:tcPr>
            <w:tcW w:w="2144" w:type="dxa"/>
          </w:tcPr>
          <w:p w14:paraId="1AACAC2E" w14:textId="404A0998" w:rsidR="0028670A" w:rsidRPr="00CA3F84" w:rsidRDefault="009129F7" w:rsidP="00245B5A">
            <w:pPr>
              <w:rPr>
                <w:color w:val="auto"/>
              </w:rPr>
            </w:pPr>
            <w:r w:rsidRPr="00CA3F84">
              <w:rPr>
                <w:color w:val="auto"/>
              </w:rPr>
              <w:t xml:space="preserve">Unités  </w:t>
            </w:r>
            <w:r w:rsidR="00245B5A" w:rsidRPr="00CA3F84">
              <w:rPr>
                <w:color w:val="auto"/>
              </w:rPr>
              <w:t>opérationne</w:t>
            </w:r>
            <w:r w:rsidRPr="00CA3F84">
              <w:rPr>
                <w:color w:val="auto"/>
              </w:rPr>
              <w:t>l</w:t>
            </w:r>
            <w:r w:rsidR="00245B5A" w:rsidRPr="00CA3F84">
              <w:rPr>
                <w:color w:val="auto"/>
              </w:rPr>
              <w:t>l</w:t>
            </w:r>
            <w:r w:rsidRPr="00CA3F84">
              <w:rPr>
                <w:color w:val="auto"/>
              </w:rPr>
              <w:t>e</w:t>
            </w:r>
            <w:r w:rsidR="00245B5A" w:rsidRPr="00CA3F84">
              <w:rPr>
                <w:color w:val="auto"/>
              </w:rPr>
              <w:t>s</w:t>
            </w:r>
          </w:p>
        </w:tc>
      </w:tr>
      <w:tr w:rsidR="00CA3F84" w:rsidRPr="00CA3F84" w14:paraId="6C4B7B8C" w14:textId="77777777" w:rsidTr="00AA4FB6">
        <w:tc>
          <w:tcPr>
            <w:tcW w:w="2263" w:type="dxa"/>
            <w:tcBorders>
              <w:top w:val="single" w:sz="4" w:space="0" w:color="auto"/>
              <w:left w:val="single" w:sz="4" w:space="0" w:color="auto"/>
              <w:bottom w:val="single" w:sz="4" w:space="0" w:color="auto"/>
              <w:right w:val="single" w:sz="4" w:space="0" w:color="auto"/>
            </w:tcBorders>
          </w:tcPr>
          <w:p w14:paraId="1A096A58" w14:textId="2ABBF20A" w:rsidR="0028670A" w:rsidRPr="00CA3F84" w:rsidRDefault="00AA4FB6" w:rsidP="00A63E3B">
            <w:pPr>
              <w:rPr>
                <w:color w:val="auto"/>
              </w:rPr>
            </w:pPr>
            <w:r w:rsidRPr="00CA3F84">
              <w:rPr>
                <w:color w:val="auto"/>
              </w:rPr>
              <w:t>Président</w:t>
            </w:r>
          </w:p>
        </w:tc>
        <w:tc>
          <w:tcPr>
            <w:tcW w:w="4943" w:type="dxa"/>
            <w:tcBorders>
              <w:left w:val="single" w:sz="4" w:space="0" w:color="auto"/>
            </w:tcBorders>
          </w:tcPr>
          <w:p w14:paraId="76417F5E" w14:textId="5FC8D5CE" w:rsidR="0028670A" w:rsidRPr="00CA3F84" w:rsidRDefault="0028670A" w:rsidP="009D1748">
            <w:pPr>
              <w:rPr>
                <w:color w:val="auto"/>
              </w:rPr>
            </w:pPr>
            <w:r w:rsidRPr="00CA3F84">
              <w:rPr>
                <w:color w:val="auto"/>
              </w:rPr>
              <w:t>Soutenir la culture d’ouverture par défaut.</w:t>
            </w:r>
          </w:p>
        </w:tc>
        <w:tc>
          <w:tcPr>
            <w:tcW w:w="2144" w:type="dxa"/>
          </w:tcPr>
          <w:p w14:paraId="49C02B57" w14:textId="2D22519F" w:rsidR="0028670A" w:rsidRPr="00CA3F84" w:rsidRDefault="009129F7" w:rsidP="00245B5A">
            <w:pPr>
              <w:rPr>
                <w:color w:val="auto"/>
              </w:rPr>
            </w:pPr>
            <w:r w:rsidRPr="00CA3F84">
              <w:rPr>
                <w:color w:val="auto"/>
              </w:rPr>
              <w:t xml:space="preserve">Unités </w:t>
            </w:r>
            <w:r w:rsidR="00245B5A" w:rsidRPr="00CA3F84">
              <w:rPr>
                <w:color w:val="auto"/>
              </w:rPr>
              <w:t>opérationnel</w:t>
            </w:r>
            <w:r w:rsidRPr="00CA3F84">
              <w:rPr>
                <w:color w:val="auto"/>
              </w:rPr>
              <w:t>le</w:t>
            </w:r>
            <w:r w:rsidR="00245B5A" w:rsidRPr="00CA3F84">
              <w:rPr>
                <w:color w:val="auto"/>
              </w:rPr>
              <w:t>s</w:t>
            </w:r>
          </w:p>
        </w:tc>
      </w:tr>
      <w:tr w:rsidR="00CA3F84" w:rsidRPr="00CA3F84" w14:paraId="1D75199B" w14:textId="77777777" w:rsidTr="00AA4FB6">
        <w:tc>
          <w:tcPr>
            <w:tcW w:w="2263" w:type="dxa"/>
            <w:tcBorders>
              <w:top w:val="single" w:sz="4" w:space="0" w:color="auto"/>
              <w:left w:val="single" w:sz="4" w:space="0" w:color="auto"/>
              <w:bottom w:val="single" w:sz="4" w:space="0" w:color="auto"/>
              <w:right w:val="single" w:sz="4" w:space="0" w:color="auto"/>
            </w:tcBorders>
          </w:tcPr>
          <w:p w14:paraId="26CFACFC" w14:textId="6787E9C3" w:rsidR="0028670A" w:rsidRPr="00CA3F84" w:rsidRDefault="0028670A" w:rsidP="002B2218">
            <w:pPr>
              <w:rPr>
                <w:color w:val="auto"/>
              </w:rPr>
            </w:pPr>
            <w:r w:rsidRPr="00CA3F84">
              <w:rPr>
                <w:color w:val="auto"/>
              </w:rPr>
              <w:t>Dirigeant principal des données et champion du gouvernement ouvert</w:t>
            </w:r>
          </w:p>
        </w:tc>
        <w:tc>
          <w:tcPr>
            <w:tcW w:w="4943" w:type="dxa"/>
            <w:tcBorders>
              <w:left w:val="single" w:sz="4" w:space="0" w:color="auto"/>
            </w:tcBorders>
          </w:tcPr>
          <w:p w14:paraId="082C1498" w14:textId="0C83F9CA" w:rsidR="0028670A" w:rsidRPr="00CA3F84" w:rsidRDefault="0028670A" w:rsidP="00BC1D53">
            <w:pPr>
              <w:rPr>
                <w:color w:val="auto"/>
              </w:rPr>
            </w:pPr>
            <w:r w:rsidRPr="00CA3F84">
              <w:rPr>
                <w:color w:val="auto"/>
              </w:rPr>
              <w:t>Se faire le champion du développement</w:t>
            </w:r>
            <w:r w:rsidR="00BC1D53" w:rsidRPr="00CA3F84">
              <w:rPr>
                <w:color w:val="auto"/>
              </w:rPr>
              <w:t>,</w:t>
            </w:r>
            <w:r w:rsidR="009276F6" w:rsidRPr="00CA3F84">
              <w:rPr>
                <w:color w:val="auto"/>
              </w:rPr>
              <w:t xml:space="preserve"> </w:t>
            </w:r>
            <w:r w:rsidRPr="00CA3F84">
              <w:rPr>
                <w:color w:val="auto"/>
              </w:rPr>
              <w:t xml:space="preserve">de l’exécution </w:t>
            </w:r>
            <w:r w:rsidR="00BC1D53" w:rsidRPr="00CA3F84">
              <w:rPr>
                <w:color w:val="auto"/>
              </w:rPr>
              <w:t xml:space="preserve">et de la production de rapports de la mise en </w:t>
            </w:r>
            <w:r w:rsidR="009276F6" w:rsidRPr="00CA3F84">
              <w:rPr>
                <w:color w:val="auto"/>
              </w:rPr>
              <w:t>œuvre</w:t>
            </w:r>
            <w:r w:rsidR="00BC1D53" w:rsidRPr="00CA3F84">
              <w:rPr>
                <w:color w:val="auto"/>
              </w:rPr>
              <w:t xml:space="preserve"> </w:t>
            </w:r>
            <w:r w:rsidRPr="00CA3F84">
              <w:rPr>
                <w:color w:val="auto"/>
              </w:rPr>
              <w:t>des activités pour le gouvernement ouvert</w:t>
            </w:r>
            <w:r w:rsidR="000D4464" w:rsidRPr="00CA3F84">
              <w:rPr>
                <w:color w:val="auto"/>
              </w:rPr>
              <w:t xml:space="preserve"> qui sont</w:t>
            </w:r>
            <w:r w:rsidRPr="00CA3F84">
              <w:rPr>
                <w:color w:val="auto"/>
              </w:rPr>
              <w:t xml:space="preserve"> exposées dans le PMOGO</w:t>
            </w:r>
            <w:r w:rsidR="00BC1D53" w:rsidRPr="00CA3F84">
              <w:rPr>
                <w:color w:val="auto"/>
              </w:rPr>
              <w:t>.</w:t>
            </w:r>
          </w:p>
        </w:tc>
        <w:tc>
          <w:tcPr>
            <w:tcW w:w="2144" w:type="dxa"/>
          </w:tcPr>
          <w:p w14:paraId="1E1EC4EA" w14:textId="5B2FBF7B" w:rsidR="0028670A" w:rsidRPr="00CA3F84" w:rsidRDefault="0028670A" w:rsidP="00A63E3B">
            <w:pPr>
              <w:rPr>
                <w:color w:val="auto"/>
              </w:rPr>
            </w:pPr>
            <w:r w:rsidRPr="00CA3F84">
              <w:rPr>
                <w:color w:val="auto"/>
              </w:rPr>
              <w:t>CSGI, CI-CGI/TI</w:t>
            </w:r>
          </w:p>
        </w:tc>
      </w:tr>
      <w:tr w:rsidR="00CA3F84" w:rsidRPr="00CA3F84" w14:paraId="1C00E908" w14:textId="77777777" w:rsidTr="00AA4FB6">
        <w:tc>
          <w:tcPr>
            <w:tcW w:w="2263" w:type="dxa"/>
            <w:tcBorders>
              <w:top w:val="single" w:sz="4" w:space="0" w:color="auto"/>
              <w:left w:val="single" w:sz="4" w:space="0" w:color="auto"/>
              <w:bottom w:val="single" w:sz="4" w:space="0" w:color="auto"/>
              <w:right w:val="single" w:sz="4" w:space="0" w:color="auto"/>
            </w:tcBorders>
          </w:tcPr>
          <w:p w14:paraId="3064058F" w14:textId="578961B4" w:rsidR="0028670A" w:rsidRPr="00CA3F84" w:rsidRDefault="00AA4FB6" w:rsidP="00A63E3B">
            <w:pPr>
              <w:rPr>
                <w:color w:val="auto"/>
              </w:rPr>
            </w:pPr>
            <w:r w:rsidRPr="00CA3F84">
              <w:rPr>
                <w:color w:val="auto"/>
              </w:rPr>
              <w:t>Dirigeant principal des données et champion du gouvernement ouvert</w:t>
            </w:r>
          </w:p>
        </w:tc>
        <w:tc>
          <w:tcPr>
            <w:tcW w:w="4943" w:type="dxa"/>
            <w:tcBorders>
              <w:left w:val="single" w:sz="4" w:space="0" w:color="auto"/>
            </w:tcBorders>
          </w:tcPr>
          <w:p w14:paraId="083605E9" w14:textId="05A3DC01" w:rsidR="0028670A" w:rsidRPr="00CA3F84" w:rsidRDefault="0028670A" w:rsidP="009D1748">
            <w:pPr>
              <w:rPr>
                <w:color w:val="auto"/>
              </w:rPr>
            </w:pPr>
            <w:r w:rsidRPr="00CA3F84">
              <w:rPr>
                <w:color w:val="auto"/>
              </w:rPr>
              <w:t>Stimuler le changement de culture qui est nécessaire pour mettre en œuvre le gouvernement ouvert.</w:t>
            </w:r>
          </w:p>
        </w:tc>
        <w:tc>
          <w:tcPr>
            <w:tcW w:w="2144" w:type="dxa"/>
          </w:tcPr>
          <w:p w14:paraId="1B8D6FA6" w14:textId="51D1B81C" w:rsidR="0028670A" w:rsidRPr="00CA3F84" w:rsidRDefault="0028670A" w:rsidP="00A63E3B">
            <w:pPr>
              <w:rPr>
                <w:color w:val="auto"/>
              </w:rPr>
            </w:pPr>
            <w:r w:rsidRPr="00CA3F84">
              <w:rPr>
                <w:color w:val="auto"/>
              </w:rPr>
              <w:t>CSGI, CI-CGI/TI</w:t>
            </w:r>
          </w:p>
        </w:tc>
      </w:tr>
      <w:tr w:rsidR="00CA3F84" w:rsidRPr="00CA3F84" w14:paraId="1DC46D0E" w14:textId="77777777" w:rsidTr="00AA4FB6">
        <w:tc>
          <w:tcPr>
            <w:tcW w:w="2263" w:type="dxa"/>
            <w:tcBorders>
              <w:top w:val="single" w:sz="4" w:space="0" w:color="auto"/>
              <w:left w:val="single" w:sz="4" w:space="0" w:color="auto"/>
              <w:bottom w:val="single" w:sz="4" w:space="0" w:color="auto"/>
              <w:right w:val="single" w:sz="4" w:space="0" w:color="auto"/>
            </w:tcBorders>
          </w:tcPr>
          <w:p w14:paraId="69F89472" w14:textId="4C761E04" w:rsidR="0028670A" w:rsidRPr="00CA3F84" w:rsidRDefault="00AA4FB6" w:rsidP="00A63E3B">
            <w:pPr>
              <w:rPr>
                <w:color w:val="auto"/>
              </w:rPr>
            </w:pPr>
            <w:r w:rsidRPr="00CA3F84">
              <w:rPr>
                <w:color w:val="auto"/>
              </w:rPr>
              <w:t>Dirigeant principal des données et champion du gouvernement ouvert</w:t>
            </w:r>
          </w:p>
        </w:tc>
        <w:tc>
          <w:tcPr>
            <w:tcW w:w="4943" w:type="dxa"/>
            <w:tcBorders>
              <w:left w:val="single" w:sz="4" w:space="0" w:color="auto"/>
            </w:tcBorders>
          </w:tcPr>
          <w:p w14:paraId="0063D0A1" w14:textId="7CFDAE1E" w:rsidR="0028670A" w:rsidRPr="00CA3F84" w:rsidRDefault="0028670A" w:rsidP="000E5FFF">
            <w:pPr>
              <w:rPr>
                <w:color w:val="auto"/>
              </w:rPr>
            </w:pPr>
            <w:r w:rsidRPr="00CA3F84">
              <w:rPr>
                <w:color w:val="auto"/>
              </w:rPr>
              <w:t xml:space="preserve">S’assurer que les changements apportés à la conception et à la mise en œuvre des solutions opérationnelles et des solutions système </w:t>
            </w:r>
            <w:r w:rsidR="000E5FFF" w:rsidRPr="00CA3F84">
              <w:rPr>
                <w:color w:val="auto"/>
              </w:rPr>
              <w:t>tiennent compte d</w:t>
            </w:r>
            <w:r w:rsidRPr="00CA3F84">
              <w:rPr>
                <w:color w:val="auto"/>
              </w:rPr>
              <w:t xml:space="preserve">es besoins prolongés en matière </w:t>
            </w:r>
            <w:r w:rsidR="006C352C" w:rsidRPr="00CA3F84">
              <w:rPr>
                <w:color w:val="auto"/>
              </w:rPr>
              <w:t xml:space="preserve">de ressources </w:t>
            </w:r>
            <w:r w:rsidRPr="00CA3F84">
              <w:rPr>
                <w:color w:val="auto"/>
              </w:rPr>
              <w:t>de données de la CFP.</w:t>
            </w:r>
          </w:p>
        </w:tc>
        <w:tc>
          <w:tcPr>
            <w:tcW w:w="2144" w:type="dxa"/>
          </w:tcPr>
          <w:p w14:paraId="10476398" w14:textId="7590EF9F" w:rsidR="0028670A" w:rsidRPr="00CA3F84" w:rsidRDefault="0028670A" w:rsidP="00A63E3B">
            <w:pPr>
              <w:rPr>
                <w:color w:val="auto"/>
              </w:rPr>
            </w:pPr>
            <w:r w:rsidRPr="00CA3F84">
              <w:rPr>
                <w:color w:val="auto"/>
              </w:rPr>
              <w:t>CSGI, CI-CGI/TI</w:t>
            </w:r>
          </w:p>
        </w:tc>
      </w:tr>
      <w:tr w:rsidR="00CA3F84" w:rsidRPr="00CA3F84" w14:paraId="0FBA437F" w14:textId="77777777" w:rsidTr="00AA4FB6">
        <w:tc>
          <w:tcPr>
            <w:tcW w:w="2263" w:type="dxa"/>
            <w:tcBorders>
              <w:top w:val="single" w:sz="4" w:space="0" w:color="auto"/>
              <w:left w:val="single" w:sz="4" w:space="0" w:color="auto"/>
              <w:bottom w:val="single" w:sz="4" w:space="0" w:color="auto"/>
              <w:right w:val="single" w:sz="4" w:space="0" w:color="auto"/>
            </w:tcBorders>
          </w:tcPr>
          <w:p w14:paraId="139861BA" w14:textId="6A6A614F" w:rsidR="0028670A" w:rsidRPr="00CA3F84" w:rsidRDefault="00AA4FB6" w:rsidP="00A63E3B">
            <w:pPr>
              <w:rPr>
                <w:color w:val="auto"/>
              </w:rPr>
            </w:pPr>
            <w:r w:rsidRPr="00CA3F84">
              <w:rPr>
                <w:color w:val="auto"/>
              </w:rPr>
              <w:lastRenderedPageBreak/>
              <w:t>Dirigeant principal des données et champion du gouvernement ouvert</w:t>
            </w:r>
          </w:p>
        </w:tc>
        <w:tc>
          <w:tcPr>
            <w:tcW w:w="4943" w:type="dxa"/>
            <w:tcBorders>
              <w:left w:val="single" w:sz="4" w:space="0" w:color="auto"/>
            </w:tcBorders>
          </w:tcPr>
          <w:p w14:paraId="57E9C5A1" w14:textId="46290C5E" w:rsidR="0028670A" w:rsidRPr="00CA3F84" w:rsidRDefault="0028670A" w:rsidP="008136E5">
            <w:pPr>
              <w:rPr>
                <w:color w:val="auto"/>
              </w:rPr>
            </w:pPr>
            <w:r w:rsidRPr="00CA3F84">
              <w:rPr>
                <w:color w:val="auto"/>
              </w:rPr>
              <w:t xml:space="preserve">S’assurer de la synergie entre les </w:t>
            </w:r>
            <w:r w:rsidR="008136E5" w:rsidRPr="00CA3F84">
              <w:rPr>
                <w:color w:val="auto"/>
              </w:rPr>
              <w:t xml:space="preserve">différentes </w:t>
            </w:r>
            <w:r w:rsidR="009129F7" w:rsidRPr="00CA3F84">
              <w:rPr>
                <w:color w:val="auto"/>
              </w:rPr>
              <w:t>unités opérationnelles</w:t>
            </w:r>
            <w:r w:rsidRPr="00CA3F84">
              <w:rPr>
                <w:color w:val="auto"/>
              </w:rPr>
              <w:t>, notamment le cadre supérieur responsable de la gestion de l’information et le président.</w:t>
            </w:r>
          </w:p>
        </w:tc>
        <w:tc>
          <w:tcPr>
            <w:tcW w:w="2144" w:type="dxa"/>
          </w:tcPr>
          <w:p w14:paraId="3E4FA002" w14:textId="5445A4B7" w:rsidR="0028670A" w:rsidRPr="00CA3F84" w:rsidRDefault="0028670A" w:rsidP="00A63E3B">
            <w:pPr>
              <w:rPr>
                <w:color w:val="auto"/>
              </w:rPr>
            </w:pPr>
            <w:r w:rsidRPr="00CA3F84">
              <w:rPr>
                <w:color w:val="auto"/>
              </w:rPr>
              <w:t>CSGI, CI-CGI/TI</w:t>
            </w:r>
          </w:p>
        </w:tc>
      </w:tr>
      <w:tr w:rsidR="00CA3F84" w:rsidRPr="00CA3F84" w14:paraId="67CF0E14" w14:textId="77777777" w:rsidTr="00AA4FB6">
        <w:tc>
          <w:tcPr>
            <w:tcW w:w="2263" w:type="dxa"/>
            <w:tcBorders>
              <w:top w:val="single" w:sz="4" w:space="0" w:color="auto"/>
              <w:left w:val="single" w:sz="4" w:space="0" w:color="auto"/>
              <w:bottom w:val="single" w:sz="4" w:space="0" w:color="auto"/>
              <w:right w:val="single" w:sz="4" w:space="0" w:color="auto"/>
            </w:tcBorders>
          </w:tcPr>
          <w:p w14:paraId="77BC1FA6" w14:textId="0E23F615" w:rsidR="0028670A" w:rsidRPr="00CA3F84" w:rsidRDefault="00AA4FB6" w:rsidP="00A63E3B">
            <w:pPr>
              <w:rPr>
                <w:color w:val="auto"/>
              </w:rPr>
            </w:pPr>
            <w:r w:rsidRPr="00CA3F84">
              <w:rPr>
                <w:color w:val="auto"/>
              </w:rPr>
              <w:t>Dirigeant principal des données et champion du gouvernement ouvert</w:t>
            </w:r>
          </w:p>
        </w:tc>
        <w:tc>
          <w:tcPr>
            <w:tcW w:w="4943" w:type="dxa"/>
            <w:tcBorders>
              <w:left w:val="single" w:sz="4" w:space="0" w:color="auto"/>
              <w:bottom w:val="single" w:sz="4" w:space="0" w:color="auto"/>
            </w:tcBorders>
          </w:tcPr>
          <w:p w14:paraId="07170C35" w14:textId="22E47A3C" w:rsidR="0028670A" w:rsidRPr="00CA3F84" w:rsidRDefault="0028670A" w:rsidP="00D23339">
            <w:pPr>
              <w:rPr>
                <w:color w:val="auto"/>
              </w:rPr>
            </w:pPr>
            <w:r w:rsidRPr="00CA3F84">
              <w:rPr>
                <w:color w:val="auto"/>
              </w:rPr>
              <w:t>Veiller à l’entretien de conversations périodiques au CI-CGI/TI et au CEG sur les moyens d’accroître la sensibilisation et la conformité au gouvernement ouvert.</w:t>
            </w:r>
          </w:p>
        </w:tc>
        <w:tc>
          <w:tcPr>
            <w:tcW w:w="2144" w:type="dxa"/>
            <w:tcBorders>
              <w:bottom w:val="single" w:sz="4" w:space="0" w:color="auto"/>
            </w:tcBorders>
          </w:tcPr>
          <w:p w14:paraId="1A3C0C1F" w14:textId="5D795FF3" w:rsidR="0028670A" w:rsidRPr="00CA3F84" w:rsidRDefault="0028670A" w:rsidP="00A63E3B">
            <w:pPr>
              <w:rPr>
                <w:color w:val="auto"/>
              </w:rPr>
            </w:pPr>
            <w:r w:rsidRPr="00CA3F84">
              <w:rPr>
                <w:color w:val="auto"/>
              </w:rPr>
              <w:t>CSGI</w:t>
            </w:r>
          </w:p>
          <w:p w14:paraId="0CA9C3F4" w14:textId="77777777" w:rsidR="0028670A" w:rsidRPr="00CA3F84" w:rsidRDefault="0028670A" w:rsidP="00A63E3B">
            <w:pPr>
              <w:rPr>
                <w:color w:val="auto"/>
              </w:rPr>
            </w:pPr>
          </w:p>
        </w:tc>
      </w:tr>
      <w:tr w:rsidR="00CA3F84" w:rsidRPr="00CA3F84" w14:paraId="6B90734C" w14:textId="77777777" w:rsidTr="00AA4FB6">
        <w:tc>
          <w:tcPr>
            <w:tcW w:w="2263" w:type="dxa"/>
            <w:tcBorders>
              <w:top w:val="single" w:sz="4" w:space="0" w:color="auto"/>
            </w:tcBorders>
          </w:tcPr>
          <w:p w14:paraId="0D5BF614" w14:textId="6E79A479" w:rsidR="00A46A3E" w:rsidRPr="00CA3F84" w:rsidRDefault="00A46A3E" w:rsidP="00A63E3B">
            <w:pPr>
              <w:rPr>
                <w:color w:val="auto"/>
              </w:rPr>
            </w:pPr>
            <w:r w:rsidRPr="00CA3F84">
              <w:rPr>
                <w:color w:val="auto"/>
              </w:rPr>
              <w:t xml:space="preserve">Cadre supérieur responsable de la gestion de l’information (CSGI) </w:t>
            </w:r>
          </w:p>
          <w:p w14:paraId="2E43AFE8" w14:textId="57B978CD" w:rsidR="00A46A3E" w:rsidRPr="00CA3F84" w:rsidRDefault="00A46A3E" w:rsidP="00AA4FB6">
            <w:pPr>
              <w:rPr>
                <w:color w:val="auto"/>
              </w:rPr>
            </w:pPr>
            <w:r w:rsidRPr="00CA3F84">
              <w:rPr>
                <w:color w:val="auto"/>
              </w:rPr>
              <w:t>et Dirigeant p</w:t>
            </w:r>
            <w:r w:rsidR="00AA4FB6">
              <w:rPr>
                <w:color w:val="auto"/>
              </w:rPr>
              <w:t>rincipal de l’information (DPI)</w:t>
            </w:r>
          </w:p>
        </w:tc>
        <w:tc>
          <w:tcPr>
            <w:tcW w:w="4943" w:type="dxa"/>
            <w:tcBorders>
              <w:bottom w:val="single" w:sz="4" w:space="0" w:color="auto"/>
            </w:tcBorders>
          </w:tcPr>
          <w:p w14:paraId="75C021FB" w14:textId="1FC59508" w:rsidR="00A46A3E" w:rsidRPr="00CA3F84" w:rsidRDefault="00A46A3E" w:rsidP="00160E4C">
            <w:pPr>
              <w:rPr>
                <w:color w:val="auto"/>
              </w:rPr>
            </w:pPr>
            <w:r w:rsidRPr="00CA3F84">
              <w:rPr>
                <w:color w:val="auto"/>
              </w:rPr>
              <w:t xml:space="preserve">S’assurer que la CFP satisfait aux exigences de la </w:t>
            </w:r>
            <w:r w:rsidRPr="00CA3F84">
              <w:rPr>
                <w:i/>
                <w:color w:val="auto"/>
              </w:rPr>
              <w:t>Directive sur le gouvernement ouvert</w:t>
            </w:r>
            <w:r w:rsidRPr="00CA3F84">
              <w:rPr>
                <w:color w:val="auto"/>
              </w:rPr>
              <w:t xml:space="preserve"> énoncées aux articles 6 et 7</w:t>
            </w:r>
            <w:r w:rsidR="00B4312D" w:rsidRPr="00CA3F84">
              <w:rPr>
                <w:color w:val="auto"/>
              </w:rPr>
              <w:t xml:space="preserve">.  </w:t>
            </w:r>
          </w:p>
        </w:tc>
        <w:tc>
          <w:tcPr>
            <w:tcW w:w="2144" w:type="dxa"/>
            <w:tcBorders>
              <w:bottom w:val="single" w:sz="4" w:space="0" w:color="auto"/>
            </w:tcBorders>
          </w:tcPr>
          <w:p w14:paraId="66E49E0E" w14:textId="396D639C" w:rsidR="00A46A3E" w:rsidRPr="00CA3F84" w:rsidRDefault="00A46A3E" w:rsidP="00216277">
            <w:pPr>
              <w:rPr>
                <w:color w:val="auto"/>
              </w:rPr>
            </w:pPr>
            <w:r w:rsidRPr="00CA3F84">
              <w:rPr>
                <w:color w:val="auto"/>
              </w:rPr>
              <w:t>SGO, BAIPRP, DCAP, Secteurs fonctionnels</w:t>
            </w:r>
          </w:p>
        </w:tc>
      </w:tr>
      <w:tr w:rsidR="00CA3F84" w:rsidRPr="00CA3F84" w14:paraId="2AA40048" w14:textId="77777777" w:rsidTr="00DD315A">
        <w:tc>
          <w:tcPr>
            <w:tcW w:w="2263" w:type="dxa"/>
          </w:tcPr>
          <w:p w14:paraId="207E17CA" w14:textId="77777777" w:rsidR="00AA4FB6" w:rsidRPr="00CA3F84" w:rsidRDefault="00AA4FB6" w:rsidP="00AA4FB6">
            <w:pPr>
              <w:rPr>
                <w:color w:val="auto"/>
              </w:rPr>
            </w:pPr>
            <w:r w:rsidRPr="00CA3F84">
              <w:rPr>
                <w:color w:val="auto"/>
              </w:rPr>
              <w:t xml:space="preserve">Cadre supérieur responsable de la gestion de l’information (CSGI) </w:t>
            </w:r>
          </w:p>
          <w:p w14:paraId="25C32759" w14:textId="6752349E" w:rsidR="00A46A3E" w:rsidRPr="00CA3F84" w:rsidRDefault="00AA4FB6" w:rsidP="00AA4FB6">
            <w:pPr>
              <w:rPr>
                <w:color w:val="auto"/>
              </w:rPr>
            </w:pPr>
            <w:r w:rsidRPr="00CA3F84">
              <w:rPr>
                <w:color w:val="auto"/>
              </w:rPr>
              <w:t>et Dirigeant principal de l’information (DPI)</w:t>
            </w:r>
          </w:p>
        </w:tc>
        <w:tc>
          <w:tcPr>
            <w:tcW w:w="4943" w:type="dxa"/>
            <w:tcBorders>
              <w:top w:val="single" w:sz="4" w:space="0" w:color="auto"/>
            </w:tcBorders>
          </w:tcPr>
          <w:p w14:paraId="4AC93901" w14:textId="7FF85806" w:rsidR="00A46A3E" w:rsidRPr="00CA3F84" w:rsidRDefault="00A46A3E" w:rsidP="00D23339">
            <w:pPr>
              <w:rPr>
                <w:color w:val="auto"/>
              </w:rPr>
            </w:pPr>
            <w:r w:rsidRPr="00CA3F84" w:rsidDel="00AA6A98">
              <w:rPr>
                <w:color w:val="auto"/>
              </w:rPr>
              <w:t>Maximi</w:t>
            </w:r>
            <w:r w:rsidRPr="00CA3F84">
              <w:rPr>
                <w:color w:val="auto"/>
              </w:rPr>
              <w:t>ser la diffusion de données ouvertes (données structurées) et d’informations ouvertes (documents non structurés et ressources multimédias) en vertu d’une licence ouverte sans restriction désignée par le SCT</w:t>
            </w:r>
            <w:r w:rsidR="00B4312D" w:rsidRPr="00CA3F84">
              <w:rPr>
                <w:color w:val="auto"/>
              </w:rPr>
              <w:t xml:space="preserve">.  </w:t>
            </w:r>
          </w:p>
        </w:tc>
        <w:tc>
          <w:tcPr>
            <w:tcW w:w="2144" w:type="dxa"/>
            <w:tcBorders>
              <w:top w:val="single" w:sz="4" w:space="0" w:color="auto"/>
            </w:tcBorders>
          </w:tcPr>
          <w:p w14:paraId="249CB3A1" w14:textId="24BB4314" w:rsidR="00A46A3E" w:rsidRPr="00CA3F84" w:rsidRDefault="00A46A3E" w:rsidP="00216277">
            <w:pPr>
              <w:rPr>
                <w:color w:val="auto"/>
              </w:rPr>
            </w:pPr>
            <w:r w:rsidRPr="00CA3F84">
              <w:rPr>
                <w:color w:val="auto"/>
              </w:rPr>
              <w:t>SGO, BAIPRP, DCAP</w:t>
            </w:r>
          </w:p>
        </w:tc>
      </w:tr>
      <w:tr w:rsidR="00CA3F84" w:rsidRPr="00CA3F84" w14:paraId="4479490E" w14:textId="77777777" w:rsidTr="00A80EDF">
        <w:tc>
          <w:tcPr>
            <w:tcW w:w="2263" w:type="dxa"/>
          </w:tcPr>
          <w:p w14:paraId="15B8DF66" w14:textId="77777777" w:rsidR="00AA4FB6" w:rsidRPr="00CA3F84" w:rsidRDefault="00AA4FB6" w:rsidP="00AA4FB6">
            <w:pPr>
              <w:rPr>
                <w:color w:val="auto"/>
              </w:rPr>
            </w:pPr>
            <w:r w:rsidRPr="00CA3F84">
              <w:rPr>
                <w:color w:val="auto"/>
              </w:rPr>
              <w:t xml:space="preserve">Cadre supérieur responsable de la gestion de l’information (CSGI) </w:t>
            </w:r>
          </w:p>
          <w:p w14:paraId="70AB86FF" w14:textId="01279A2C" w:rsidR="00A46A3E" w:rsidRPr="00CA3F84" w:rsidRDefault="00AA4FB6" w:rsidP="00AA4FB6">
            <w:pPr>
              <w:rPr>
                <w:color w:val="auto"/>
              </w:rPr>
            </w:pPr>
            <w:r w:rsidRPr="00CA3F84">
              <w:rPr>
                <w:color w:val="auto"/>
              </w:rPr>
              <w:t>et Dirigeant principal de l’information (DPI)</w:t>
            </w:r>
          </w:p>
        </w:tc>
        <w:tc>
          <w:tcPr>
            <w:tcW w:w="4943" w:type="dxa"/>
          </w:tcPr>
          <w:p w14:paraId="7F66D15B" w14:textId="5AB61AB5" w:rsidR="00A46A3E" w:rsidRPr="00CA3F84" w:rsidDel="00AA6A98" w:rsidRDefault="00A46A3E" w:rsidP="00A80EDF">
            <w:pPr>
              <w:rPr>
                <w:color w:val="auto"/>
              </w:rPr>
            </w:pPr>
            <w:r w:rsidRPr="00CA3F84">
              <w:rPr>
                <w:color w:val="auto"/>
              </w:rPr>
              <w:t xml:space="preserve">Intégrer les exigences de la </w:t>
            </w:r>
            <w:r w:rsidRPr="00CA3F84">
              <w:rPr>
                <w:i/>
                <w:color w:val="auto"/>
              </w:rPr>
              <w:t xml:space="preserve">Directive sur le gouvernement ouvert </w:t>
            </w:r>
            <w:r w:rsidRPr="00CA3F84">
              <w:rPr>
                <w:color w:val="auto"/>
              </w:rPr>
              <w:t>dans tous</w:t>
            </w:r>
            <w:r w:rsidR="00D600B4" w:rsidRPr="00CA3F84">
              <w:rPr>
                <w:color w:val="auto"/>
              </w:rPr>
              <w:t xml:space="preserve"> les </w:t>
            </w:r>
            <w:r w:rsidRPr="00CA3F84">
              <w:rPr>
                <w:color w:val="auto"/>
              </w:rPr>
              <w:t>nouveaux plans d’acquisition, de développement ou de modernisation des demandes, des systèmes ou des solutions d’information de l’organisation à l’appui de la réalisation de programmes et de la prestation de services.</w:t>
            </w:r>
          </w:p>
        </w:tc>
        <w:tc>
          <w:tcPr>
            <w:tcW w:w="2144" w:type="dxa"/>
          </w:tcPr>
          <w:p w14:paraId="267A7F7B" w14:textId="3E647FF1" w:rsidR="00A46A3E" w:rsidRPr="00CA3F84" w:rsidRDefault="00A46A3E" w:rsidP="00A63E3B">
            <w:pPr>
              <w:rPr>
                <w:color w:val="auto"/>
              </w:rPr>
            </w:pPr>
            <w:r w:rsidRPr="00CA3F84">
              <w:rPr>
                <w:color w:val="auto"/>
              </w:rPr>
              <w:t>SGO</w:t>
            </w:r>
          </w:p>
        </w:tc>
      </w:tr>
      <w:tr w:rsidR="00CA3F84" w:rsidRPr="00CA3F84" w14:paraId="3C77E34E" w14:textId="77777777" w:rsidTr="00A80EDF">
        <w:trPr>
          <w:trHeight w:val="743"/>
        </w:trPr>
        <w:tc>
          <w:tcPr>
            <w:tcW w:w="2263" w:type="dxa"/>
          </w:tcPr>
          <w:p w14:paraId="2722E14E" w14:textId="77777777" w:rsidR="00AA4FB6" w:rsidRPr="00CA3F84" w:rsidRDefault="00AA4FB6" w:rsidP="00AA4FB6">
            <w:pPr>
              <w:rPr>
                <w:color w:val="auto"/>
              </w:rPr>
            </w:pPr>
            <w:r w:rsidRPr="00CA3F84">
              <w:rPr>
                <w:color w:val="auto"/>
              </w:rPr>
              <w:t xml:space="preserve">Cadre supérieur responsable de la gestion de l’information (CSGI) </w:t>
            </w:r>
          </w:p>
          <w:p w14:paraId="7BF480D7" w14:textId="58FD1BFD" w:rsidR="00A46A3E" w:rsidRPr="00CA3F84" w:rsidRDefault="00AA4FB6" w:rsidP="00AA4FB6">
            <w:pPr>
              <w:rPr>
                <w:color w:val="auto"/>
              </w:rPr>
            </w:pPr>
            <w:r w:rsidRPr="00CA3F84">
              <w:rPr>
                <w:color w:val="auto"/>
              </w:rPr>
              <w:t>et Dirigeant principal de l’information (DPI)</w:t>
            </w:r>
          </w:p>
        </w:tc>
        <w:tc>
          <w:tcPr>
            <w:tcW w:w="4943" w:type="dxa"/>
          </w:tcPr>
          <w:p w14:paraId="6DFFA161" w14:textId="27E0EC27" w:rsidR="00A46A3E" w:rsidRPr="00CA3F84" w:rsidRDefault="00A46A3E" w:rsidP="006C352C">
            <w:pPr>
              <w:rPr>
                <w:color w:val="auto"/>
              </w:rPr>
            </w:pPr>
            <w:r w:rsidRPr="00CA3F84">
              <w:rPr>
                <w:color w:val="auto"/>
              </w:rPr>
              <w:t>S’assurer que l’organisation établit et tient à jour des répertoires détaillés des ressources de données et d’informations présentant une valeur opérationnelle détenus par l’organisation afin de déterminer leur admissibilité et leur priorité, et de planifier leur diffusion.</w:t>
            </w:r>
          </w:p>
        </w:tc>
        <w:tc>
          <w:tcPr>
            <w:tcW w:w="2144" w:type="dxa"/>
          </w:tcPr>
          <w:p w14:paraId="02DEE806" w14:textId="2E3D76E4" w:rsidR="00A46A3E" w:rsidRPr="00CA3F84" w:rsidRDefault="00A46A3E" w:rsidP="00A63E3B">
            <w:pPr>
              <w:rPr>
                <w:color w:val="auto"/>
              </w:rPr>
            </w:pPr>
            <w:r w:rsidRPr="00CA3F84">
              <w:rPr>
                <w:color w:val="auto"/>
              </w:rPr>
              <w:t>SGO</w:t>
            </w:r>
          </w:p>
        </w:tc>
      </w:tr>
      <w:tr w:rsidR="00CA3F84" w:rsidRPr="00CA3F84" w14:paraId="53419F7B" w14:textId="77777777" w:rsidTr="00A80EDF">
        <w:trPr>
          <w:trHeight w:val="1778"/>
        </w:trPr>
        <w:tc>
          <w:tcPr>
            <w:tcW w:w="2263" w:type="dxa"/>
          </w:tcPr>
          <w:p w14:paraId="3FA5EF4D" w14:textId="77777777" w:rsidR="00AA4FB6" w:rsidRPr="00CA3F84" w:rsidRDefault="00AA4FB6" w:rsidP="00AA4FB6">
            <w:pPr>
              <w:rPr>
                <w:color w:val="auto"/>
              </w:rPr>
            </w:pPr>
            <w:r w:rsidRPr="00CA3F84">
              <w:rPr>
                <w:color w:val="auto"/>
              </w:rPr>
              <w:lastRenderedPageBreak/>
              <w:t xml:space="preserve">Cadre supérieur responsable de la gestion de l’information (CSGI) </w:t>
            </w:r>
          </w:p>
          <w:p w14:paraId="5E57F8DC" w14:textId="3783DE8A" w:rsidR="00A46A3E" w:rsidRPr="00CA3F84" w:rsidRDefault="00AA4FB6" w:rsidP="00AA4FB6">
            <w:pPr>
              <w:rPr>
                <w:color w:val="auto"/>
              </w:rPr>
            </w:pPr>
            <w:r w:rsidRPr="00CA3F84">
              <w:rPr>
                <w:color w:val="auto"/>
              </w:rPr>
              <w:t>et Dirigeant principal de l’information (DPI)</w:t>
            </w:r>
          </w:p>
        </w:tc>
        <w:tc>
          <w:tcPr>
            <w:tcW w:w="4943" w:type="dxa"/>
          </w:tcPr>
          <w:p w14:paraId="6FF2F260" w14:textId="77EB423F" w:rsidR="00A46A3E" w:rsidRPr="00CA3F84" w:rsidRDefault="00A46A3E" w:rsidP="00A80EDF">
            <w:pPr>
              <w:rPr>
                <w:color w:val="auto"/>
              </w:rPr>
            </w:pPr>
            <w:r w:rsidRPr="00CA3F84">
              <w:rPr>
                <w:color w:val="auto"/>
              </w:rPr>
              <w:t xml:space="preserve">Surveiller le PMOGO pour s’assurer que les écarts de rendement et les enjeux de conformité sont réglés, et signaler les enjeux importants liés au rendement et à la conformité à la Direction générale du dirigeant principal de l’information du SCT chargé de s’assurer que la CFP satisfait aux exigences de la </w:t>
            </w:r>
            <w:r w:rsidRPr="00CA3F84">
              <w:rPr>
                <w:i/>
                <w:color w:val="auto"/>
              </w:rPr>
              <w:t>Directive sur le gouvernement ouvert</w:t>
            </w:r>
            <w:r w:rsidRPr="00CA3F84">
              <w:rPr>
                <w:color w:val="auto"/>
              </w:rPr>
              <w:t xml:space="preserve"> énoncées aux articles 6 et 7</w:t>
            </w:r>
            <w:r w:rsidR="00B4312D" w:rsidRPr="00CA3F84">
              <w:rPr>
                <w:color w:val="auto"/>
              </w:rPr>
              <w:t xml:space="preserve">.  </w:t>
            </w:r>
          </w:p>
        </w:tc>
        <w:tc>
          <w:tcPr>
            <w:tcW w:w="2144" w:type="dxa"/>
          </w:tcPr>
          <w:p w14:paraId="564940A3" w14:textId="015C28E4" w:rsidR="00A46A3E" w:rsidRPr="00CA3F84" w:rsidRDefault="00AA4FB6" w:rsidP="00A63E3B">
            <w:pPr>
              <w:rPr>
                <w:color w:val="auto"/>
              </w:rPr>
            </w:pPr>
            <w:r>
              <w:rPr>
                <w:color w:val="auto"/>
              </w:rPr>
              <w:t>Aucun</w:t>
            </w:r>
          </w:p>
        </w:tc>
      </w:tr>
      <w:tr w:rsidR="00CA3F84" w:rsidRPr="00CA3F84" w14:paraId="1FBC756C" w14:textId="77777777" w:rsidTr="00A80EDF">
        <w:trPr>
          <w:trHeight w:val="1130"/>
        </w:trPr>
        <w:tc>
          <w:tcPr>
            <w:tcW w:w="2263" w:type="dxa"/>
          </w:tcPr>
          <w:p w14:paraId="17CEF7AF" w14:textId="77777777" w:rsidR="00AA4FB6" w:rsidRPr="00CA3F84" w:rsidRDefault="00AA4FB6" w:rsidP="00AA4FB6">
            <w:pPr>
              <w:rPr>
                <w:color w:val="auto"/>
              </w:rPr>
            </w:pPr>
            <w:r w:rsidRPr="00CA3F84">
              <w:rPr>
                <w:color w:val="auto"/>
              </w:rPr>
              <w:t xml:space="preserve">Cadre supérieur responsable de la gestion de l’information (CSGI) </w:t>
            </w:r>
          </w:p>
          <w:p w14:paraId="17900B9A" w14:textId="45C3A170" w:rsidR="00A46A3E" w:rsidRPr="00CA3F84" w:rsidRDefault="00AA4FB6" w:rsidP="00AA4FB6">
            <w:pPr>
              <w:rPr>
                <w:color w:val="auto"/>
              </w:rPr>
            </w:pPr>
            <w:r w:rsidRPr="00CA3F84">
              <w:rPr>
                <w:color w:val="auto"/>
              </w:rPr>
              <w:t>et Dirigeant principal de l’information (DPI)</w:t>
            </w:r>
          </w:p>
        </w:tc>
        <w:tc>
          <w:tcPr>
            <w:tcW w:w="4943" w:type="dxa"/>
          </w:tcPr>
          <w:p w14:paraId="39B9030B" w14:textId="59A5432C" w:rsidR="00A46A3E" w:rsidRPr="00CA3F84" w:rsidRDefault="00A46A3E" w:rsidP="00F53EC2">
            <w:pPr>
              <w:rPr>
                <w:color w:val="auto"/>
              </w:rPr>
            </w:pPr>
            <w:r w:rsidRPr="00CA3F84">
              <w:rPr>
                <w:color w:val="auto"/>
              </w:rPr>
              <w:t>Vérifier la suppression des restrictions d’accès aux ressources institutionnelles de données et d’informations présentant une valeur durable avant le transfert à Bibliothèques et Archives Canada</w:t>
            </w:r>
            <w:r w:rsidR="00B4312D" w:rsidRPr="00CA3F84">
              <w:rPr>
                <w:color w:val="auto"/>
              </w:rPr>
              <w:t xml:space="preserve">.  </w:t>
            </w:r>
          </w:p>
          <w:p w14:paraId="0C19C53A" w14:textId="3C3F226D" w:rsidR="00A46A3E" w:rsidRPr="00CA3F84" w:rsidRDefault="00A46A3E" w:rsidP="00F53EC2">
            <w:pPr>
              <w:rPr>
                <w:color w:val="auto"/>
              </w:rPr>
            </w:pPr>
            <w:r w:rsidRPr="00CA3F84" w:rsidDel="00AA6A98">
              <w:rPr>
                <w:color w:val="auto"/>
              </w:rPr>
              <w:t>Maximi</w:t>
            </w:r>
            <w:r w:rsidRPr="00CA3F84">
              <w:rPr>
                <w:color w:val="auto"/>
              </w:rPr>
              <w:t>ser la diffusion de données ouvertes (données structurées) et d’informations ouvertes (documents non structurés et ressources multimédias) en vertu d’une licence ouverte sans restriction désignée par le SCT.</w:t>
            </w:r>
          </w:p>
        </w:tc>
        <w:tc>
          <w:tcPr>
            <w:tcW w:w="2144" w:type="dxa"/>
          </w:tcPr>
          <w:p w14:paraId="53AFF0F9" w14:textId="47997331" w:rsidR="00A46A3E" w:rsidRPr="00CA3F84" w:rsidRDefault="00AA4FB6" w:rsidP="00A63E3B">
            <w:pPr>
              <w:rPr>
                <w:color w:val="auto"/>
              </w:rPr>
            </w:pPr>
            <w:r>
              <w:rPr>
                <w:color w:val="auto"/>
              </w:rPr>
              <w:t>Aucun</w:t>
            </w:r>
          </w:p>
        </w:tc>
      </w:tr>
      <w:tr w:rsidR="00CA3F84" w:rsidRPr="00CA3F84" w14:paraId="1D4DF97F" w14:textId="77777777" w:rsidTr="00DD315A">
        <w:trPr>
          <w:trHeight w:val="887"/>
        </w:trPr>
        <w:tc>
          <w:tcPr>
            <w:tcW w:w="2263" w:type="dxa"/>
          </w:tcPr>
          <w:p w14:paraId="7817A29C" w14:textId="77777777" w:rsidR="00AA4FB6" w:rsidRPr="00CA3F84" w:rsidRDefault="00AA4FB6" w:rsidP="00AA4FB6">
            <w:pPr>
              <w:rPr>
                <w:color w:val="auto"/>
              </w:rPr>
            </w:pPr>
            <w:r w:rsidRPr="00CA3F84">
              <w:rPr>
                <w:color w:val="auto"/>
              </w:rPr>
              <w:t xml:space="preserve">Cadre supérieur responsable de la gestion de l’information (CSGI) </w:t>
            </w:r>
          </w:p>
          <w:p w14:paraId="1BF17878" w14:textId="583A0AF8" w:rsidR="00A46A3E" w:rsidRPr="00CA3F84" w:rsidRDefault="00AA4FB6" w:rsidP="00AA4FB6">
            <w:pPr>
              <w:rPr>
                <w:color w:val="auto"/>
              </w:rPr>
            </w:pPr>
            <w:r w:rsidRPr="00CA3F84">
              <w:rPr>
                <w:color w:val="auto"/>
              </w:rPr>
              <w:t>et Dirigeant principal de l’information (DPI)</w:t>
            </w:r>
          </w:p>
        </w:tc>
        <w:tc>
          <w:tcPr>
            <w:tcW w:w="4943" w:type="dxa"/>
          </w:tcPr>
          <w:p w14:paraId="41F3C87C" w14:textId="477AC833" w:rsidR="00A46A3E" w:rsidRPr="00CA3F84" w:rsidRDefault="00A46A3E" w:rsidP="00684C9A">
            <w:pPr>
              <w:rPr>
                <w:color w:val="auto"/>
              </w:rPr>
            </w:pPr>
            <w:r w:rsidRPr="00CA3F84">
              <w:rPr>
                <w:color w:val="auto"/>
              </w:rPr>
              <w:t>Créer le PMOGO, consulter à son sujet, solliciter son approbation et le publier sur le portail du gouvernement ouvert.</w:t>
            </w:r>
          </w:p>
        </w:tc>
        <w:tc>
          <w:tcPr>
            <w:tcW w:w="2144" w:type="dxa"/>
          </w:tcPr>
          <w:p w14:paraId="405F2652" w14:textId="4E01EA23" w:rsidR="00A46A3E" w:rsidRPr="00CA3F84" w:rsidRDefault="00A46A3E" w:rsidP="00A63E3B">
            <w:pPr>
              <w:rPr>
                <w:color w:val="auto"/>
              </w:rPr>
            </w:pPr>
            <w:r w:rsidRPr="00CA3F84">
              <w:rPr>
                <w:color w:val="auto"/>
              </w:rPr>
              <w:t>Champion du gouvernement ouvert, SGO</w:t>
            </w:r>
          </w:p>
        </w:tc>
      </w:tr>
      <w:tr w:rsidR="00CA3F84" w:rsidRPr="00CA3F84" w14:paraId="1E02D374" w14:textId="77777777" w:rsidTr="00DD315A">
        <w:tc>
          <w:tcPr>
            <w:tcW w:w="2263" w:type="dxa"/>
            <w:tcBorders>
              <w:bottom w:val="single" w:sz="4" w:space="0" w:color="auto"/>
            </w:tcBorders>
          </w:tcPr>
          <w:p w14:paraId="58192D87" w14:textId="77777777" w:rsidR="00AA4FB6" w:rsidRPr="00CA3F84" w:rsidRDefault="00AA4FB6" w:rsidP="00AA4FB6">
            <w:pPr>
              <w:rPr>
                <w:color w:val="auto"/>
              </w:rPr>
            </w:pPr>
            <w:r w:rsidRPr="00CA3F84">
              <w:rPr>
                <w:color w:val="auto"/>
              </w:rPr>
              <w:t xml:space="preserve">Cadre supérieur responsable de la gestion de l’information (CSGI) </w:t>
            </w:r>
          </w:p>
          <w:p w14:paraId="5B78A109" w14:textId="2BB19F53" w:rsidR="00A46A3E" w:rsidRPr="00CA3F84" w:rsidRDefault="00AA4FB6" w:rsidP="00AA4FB6">
            <w:pPr>
              <w:rPr>
                <w:color w:val="auto"/>
              </w:rPr>
            </w:pPr>
            <w:r w:rsidRPr="00CA3F84">
              <w:rPr>
                <w:color w:val="auto"/>
              </w:rPr>
              <w:t>et Dirigeant principal de l’information (DPI)</w:t>
            </w:r>
          </w:p>
        </w:tc>
        <w:tc>
          <w:tcPr>
            <w:tcW w:w="4943" w:type="dxa"/>
          </w:tcPr>
          <w:p w14:paraId="3DC6AFE2" w14:textId="073C1DE4" w:rsidR="00A46A3E" w:rsidRPr="00CA3F84" w:rsidRDefault="00A46A3E" w:rsidP="00A63E3B">
            <w:pPr>
              <w:rPr>
                <w:color w:val="auto"/>
              </w:rPr>
            </w:pPr>
            <w:r w:rsidRPr="00CA3F84">
              <w:rPr>
                <w:color w:val="auto"/>
              </w:rPr>
              <w:t xml:space="preserve">Conseiller le président au sujet : </w:t>
            </w:r>
          </w:p>
          <w:p w14:paraId="0A56543C" w14:textId="220806E4" w:rsidR="00A46A3E" w:rsidRPr="00CA3F84" w:rsidRDefault="00A46A3E" w:rsidP="00A63E3B">
            <w:pPr>
              <w:pStyle w:val="ListParagraph"/>
              <w:numPr>
                <w:ilvl w:val="0"/>
                <w:numId w:val="29"/>
              </w:numPr>
              <w:spacing w:after="0"/>
              <w:rPr>
                <w:color w:val="auto"/>
              </w:rPr>
            </w:pPr>
            <w:r w:rsidRPr="00CA3F84">
              <w:rPr>
                <w:color w:val="auto"/>
              </w:rPr>
              <w:t>du développement et du contenu d’une vision et d’une approche du gouvernement ouvert à la CFP</w:t>
            </w:r>
          </w:p>
          <w:p w14:paraId="2CEA4130" w14:textId="5EC49266" w:rsidR="00A46A3E" w:rsidRPr="00CA3F84" w:rsidRDefault="00A46A3E" w:rsidP="00A80EDF">
            <w:pPr>
              <w:pStyle w:val="ListParagraph"/>
              <w:numPr>
                <w:ilvl w:val="0"/>
                <w:numId w:val="29"/>
              </w:numPr>
              <w:spacing w:after="0"/>
              <w:rPr>
                <w:color w:val="auto"/>
              </w:rPr>
            </w:pPr>
            <w:r w:rsidRPr="00CA3F84">
              <w:rPr>
                <w:color w:val="auto"/>
              </w:rPr>
              <w:t>de la planification, de la mise à jour annuelle et du statut du PMOGO de la CFP.</w:t>
            </w:r>
          </w:p>
        </w:tc>
        <w:tc>
          <w:tcPr>
            <w:tcW w:w="2144" w:type="dxa"/>
          </w:tcPr>
          <w:p w14:paraId="31D39B8A" w14:textId="5D6E0371" w:rsidR="00A46A3E" w:rsidRPr="00CA3F84" w:rsidRDefault="00A46A3E" w:rsidP="00A63E3B">
            <w:pPr>
              <w:rPr>
                <w:color w:val="auto"/>
              </w:rPr>
            </w:pPr>
            <w:r w:rsidRPr="00CA3F84">
              <w:rPr>
                <w:color w:val="auto"/>
              </w:rPr>
              <w:t>Champion du gouvernement ouvert</w:t>
            </w:r>
          </w:p>
        </w:tc>
      </w:tr>
      <w:tr w:rsidR="00CA3F84" w:rsidRPr="00CA3F84" w14:paraId="41423462" w14:textId="77777777" w:rsidTr="00A80EDF">
        <w:tc>
          <w:tcPr>
            <w:tcW w:w="2263" w:type="dxa"/>
            <w:tcBorders>
              <w:top w:val="single" w:sz="4" w:space="0" w:color="auto"/>
            </w:tcBorders>
          </w:tcPr>
          <w:p w14:paraId="6D76C634" w14:textId="5E53E0F7" w:rsidR="0028670A" w:rsidRPr="00CA3F84" w:rsidRDefault="0028670A" w:rsidP="00A63E3B">
            <w:pPr>
              <w:rPr>
                <w:color w:val="auto"/>
              </w:rPr>
            </w:pPr>
            <w:r w:rsidRPr="00CA3F84">
              <w:rPr>
                <w:color w:val="auto"/>
              </w:rPr>
              <w:t>CEG</w:t>
            </w:r>
          </w:p>
        </w:tc>
        <w:tc>
          <w:tcPr>
            <w:tcW w:w="4943" w:type="dxa"/>
          </w:tcPr>
          <w:p w14:paraId="009EBA85" w14:textId="14788306" w:rsidR="0028670A" w:rsidRPr="00CA3F84" w:rsidRDefault="0028670A" w:rsidP="00684C9A">
            <w:pPr>
              <w:rPr>
                <w:color w:val="auto"/>
              </w:rPr>
            </w:pPr>
            <w:r w:rsidRPr="00CA3F84">
              <w:rPr>
                <w:color w:val="auto"/>
              </w:rPr>
              <w:t>Entretenir des conversations périodiques sur les moyens d’accroître la sensibilisation et la conformité au gouvernement ouvert.</w:t>
            </w:r>
          </w:p>
        </w:tc>
        <w:tc>
          <w:tcPr>
            <w:tcW w:w="2144" w:type="dxa"/>
          </w:tcPr>
          <w:p w14:paraId="64663D15" w14:textId="58A7371F" w:rsidR="0028670A" w:rsidRPr="00CA3F84" w:rsidRDefault="0028670A" w:rsidP="00A63E3B">
            <w:pPr>
              <w:rPr>
                <w:color w:val="auto"/>
              </w:rPr>
            </w:pPr>
            <w:r w:rsidRPr="00CA3F84">
              <w:rPr>
                <w:color w:val="auto"/>
              </w:rPr>
              <w:t>Tous les secteurs de l’organisation</w:t>
            </w:r>
          </w:p>
        </w:tc>
      </w:tr>
      <w:tr w:rsidR="00CA3F84" w:rsidRPr="00CA3F84" w14:paraId="2721535D" w14:textId="77777777" w:rsidTr="00A80EDF">
        <w:tc>
          <w:tcPr>
            <w:tcW w:w="2263" w:type="dxa"/>
          </w:tcPr>
          <w:p w14:paraId="23E06C2B" w14:textId="4760DA36" w:rsidR="0028670A" w:rsidRPr="00CA3F84" w:rsidRDefault="00AA4FB6" w:rsidP="00A63E3B">
            <w:pPr>
              <w:rPr>
                <w:color w:val="auto"/>
              </w:rPr>
            </w:pPr>
            <w:r w:rsidRPr="00CA3F84">
              <w:rPr>
                <w:color w:val="auto"/>
              </w:rPr>
              <w:lastRenderedPageBreak/>
              <w:t>CEG</w:t>
            </w:r>
          </w:p>
        </w:tc>
        <w:tc>
          <w:tcPr>
            <w:tcW w:w="4943" w:type="dxa"/>
          </w:tcPr>
          <w:p w14:paraId="73A27BEB" w14:textId="3AE402A8" w:rsidR="0028670A" w:rsidRPr="00CA3F84" w:rsidRDefault="0028670A" w:rsidP="00A80EDF">
            <w:pPr>
              <w:rPr>
                <w:color w:val="auto"/>
              </w:rPr>
            </w:pPr>
            <w:r w:rsidRPr="00CA3F84">
              <w:rPr>
                <w:color w:val="auto"/>
              </w:rPr>
              <w:t>Appuyer l’élaboration et la mise en œuvre d’une stratégie interne de gestion du changement et de communication pour s’assurer que l</w:t>
            </w:r>
            <w:r w:rsidR="00A80EDF" w:rsidRPr="00CA3F84">
              <w:rPr>
                <w:color w:val="auto"/>
              </w:rPr>
              <w:t xml:space="preserve">a raison d’être </w:t>
            </w:r>
            <w:r w:rsidRPr="00CA3F84">
              <w:rPr>
                <w:color w:val="auto"/>
              </w:rPr>
              <w:t>du PMOGO, ainsi que le plan même et ses produits livrables sont compris, que les responsabilités sont clairement délimitées, et qu’une mobilisation a lieu à tous les niveaux de l’organisation</w:t>
            </w:r>
            <w:r w:rsidR="00B4312D" w:rsidRPr="00CA3F84">
              <w:rPr>
                <w:color w:val="auto"/>
              </w:rPr>
              <w:t xml:space="preserve">.  </w:t>
            </w:r>
          </w:p>
        </w:tc>
        <w:tc>
          <w:tcPr>
            <w:tcW w:w="2144" w:type="dxa"/>
          </w:tcPr>
          <w:p w14:paraId="3B78DF75" w14:textId="7EDBCC9F" w:rsidR="0028670A" w:rsidRPr="00CA3F84" w:rsidDel="00AA6A98" w:rsidRDefault="0028670A" w:rsidP="00A63E3B">
            <w:pPr>
              <w:rPr>
                <w:color w:val="auto"/>
              </w:rPr>
            </w:pPr>
            <w:r w:rsidRPr="00CA3F84">
              <w:rPr>
                <w:color w:val="auto"/>
              </w:rPr>
              <w:t>CSGI, Champion du gouvernement ouvert</w:t>
            </w:r>
          </w:p>
        </w:tc>
      </w:tr>
      <w:tr w:rsidR="00CA3F84" w:rsidRPr="00CA3F84" w14:paraId="62948AFB" w14:textId="77777777" w:rsidTr="003618CE">
        <w:tc>
          <w:tcPr>
            <w:tcW w:w="2263" w:type="dxa"/>
            <w:tcBorders>
              <w:bottom w:val="single" w:sz="4" w:space="0" w:color="auto"/>
            </w:tcBorders>
          </w:tcPr>
          <w:p w14:paraId="4487D1AE" w14:textId="69A0331D" w:rsidR="0028670A" w:rsidRPr="00CA3F84" w:rsidRDefault="00AA4FB6" w:rsidP="00A63E3B">
            <w:pPr>
              <w:rPr>
                <w:color w:val="auto"/>
              </w:rPr>
            </w:pPr>
            <w:r w:rsidRPr="00CA3F84">
              <w:rPr>
                <w:color w:val="auto"/>
              </w:rPr>
              <w:t>CEG</w:t>
            </w:r>
          </w:p>
        </w:tc>
        <w:tc>
          <w:tcPr>
            <w:tcW w:w="4943" w:type="dxa"/>
          </w:tcPr>
          <w:p w14:paraId="2983D136" w14:textId="489ADD9F" w:rsidR="0028670A" w:rsidRPr="00CA3F84" w:rsidRDefault="0028670A" w:rsidP="00684C9A">
            <w:pPr>
              <w:rPr>
                <w:color w:val="auto"/>
              </w:rPr>
            </w:pPr>
            <w:r w:rsidRPr="00CA3F84">
              <w:rPr>
                <w:color w:val="auto"/>
              </w:rPr>
              <w:t>Appuyer le PMOGO avant de le soumettre aux fins de sa publication sur le Portail du gouvernement ouvert.</w:t>
            </w:r>
          </w:p>
        </w:tc>
        <w:tc>
          <w:tcPr>
            <w:tcW w:w="2144" w:type="dxa"/>
          </w:tcPr>
          <w:p w14:paraId="40FDC5A8" w14:textId="3232127C" w:rsidR="0028670A" w:rsidRPr="00CA3F84" w:rsidRDefault="0028670A" w:rsidP="00A63E3B">
            <w:pPr>
              <w:rPr>
                <w:color w:val="auto"/>
              </w:rPr>
            </w:pPr>
            <w:r w:rsidRPr="00CA3F84">
              <w:rPr>
                <w:color w:val="auto"/>
              </w:rPr>
              <w:t>CI-CGI/TI, Champion du gouvernement ouvert</w:t>
            </w:r>
          </w:p>
        </w:tc>
      </w:tr>
      <w:tr w:rsidR="00CA3F84" w:rsidRPr="00CA3F84" w14:paraId="44113129" w14:textId="77777777" w:rsidTr="003618CE">
        <w:tc>
          <w:tcPr>
            <w:tcW w:w="2263" w:type="dxa"/>
            <w:tcBorders>
              <w:top w:val="single" w:sz="4" w:space="0" w:color="auto"/>
              <w:bottom w:val="single" w:sz="4" w:space="0" w:color="auto"/>
            </w:tcBorders>
          </w:tcPr>
          <w:p w14:paraId="77A4ADED" w14:textId="525A591F" w:rsidR="00DC5A6B" w:rsidRPr="00CA3F84" w:rsidRDefault="00033E5D" w:rsidP="00033E5D">
            <w:pPr>
              <w:rPr>
                <w:color w:val="auto"/>
              </w:rPr>
            </w:pPr>
            <w:r w:rsidRPr="00CA3F84">
              <w:rPr>
                <w:color w:val="auto"/>
              </w:rPr>
              <w:t>Comité mixte</w:t>
            </w:r>
            <w:r w:rsidR="006C352C" w:rsidRPr="00CA3F84">
              <w:rPr>
                <w:color w:val="auto"/>
              </w:rPr>
              <w:t xml:space="preserve"> réunissant le Comité </w:t>
            </w:r>
            <w:r w:rsidRPr="00CA3F84">
              <w:rPr>
                <w:color w:val="auto"/>
              </w:rPr>
              <w:t>d’intégration</w:t>
            </w:r>
            <w:r w:rsidR="000D4464" w:rsidRPr="00CA3F84">
              <w:rPr>
                <w:color w:val="auto"/>
              </w:rPr>
              <w:t xml:space="preserve"> et </w:t>
            </w:r>
            <w:r w:rsidR="006C352C" w:rsidRPr="00CA3F84">
              <w:rPr>
                <w:color w:val="auto"/>
              </w:rPr>
              <w:t xml:space="preserve">le Comité </w:t>
            </w:r>
            <w:r w:rsidRPr="00CA3F84">
              <w:rPr>
                <w:color w:val="auto"/>
              </w:rPr>
              <w:t xml:space="preserve">de gestion de l’information/ technologie de l’information </w:t>
            </w:r>
            <w:r w:rsidR="00DC5A6B" w:rsidRPr="00CA3F84">
              <w:rPr>
                <w:color w:val="auto"/>
              </w:rPr>
              <w:t>(</w:t>
            </w:r>
            <w:r w:rsidR="002B2218" w:rsidRPr="00CA3F84">
              <w:rPr>
                <w:color w:val="auto"/>
              </w:rPr>
              <w:t>CI</w:t>
            </w:r>
            <w:r w:rsidR="00DC5A6B" w:rsidRPr="00CA3F84">
              <w:rPr>
                <w:color w:val="auto"/>
              </w:rPr>
              <w:t>-</w:t>
            </w:r>
            <w:r w:rsidR="002B2218" w:rsidRPr="00CA3F84">
              <w:rPr>
                <w:color w:val="auto"/>
              </w:rPr>
              <w:t>CGI</w:t>
            </w:r>
            <w:r w:rsidR="00D23339" w:rsidRPr="00CA3F84">
              <w:rPr>
                <w:color w:val="auto"/>
              </w:rPr>
              <w:t>/</w:t>
            </w:r>
            <w:r w:rsidR="002B2218" w:rsidRPr="00CA3F84">
              <w:rPr>
                <w:color w:val="auto"/>
              </w:rPr>
              <w:t>TI</w:t>
            </w:r>
            <w:r w:rsidR="00DC5A6B" w:rsidRPr="00CA3F84">
              <w:rPr>
                <w:color w:val="auto"/>
              </w:rPr>
              <w:t>)</w:t>
            </w:r>
          </w:p>
        </w:tc>
        <w:tc>
          <w:tcPr>
            <w:tcW w:w="4943" w:type="dxa"/>
          </w:tcPr>
          <w:p w14:paraId="03B148C6" w14:textId="145E2C45" w:rsidR="00DC5A6B" w:rsidRPr="00CA3F84" w:rsidRDefault="00033E5D" w:rsidP="00033E5D">
            <w:pPr>
              <w:rPr>
                <w:color w:val="auto"/>
              </w:rPr>
            </w:pPr>
            <w:r w:rsidRPr="00CA3F84">
              <w:rPr>
                <w:color w:val="auto"/>
              </w:rPr>
              <w:t>Proposer au CEG les recommandations qui appuient les activités favorisant la sensibilisation et la conformité au gouvernement ouvert</w:t>
            </w:r>
          </w:p>
        </w:tc>
        <w:tc>
          <w:tcPr>
            <w:tcW w:w="2144" w:type="dxa"/>
          </w:tcPr>
          <w:p w14:paraId="43418828" w14:textId="59C1DABF" w:rsidR="00DC5A6B" w:rsidRPr="00CA3F84" w:rsidRDefault="002B2218" w:rsidP="00A63E3B">
            <w:pPr>
              <w:rPr>
                <w:color w:val="auto"/>
              </w:rPr>
            </w:pPr>
            <w:r w:rsidRPr="00CA3F84">
              <w:rPr>
                <w:color w:val="auto"/>
              </w:rPr>
              <w:t>CSGI</w:t>
            </w:r>
            <w:r w:rsidR="00DC5A6B" w:rsidRPr="00CA3F84">
              <w:rPr>
                <w:color w:val="auto"/>
              </w:rPr>
              <w:t xml:space="preserve">, </w:t>
            </w:r>
            <w:r w:rsidRPr="00CA3F84">
              <w:rPr>
                <w:color w:val="auto"/>
              </w:rPr>
              <w:t>Champion du gouvernement ouvert</w:t>
            </w:r>
            <w:r w:rsidR="00DC5A6B" w:rsidRPr="00CA3F84">
              <w:rPr>
                <w:color w:val="auto"/>
              </w:rPr>
              <w:t xml:space="preserve">, </w:t>
            </w:r>
            <w:r w:rsidRPr="00CA3F84">
              <w:rPr>
                <w:color w:val="auto"/>
              </w:rPr>
              <w:t>GTGO</w:t>
            </w:r>
            <w:r w:rsidR="00DC5A6B" w:rsidRPr="00CA3F84">
              <w:rPr>
                <w:color w:val="auto"/>
              </w:rPr>
              <w:t xml:space="preserve">, </w:t>
            </w:r>
            <w:r w:rsidRPr="00CA3F84">
              <w:rPr>
                <w:color w:val="auto"/>
              </w:rPr>
              <w:t>GTGI</w:t>
            </w:r>
          </w:p>
        </w:tc>
      </w:tr>
      <w:tr w:rsidR="00CA3F84" w:rsidRPr="00CA3F84" w14:paraId="7BFE4438" w14:textId="77777777" w:rsidTr="003618CE">
        <w:tc>
          <w:tcPr>
            <w:tcW w:w="2263" w:type="dxa"/>
            <w:tcBorders>
              <w:top w:val="single" w:sz="4" w:space="0" w:color="auto"/>
            </w:tcBorders>
          </w:tcPr>
          <w:p w14:paraId="435ABB70" w14:textId="7A33478D" w:rsidR="0028670A" w:rsidRPr="00CA3F84" w:rsidRDefault="0028670A" w:rsidP="00216277">
            <w:pPr>
              <w:rPr>
                <w:color w:val="auto"/>
              </w:rPr>
            </w:pPr>
            <w:r w:rsidRPr="00CA3F84">
              <w:rPr>
                <w:color w:val="auto"/>
              </w:rPr>
              <w:t>Secrétariat du gouvernement ouvert (SGO)</w:t>
            </w:r>
          </w:p>
        </w:tc>
        <w:tc>
          <w:tcPr>
            <w:tcW w:w="4943" w:type="dxa"/>
          </w:tcPr>
          <w:p w14:paraId="0AD58445" w14:textId="29FB03DF" w:rsidR="0028670A" w:rsidRPr="00CA3F84" w:rsidRDefault="0028670A" w:rsidP="0028670A">
            <w:pPr>
              <w:rPr>
                <w:color w:val="auto"/>
              </w:rPr>
            </w:pPr>
            <w:r w:rsidRPr="00CA3F84">
              <w:rPr>
                <w:color w:val="auto"/>
              </w:rPr>
              <w:t>Soutenir le dirigeant principal des données, le champion du gouvernement ouvert et le cadre supérieur responsable de la gestion de l’information dans l’exercice de leurs responsabilités pour le gouvernement ouvert</w:t>
            </w:r>
            <w:r w:rsidR="00B4312D" w:rsidRPr="00CA3F84">
              <w:rPr>
                <w:color w:val="auto"/>
              </w:rPr>
              <w:t xml:space="preserve">.  </w:t>
            </w:r>
          </w:p>
        </w:tc>
        <w:tc>
          <w:tcPr>
            <w:tcW w:w="2144" w:type="dxa"/>
          </w:tcPr>
          <w:p w14:paraId="3C3FF09B" w14:textId="1444BA9D" w:rsidR="0028670A" w:rsidRPr="00CA3F84" w:rsidRDefault="00AA4FB6" w:rsidP="00A63E3B">
            <w:pPr>
              <w:rPr>
                <w:color w:val="auto"/>
              </w:rPr>
            </w:pPr>
            <w:r>
              <w:rPr>
                <w:color w:val="auto"/>
              </w:rPr>
              <w:t>Aucun</w:t>
            </w:r>
          </w:p>
        </w:tc>
      </w:tr>
      <w:tr w:rsidR="00CA3F84" w:rsidRPr="00CA3F84" w14:paraId="4386A84F" w14:textId="77777777" w:rsidTr="003618CE">
        <w:tc>
          <w:tcPr>
            <w:tcW w:w="2263" w:type="dxa"/>
            <w:tcBorders>
              <w:top w:val="single" w:sz="4" w:space="0" w:color="auto"/>
              <w:bottom w:val="single" w:sz="4" w:space="0" w:color="auto"/>
            </w:tcBorders>
          </w:tcPr>
          <w:p w14:paraId="0095C7D1" w14:textId="136E9487" w:rsidR="0028670A" w:rsidRPr="00CA3F84" w:rsidRDefault="00AA4FB6" w:rsidP="00A63E3B">
            <w:pPr>
              <w:rPr>
                <w:color w:val="auto"/>
              </w:rPr>
            </w:pPr>
            <w:r w:rsidRPr="00CA3F84">
              <w:rPr>
                <w:color w:val="auto"/>
              </w:rPr>
              <w:t>Secrétariat du gouvernement ouvert (SGO)</w:t>
            </w:r>
          </w:p>
        </w:tc>
        <w:tc>
          <w:tcPr>
            <w:tcW w:w="4943" w:type="dxa"/>
          </w:tcPr>
          <w:p w14:paraId="0D1F531A" w14:textId="5AB74A84" w:rsidR="0028670A" w:rsidRPr="00CA3F84" w:rsidRDefault="0028670A" w:rsidP="00FA02C5">
            <w:pPr>
              <w:rPr>
                <w:color w:val="auto"/>
              </w:rPr>
            </w:pPr>
            <w:r w:rsidRPr="00CA3F84">
              <w:rPr>
                <w:color w:val="auto"/>
              </w:rPr>
              <w:t xml:space="preserve">Consulter les </w:t>
            </w:r>
            <w:r w:rsidR="00FA02C5" w:rsidRPr="00CA3F84">
              <w:rPr>
                <w:color w:val="auto"/>
              </w:rPr>
              <w:t xml:space="preserve">unités </w:t>
            </w:r>
            <w:r w:rsidRPr="00CA3F84">
              <w:rPr>
                <w:color w:val="auto"/>
              </w:rPr>
              <w:t>fonctionnel</w:t>
            </w:r>
            <w:r w:rsidR="00FA02C5" w:rsidRPr="00CA3F84">
              <w:rPr>
                <w:color w:val="auto"/>
              </w:rPr>
              <w:t>le</w:t>
            </w:r>
            <w:r w:rsidRPr="00CA3F84">
              <w:rPr>
                <w:color w:val="auto"/>
              </w:rPr>
              <w:t xml:space="preserve">s afin de coordonner le travail nécessaire pour entreprendre les activités liées au gouvernement ouvert et </w:t>
            </w:r>
            <w:r w:rsidR="00A80EDF" w:rsidRPr="00CA3F84">
              <w:rPr>
                <w:color w:val="auto"/>
              </w:rPr>
              <w:t xml:space="preserve">la sensibilisation </w:t>
            </w:r>
            <w:r w:rsidRPr="00CA3F84">
              <w:rPr>
                <w:color w:val="auto"/>
              </w:rPr>
              <w:t>au gouvernement ouvert</w:t>
            </w:r>
            <w:r w:rsidR="00B4312D" w:rsidRPr="00CA3F84">
              <w:rPr>
                <w:color w:val="auto"/>
              </w:rPr>
              <w:t xml:space="preserve">.  </w:t>
            </w:r>
          </w:p>
        </w:tc>
        <w:tc>
          <w:tcPr>
            <w:tcW w:w="2144" w:type="dxa"/>
          </w:tcPr>
          <w:p w14:paraId="05C3CC70" w14:textId="25FD5775" w:rsidR="0028670A" w:rsidRPr="00CA3F84" w:rsidRDefault="0028670A" w:rsidP="00A63E3B">
            <w:pPr>
              <w:rPr>
                <w:color w:val="auto"/>
              </w:rPr>
            </w:pPr>
            <w:r w:rsidRPr="00CA3F84">
              <w:rPr>
                <w:color w:val="auto"/>
              </w:rPr>
              <w:t>GTGO</w:t>
            </w:r>
          </w:p>
        </w:tc>
      </w:tr>
      <w:tr w:rsidR="00CA3F84" w:rsidRPr="00CA3F84" w14:paraId="289EF2D9" w14:textId="77777777" w:rsidTr="00A80EDF">
        <w:tc>
          <w:tcPr>
            <w:tcW w:w="2263" w:type="dxa"/>
            <w:tcBorders>
              <w:top w:val="single" w:sz="4" w:space="0" w:color="auto"/>
            </w:tcBorders>
          </w:tcPr>
          <w:p w14:paraId="143B99B0" w14:textId="5E5D688F" w:rsidR="0028670A" w:rsidRPr="00CA3F84" w:rsidRDefault="0028670A" w:rsidP="00216277">
            <w:pPr>
              <w:rPr>
                <w:color w:val="auto"/>
              </w:rPr>
            </w:pPr>
            <w:r w:rsidRPr="00CA3F84">
              <w:rPr>
                <w:color w:val="auto"/>
              </w:rPr>
              <w:t>Groupes de travail sur le gouvernement ouvert</w:t>
            </w:r>
          </w:p>
        </w:tc>
        <w:tc>
          <w:tcPr>
            <w:tcW w:w="4943" w:type="dxa"/>
          </w:tcPr>
          <w:p w14:paraId="4D83A26B" w14:textId="120916CE" w:rsidR="0028670A" w:rsidRPr="00CA3F84" w:rsidRDefault="0028670A" w:rsidP="00033E5D">
            <w:pPr>
              <w:rPr>
                <w:color w:val="auto"/>
              </w:rPr>
            </w:pPr>
            <w:r w:rsidRPr="00CA3F84">
              <w:rPr>
                <w:color w:val="auto"/>
              </w:rPr>
              <w:t>Faciliter une compréhension commune, au niveau opérationnel, du gouvernement ouvert et des modalités de sa mise en œuvre dans l’ensemble des secteurs de la CFP</w:t>
            </w:r>
            <w:r w:rsidR="00B4312D" w:rsidRPr="00CA3F84">
              <w:rPr>
                <w:color w:val="auto"/>
              </w:rPr>
              <w:t xml:space="preserve">.  </w:t>
            </w:r>
          </w:p>
        </w:tc>
        <w:tc>
          <w:tcPr>
            <w:tcW w:w="2144" w:type="dxa"/>
          </w:tcPr>
          <w:p w14:paraId="4DFAC686" w14:textId="0FD151C7" w:rsidR="0028670A" w:rsidRPr="00CA3F84" w:rsidRDefault="0028670A" w:rsidP="002B2218">
            <w:pPr>
              <w:rPr>
                <w:color w:val="auto"/>
              </w:rPr>
            </w:pPr>
            <w:r w:rsidRPr="00CA3F84">
              <w:rPr>
                <w:color w:val="auto"/>
              </w:rPr>
              <w:t>DSTI, SGO, Coordonnateurs du gouvernement ouvert</w:t>
            </w:r>
          </w:p>
        </w:tc>
      </w:tr>
      <w:tr w:rsidR="00CA3F84" w:rsidRPr="00CA3F84" w14:paraId="04C284E7" w14:textId="77777777" w:rsidTr="00A80EDF">
        <w:tc>
          <w:tcPr>
            <w:tcW w:w="2263" w:type="dxa"/>
          </w:tcPr>
          <w:p w14:paraId="1110F7E2" w14:textId="2ACD7619" w:rsidR="0028670A" w:rsidRPr="00CA3F84" w:rsidRDefault="00AA4FB6" w:rsidP="00A63E3B">
            <w:pPr>
              <w:rPr>
                <w:color w:val="auto"/>
              </w:rPr>
            </w:pPr>
            <w:r w:rsidRPr="00CA3F84">
              <w:rPr>
                <w:color w:val="auto"/>
              </w:rPr>
              <w:t>Groupes de travail sur le gouvernement ouvert</w:t>
            </w:r>
          </w:p>
        </w:tc>
        <w:tc>
          <w:tcPr>
            <w:tcW w:w="4943" w:type="dxa"/>
          </w:tcPr>
          <w:p w14:paraId="5302405D" w14:textId="3C352500" w:rsidR="0028670A" w:rsidRPr="00CA3F84" w:rsidRDefault="0028670A" w:rsidP="0028670A">
            <w:pPr>
              <w:rPr>
                <w:color w:val="auto"/>
              </w:rPr>
            </w:pPr>
            <w:r w:rsidRPr="00CA3F84">
              <w:rPr>
                <w:color w:val="auto"/>
              </w:rPr>
              <w:t>Soutenir, au niveau opérationnel, la planification, le développement et la réalisation des produits livrables et des activités exposés dans le PMOGO</w:t>
            </w:r>
            <w:r w:rsidR="00B4312D" w:rsidRPr="00CA3F84">
              <w:rPr>
                <w:color w:val="auto"/>
              </w:rPr>
              <w:t xml:space="preserve">.  </w:t>
            </w:r>
          </w:p>
        </w:tc>
        <w:tc>
          <w:tcPr>
            <w:tcW w:w="2144" w:type="dxa"/>
          </w:tcPr>
          <w:p w14:paraId="186C1085" w14:textId="40595B64" w:rsidR="0028670A" w:rsidRPr="00CA3F84" w:rsidRDefault="0028670A" w:rsidP="002B2218">
            <w:pPr>
              <w:rPr>
                <w:color w:val="auto"/>
              </w:rPr>
            </w:pPr>
            <w:r w:rsidRPr="00CA3F84">
              <w:rPr>
                <w:color w:val="auto"/>
              </w:rPr>
              <w:t xml:space="preserve">Tous les secteurs de l’organisation </w:t>
            </w:r>
          </w:p>
        </w:tc>
      </w:tr>
      <w:tr w:rsidR="00CA3F84" w:rsidRPr="00CA3F84" w14:paraId="05254D6E" w14:textId="77777777" w:rsidTr="00A80EDF">
        <w:tc>
          <w:tcPr>
            <w:tcW w:w="2263" w:type="dxa"/>
            <w:tcBorders>
              <w:bottom w:val="single" w:sz="4" w:space="0" w:color="auto"/>
            </w:tcBorders>
          </w:tcPr>
          <w:p w14:paraId="6297C86F" w14:textId="27386C22" w:rsidR="0028670A" w:rsidRPr="00CA3F84" w:rsidRDefault="00AA4FB6" w:rsidP="00A63E3B">
            <w:pPr>
              <w:rPr>
                <w:color w:val="auto"/>
              </w:rPr>
            </w:pPr>
            <w:r w:rsidRPr="00CA3F84">
              <w:rPr>
                <w:color w:val="auto"/>
              </w:rPr>
              <w:lastRenderedPageBreak/>
              <w:t>Groupes de travail sur le gouvernement ouvert</w:t>
            </w:r>
          </w:p>
        </w:tc>
        <w:tc>
          <w:tcPr>
            <w:tcW w:w="4943" w:type="dxa"/>
          </w:tcPr>
          <w:p w14:paraId="73F142A8" w14:textId="60FD4C3D" w:rsidR="0028670A" w:rsidRPr="00CA3F84" w:rsidRDefault="0028670A" w:rsidP="00033E5D">
            <w:pPr>
              <w:rPr>
                <w:color w:val="auto"/>
              </w:rPr>
            </w:pPr>
            <w:r w:rsidRPr="00CA3F84">
              <w:rPr>
                <w:color w:val="auto"/>
              </w:rPr>
              <w:t>Rendre compte et faire des recommandations au CSGI, au dirigeant principal des données et au champion du gouvernement ouvert, ainsi qu’au CI-</w:t>
            </w:r>
            <w:r w:rsidR="00133081" w:rsidRPr="00CA3F84">
              <w:rPr>
                <w:color w:val="auto"/>
              </w:rPr>
              <w:t>CGI/TI</w:t>
            </w:r>
            <w:r w:rsidRPr="00CA3F84">
              <w:rPr>
                <w:color w:val="auto"/>
              </w:rPr>
              <w:t>, au besoin.</w:t>
            </w:r>
          </w:p>
        </w:tc>
        <w:tc>
          <w:tcPr>
            <w:tcW w:w="2144" w:type="dxa"/>
          </w:tcPr>
          <w:p w14:paraId="09971C4C" w14:textId="38CC0A14" w:rsidR="0028670A" w:rsidRPr="00CA3F84" w:rsidRDefault="0028670A" w:rsidP="00216277">
            <w:pPr>
              <w:rPr>
                <w:color w:val="auto"/>
              </w:rPr>
            </w:pPr>
            <w:r w:rsidRPr="00CA3F84">
              <w:rPr>
                <w:color w:val="auto"/>
              </w:rPr>
              <w:t>DSTI, BAIPRP, SGO, Services juridiques, DCAP</w:t>
            </w:r>
          </w:p>
        </w:tc>
      </w:tr>
      <w:tr w:rsidR="00CA3F84" w:rsidRPr="00CA3F84" w14:paraId="62321D95" w14:textId="77777777" w:rsidTr="00BD746A">
        <w:tc>
          <w:tcPr>
            <w:tcW w:w="2263" w:type="dxa"/>
            <w:tcBorders>
              <w:top w:val="single" w:sz="4" w:space="0" w:color="auto"/>
            </w:tcBorders>
          </w:tcPr>
          <w:p w14:paraId="12C8FE3A" w14:textId="77777777" w:rsidR="00830EA0" w:rsidRPr="00CA3F84" w:rsidRDefault="00830EA0" w:rsidP="00A63E3B">
            <w:pPr>
              <w:rPr>
                <w:color w:val="auto"/>
              </w:rPr>
            </w:pPr>
            <w:r w:rsidRPr="00CA3F84">
              <w:rPr>
                <w:color w:val="auto"/>
              </w:rPr>
              <w:t>Unités opérationnelles</w:t>
            </w:r>
          </w:p>
          <w:p w14:paraId="031822D2" w14:textId="737F82D7" w:rsidR="00830EA0" w:rsidRPr="00CA3F84" w:rsidRDefault="00830EA0" w:rsidP="00216277">
            <w:pPr>
              <w:rPr>
                <w:color w:val="auto"/>
              </w:rPr>
            </w:pPr>
          </w:p>
        </w:tc>
        <w:tc>
          <w:tcPr>
            <w:tcW w:w="4943" w:type="dxa"/>
          </w:tcPr>
          <w:p w14:paraId="4FFC8C0F" w14:textId="5C85FAEE" w:rsidR="00830EA0" w:rsidRPr="00CA3F84" w:rsidRDefault="00830EA0" w:rsidP="00FA02C5">
            <w:pPr>
              <w:rPr>
                <w:color w:val="auto"/>
              </w:rPr>
            </w:pPr>
            <w:r w:rsidRPr="00CA3F84">
              <w:rPr>
                <w:color w:val="auto"/>
              </w:rPr>
              <w:t>Travailler à la réalisation des produits livrables du gouvernement ouvert relevant de leur domaine respectif de responsabilité et sensibiliser leurs équipes au gouvernement ouvert.</w:t>
            </w:r>
          </w:p>
        </w:tc>
        <w:tc>
          <w:tcPr>
            <w:tcW w:w="2144" w:type="dxa"/>
          </w:tcPr>
          <w:p w14:paraId="2695F704" w14:textId="164D343D" w:rsidR="00830EA0" w:rsidRPr="00CA3F84" w:rsidRDefault="00AA4FB6" w:rsidP="00A63E3B">
            <w:pPr>
              <w:rPr>
                <w:color w:val="auto"/>
              </w:rPr>
            </w:pPr>
            <w:r>
              <w:rPr>
                <w:color w:val="auto"/>
              </w:rPr>
              <w:t>Aucun</w:t>
            </w:r>
          </w:p>
        </w:tc>
      </w:tr>
      <w:tr w:rsidR="00CA3F84" w:rsidRPr="00CA3F84" w14:paraId="2CB0ABB8" w14:textId="77777777" w:rsidTr="00BD746A">
        <w:tc>
          <w:tcPr>
            <w:tcW w:w="2263" w:type="dxa"/>
            <w:tcBorders>
              <w:bottom w:val="single" w:sz="4" w:space="0" w:color="auto"/>
            </w:tcBorders>
          </w:tcPr>
          <w:p w14:paraId="70C6D102" w14:textId="77777777" w:rsidR="00AA4FB6" w:rsidRPr="00CA3F84" w:rsidRDefault="00AA4FB6" w:rsidP="00AA4FB6">
            <w:pPr>
              <w:rPr>
                <w:color w:val="auto"/>
              </w:rPr>
            </w:pPr>
            <w:r w:rsidRPr="00CA3F84">
              <w:rPr>
                <w:color w:val="auto"/>
              </w:rPr>
              <w:t>Unités opérationnelles</w:t>
            </w:r>
          </w:p>
          <w:p w14:paraId="37A5C1C2" w14:textId="26652F01" w:rsidR="00830EA0" w:rsidRPr="00CA3F84" w:rsidRDefault="00830EA0" w:rsidP="00216277">
            <w:pPr>
              <w:rPr>
                <w:color w:val="auto"/>
              </w:rPr>
            </w:pPr>
          </w:p>
        </w:tc>
        <w:tc>
          <w:tcPr>
            <w:tcW w:w="4943" w:type="dxa"/>
            <w:tcBorders>
              <w:bottom w:val="single" w:sz="4" w:space="0" w:color="auto"/>
            </w:tcBorders>
          </w:tcPr>
          <w:p w14:paraId="6D070724" w14:textId="063C0428" w:rsidR="00830EA0" w:rsidRPr="00CA3F84" w:rsidRDefault="00830EA0" w:rsidP="006C352C">
            <w:pPr>
              <w:rPr>
                <w:color w:val="auto"/>
              </w:rPr>
            </w:pPr>
            <w:r w:rsidRPr="00CA3F84">
              <w:rPr>
                <w:color w:val="auto"/>
              </w:rPr>
              <w:t>Identifier et publier les ressources du gouvernement ouvert, y compris la documentation à l’appui bilingue, et effectuer un examen comparatif pour s’assurer de la concordance entre les documents anglais et français.</w:t>
            </w:r>
          </w:p>
        </w:tc>
        <w:tc>
          <w:tcPr>
            <w:tcW w:w="2144" w:type="dxa"/>
            <w:tcBorders>
              <w:bottom w:val="single" w:sz="4" w:space="0" w:color="auto"/>
            </w:tcBorders>
          </w:tcPr>
          <w:p w14:paraId="41A9DDD9" w14:textId="2AD9BB0A" w:rsidR="00830EA0" w:rsidRPr="00CA3F84" w:rsidRDefault="00AA4FB6" w:rsidP="00532417">
            <w:pPr>
              <w:rPr>
                <w:color w:val="auto"/>
              </w:rPr>
            </w:pPr>
            <w:r>
              <w:rPr>
                <w:color w:val="auto"/>
              </w:rPr>
              <w:t>Aucun</w:t>
            </w:r>
          </w:p>
        </w:tc>
      </w:tr>
    </w:tbl>
    <w:p w14:paraId="0DD38ED0" w14:textId="77777777" w:rsidR="006B2669" w:rsidRPr="00CA3F84" w:rsidRDefault="006B2669">
      <w:pPr>
        <w:keepLines w:val="0"/>
        <w:rPr>
          <w:rFonts w:asciiTheme="majorHAnsi" w:eastAsiaTheme="majorEastAsia" w:hAnsiTheme="majorHAnsi" w:cstheme="majorBidi"/>
          <w:color w:val="auto"/>
          <w:sz w:val="48"/>
          <w:szCs w:val="48"/>
        </w:rPr>
      </w:pPr>
      <w:bookmarkStart w:id="124" w:name="_Toc28006899"/>
      <w:bookmarkStart w:id="125" w:name="_Toc29981522"/>
      <w:r w:rsidRPr="00CA3F84">
        <w:rPr>
          <w:color w:val="auto"/>
        </w:rPr>
        <w:br w:type="page"/>
      </w:r>
    </w:p>
    <w:p w14:paraId="2CCDB77E" w14:textId="189B61E6" w:rsidR="00005240" w:rsidRPr="00CA3F84" w:rsidRDefault="00005240" w:rsidP="00005240">
      <w:pPr>
        <w:pStyle w:val="Heading1"/>
        <w:rPr>
          <w:color w:val="auto"/>
        </w:rPr>
      </w:pPr>
      <w:bookmarkStart w:id="126" w:name="_Toc44323411"/>
      <w:bookmarkStart w:id="127" w:name="_Toc50038780"/>
      <w:r w:rsidRPr="00CA3F84">
        <w:rPr>
          <w:color w:val="auto"/>
        </w:rPr>
        <w:lastRenderedPageBreak/>
        <w:t>ANNEX</w:t>
      </w:r>
      <w:r w:rsidR="00400060" w:rsidRPr="00CA3F84">
        <w:rPr>
          <w:color w:val="auto"/>
        </w:rPr>
        <w:t>E</w:t>
      </w:r>
      <w:r w:rsidRPr="00CA3F84">
        <w:rPr>
          <w:color w:val="auto"/>
        </w:rPr>
        <w:t xml:space="preserve"> B</w:t>
      </w:r>
      <w:r w:rsidR="00133081" w:rsidRPr="00CA3F84">
        <w:rPr>
          <w:color w:val="auto"/>
        </w:rPr>
        <w:t> </w:t>
      </w:r>
      <w:r w:rsidR="00400060" w:rsidRPr="00CA3F84">
        <w:rPr>
          <w:color w:val="auto"/>
        </w:rPr>
        <w:t>: Sigles</w:t>
      </w:r>
      <w:bookmarkEnd w:id="124"/>
      <w:bookmarkEnd w:id="125"/>
      <w:bookmarkEnd w:id="126"/>
      <w:bookmarkEnd w:id="127"/>
    </w:p>
    <w:tbl>
      <w:tblPr>
        <w:tblW w:w="8865" w:type="dxa"/>
        <w:tblBorders>
          <w:top w:val="nil"/>
          <w:left w:val="nil"/>
          <w:bottom w:val="nil"/>
          <w:right w:val="nil"/>
          <w:insideH w:val="nil"/>
          <w:insideV w:val="nil"/>
        </w:tblBorders>
        <w:tblLayout w:type="fixed"/>
        <w:tblLook w:val="0600" w:firstRow="0" w:lastRow="0" w:firstColumn="0" w:lastColumn="0" w:noHBand="1" w:noVBand="1"/>
        <w:tblDescription w:val="Ce tableau est composé de 2 colonnes et 32 lignes, et ne contient aucune cellules divisées ou fusionnées"/>
      </w:tblPr>
      <w:tblGrid>
        <w:gridCol w:w="1560"/>
        <w:gridCol w:w="7305"/>
      </w:tblGrid>
      <w:tr w:rsidR="00CA3F84" w:rsidRPr="00CA3F84" w14:paraId="2238F31C" w14:textId="77777777" w:rsidTr="00EF7D22">
        <w:trPr>
          <w:trHeight w:val="18"/>
          <w:tblHeader/>
        </w:trPr>
        <w:tc>
          <w:tcPr>
            <w:tcW w:w="156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B052BAC" w14:textId="1AF6DC50" w:rsidR="00005240" w:rsidRPr="00CA3F84" w:rsidRDefault="00767E3B" w:rsidP="0028670A">
            <w:pPr>
              <w:spacing w:after="0"/>
              <w:jc w:val="center"/>
              <w:rPr>
                <w:b/>
                <w:color w:val="auto"/>
              </w:rPr>
            </w:pPr>
            <w:r w:rsidRPr="00CA3F84">
              <w:rPr>
                <w:b/>
                <w:color w:val="auto"/>
              </w:rPr>
              <w:t>Sigle</w:t>
            </w:r>
          </w:p>
        </w:tc>
        <w:tc>
          <w:tcPr>
            <w:tcW w:w="730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0694997" w14:textId="2EFF1A38" w:rsidR="00005240" w:rsidRPr="00CA3F84" w:rsidRDefault="00005240" w:rsidP="0028670A">
            <w:pPr>
              <w:spacing w:after="0"/>
              <w:jc w:val="center"/>
              <w:rPr>
                <w:b/>
                <w:color w:val="auto"/>
              </w:rPr>
            </w:pPr>
            <w:r w:rsidRPr="00CA3F84">
              <w:rPr>
                <w:b/>
                <w:color w:val="auto"/>
              </w:rPr>
              <w:t>D</w:t>
            </w:r>
            <w:r w:rsidR="00767E3B" w:rsidRPr="00CA3F84">
              <w:rPr>
                <w:b/>
                <w:color w:val="auto"/>
              </w:rPr>
              <w:t>é</w:t>
            </w:r>
            <w:r w:rsidRPr="00CA3F84">
              <w:rPr>
                <w:b/>
                <w:color w:val="auto"/>
              </w:rPr>
              <w:t>finition</w:t>
            </w:r>
          </w:p>
        </w:tc>
      </w:tr>
      <w:tr w:rsidR="00CA3F84" w:rsidRPr="00CA3F84" w14:paraId="1D8AA911" w14:textId="77777777" w:rsidTr="00DD315A">
        <w:trPr>
          <w:trHeight w:val="238"/>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325AC" w14:textId="77777777" w:rsidR="000E7C08" w:rsidRPr="00CA3F84" w:rsidRDefault="000E7C08" w:rsidP="00DD315A">
            <w:pPr>
              <w:spacing w:after="0"/>
              <w:rPr>
                <w:color w:val="auto"/>
              </w:rPr>
            </w:pPr>
            <w:r w:rsidRPr="00CA3F84">
              <w:rPr>
                <w:color w:val="auto"/>
              </w:rPr>
              <w:t>BAIPRP</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D939C8" w14:textId="77777777" w:rsidR="000E7C08" w:rsidRPr="00CA3F84" w:rsidRDefault="000E7C08" w:rsidP="00DD315A">
            <w:pPr>
              <w:spacing w:after="0"/>
              <w:rPr>
                <w:color w:val="auto"/>
              </w:rPr>
            </w:pPr>
            <w:r w:rsidRPr="00CA3F84">
              <w:rPr>
                <w:color w:val="auto"/>
              </w:rPr>
              <w:t>Bureau de l’accès à l’information et de la protection des renseignements personnels</w:t>
            </w:r>
          </w:p>
        </w:tc>
      </w:tr>
      <w:tr w:rsidR="00CA3F84" w:rsidRPr="00CA3F84" w14:paraId="793CDDCF" w14:textId="77777777" w:rsidTr="00DD315A">
        <w:trPr>
          <w:trHeight w:val="2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4AAF1" w14:textId="77777777" w:rsidR="000E7C08" w:rsidRPr="00CA3F84" w:rsidRDefault="000E7C08" w:rsidP="00DD315A">
            <w:pPr>
              <w:spacing w:after="0"/>
              <w:rPr>
                <w:color w:val="auto"/>
              </w:rPr>
            </w:pPr>
            <w:r w:rsidRPr="00CA3F84">
              <w:rPr>
                <w:color w:val="auto"/>
              </w:rPr>
              <w:t>CCDGO</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9EE17A" w14:textId="77777777" w:rsidR="000E7C08" w:rsidRPr="00CA3F84" w:rsidRDefault="000E7C08" w:rsidP="00DD315A">
            <w:pPr>
              <w:spacing w:after="0"/>
              <w:rPr>
                <w:color w:val="auto"/>
              </w:rPr>
            </w:pPr>
            <w:r w:rsidRPr="00CA3F84">
              <w:rPr>
                <w:color w:val="auto"/>
              </w:rPr>
              <w:t>Comité consultatif sur les données et le gouvernement ouvert</w:t>
            </w:r>
          </w:p>
        </w:tc>
      </w:tr>
      <w:tr w:rsidR="00CA3F84" w:rsidRPr="00CA3F84" w14:paraId="6222FBC0" w14:textId="77777777" w:rsidTr="00DD315A">
        <w:trPr>
          <w:trHeight w:val="2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63BE5" w14:textId="77777777" w:rsidR="000E7C08" w:rsidRPr="00CA3F84" w:rsidRDefault="000E7C08" w:rsidP="00DD315A">
            <w:pPr>
              <w:spacing w:after="0"/>
              <w:rPr>
                <w:color w:val="auto"/>
              </w:rPr>
            </w:pPr>
            <w:r w:rsidRPr="00CA3F84">
              <w:rPr>
                <w:color w:val="auto"/>
              </w:rPr>
              <w:t>CEG</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04970A" w14:textId="77777777" w:rsidR="000E7C08" w:rsidRPr="00CA3F84" w:rsidRDefault="000E7C08" w:rsidP="00DD315A">
            <w:pPr>
              <w:spacing w:after="0"/>
              <w:rPr>
                <w:color w:val="auto"/>
              </w:rPr>
            </w:pPr>
            <w:r w:rsidRPr="00CA3F84">
              <w:rPr>
                <w:color w:val="auto"/>
              </w:rPr>
              <w:t xml:space="preserve">Comité exécutif de gestion </w:t>
            </w:r>
          </w:p>
        </w:tc>
      </w:tr>
      <w:tr w:rsidR="00CA3F84" w:rsidRPr="00CA3F84" w14:paraId="706018D7" w14:textId="77777777" w:rsidTr="00DD315A">
        <w:trPr>
          <w:trHeight w:val="2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0D987" w14:textId="77777777" w:rsidR="000E7C08" w:rsidRPr="00CA3F84" w:rsidRDefault="000E7C08" w:rsidP="00DD315A">
            <w:pPr>
              <w:spacing w:after="0"/>
              <w:rPr>
                <w:color w:val="auto"/>
              </w:rPr>
            </w:pPr>
            <w:r w:rsidRPr="00CA3F84">
              <w:rPr>
                <w:color w:val="auto"/>
              </w:rPr>
              <w:t>CFP</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460CA6" w14:textId="77777777" w:rsidR="000E7C08" w:rsidRPr="00CA3F84" w:rsidRDefault="000E7C08" w:rsidP="00DD315A">
            <w:pPr>
              <w:spacing w:after="0"/>
              <w:rPr>
                <w:color w:val="auto"/>
              </w:rPr>
            </w:pPr>
            <w:r w:rsidRPr="00CA3F84">
              <w:rPr>
                <w:color w:val="auto"/>
              </w:rPr>
              <w:t>Commission de la fonction publique du Canada</w:t>
            </w:r>
          </w:p>
        </w:tc>
      </w:tr>
      <w:tr w:rsidR="00CA3F84" w:rsidRPr="00CA3F84" w14:paraId="0C94D9A0" w14:textId="77777777" w:rsidTr="00DD315A">
        <w:trPr>
          <w:trHeight w:val="2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A5D675" w14:textId="77777777" w:rsidR="000E7C08" w:rsidRPr="00CA3F84" w:rsidRDefault="000E7C08" w:rsidP="00DD315A">
            <w:pPr>
              <w:spacing w:after="0"/>
              <w:rPr>
                <w:color w:val="auto"/>
              </w:rPr>
            </w:pPr>
            <w:r w:rsidRPr="00CA3F84">
              <w:rPr>
                <w:color w:val="auto"/>
              </w:rPr>
              <w:t>CGI/TI</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2124FD" w14:textId="77777777" w:rsidR="000E7C08" w:rsidRPr="00CA3F84" w:rsidRDefault="000E7C08" w:rsidP="00DD315A">
            <w:pPr>
              <w:spacing w:after="0"/>
              <w:rPr>
                <w:color w:val="auto"/>
              </w:rPr>
            </w:pPr>
            <w:r w:rsidRPr="00CA3F84">
              <w:rPr>
                <w:color w:val="auto"/>
              </w:rPr>
              <w:t>Comité de la gestion de l’information/technologie de l’information</w:t>
            </w:r>
          </w:p>
        </w:tc>
      </w:tr>
      <w:tr w:rsidR="00CA3F84" w:rsidRPr="00CA3F84" w14:paraId="0357476C" w14:textId="77777777" w:rsidTr="00DD315A">
        <w:trPr>
          <w:trHeight w:val="230"/>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D8F30" w14:textId="77777777" w:rsidR="000E7C08" w:rsidRPr="00CA3F84" w:rsidRDefault="000E7C08" w:rsidP="00DD315A">
            <w:pPr>
              <w:spacing w:after="0"/>
              <w:rPr>
                <w:color w:val="auto"/>
              </w:rPr>
            </w:pPr>
            <w:r w:rsidRPr="00CA3F84">
              <w:rPr>
                <w:color w:val="auto"/>
              </w:rPr>
              <w:t>CI</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1B09E5" w14:textId="77777777" w:rsidR="000E7C08" w:rsidRPr="00CA3F84" w:rsidRDefault="000E7C08" w:rsidP="00DD315A">
            <w:pPr>
              <w:spacing w:after="0"/>
              <w:rPr>
                <w:color w:val="auto"/>
              </w:rPr>
            </w:pPr>
            <w:r w:rsidRPr="00CA3F84">
              <w:rPr>
                <w:color w:val="auto"/>
              </w:rPr>
              <w:t>Comité d’intégration</w:t>
            </w:r>
          </w:p>
        </w:tc>
      </w:tr>
      <w:tr w:rsidR="00CA3F84" w:rsidRPr="00CA3F84" w14:paraId="716EDDDB" w14:textId="77777777" w:rsidTr="00DD315A">
        <w:trPr>
          <w:trHeight w:val="113"/>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BBAAC" w14:textId="77777777" w:rsidR="000E7C08" w:rsidRPr="00CA3F84" w:rsidRDefault="000E7C08" w:rsidP="00DD315A">
            <w:pPr>
              <w:spacing w:after="0"/>
              <w:rPr>
                <w:color w:val="auto"/>
              </w:rPr>
            </w:pPr>
            <w:r w:rsidRPr="00CA3F84">
              <w:rPr>
                <w:color w:val="auto"/>
              </w:rPr>
              <w:t>CPP</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153A6A" w14:textId="77777777" w:rsidR="000E7C08" w:rsidRPr="00CA3F84" w:rsidRDefault="000E7C08" w:rsidP="00DD315A">
            <w:pPr>
              <w:spacing w:after="0"/>
              <w:rPr>
                <w:color w:val="auto"/>
              </w:rPr>
            </w:pPr>
            <w:r w:rsidRPr="00CA3F84">
              <w:rPr>
                <w:color w:val="auto"/>
              </w:rPr>
              <w:t>Centre de psychologie du personnel</w:t>
            </w:r>
          </w:p>
        </w:tc>
      </w:tr>
      <w:tr w:rsidR="00CA3F84" w:rsidRPr="00CA3F84" w14:paraId="089F852F" w14:textId="77777777" w:rsidTr="00EC1993">
        <w:trPr>
          <w:trHeight w:val="331"/>
        </w:trPr>
        <w:tc>
          <w:tcPr>
            <w:tcW w:w="156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42033C" w14:textId="77777777" w:rsidR="000E7C08" w:rsidRPr="00CA3F84" w:rsidRDefault="000E7C08" w:rsidP="00DD315A">
            <w:pPr>
              <w:spacing w:after="0"/>
              <w:rPr>
                <w:color w:val="auto"/>
              </w:rPr>
            </w:pPr>
            <w:r w:rsidRPr="00CA3F84">
              <w:rPr>
                <w:color w:val="auto"/>
              </w:rPr>
              <w:t>CRG</w:t>
            </w:r>
          </w:p>
        </w:tc>
        <w:tc>
          <w:tcPr>
            <w:tcW w:w="7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082E533" w14:textId="77777777" w:rsidR="000E7C08" w:rsidRPr="00CA3F84" w:rsidRDefault="000E7C08" w:rsidP="00DD315A">
            <w:pPr>
              <w:spacing w:after="0"/>
              <w:rPr>
                <w:color w:val="auto"/>
              </w:rPr>
            </w:pPr>
            <w:r w:rsidRPr="00CA3F84">
              <w:rPr>
                <w:color w:val="auto"/>
              </w:rPr>
              <w:t>Cadre de responsabilisation de gestion</w:t>
            </w:r>
          </w:p>
        </w:tc>
      </w:tr>
      <w:tr w:rsidR="00CA3F84" w:rsidRPr="00CA3F84" w14:paraId="73F2B647" w14:textId="77777777" w:rsidTr="00DD315A">
        <w:trPr>
          <w:trHeight w:val="31"/>
        </w:trPr>
        <w:tc>
          <w:tcPr>
            <w:tcW w:w="156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6AC523A1" w14:textId="77777777" w:rsidR="000E7C08" w:rsidRPr="00CA3F84" w:rsidRDefault="000E7C08" w:rsidP="00DD315A">
            <w:pPr>
              <w:spacing w:after="0"/>
              <w:rPr>
                <w:color w:val="auto"/>
              </w:rPr>
            </w:pPr>
            <w:r w:rsidRPr="00CA3F84">
              <w:rPr>
                <w:color w:val="auto"/>
              </w:rPr>
              <w:t>CSGI</w:t>
            </w:r>
          </w:p>
        </w:tc>
        <w:tc>
          <w:tcPr>
            <w:tcW w:w="730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7F4C33D" w14:textId="77777777" w:rsidR="000E7C08" w:rsidRPr="00CA3F84" w:rsidRDefault="000E7C08" w:rsidP="00DD315A">
            <w:pPr>
              <w:spacing w:after="0"/>
              <w:rPr>
                <w:color w:val="auto"/>
              </w:rPr>
            </w:pPr>
            <w:r w:rsidRPr="00CA3F84">
              <w:rPr>
                <w:color w:val="auto"/>
              </w:rPr>
              <w:t xml:space="preserve">Cadre supérieur responsable de la gestion de l’information </w:t>
            </w:r>
          </w:p>
        </w:tc>
      </w:tr>
      <w:tr w:rsidR="00CA3F84" w:rsidRPr="00CA3F84" w14:paraId="171AF178" w14:textId="77777777" w:rsidTr="00DD315A">
        <w:trPr>
          <w:trHeight w:val="5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7A7B2" w14:textId="77777777" w:rsidR="000E7C08" w:rsidRPr="00CA3F84" w:rsidRDefault="000E7C08" w:rsidP="00DD315A">
            <w:pPr>
              <w:spacing w:after="0"/>
              <w:rPr>
                <w:color w:val="auto"/>
              </w:rPr>
            </w:pPr>
            <w:r w:rsidRPr="00CA3F84">
              <w:rPr>
                <w:color w:val="auto"/>
              </w:rPr>
              <w:t>DCAP</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F932B3" w14:textId="77777777" w:rsidR="000E7C08" w:rsidRPr="00CA3F84" w:rsidRDefault="000E7C08" w:rsidP="00DD315A">
            <w:pPr>
              <w:spacing w:after="0"/>
              <w:rPr>
                <w:color w:val="auto"/>
              </w:rPr>
            </w:pPr>
            <w:r w:rsidRPr="00CA3F84">
              <w:rPr>
                <w:color w:val="auto"/>
              </w:rPr>
              <w:t>Direction des communications et des affaires parlementaires</w:t>
            </w:r>
          </w:p>
        </w:tc>
      </w:tr>
      <w:tr w:rsidR="00CA3F84" w:rsidRPr="00CA3F84" w14:paraId="555E15EB" w14:textId="77777777" w:rsidTr="00DD315A">
        <w:trPr>
          <w:trHeight w:val="234"/>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E4668" w14:textId="77777777" w:rsidR="000E7C08" w:rsidRPr="00CA3F84" w:rsidRDefault="000E7C08" w:rsidP="00DD315A">
            <w:pPr>
              <w:spacing w:after="0"/>
              <w:rPr>
                <w:color w:val="auto"/>
              </w:rPr>
            </w:pPr>
            <w:r w:rsidRPr="00CA3F84">
              <w:rPr>
                <w:color w:val="auto"/>
              </w:rPr>
              <w:t>DDAS</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CFFE5D" w14:textId="77777777" w:rsidR="000E7C08" w:rsidRPr="00CA3F84" w:rsidRDefault="000E7C08" w:rsidP="00DD315A">
            <w:pPr>
              <w:spacing w:after="0"/>
              <w:rPr>
                <w:color w:val="auto"/>
              </w:rPr>
            </w:pPr>
            <w:r w:rsidRPr="00CA3F84">
              <w:rPr>
                <w:color w:val="auto"/>
              </w:rPr>
              <w:t>Direction du développement des affaires et des systèmes</w:t>
            </w:r>
          </w:p>
        </w:tc>
      </w:tr>
      <w:tr w:rsidR="00CA3F84" w:rsidRPr="00CA3F84" w14:paraId="7322DAC1" w14:textId="77777777" w:rsidTr="00DD315A">
        <w:trPr>
          <w:trHeight w:val="258"/>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BB3F0" w14:textId="77777777" w:rsidR="000E7C08" w:rsidRPr="00CA3F84" w:rsidRDefault="000E7C08" w:rsidP="00DD315A">
            <w:pPr>
              <w:spacing w:after="0"/>
              <w:rPr>
                <w:color w:val="auto"/>
              </w:rPr>
            </w:pPr>
            <w:r w:rsidRPr="00CA3F84">
              <w:rPr>
                <w:color w:val="auto"/>
              </w:rPr>
              <w:t>DFA</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B2B051" w14:textId="77777777" w:rsidR="000E7C08" w:rsidRPr="00CA3F84" w:rsidRDefault="000E7C08" w:rsidP="00DD315A">
            <w:pPr>
              <w:spacing w:after="0"/>
              <w:rPr>
                <w:color w:val="auto"/>
              </w:rPr>
            </w:pPr>
            <w:r w:rsidRPr="00CA3F84">
              <w:rPr>
                <w:color w:val="auto"/>
              </w:rPr>
              <w:t xml:space="preserve">Direction des finances et de l’administration </w:t>
            </w:r>
          </w:p>
        </w:tc>
      </w:tr>
      <w:tr w:rsidR="00CA3F84" w:rsidRPr="00CA3F84" w14:paraId="6FA67BB7" w14:textId="77777777" w:rsidTr="00DD315A">
        <w:trPr>
          <w:trHeight w:val="141"/>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F1B52" w14:textId="77777777" w:rsidR="000E7C08" w:rsidRPr="00CA3F84" w:rsidRDefault="000E7C08" w:rsidP="00DD315A">
            <w:pPr>
              <w:spacing w:after="0"/>
              <w:rPr>
                <w:color w:val="auto"/>
              </w:rPr>
            </w:pPr>
            <w:r w:rsidRPr="00CA3F84">
              <w:rPr>
                <w:color w:val="auto"/>
              </w:rPr>
              <w:t>DGRH</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37E058" w14:textId="77777777" w:rsidR="000E7C08" w:rsidRPr="00CA3F84" w:rsidRDefault="000E7C08" w:rsidP="00DD315A">
            <w:pPr>
              <w:spacing w:after="0"/>
              <w:rPr>
                <w:color w:val="auto"/>
              </w:rPr>
            </w:pPr>
            <w:r w:rsidRPr="00CA3F84">
              <w:rPr>
                <w:color w:val="auto"/>
              </w:rPr>
              <w:t>Direction de la gestion des ressources humaines</w:t>
            </w:r>
          </w:p>
        </w:tc>
      </w:tr>
      <w:tr w:rsidR="00CA3F84" w:rsidRPr="00CA3F84" w14:paraId="04F5C4FB" w14:textId="77777777" w:rsidTr="00DD315A">
        <w:trPr>
          <w:trHeight w:val="179"/>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4FCF6" w14:textId="77777777" w:rsidR="000E7C08" w:rsidRPr="00CA3F84" w:rsidRDefault="000E7C08" w:rsidP="00DD315A">
            <w:pPr>
              <w:spacing w:after="0"/>
              <w:rPr>
                <w:color w:val="auto"/>
              </w:rPr>
            </w:pPr>
            <w:r w:rsidRPr="00CA3F84">
              <w:rPr>
                <w:color w:val="auto"/>
              </w:rPr>
              <w:t>DPCBR</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C94F58" w14:textId="77777777" w:rsidR="000E7C08" w:rsidRPr="00CA3F84" w:rsidRDefault="000E7C08" w:rsidP="00DD315A">
            <w:pPr>
              <w:spacing w:after="0"/>
              <w:rPr>
                <w:color w:val="auto"/>
              </w:rPr>
            </w:pPr>
            <w:r w:rsidRPr="00CA3F84">
              <w:rPr>
                <w:color w:val="auto"/>
              </w:rPr>
              <w:t>Direction des programmes centraux et des bureaux régionaux</w:t>
            </w:r>
          </w:p>
        </w:tc>
      </w:tr>
      <w:tr w:rsidR="00CA3F84" w:rsidRPr="00CA3F84" w14:paraId="2496C9BF" w14:textId="77777777" w:rsidTr="00DD315A">
        <w:trPr>
          <w:trHeight w:val="2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274C6" w14:textId="77777777" w:rsidR="000E7C08" w:rsidRPr="00CA3F84" w:rsidRDefault="000E7C08" w:rsidP="00DD315A">
            <w:pPr>
              <w:spacing w:after="0"/>
              <w:rPr>
                <w:color w:val="auto"/>
              </w:rPr>
            </w:pPr>
            <w:r w:rsidRPr="00CA3F84">
              <w:rPr>
                <w:color w:val="auto"/>
              </w:rPr>
              <w:t>DPI</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6B47D" w14:textId="77777777" w:rsidR="000E7C08" w:rsidRPr="00CA3F84" w:rsidRDefault="000E7C08" w:rsidP="00DD315A">
            <w:pPr>
              <w:spacing w:after="0"/>
              <w:rPr>
                <w:color w:val="auto"/>
              </w:rPr>
            </w:pPr>
            <w:r w:rsidRPr="00CA3F84">
              <w:rPr>
                <w:color w:val="auto"/>
              </w:rPr>
              <w:t>Dirigeant principal de l’information</w:t>
            </w:r>
          </w:p>
        </w:tc>
      </w:tr>
      <w:tr w:rsidR="00CA3F84" w:rsidRPr="00CA3F84" w14:paraId="449B794C" w14:textId="77777777" w:rsidTr="00DD315A">
        <w:trPr>
          <w:trHeight w:val="17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66FEA" w14:textId="77777777" w:rsidR="000E7C08" w:rsidRPr="00CA3F84" w:rsidRDefault="000E7C08" w:rsidP="00DD315A">
            <w:pPr>
              <w:spacing w:after="0"/>
              <w:rPr>
                <w:color w:val="auto"/>
              </w:rPr>
            </w:pPr>
            <w:r w:rsidRPr="00CA3F84">
              <w:rPr>
                <w:color w:val="auto"/>
              </w:rPr>
              <w:t>DPIH</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C04172" w14:textId="77777777" w:rsidR="000E7C08" w:rsidRPr="00CA3F84" w:rsidRDefault="000E7C08" w:rsidP="00DD315A">
            <w:pPr>
              <w:spacing w:after="0"/>
              <w:rPr>
                <w:color w:val="auto"/>
              </w:rPr>
            </w:pPr>
            <w:r w:rsidRPr="00CA3F84">
              <w:rPr>
                <w:color w:val="auto"/>
              </w:rPr>
              <w:t>Direction des politiques et de l’intégration horizontale</w:t>
            </w:r>
          </w:p>
        </w:tc>
      </w:tr>
      <w:tr w:rsidR="00CA3F84" w:rsidRPr="00CA3F84" w14:paraId="15F17D93" w14:textId="77777777" w:rsidTr="00DD315A">
        <w:trPr>
          <w:trHeight w:val="356"/>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92C02" w14:textId="77777777" w:rsidR="000E7C08" w:rsidRPr="00CA3F84" w:rsidRDefault="000E7C08" w:rsidP="00DD315A">
            <w:pPr>
              <w:spacing w:after="0"/>
              <w:rPr>
                <w:color w:val="auto"/>
              </w:rPr>
            </w:pPr>
            <w:r w:rsidRPr="00CA3F84">
              <w:rPr>
                <w:color w:val="auto"/>
              </w:rPr>
              <w:t>DSDA</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6A0291" w14:textId="77777777" w:rsidR="000E7C08" w:rsidRPr="00CA3F84" w:rsidRDefault="000E7C08" w:rsidP="00DD315A">
            <w:pPr>
              <w:spacing w:after="0"/>
              <w:rPr>
                <w:color w:val="auto"/>
              </w:rPr>
            </w:pPr>
            <w:r w:rsidRPr="00CA3F84">
              <w:rPr>
                <w:color w:val="auto"/>
              </w:rPr>
              <w:t>Direction des services de données et de l’analyse</w:t>
            </w:r>
          </w:p>
        </w:tc>
      </w:tr>
      <w:tr w:rsidR="00CA3F84" w:rsidRPr="00CA3F84" w14:paraId="35820D68" w14:textId="77777777" w:rsidTr="00DD315A">
        <w:trPr>
          <w:trHeight w:val="236"/>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B1E7B" w14:textId="77777777" w:rsidR="000E7C08" w:rsidRPr="00CA3F84" w:rsidRDefault="000E7C08" w:rsidP="00DD315A">
            <w:pPr>
              <w:spacing w:after="0"/>
              <w:rPr>
                <w:color w:val="auto"/>
              </w:rPr>
            </w:pPr>
            <w:r w:rsidRPr="00CA3F84">
              <w:rPr>
                <w:color w:val="auto"/>
              </w:rPr>
              <w:t>DSDP</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7D49B8" w14:textId="77777777" w:rsidR="000E7C08" w:rsidRPr="00CA3F84" w:rsidRDefault="000E7C08" w:rsidP="00DD315A">
            <w:pPr>
              <w:spacing w:after="0"/>
              <w:rPr>
                <w:color w:val="auto"/>
              </w:rPr>
            </w:pPr>
            <w:r w:rsidRPr="00CA3F84">
              <w:rPr>
                <w:color w:val="auto"/>
              </w:rPr>
              <w:t>Direction du soutien de la dotation et des priorités</w:t>
            </w:r>
          </w:p>
        </w:tc>
      </w:tr>
      <w:tr w:rsidR="00CA3F84" w:rsidRPr="00CA3F84" w14:paraId="1210970B" w14:textId="77777777" w:rsidTr="00DD315A">
        <w:trPr>
          <w:trHeight w:val="133"/>
        </w:trPr>
        <w:tc>
          <w:tcPr>
            <w:tcW w:w="15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492865" w14:textId="77777777" w:rsidR="000E7C08" w:rsidRPr="00CA3F84" w:rsidRDefault="000E7C08" w:rsidP="00DD315A">
            <w:pPr>
              <w:spacing w:after="0"/>
              <w:rPr>
                <w:color w:val="auto"/>
              </w:rPr>
            </w:pPr>
            <w:r w:rsidRPr="00CA3F84">
              <w:rPr>
                <w:color w:val="auto"/>
              </w:rPr>
              <w:t>DSTI</w:t>
            </w:r>
          </w:p>
        </w:tc>
        <w:tc>
          <w:tcPr>
            <w:tcW w:w="7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9F8DD2" w14:textId="77777777" w:rsidR="000E7C08" w:rsidRPr="00CA3F84" w:rsidRDefault="000E7C08" w:rsidP="00DD315A">
            <w:pPr>
              <w:spacing w:after="0"/>
              <w:rPr>
                <w:color w:val="auto"/>
              </w:rPr>
            </w:pPr>
            <w:r w:rsidRPr="00CA3F84">
              <w:rPr>
                <w:color w:val="auto"/>
              </w:rPr>
              <w:t>Direction des services de la technologie de l’information</w:t>
            </w:r>
          </w:p>
        </w:tc>
      </w:tr>
      <w:tr w:rsidR="00CA3F84" w:rsidRPr="00CA3F84" w14:paraId="61CA8B7C" w14:textId="77777777" w:rsidTr="00DD315A">
        <w:trPr>
          <w:trHeight w:val="16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7F4E19" w14:textId="77777777" w:rsidR="000E7C08" w:rsidRPr="00CA3F84" w:rsidRDefault="000E7C08" w:rsidP="00DD315A">
            <w:pPr>
              <w:spacing w:after="0"/>
              <w:rPr>
                <w:color w:val="auto"/>
              </w:rPr>
            </w:pPr>
            <w:r w:rsidRPr="00CA3F84">
              <w:rPr>
                <w:color w:val="auto"/>
              </w:rPr>
              <w:t>GC</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E3EB67" w14:textId="77777777" w:rsidR="000E7C08" w:rsidRPr="00CA3F84" w:rsidRDefault="000E7C08" w:rsidP="00DD315A">
            <w:pPr>
              <w:spacing w:after="0"/>
              <w:rPr>
                <w:color w:val="auto"/>
              </w:rPr>
            </w:pPr>
            <w:r w:rsidRPr="00CA3F84">
              <w:rPr>
                <w:color w:val="auto"/>
              </w:rPr>
              <w:t>Gouvernement du Canada</w:t>
            </w:r>
          </w:p>
        </w:tc>
      </w:tr>
      <w:tr w:rsidR="00CA3F84" w:rsidRPr="00CA3F84" w14:paraId="447CDB61" w14:textId="77777777" w:rsidTr="00DD315A">
        <w:trPr>
          <w:trHeight w:val="2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72CE2" w14:textId="77777777" w:rsidR="000E7C08" w:rsidRPr="00CA3F84" w:rsidRDefault="000E7C08" w:rsidP="00DD315A">
            <w:pPr>
              <w:spacing w:after="0"/>
              <w:rPr>
                <w:color w:val="auto"/>
              </w:rPr>
            </w:pPr>
            <w:r w:rsidRPr="00CA3F84">
              <w:rPr>
                <w:color w:val="auto"/>
              </w:rPr>
              <w:lastRenderedPageBreak/>
              <w:t>GTGO</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01D609" w14:textId="77777777" w:rsidR="000E7C08" w:rsidRPr="00CA3F84" w:rsidRDefault="000E7C08" w:rsidP="00DD315A">
            <w:pPr>
              <w:spacing w:after="0"/>
              <w:rPr>
                <w:color w:val="auto"/>
              </w:rPr>
            </w:pPr>
            <w:r w:rsidRPr="00CA3F84">
              <w:rPr>
                <w:color w:val="auto"/>
              </w:rPr>
              <w:t>Groupe de travail sur le gouvernement ouvert</w:t>
            </w:r>
          </w:p>
        </w:tc>
      </w:tr>
      <w:tr w:rsidR="00CA3F84" w:rsidRPr="00CA3F84" w14:paraId="169CF659" w14:textId="77777777" w:rsidTr="00DD315A">
        <w:trPr>
          <w:trHeight w:val="44"/>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8F65A" w14:textId="77777777" w:rsidR="000E7C08" w:rsidRPr="00CA3F84" w:rsidRDefault="000E7C08" w:rsidP="00DD315A">
            <w:pPr>
              <w:spacing w:after="0"/>
              <w:rPr>
                <w:color w:val="auto"/>
              </w:rPr>
            </w:pPr>
            <w:r w:rsidRPr="00CA3F84">
              <w:rPr>
                <w:color w:val="auto"/>
              </w:rPr>
              <w:t>IDRN</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0F9390" w14:textId="77777777" w:rsidR="000E7C08" w:rsidRPr="00CA3F84" w:rsidRDefault="000E7C08" w:rsidP="00DD315A">
            <w:pPr>
              <w:spacing w:after="0"/>
              <w:rPr>
                <w:color w:val="auto"/>
              </w:rPr>
            </w:pPr>
            <w:r w:rsidRPr="00CA3F84">
              <w:rPr>
                <w:color w:val="auto"/>
              </w:rPr>
              <w:t>Instrument de délégation et de responsabilisation en matière de nomination</w:t>
            </w:r>
          </w:p>
        </w:tc>
      </w:tr>
      <w:tr w:rsidR="00CA3F84" w:rsidRPr="00CA3F84" w14:paraId="05F7A731" w14:textId="77777777" w:rsidTr="00DD315A">
        <w:trPr>
          <w:trHeight w:val="2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3718D" w14:textId="77777777" w:rsidR="000E7C08" w:rsidRPr="00CA3F84" w:rsidRDefault="000E7C08" w:rsidP="00DD315A">
            <w:pPr>
              <w:spacing w:after="0"/>
              <w:rPr>
                <w:color w:val="auto"/>
              </w:rPr>
            </w:pPr>
            <w:r w:rsidRPr="00CA3F84">
              <w:rPr>
                <w:color w:val="auto"/>
              </w:rPr>
              <w:t>INOD</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47F10E" w14:textId="77777777" w:rsidR="000E7C08" w:rsidRPr="00CA3F84" w:rsidRDefault="000E7C08" w:rsidP="00DD315A">
            <w:pPr>
              <w:spacing w:after="0"/>
              <w:rPr>
                <w:color w:val="auto"/>
              </w:rPr>
            </w:pPr>
            <w:r w:rsidRPr="00CA3F84">
              <w:rPr>
                <w:color w:val="auto"/>
              </w:rPr>
              <w:t xml:space="preserve">Interface de la nouvelle orientation en dotation </w:t>
            </w:r>
          </w:p>
        </w:tc>
      </w:tr>
      <w:tr w:rsidR="00CA3F84" w:rsidRPr="00CA3F84" w14:paraId="0AC5775F" w14:textId="77777777" w:rsidTr="00DD315A">
        <w:trPr>
          <w:trHeight w:val="121"/>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D5B515" w14:textId="77777777" w:rsidR="000E7C08" w:rsidRPr="00CA3F84" w:rsidRDefault="000E7C08" w:rsidP="00DD315A">
            <w:pPr>
              <w:spacing w:after="0"/>
              <w:rPr>
                <w:color w:val="auto"/>
              </w:rPr>
            </w:pPr>
            <w:r w:rsidRPr="00CA3F84">
              <w:rPr>
                <w:color w:val="auto"/>
              </w:rPr>
              <w:t>PMOGO</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90958A" w14:textId="77777777" w:rsidR="000E7C08" w:rsidRPr="00CA3F84" w:rsidRDefault="000E7C08" w:rsidP="00DD315A">
            <w:pPr>
              <w:spacing w:after="0"/>
              <w:rPr>
                <w:color w:val="auto"/>
              </w:rPr>
            </w:pPr>
            <w:r w:rsidRPr="00CA3F84">
              <w:rPr>
                <w:color w:val="auto"/>
              </w:rPr>
              <w:t>Plan de mise en œuvre pour un gouvernement ouvert</w:t>
            </w:r>
          </w:p>
        </w:tc>
      </w:tr>
      <w:tr w:rsidR="00CA3F84" w:rsidRPr="00CA3F84" w14:paraId="61EFAA3B" w14:textId="77777777" w:rsidTr="00DD315A">
        <w:trPr>
          <w:trHeight w:val="2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13FBE" w14:textId="77777777" w:rsidR="000E7C08" w:rsidRPr="00CA3F84" w:rsidRDefault="000E7C08" w:rsidP="00DD315A">
            <w:pPr>
              <w:spacing w:after="0"/>
              <w:rPr>
                <w:color w:val="auto"/>
              </w:rPr>
            </w:pPr>
            <w:r w:rsidRPr="00CA3F84">
              <w:rPr>
                <w:color w:val="auto"/>
              </w:rPr>
              <w:t>RPS</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7739C1" w14:textId="77777777" w:rsidR="000E7C08" w:rsidRPr="00CA3F84" w:rsidRDefault="000E7C08" w:rsidP="00DD315A">
            <w:pPr>
              <w:spacing w:after="0"/>
              <w:rPr>
                <w:color w:val="auto"/>
              </w:rPr>
            </w:pPr>
            <w:r w:rsidRPr="00CA3F84">
              <w:rPr>
                <w:color w:val="auto"/>
              </w:rPr>
              <w:t>Recrutement postsecondaire</w:t>
            </w:r>
          </w:p>
        </w:tc>
      </w:tr>
      <w:tr w:rsidR="00CA3F84" w:rsidRPr="00CA3F84" w14:paraId="401EF250" w14:textId="77777777" w:rsidTr="00DD315A">
        <w:trPr>
          <w:trHeight w:val="2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6282B5" w14:textId="77777777" w:rsidR="000E7C08" w:rsidRPr="00CA3F84" w:rsidRDefault="000E7C08" w:rsidP="00DD315A">
            <w:pPr>
              <w:spacing w:after="0"/>
              <w:rPr>
                <w:color w:val="auto"/>
              </w:rPr>
            </w:pPr>
            <w:r w:rsidRPr="00CA3F84">
              <w:rPr>
                <w:color w:val="auto"/>
              </w:rPr>
              <w:t>SAG</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3D3B76" w14:textId="77777777" w:rsidR="000E7C08" w:rsidRPr="00CA3F84" w:rsidRDefault="000E7C08" w:rsidP="00DD315A">
            <w:pPr>
              <w:spacing w:after="0"/>
              <w:rPr>
                <w:color w:val="auto"/>
              </w:rPr>
            </w:pPr>
            <w:r w:rsidRPr="00CA3F84">
              <w:rPr>
                <w:color w:val="auto"/>
              </w:rPr>
              <w:t>Secrétariat aux affaires générales</w:t>
            </w:r>
          </w:p>
        </w:tc>
      </w:tr>
      <w:tr w:rsidR="00CA3F84" w:rsidRPr="00CA3F84" w14:paraId="0105EB9D" w14:textId="77777777" w:rsidTr="00DD315A">
        <w:trPr>
          <w:trHeight w:val="2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42B5BC" w14:textId="77777777" w:rsidR="000E7C08" w:rsidRPr="00CA3F84" w:rsidRDefault="000E7C08" w:rsidP="00DD315A">
            <w:pPr>
              <w:spacing w:after="0"/>
              <w:rPr>
                <w:color w:val="auto"/>
              </w:rPr>
            </w:pPr>
            <w:r w:rsidRPr="00CA3F84">
              <w:rPr>
                <w:color w:val="auto"/>
              </w:rPr>
              <w:t>SCT</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42E2DC" w14:textId="77777777" w:rsidR="000E7C08" w:rsidRPr="00CA3F84" w:rsidRDefault="000E7C08" w:rsidP="00DD315A">
            <w:pPr>
              <w:spacing w:after="0"/>
              <w:rPr>
                <w:color w:val="auto"/>
              </w:rPr>
            </w:pPr>
            <w:r w:rsidRPr="00CA3F84">
              <w:rPr>
                <w:color w:val="auto"/>
              </w:rPr>
              <w:t>Secrétariat du Conseil du Trésor du Canada</w:t>
            </w:r>
          </w:p>
        </w:tc>
      </w:tr>
      <w:tr w:rsidR="00CA3F84" w:rsidRPr="00CA3F84" w14:paraId="6A9B9977" w14:textId="77777777" w:rsidTr="00DD315A">
        <w:trPr>
          <w:trHeight w:val="2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CA9C5" w14:textId="77777777" w:rsidR="000E7C08" w:rsidRPr="00CA3F84" w:rsidRDefault="000E7C08" w:rsidP="00DD315A">
            <w:pPr>
              <w:spacing w:after="0"/>
              <w:rPr>
                <w:color w:val="auto"/>
              </w:rPr>
            </w:pPr>
            <w:r w:rsidRPr="00CA3F84">
              <w:rPr>
                <w:color w:val="auto"/>
              </w:rPr>
              <w:t>SGIP</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79CC33" w14:textId="77777777" w:rsidR="000E7C08" w:rsidRPr="00CA3F84" w:rsidRDefault="000E7C08" w:rsidP="00DD315A">
            <w:pPr>
              <w:spacing w:after="0"/>
              <w:rPr>
                <w:color w:val="auto"/>
              </w:rPr>
            </w:pPr>
            <w:r w:rsidRPr="00CA3F84">
              <w:rPr>
                <w:color w:val="auto"/>
              </w:rPr>
              <w:t>Système de gestion de l’information sur les priorités</w:t>
            </w:r>
          </w:p>
        </w:tc>
      </w:tr>
      <w:tr w:rsidR="00CA3F84" w:rsidRPr="00CA3F84" w14:paraId="77B6ED13" w14:textId="77777777" w:rsidTr="00DD315A">
        <w:trPr>
          <w:trHeight w:val="2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5B5B5F" w14:textId="77777777" w:rsidR="000E7C08" w:rsidRPr="00CA3F84" w:rsidRDefault="000E7C08" w:rsidP="00DD315A">
            <w:pPr>
              <w:spacing w:after="0"/>
              <w:rPr>
                <w:color w:val="auto"/>
              </w:rPr>
            </w:pPr>
            <w:r w:rsidRPr="00CA3F84">
              <w:rPr>
                <w:color w:val="auto"/>
              </w:rPr>
              <w:t>SGO</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CD2FFE" w14:textId="77777777" w:rsidR="000E7C08" w:rsidRPr="00CA3F84" w:rsidRDefault="000E7C08" w:rsidP="00DD315A">
            <w:pPr>
              <w:spacing w:after="0"/>
              <w:rPr>
                <w:color w:val="auto"/>
              </w:rPr>
            </w:pPr>
            <w:r w:rsidRPr="00CA3F84">
              <w:rPr>
                <w:color w:val="auto"/>
              </w:rPr>
              <w:t>Secrétariat du gouvernement ouvert</w:t>
            </w:r>
          </w:p>
        </w:tc>
      </w:tr>
      <w:tr w:rsidR="00CA3F84" w:rsidRPr="00CA3F84" w14:paraId="5B9AC9C6" w14:textId="77777777" w:rsidTr="00DD315A">
        <w:trPr>
          <w:trHeight w:val="2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B1EEE2" w14:textId="77777777" w:rsidR="000E7C08" w:rsidRPr="00CA3F84" w:rsidRDefault="000E7C08" w:rsidP="00DD315A">
            <w:pPr>
              <w:spacing w:after="0"/>
              <w:rPr>
                <w:color w:val="auto"/>
              </w:rPr>
            </w:pPr>
            <w:r w:rsidRPr="00CA3F84">
              <w:rPr>
                <w:color w:val="auto"/>
              </w:rPr>
              <w:t>SSDA</w:t>
            </w:r>
          </w:p>
        </w:tc>
        <w:tc>
          <w:tcPr>
            <w:tcW w:w="7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262D0B" w14:textId="77777777" w:rsidR="000E7C08" w:rsidRPr="00CA3F84" w:rsidRDefault="000E7C08" w:rsidP="00DD315A">
            <w:pPr>
              <w:spacing w:after="0"/>
              <w:rPr>
                <w:color w:val="auto"/>
              </w:rPr>
            </w:pPr>
            <w:r w:rsidRPr="00CA3F84">
              <w:rPr>
                <w:color w:val="auto"/>
              </w:rPr>
              <w:t>Secteur des services et du développement des affaires</w:t>
            </w:r>
          </w:p>
        </w:tc>
      </w:tr>
      <w:tr w:rsidR="000E7C08" w:rsidRPr="00CA3F84" w14:paraId="4311AF06" w14:textId="77777777" w:rsidTr="00DD315A">
        <w:trPr>
          <w:trHeight w:val="39"/>
        </w:trPr>
        <w:tc>
          <w:tcPr>
            <w:tcW w:w="1560"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5C3B9568" w14:textId="77777777" w:rsidR="000E7C08" w:rsidRPr="00CA3F84" w:rsidRDefault="000E7C08" w:rsidP="00DD315A">
            <w:pPr>
              <w:spacing w:after="0"/>
              <w:rPr>
                <w:color w:val="auto"/>
              </w:rPr>
            </w:pPr>
            <w:r w:rsidRPr="00CA3F84">
              <w:rPr>
                <w:color w:val="auto"/>
              </w:rPr>
              <w:t>V-P</w:t>
            </w:r>
          </w:p>
        </w:tc>
        <w:tc>
          <w:tcPr>
            <w:tcW w:w="7305" w:type="dxa"/>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74DFA6DF" w14:textId="77777777" w:rsidR="000E7C08" w:rsidRPr="00CA3F84" w:rsidRDefault="000E7C08" w:rsidP="00DD315A">
            <w:pPr>
              <w:spacing w:after="0"/>
              <w:rPr>
                <w:color w:val="auto"/>
              </w:rPr>
            </w:pPr>
            <w:r w:rsidRPr="00CA3F84">
              <w:rPr>
                <w:color w:val="auto"/>
              </w:rPr>
              <w:t>Vice-président</w:t>
            </w:r>
          </w:p>
        </w:tc>
      </w:tr>
    </w:tbl>
    <w:p w14:paraId="2E5DAEB7" w14:textId="77777777" w:rsidR="0041491D" w:rsidRPr="00CA3F84" w:rsidRDefault="0041491D" w:rsidP="00ED5755">
      <w:pPr>
        <w:rPr>
          <w:color w:val="auto"/>
        </w:rPr>
      </w:pPr>
    </w:p>
    <w:sectPr w:rsidR="0041491D" w:rsidRPr="00CA3F84" w:rsidSect="00DA3EFF">
      <w:type w:val="continuous"/>
      <w:pgSz w:w="12240" w:h="15840"/>
      <w:pgMar w:top="1560" w:right="1440" w:bottom="1985" w:left="1440" w:header="709" w:footer="3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CE958" w14:textId="77777777" w:rsidR="002C3070" w:rsidRDefault="002C3070" w:rsidP="00A2240C">
      <w:r>
        <w:separator/>
      </w:r>
    </w:p>
  </w:endnote>
  <w:endnote w:type="continuationSeparator" w:id="0">
    <w:p w14:paraId="00D2C025" w14:textId="77777777" w:rsidR="002C3070" w:rsidRDefault="002C3070" w:rsidP="00A2240C">
      <w:r>
        <w:continuationSeparator/>
      </w:r>
    </w:p>
  </w:endnote>
  <w:endnote w:type="continuationNotice" w:id="1">
    <w:p w14:paraId="2334AF6F" w14:textId="77777777" w:rsidR="002C3070" w:rsidRDefault="002C30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4196647"/>
      <w:docPartObj>
        <w:docPartGallery w:val="Page Numbers (Bottom of Page)"/>
        <w:docPartUnique/>
      </w:docPartObj>
    </w:sdtPr>
    <w:sdtEndPr>
      <w:rPr>
        <w:noProof/>
      </w:rPr>
    </w:sdtEndPr>
    <w:sdtContent>
      <w:p w14:paraId="611C6FFA" w14:textId="77777777" w:rsidR="000340B4" w:rsidRPr="00013052" w:rsidRDefault="000340B4" w:rsidP="00A2240C">
        <w:pPr>
          <w:pStyle w:val="Footer"/>
          <w:rPr>
            <w:noProof/>
            <w:color w:val="auto"/>
          </w:rPr>
        </w:pPr>
        <w:r w:rsidRPr="00013052">
          <w:rPr>
            <w:noProof/>
            <w:color w:val="auto"/>
            <w:lang w:val="en-CA" w:eastAsia="en-CA"/>
          </w:rPr>
          <w:drawing>
            <wp:anchor distT="0" distB="0" distL="114300" distR="114300" simplePos="0" relativeHeight="251657216" behindDoc="1" locked="0" layoutInCell="1" allowOverlap="1" wp14:anchorId="323DB345" wp14:editId="04132F71">
              <wp:simplePos x="0" y="0"/>
              <wp:positionH relativeFrom="column">
                <wp:posOffset>-886460</wp:posOffset>
              </wp:positionH>
              <wp:positionV relativeFrom="paragraph">
                <wp:posOffset>219075</wp:posOffset>
              </wp:positionV>
              <wp:extent cx="7829550" cy="6515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29550" cy="651510"/>
                      </a:xfrm>
                      <a:prstGeom prst="rect">
                        <a:avLst/>
                      </a:prstGeom>
                    </pic:spPr>
                  </pic:pic>
                </a:graphicData>
              </a:graphic>
              <wp14:sizeRelH relativeFrom="margin">
                <wp14:pctWidth>0</wp14:pctWidth>
              </wp14:sizeRelH>
              <wp14:sizeRelV relativeFrom="margin">
                <wp14:pctHeight>0</wp14:pctHeight>
              </wp14:sizeRelV>
            </wp:anchor>
          </w:drawing>
        </w:r>
        <w:r w:rsidRPr="00013052">
          <w:rPr>
            <w:color w:val="auto"/>
          </w:rPr>
          <w:fldChar w:fldCharType="begin"/>
        </w:r>
        <w:r w:rsidRPr="00013052">
          <w:rPr>
            <w:color w:val="auto"/>
          </w:rPr>
          <w:instrText xml:space="preserve"> PAGE   \* MERGEFORMAT </w:instrText>
        </w:r>
        <w:r w:rsidRPr="00013052">
          <w:rPr>
            <w:color w:val="auto"/>
          </w:rPr>
          <w:fldChar w:fldCharType="separate"/>
        </w:r>
        <w:r w:rsidRPr="00013052">
          <w:rPr>
            <w:noProof/>
            <w:color w:val="auto"/>
          </w:rPr>
          <w:t>2</w:t>
        </w:r>
        <w:r w:rsidRPr="00013052">
          <w:rPr>
            <w:noProof/>
            <w:color w:val="auto"/>
          </w:rPr>
          <w:fldChar w:fldCharType="end"/>
        </w:r>
      </w:p>
      <w:p w14:paraId="1B00AFA7" w14:textId="77777777" w:rsidR="000340B4" w:rsidRPr="00013052" w:rsidRDefault="002C3070" w:rsidP="00A2240C">
        <w:pPr>
          <w:pStyle w:val="Footer"/>
          <w:rPr>
            <w:color w:val="auto"/>
          </w:rPr>
        </w:pPr>
      </w:p>
    </w:sdtContent>
  </w:sdt>
  <w:p w14:paraId="045F4761" w14:textId="77777777" w:rsidR="000340B4" w:rsidRPr="00013052" w:rsidRDefault="000340B4" w:rsidP="00A2240C">
    <w:pPr>
      <w:pStyle w:val="Footer"/>
      <w:rPr>
        <w:color w:val="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941184965"/>
      <w:docPartObj>
        <w:docPartGallery w:val="Page Numbers (Bottom of Page)"/>
        <w:docPartUnique/>
      </w:docPartObj>
    </w:sdtPr>
    <w:sdtEndPr>
      <w:rPr>
        <w:noProof/>
        <w:color w:val="54575A" w:themeColor="text1"/>
      </w:rPr>
    </w:sdtEndPr>
    <w:sdtContent>
      <w:p w14:paraId="5CD9F2B4" w14:textId="231D0386" w:rsidR="000340B4" w:rsidRPr="000D4464" w:rsidRDefault="000340B4" w:rsidP="00DA3EFF">
        <w:pPr>
          <w:pStyle w:val="Footer"/>
        </w:pPr>
        <w:r w:rsidRPr="00013052">
          <w:rPr>
            <w:color w:val="auto"/>
          </w:rPr>
          <w:fldChar w:fldCharType="begin"/>
        </w:r>
        <w:r w:rsidRPr="00013052">
          <w:rPr>
            <w:color w:val="auto"/>
          </w:rPr>
          <w:instrText xml:space="preserve"> PAGE   \* MERGEFORMAT </w:instrText>
        </w:r>
        <w:r w:rsidRPr="00013052">
          <w:rPr>
            <w:color w:val="auto"/>
          </w:rPr>
          <w:fldChar w:fldCharType="separate"/>
        </w:r>
        <w:r w:rsidR="006968CC">
          <w:rPr>
            <w:noProof/>
            <w:color w:val="auto"/>
          </w:rPr>
          <w:t>24</w:t>
        </w:r>
        <w:r w:rsidRPr="00013052">
          <w:rPr>
            <w:noProof/>
            <w:color w:val="auto"/>
          </w:rPr>
          <w:fldChar w:fldCharType="end"/>
        </w:r>
        <w:r w:rsidRPr="00013052">
          <w:rPr>
            <w:noProof/>
            <w:color w:val="auto"/>
          </w:rPr>
          <w:t>– Commission de la fonction publique – Plan de mise en œuvre pour un gouvernement ouvert</w:t>
        </w:r>
        <w:r>
          <w:rPr>
            <w:noProof/>
          </w:rPr>
          <w:br/>
        </w:r>
        <w:r w:rsidRPr="00CA3F84">
          <w:rPr>
            <w:color w:val="auto"/>
          </w:rPr>
          <w:t>N</w:t>
        </w:r>
        <w:r w:rsidRPr="00CA3F84">
          <w:rPr>
            <w:color w:val="auto"/>
            <w:vertAlign w:val="superscript"/>
          </w:rPr>
          <w:t>o</w:t>
        </w:r>
        <w:r w:rsidRPr="00CA3F84">
          <w:rPr>
            <w:color w:val="auto"/>
          </w:rPr>
          <w:t xml:space="preserve"> </w:t>
        </w:r>
        <w:proofErr w:type="spellStart"/>
        <w:r w:rsidRPr="00CA3F84">
          <w:rPr>
            <w:color w:val="auto"/>
          </w:rPr>
          <w:t>GCdocs</w:t>
        </w:r>
        <w:proofErr w:type="spellEnd"/>
        <w:r w:rsidRPr="00CA3F84">
          <w:rPr>
            <w:color w:val="auto"/>
          </w:rPr>
          <w:t xml:space="preserve"> </w:t>
        </w:r>
        <w:r w:rsidRPr="00D810BF">
          <w:rPr>
            <w:color w:val="auto"/>
          </w:rPr>
          <w:t>10787449</w:t>
        </w:r>
      </w:p>
      <w:p w14:paraId="3040BAD5" w14:textId="286EFA28" w:rsidR="000340B4" w:rsidRPr="000D4464" w:rsidRDefault="000340B4" w:rsidP="00DA3EFF">
        <w:pPr>
          <w:pStyle w:val="Footer"/>
        </w:pPr>
        <w:r w:rsidRPr="000D4464">
          <w:rPr>
            <w:noProof/>
            <w:lang w:val="en-CA" w:eastAsia="en-CA"/>
          </w:rPr>
          <w:drawing>
            <wp:anchor distT="0" distB="0" distL="114300" distR="114300" simplePos="0" relativeHeight="251658240" behindDoc="1" locked="0" layoutInCell="1" allowOverlap="1" wp14:anchorId="119572B3" wp14:editId="552DD671">
              <wp:simplePos x="0" y="0"/>
              <wp:positionH relativeFrom="column">
                <wp:posOffset>-962108</wp:posOffset>
              </wp:positionH>
              <wp:positionV relativeFrom="page">
                <wp:posOffset>9414344</wp:posOffset>
              </wp:positionV>
              <wp:extent cx="7825560" cy="619401"/>
              <wp:effectExtent l="0" t="0" r="4445" b="9525"/>
              <wp:wrapNone/>
              <wp:docPr id="8" name="Picture 8" descr="Lignes décorati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29049" cy="619677"/>
                      </a:xfrm>
                      <a:prstGeom prst="rect">
                        <a:avLst/>
                      </a:prstGeom>
                    </pic:spPr>
                  </pic:pic>
                </a:graphicData>
              </a:graphic>
              <wp14:sizeRelH relativeFrom="margin">
                <wp14:pctWidth>0</wp14:pctWidth>
              </wp14:sizeRelH>
              <wp14:sizeRelV relativeFrom="margin">
                <wp14:pctHeight>0</wp14:pctHeight>
              </wp14:sizeRelV>
            </wp:anchor>
          </w:drawing>
        </w:r>
      </w:p>
      <w:p w14:paraId="3E4C563F" w14:textId="77777777" w:rsidR="000340B4" w:rsidRPr="000D4464" w:rsidRDefault="000340B4" w:rsidP="00DA3EFF">
        <w:pPr>
          <w:pStyle w:val="Footer"/>
        </w:pPr>
      </w:p>
      <w:p w14:paraId="6E364C16" w14:textId="2B1759BE" w:rsidR="000340B4" w:rsidRPr="000D4464" w:rsidRDefault="002C3070">
        <w:pPr>
          <w:pStyle w:val="Footer"/>
        </w:pPr>
      </w:p>
    </w:sdtContent>
  </w:sdt>
  <w:p w14:paraId="3AEB657E" w14:textId="1226834B" w:rsidR="000340B4" w:rsidRPr="000D4464" w:rsidRDefault="000340B4" w:rsidP="00786646">
    <w:pPr>
      <w:pStyle w:val="Footer"/>
      <w:tabs>
        <w:tab w:val="clear" w:pos="4680"/>
        <w:tab w:val="clear" w:pos="9360"/>
        <w:tab w:val="left" w:pos="768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D6244" w14:textId="7EA5DC87" w:rsidR="000340B4" w:rsidRDefault="000340B4" w:rsidP="00A2240C">
    <w:pPr>
      <w:pStyle w:val="Footer"/>
    </w:pPr>
    <w:r w:rsidRPr="00CA3F84">
      <w:rPr>
        <w:color w:val="auto"/>
      </w:rPr>
      <w:t>N</w:t>
    </w:r>
    <w:r w:rsidRPr="00CA3F84">
      <w:rPr>
        <w:color w:val="auto"/>
        <w:vertAlign w:val="superscript"/>
      </w:rPr>
      <w:t>o</w:t>
    </w:r>
    <w:r w:rsidRPr="00CA3F84">
      <w:rPr>
        <w:color w:val="auto"/>
      </w:rPr>
      <w:t xml:space="preserve"> </w:t>
    </w:r>
    <w:proofErr w:type="spellStart"/>
    <w:r w:rsidRPr="00CA3F84">
      <w:rPr>
        <w:color w:val="auto"/>
      </w:rPr>
      <w:t>GCdocs</w:t>
    </w:r>
    <w:proofErr w:type="spellEnd"/>
    <w:r w:rsidRPr="00CA3F84">
      <w:rPr>
        <w:color w:val="auto"/>
      </w:rPr>
      <w:t xml:space="preserve"> </w:t>
    </w:r>
    <w:r w:rsidRPr="00D810BF">
      <w:rPr>
        <w:color w:val="auto"/>
      </w:rPr>
      <w:t>10787449</w:t>
    </w:r>
    <w:r>
      <w:rPr>
        <w:noProof/>
        <w:lang w:val="en-CA" w:eastAsia="en-CA"/>
      </w:rPr>
      <w:drawing>
        <wp:anchor distT="0" distB="0" distL="114300" distR="114300" simplePos="0" relativeHeight="251656192" behindDoc="1" locked="0" layoutInCell="1" allowOverlap="1" wp14:anchorId="32C18E82" wp14:editId="1F516BD4">
          <wp:simplePos x="0" y="0"/>
          <wp:positionH relativeFrom="column">
            <wp:posOffset>-892175</wp:posOffset>
          </wp:positionH>
          <wp:positionV relativeFrom="page">
            <wp:posOffset>5787228</wp:posOffset>
          </wp:positionV>
          <wp:extent cx="7800212" cy="3891600"/>
          <wp:effectExtent l="0" t="0" r="0" b="0"/>
          <wp:wrapNone/>
          <wp:docPr id="10" name="Picture 10" descr="Page courver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Footer-colobars.png"/>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A67A6" w14:textId="77777777" w:rsidR="002C3070" w:rsidRDefault="002C3070" w:rsidP="00A2240C">
      <w:r>
        <w:separator/>
      </w:r>
    </w:p>
  </w:footnote>
  <w:footnote w:type="continuationSeparator" w:id="0">
    <w:p w14:paraId="09A50A4B" w14:textId="77777777" w:rsidR="002C3070" w:rsidRDefault="002C3070" w:rsidP="00A2240C">
      <w:r>
        <w:continuationSeparator/>
      </w:r>
    </w:p>
  </w:footnote>
  <w:footnote w:type="continuationNotice" w:id="1">
    <w:p w14:paraId="62C7A57D" w14:textId="77777777" w:rsidR="002C3070" w:rsidRDefault="002C3070">
      <w:pPr>
        <w:spacing w:after="0" w:line="240" w:lineRule="auto"/>
      </w:pPr>
    </w:p>
  </w:footnote>
  <w:footnote w:id="2">
    <w:p w14:paraId="24F9E501" w14:textId="71FC3A97" w:rsidR="000340B4" w:rsidRPr="00B70F12" w:rsidRDefault="000340B4" w:rsidP="004E683D">
      <w:pPr>
        <w:pStyle w:val="FootnoteText"/>
      </w:pPr>
      <w:r w:rsidRPr="00106478">
        <w:rPr>
          <w:rStyle w:val="FootnoteReference"/>
          <w:color w:val="auto"/>
        </w:rPr>
        <w:footnoteRef/>
      </w:r>
      <w:r w:rsidRPr="00106478">
        <w:rPr>
          <w:color w:val="auto"/>
        </w:rPr>
        <w:t xml:space="preserve"> </w:t>
      </w:r>
      <w:hyperlink r:id="rId1" w:history="1">
        <w:r w:rsidRPr="00106478">
          <w:rPr>
            <w:rStyle w:val="Hyperlink"/>
            <w:color w:val="auto"/>
          </w:rPr>
          <w:t xml:space="preserve">Open </w:t>
        </w:r>
        <w:proofErr w:type="spellStart"/>
        <w:r w:rsidRPr="00106478">
          <w:rPr>
            <w:rStyle w:val="Hyperlink"/>
            <w:color w:val="auto"/>
          </w:rPr>
          <w:t>Government</w:t>
        </w:r>
        <w:proofErr w:type="spellEnd"/>
        <w:r w:rsidRPr="00106478">
          <w:rPr>
            <w:rStyle w:val="Hyperlink"/>
            <w:color w:val="auto"/>
          </w:rPr>
          <w:t xml:space="preserve"> </w:t>
        </w:r>
        <w:proofErr w:type="spellStart"/>
        <w:r w:rsidRPr="00106478">
          <w:rPr>
            <w:rStyle w:val="Hyperlink"/>
            <w:color w:val="auto"/>
          </w:rPr>
          <w:t>Partnership</w:t>
        </w:r>
        <w:proofErr w:type="spellEnd"/>
        <w:r w:rsidRPr="00106478">
          <w:rPr>
            <w:rStyle w:val="Hyperlink"/>
            <w:color w:val="auto"/>
          </w:rPr>
          <w:t xml:space="preserve"> Membres</w:t>
        </w:r>
      </w:hyperlink>
    </w:p>
  </w:footnote>
  <w:footnote w:id="3">
    <w:p w14:paraId="7A998625" w14:textId="1B679D8A" w:rsidR="000340B4" w:rsidRPr="00106478" w:rsidRDefault="000340B4">
      <w:pPr>
        <w:pStyle w:val="FootnoteText"/>
        <w:rPr>
          <w:color w:val="auto"/>
        </w:rPr>
      </w:pPr>
      <w:r w:rsidRPr="00106478">
        <w:rPr>
          <w:rStyle w:val="FootnoteReference"/>
          <w:color w:val="auto"/>
        </w:rPr>
        <w:footnoteRef/>
      </w:r>
      <w:r w:rsidRPr="00106478">
        <w:rPr>
          <w:color w:val="auto"/>
        </w:rPr>
        <w:t xml:space="preserve"> Nathaniel Heller, vice-président exécutif, Stratégies intégrées, Résultats pour le développement.</w:t>
      </w:r>
    </w:p>
  </w:footnote>
  <w:footnote w:id="4">
    <w:p w14:paraId="21D30C57" w14:textId="2D418564" w:rsidR="000340B4" w:rsidRPr="00106478" w:rsidRDefault="000340B4" w:rsidP="004E683D">
      <w:pPr>
        <w:pStyle w:val="FootnoteText"/>
        <w:rPr>
          <w:color w:val="auto"/>
        </w:rPr>
      </w:pPr>
      <w:r w:rsidRPr="00106478">
        <w:rPr>
          <w:rStyle w:val="FootnoteReference"/>
          <w:color w:val="auto"/>
        </w:rPr>
        <w:footnoteRef/>
      </w:r>
      <w:r w:rsidRPr="00106478">
        <w:rPr>
          <w:color w:val="auto"/>
        </w:rPr>
        <w:t xml:space="preserve"> </w:t>
      </w:r>
      <w:hyperlink r:id="rId2" w:history="1">
        <w:r w:rsidRPr="00106478">
          <w:rPr>
            <w:rStyle w:val="Hyperlink"/>
            <w:color w:val="auto"/>
          </w:rPr>
          <w:t>Plan d’action national du Canada pour un gouvernement ouvert de 2018-2020</w:t>
        </w:r>
      </w:hyperlink>
    </w:p>
  </w:footnote>
  <w:footnote w:id="5">
    <w:p w14:paraId="566FB048" w14:textId="5A6E88B7" w:rsidR="000340B4" w:rsidRPr="00106478" w:rsidRDefault="000340B4">
      <w:pPr>
        <w:pStyle w:val="FootnoteText"/>
        <w:rPr>
          <w:color w:val="auto"/>
        </w:rPr>
      </w:pPr>
      <w:r w:rsidRPr="00106478">
        <w:rPr>
          <w:rStyle w:val="FootnoteReference"/>
          <w:color w:val="auto"/>
        </w:rPr>
        <w:footnoteRef/>
      </w:r>
      <w:r w:rsidRPr="00106478">
        <w:rPr>
          <w:color w:val="auto"/>
        </w:rPr>
        <w:t xml:space="preserve"> Robin </w:t>
      </w:r>
      <w:proofErr w:type="spellStart"/>
      <w:r w:rsidRPr="00106478">
        <w:rPr>
          <w:color w:val="auto"/>
        </w:rPr>
        <w:t>Hodess</w:t>
      </w:r>
      <w:proofErr w:type="spellEnd"/>
      <w:r w:rsidRPr="00106478">
        <w:rPr>
          <w:color w:val="auto"/>
        </w:rPr>
        <w:t>, directrice de la gouvernance et de la transparence de l’équipe B.</w:t>
      </w:r>
    </w:p>
  </w:footnote>
  <w:footnote w:id="6">
    <w:p w14:paraId="388D2931" w14:textId="6AED4EAE" w:rsidR="000340B4" w:rsidRPr="00106478" w:rsidRDefault="000340B4" w:rsidP="004E683D">
      <w:pPr>
        <w:pStyle w:val="FootnoteText"/>
        <w:rPr>
          <w:color w:val="auto"/>
        </w:rPr>
      </w:pPr>
      <w:r w:rsidRPr="00106478">
        <w:rPr>
          <w:rStyle w:val="FootnoteReference"/>
          <w:color w:val="auto"/>
        </w:rPr>
        <w:footnoteRef/>
      </w:r>
      <w:r w:rsidRPr="00106478">
        <w:rPr>
          <w:color w:val="auto"/>
        </w:rPr>
        <w:t xml:space="preserve"> </w:t>
      </w:r>
      <w:hyperlink r:id="rId3" w:history="1">
        <w:r w:rsidRPr="00106478">
          <w:rPr>
            <w:rStyle w:val="Hyperlink"/>
            <w:color w:val="auto"/>
          </w:rPr>
          <w:t xml:space="preserve">2019-2020 OGP Vision du coprésident : le gouvernement argentin et Robin </w:t>
        </w:r>
        <w:proofErr w:type="spellStart"/>
        <w:r w:rsidRPr="00106478">
          <w:rPr>
            <w:rStyle w:val="Hyperlink"/>
            <w:color w:val="auto"/>
          </w:rPr>
          <w:t>Hodess</w:t>
        </w:r>
        <w:proofErr w:type="spellEnd"/>
      </w:hyperlink>
    </w:p>
  </w:footnote>
  <w:footnote w:id="7">
    <w:p w14:paraId="24EFADDB" w14:textId="63908526" w:rsidR="000340B4" w:rsidRPr="00CA3F84" w:rsidRDefault="000340B4" w:rsidP="004E683D">
      <w:pPr>
        <w:pStyle w:val="FootnoteText"/>
        <w:rPr>
          <w:color w:val="auto"/>
        </w:rPr>
      </w:pPr>
      <w:r w:rsidRPr="00106478">
        <w:rPr>
          <w:rStyle w:val="FootnoteReference"/>
          <w:color w:val="auto"/>
        </w:rPr>
        <w:footnoteRef/>
      </w:r>
      <w:r w:rsidRPr="00106478">
        <w:rPr>
          <w:color w:val="auto"/>
        </w:rPr>
        <w:t xml:space="preserve"> </w:t>
      </w:r>
      <w:hyperlink r:id="rId4" w:history="1">
        <w:r w:rsidRPr="00106478">
          <w:rPr>
            <w:rStyle w:val="Hyperlink"/>
            <w:color w:val="auto"/>
          </w:rPr>
          <w:t>Directive sur le gouvernement ouvert</w:t>
        </w:r>
      </w:hyperlink>
    </w:p>
  </w:footnote>
  <w:footnote w:id="8">
    <w:p w14:paraId="19ED7C9C" w14:textId="0BF2ED99" w:rsidR="000340B4" w:rsidRPr="00B70F12" w:rsidRDefault="000340B4" w:rsidP="004E683D">
      <w:pPr>
        <w:pStyle w:val="FootnoteText"/>
      </w:pPr>
      <w:r w:rsidRPr="00D24F4D">
        <w:rPr>
          <w:rStyle w:val="FootnoteReference"/>
          <w:color w:val="auto"/>
        </w:rPr>
        <w:footnoteRef/>
      </w:r>
      <w:r w:rsidRPr="00D24F4D">
        <w:rPr>
          <w:color w:val="auto"/>
        </w:rPr>
        <w:t xml:space="preserve"> </w:t>
      </w:r>
      <w:hyperlink r:id="rId5" w:history="1">
        <w:r w:rsidRPr="00D24F4D">
          <w:rPr>
            <w:rStyle w:val="Hyperlink"/>
            <w:color w:val="auto"/>
          </w:rPr>
          <w:t>Portail du gouvernement ouvert</w:t>
        </w:r>
      </w:hyperlink>
    </w:p>
  </w:footnote>
  <w:footnote w:id="9">
    <w:p w14:paraId="5C896599" w14:textId="784E69EE" w:rsidR="000340B4" w:rsidRPr="004E7269" w:rsidRDefault="000340B4">
      <w:pPr>
        <w:pStyle w:val="FootnoteText"/>
        <w:rPr>
          <w:color w:val="auto"/>
        </w:rPr>
      </w:pPr>
      <w:r w:rsidRPr="004E7269">
        <w:rPr>
          <w:rStyle w:val="FootnoteReference"/>
          <w:color w:val="auto"/>
        </w:rPr>
        <w:footnoteRef/>
      </w:r>
      <w:r w:rsidRPr="004E7269">
        <w:rPr>
          <w:color w:val="auto"/>
        </w:rPr>
        <w:t xml:space="preserve"> </w:t>
      </w:r>
      <w:hyperlink r:id="rId6" w:history="1">
        <w:r w:rsidRPr="004E7269">
          <w:rPr>
            <w:rStyle w:val="Hyperlink"/>
            <w:color w:val="auto"/>
          </w:rPr>
          <w:t>Politique sur les services et le numérique</w:t>
        </w:r>
      </w:hyperlink>
      <w:r w:rsidRPr="004E7269">
        <w:rPr>
          <w:color w:val="auto"/>
        </w:rPr>
        <w:t xml:space="preserve"> </w:t>
      </w:r>
    </w:p>
  </w:footnote>
  <w:footnote w:id="10">
    <w:p w14:paraId="7F2AEF70" w14:textId="40A3611B" w:rsidR="000340B4" w:rsidRPr="004E7269" w:rsidRDefault="000340B4" w:rsidP="00893D2B">
      <w:pPr>
        <w:keepLines w:val="0"/>
        <w:autoSpaceDE w:val="0"/>
        <w:autoSpaceDN w:val="0"/>
        <w:adjustRightInd w:val="0"/>
        <w:spacing w:after="0" w:line="240" w:lineRule="auto"/>
        <w:ind w:left="50" w:right="50"/>
        <w:rPr>
          <w:rFonts w:ascii="Microsoft Sans Serif" w:hAnsi="Microsoft Sans Serif" w:cs="Microsoft Sans Serif"/>
          <w:color w:val="auto"/>
          <w:sz w:val="20"/>
          <w:szCs w:val="20"/>
        </w:rPr>
      </w:pPr>
      <w:r w:rsidRPr="004E7269">
        <w:rPr>
          <w:rStyle w:val="FootnoteReference"/>
          <w:color w:val="auto"/>
        </w:rPr>
        <w:footnoteRef/>
      </w:r>
      <w:r w:rsidRPr="004E7269">
        <w:rPr>
          <w:color w:val="auto"/>
        </w:rPr>
        <w:t xml:space="preserve"> </w:t>
      </w:r>
      <w:hyperlink r:id="rId7" w:history="1">
        <w:r w:rsidRPr="004E7269">
          <w:rPr>
            <w:rStyle w:val="Hyperlink"/>
            <w:color w:val="auto"/>
            <w:sz w:val="20"/>
          </w:rPr>
          <w:t>Directive sur les services et le numérique</w:t>
        </w:r>
      </w:hyperlink>
    </w:p>
    <w:p w14:paraId="3F4333A7" w14:textId="6A425247" w:rsidR="000340B4" w:rsidRPr="00CA3F84" w:rsidRDefault="000340B4">
      <w:pPr>
        <w:pStyle w:val="FootnoteText"/>
        <w:rPr>
          <w:color w:val="auto"/>
        </w:rPr>
      </w:pPr>
    </w:p>
  </w:footnote>
  <w:footnote w:id="11">
    <w:p w14:paraId="3F624E8C" w14:textId="7AADF137" w:rsidR="000340B4" w:rsidRPr="00B70F12" w:rsidRDefault="000340B4">
      <w:pPr>
        <w:pStyle w:val="FootnoteText"/>
      </w:pPr>
      <w:r w:rsidRPr="00CA3F84">
        <w:rPr>
          <w:rStyle w:val="FootnoteReference"/>
          <w:color w:val="auto"/>
        </w:rPr>
        <w:footnoteRef/>
      </w:r>
      <w:r w:rsidRPr="00CA3F84">
        <w:rPr>
          <w:color w:val="auto"/>
        </w:rPr>
        <w:t xml:space="preserve"> Les quatre objectifs sont représentés visuellement par quatre bulles colorées à la figure 3.  Les engagements pour 2018-2020 et 2020-2022 figurent à côté de l’objectif correspondant.  </w:t>
      </w:r>
    </w:p>
  </w:footnote>
  <w:footnote w:id="12">
    <w:p w14:paraId="1DC4BE9B" w14:textId="2CB802ED" w:rsidR="000340B4" w:rsidRPr="00CA3F84" w:rsidRDefault="000340B4" w:rsidP="00DC5A6B">
      <w:pPr>
        <w:pStyle w:val="FootnoteText"/>
        <w:rPr>
          <w:color w:val="auto"/>
        </w:rPr>
      </w:pPr>
      <w:r w:rsidRPr="00CA3F84">
        <w:rPr>
          <w:rStyle w:val="FootnoteReference"/>
          <w:color w:val="auto"/>
        </w:rPr>
        <w:footnoteRef/>
      </w:r>
      <w:r w:rsidRPr="00CA3F84">
        <w:rPr>
          <w:color w:val="auto"/>
        </w:rPr>
        <w:t xml:space="preserve"> BPR : Bureau de première responsabilité</w:t>
      </w:r>
      <w:r w:rsidRPr="00CA3F84">
        <w:rPr>
          <w:rFonts w:asciiTheme="majorHAnsi" w:hAnsiTheme="majorHAnsi" w:cstheme="majorHAnsi"/>
          <w:iCs/>
          <w:color w:val="auto"/>
          <w:lang w:eastAsia="en-CA"/>
        </w:rPr>
        <w:t xml:space="preserve"> — </w:t>
      </w:r>
      <w:r w:rsidRPr="00CA3F84">
        <w:rPr>
          <w:color w:val="auto"/>
        </w:rPr>
        <w:t>Groupe ou groupes exerçant l’autorité et la principale responsabilité de réalisation du produit livrable</w:t>
      </w:r>
    </w:p>
  </w:footnote>
  <w:footnote w:id="13">
    <w:p w14:paraId="1FD109BE" w14:textId="719FC630" w:rsidR="000340B4" w:rsidRPr="00B70F12" w:rsidRDefault="000340B4" w:rsidP="00DC5A6B">
      <w:pPr>
        <w:pStyle w:val="FootnoteText"/>
      </w:pPr>
      <w:r w:rsidRPr="00CA3F84">
        <w:rPr>
          <w:rStyle w:val="FootnoteReference"/>
          <w:color w:val="auto"/>
        </w:rPr>
        <w:footnoteRef/>
      </w:r>
      <w:r w:rsidRPr="00CA3F84">
        <w:rPr>
          <w:color w:val="auto"/>
        </w:rPr>
        <w:t xml:space="preserve"> BCR : Bureau de responsabilité complémentaire — Groupe ou groupes qui, même s’ils n’exercent pas l’autorité de réalisation du produit livrable, appuient sa réalisation.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AD4F8" w14:textId="77777777" w:rsidR="000340B4" w:rsidRDefault="000340B4" w:rsidP="00A2240C">
    <w:pPr>
      <w:pStyle w:val="Header"/>
    </w:pPr>
    <w:r>
      <w:rPr>
        <w:noProof/>
        <w:lang w:val="en-CA" w:eastAsia="en-CA"/>
      </w:rPr>
      <w:drawing>
        <wp:inline distT="0" distB="0" distL="0" distR="0" wp14:anchorId="6DC32C37" wp14:editId="5025CAA7">
          <wp:extent cx="4502314" cy="267086"/>
          <wp:effectExtent l="0" t="0" r="0" b="0"/>
          <wp:docPr id="9" name="Picture 9" descr="Commission de la fonction publique du Canada avec le drapeau canad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ign-FR.png"/>
                  <pic:cNvPicPr/>
                </pic:nvPicPr>
                <pic:blipFill>
                  <a:blip r:embed="rId1">
                    <a:extLst>
                      <a:ext uri="{28A0092B-C50C-407E-A947-70E740481C1C}">
                        <a14:useLocalDpi xmlns:a14="http://schemas.microsoft.com/office/drawing/2010/main" val="0"/>
                      </a:ext>
                    </a:extLst>
                  </a:blip>
                  <a:stretch>
                    <a:fillRect/>
                  </a:stretch>
                </pic:blipFill>
                <pic:spPr>
                  <a:xfrm>
                    <a:off x="0" y="0"/>
                    <a:ext cx="4502314" cy="2670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B47"/>
    <w:multiLevelType w:val="hybridMultilevel"/>
    <w:tmpl w:val="33D4D2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EE5928"/>
    <w:multiLevelType w:val="hybridMultilevel"/>
    <w:tmpl w:val="35FA30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4C16DB"/>
    <w:multiLevelType w:val="hybridMultilevel"/>
    <w:tmpl w:val="48BE0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E04D9D"/>
    <w:multiLevelType w:val="multilevel"/>
    <w:tmpl w:val="1982089A"/>
    <w:lvl w:ilvl="0">
      <w:start w:val="1"/>
      <w:numFmt w:val="decimal"/>
      <w:lvlText w:val="%1."/>
      <w:lvlJc w:val="left"/>
      <w:pPr>
        <w:ind w:left="1080" w:hanging="720"/>
      </w:pPr>
      <w:rPr>
        <w:rFonts w:hint="default"/>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0"/>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B77904"/>
    <w:multiLevelType w:val="hybridMultilevel"/>
    <w:tmpl w:val="DD9A0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E710FF"/>
    <w:multiLevelType w:val="hybridMultilevel"/>
    <w:tmpl w:val="6F5211AC"/>
    <w:lvl w:ilvl="0" w:tplc="309E786C">
      <w:start w:val="1"/>
      <w:numFmt w:val="decimal"/>
      <w:pStyle w:val="Numberedlist"/>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2C6BF6"/>
    <w:multiLevelType w:val="hybridMultilevel"/>
    <w:tmpl w:val="56FA14D2"/>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330635"/>
    <w:multiLevelType w:val="hybridMultilevel"/>
    <w:tmpl w:val="C240C11A"/>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207BBB"/>
    <w:multiLevelType w:val="hybridMultilevel"/>
    <w:tmpl w:val="35AEE6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C32D46"/>
    <w:multiLevelType w:val="hybridMultilevel"/>
    <w:tmpl w:val="31D28F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E127F9"/>
    <w:multiLevelType w:val="hybridMultilevel"/>
    <w:tmpl w:val="88D6F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4F3E7D"/>
    <w:multiLevelType w:val="hybridMultilevel"/>
    <w:tmpl w:val="E39C53AA"/>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2A83853"/>
    <w:multiLevelType w:val="hybridMultilevel"/>
    <w:tmpl w:val="07440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B690CE1"/>
    <w:multiLevelType w:val="hybridMultilevel"/>
    <w:tmpl w:val="CF3843C2"/>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C573231"/>
    <w:multiLevelType w:val="hybridMultilevel"/>
    <w:tmpl w:val="42D2FC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2C585E"/>
    <w:multiLevelType w:val="hybridMultilevel"/>
    <w:tmpl w:val="BE3A4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72B1FF8"/>
    <w:multiLevelType w:val="hybridMultilevel"/>
    <w:tmpl w:val="412E1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7A87273"/>
    <w:multiLevelType w:val="hybridMultilevel"/>
    <w:tmpl w:val="D7DA82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ADD7D41"/>
    <w:multiLevelType w:val="hybridMultilevel"/>
    <w:tmpl w:val="1292E5E6"/>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C623320"/>
    <w:multiLevelType w:val="hybridMultilevel"/>
    <w:tmpl w:val="E668A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F985D45"/>
    <w:multiLevelType w:val="hybridMultilevel"/>
    <w:tmpl w:val="C240C11A"/>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0583114"/>
    <w:multiLevelType w:val="hybridMultilevel"/>
    <w:tmpl w:val="33B87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0C209EE"/>
    <w:multiLevelType w:val="hybridMultilevel"/>
    <w:tmpl w:val="B16C1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20917CC"/>
    <w:multiLevelType w:val="hybridMultilevel"/>
    <w:tmpl w:val="6C28CF94"/>
    <w:lvl w:ilvl="0" w:tplc="39E8DAAA">
      <w:start w:val="10"/>
      <w:numFmt w:val="bullet"/>
      <w:lvlText w:val="•"/>
      <w:lvlJc w:val="left"/>
      <w:pPr>
        <w:ind w:left="1080" w:hanging="72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7EE30D1"/>
    <w:multiLevelType w:val="hybridMultilevel"/>
    <w:tmpl w:val="0EA2A1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2775F6F"/>
    <w:multiLevelType w:val="hybridMultilevel"/>
    <w:tmpl w:val="B0506626"/>
    <w:lvl w:ilvl="0" w:tplc="10090001">
      <w:start w:val="1"/>
      <w:numFmt w:val="bullet"/>
      <w:lvlText w:val=""/>
      <w:lvlJc w:val="left"/>
      <w:pPr>
        <w:ind w:left="720" w:hanging="360"/>
      </w:pPr>
      <w:rPr>
        <w:rFonts w:ascii="Symbol" w:hAnsi="Symbol" w:hint="default"/>
      </w:rPr>
    </w:lvl>
    <w:lvl w:ilvl="1" w:tplc="31C22F18">
      <w:numFmt w:val="bullet"/>
      <w:lvlText w:val="•"/>
      <w:lvlJc w:val="left"/>
      <w:pPr>
        <w:ind w:left="1440" w:hanging="360"/>
      </w:pPr>
      <w:rPr>
        <w:rFonts w:ascii="Segoe UI Semilight" w:eastAsiaTheme="minorHAnsi" w:hAnsi="Segoe UI Semilight" w:cs="Segoe UI Semilight"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CBF44D4"/>
    <w:multiLevelType w:val="hybridMultilevel"/>
    <w:tmpl w:val="F4E6A70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7" w15:restartNumberingAfterBreak="0">
    <w:nsid w:val="5E9261A5"/>
    <w:multiLevelType w:val="hybridMultilevel"/>
    <w:tmpl w:val="74CC29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1F82CB7"/>
    <w:multiLevelType w:val="hybridMultilevel"/>
    <w:tmpl w:val="553075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F067D73"/>
    <w:multiLevelType w:val="hybridMultilevel"/>
    <w:tmpl w:val="135896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8675FBD"/>
    <w:multiLevelType w:val="hybridMultilevel"/>
    <w:tmpl w:val="5986C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9574986"/>
    <w:multiLevelType w:val="hybridMultilevel"/>
    <w:tmpl w:val="B4AE261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6"/>
  </w:num>
  <w:num w:numId="2">
    <w:abstractNumId w:val="6"/>
  </w:num>
  <w:num w:numId="3">
    <w:abstractNumId w:val="5"/>
  </w:num>
  <w:num w:numId="4">
    <w:abstractNumId w:val="25"/>
  </w:num>
  <w:num w:numId="5">
    <w:abstractNumId w:val="28"/>
  </w:num>
  <w:num w:numId="6">
    <w:abstractNumId w:val="27"/>
  </w:num>
  <w:num w:numId="7">
    <w:abstractNumId w:val="21"/>
  </w:num>
  <w:num w:numId="8">
    <w:abstractNumId w:val="19"/>
  </w:num>
  <w:num w:numId="9">
    <w:abstractNumId w:val="15"/>
  </w:num>
  <w:num w:numId="10">
    <w:abstractNumId w:val="9"/>
  </w:num>
  <w:num w:numId="11">
    <w:abstractNumId w:val="13"/>
  </w:num>
  <w:num w:numId="12">
    <w:abstractNumId w:val="18"/>
  </w:num>
  <w:num w:numId="13">
    <w:abstractNumId w:val="20"/>
  </w:num>
  <w:num w:numId="14">
    <w:abstractNumId w:val="12"/>
  </w:num>
  <w:num w:numId="15">
    <w:abstractNumId w:val="23"/>
  </w:num>
  <w:num w:numId="16">
    <w:abstractNumId w:val="2"/>
  </w:num>
  <w:num w:numId="17">
    <w:abstractNumId w:val="14"/>
  </w:num>
  <w:num w:numId="18">
    <w:abstractNumId w:val="4"/>
  </w:num>
  <w:num w:numId="19">
    <w:abstractNumId w:val="1"/>
  </w:num>
  <w:num w:numId="20">
    <w:abstractNumId w:val="30"/>
  </w:num>
  <w:num w:numId="21">
    <w:abstractNumId w:val="29"/>
  </w:num>
  <w:num w:numId="22">
    <w:abstractNumId w:val="0"/>
  </w:num>
  <w:num w:numId="23">
    <w:abstractNumId w:val="10"/>
  </w:num>
  <w:num w:numId="24">
    <w:abstractNumId w:val="11"/>
  </w:num>
  <w:num w:numId="25">
    <w:abstractNumId w:val="7"/>
  </w:num>
  <w:num w:numId="26">
    <w:abstractNumId w:val="3"/>
  </w:num>
  <w:num w:numId="27">
    <w:abstractNumId w:val="24"/>
  </w:num>
  <w:num w:numId="28">
    <w:abstractNumId w:val="26"/>
  </w:num>
  <w:num w:numId="29">
    <w:abstractNumId w:val="22"/>
  </w:num>
  <w:num w:numId="30">
    <w:abstractNumId w:val="31"/>
  </w:num>
  <w:num w:numId="31">
    <w:abstractNumId w:va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016C4"/>
    <w:rsid w:val="00001EA6"/>
    <w:rsid w:val="000028AB"/>
    <w:rsid w:val="00003690"/>
    <w:rsid w:val="00004709"/>
    <w:rsid w:val="00005240"/>
    <w:rsid w:val="00010156"/>
    <w:rsid w:val="00013052"/>
    <w:rsid w:val="00022ECD"/>
    <w:rsid w:val="00025668"/>
    <w:rsid w:val="00033E5D"/>
    <w:rsid w:val="000340B4"/>
    <w:rsid w:val="00037D7E"/>
    <w:rsid w:val="000430A4"/>
    <w:rsid w:val="00045C08"/>
    <w:rsid w:val="00045DFD"/>
    <w:rsid w:val="00050736"/>
    <w:rsid w:val="000525F7"/>
    <w:rsid w:val="00052F39"/>
    <w:rsid w:val="000539F9"/>
    <w:rsid w:val="00053FD6"/>
    <w:rsid w:val="00060916"/>
    <w:rsid w:val="00064F71"/>
    <w:rsid w:val="00067BCD"/>
    <w:rsid w:val="00070CC4"/>
    <w:rsid w:val="00071EEC"/>
    <w:rsid w:val="000756E8"/>
    <w:rsid w:val="00080195"/>
    <w:rsid w:val="00085A05"/>
    <w:rsid w:val="00087C7D"/>
    <w:rsid w:val="000918B0"/>
    <w:rsid w:val="00094270"/>
    <w:rsid w:val="0009471B"/>
    <w:rsid w:val="000A573E"/>
    <w:rsid w:val="000B46B3"/>
    <w:rsid w:val="000B4ED0"/>
    <w:rsid w:val="000B63C9"/>
    <w:rsid w:val="000B7A70"/>
    <w:rsid w:val="000C1919"/>
    <w:rsid w:val="000C1A04"/>
    <w:rsid w:val="000C7866"/>
    <w:rsid w:val="000D25B5"/>
    <w:rsid w:val="000D315C"/>
    <w:rsid w:val="000D4464"/>
    <w:rsid w:val="000D6062"/>
    <w:rsid w:val="000D7B3E"/>
    <w:rsid w:val="000E334E"/>
    <w:rsid w:val="000E562C"/>
    <w:rsid w:val="000E5FFF"/>
    <w:rsid w:val="000E6280"/>
    <w:rsid w:val="000E7C08"/>
    <w:rsid w:val="001054DF"/>
    <w:rsid w:val="00106478"/>
    <w:rsid w:val="0010662E"/>
    <w:rsid w:val="00112A9D"/>
    <w:rsid w:val="00113451"/>
    <w:rsid w:val="00113B78"/>
    <w:rsid w:val="00114223"/>
    <w:rsid w:val="00116EFD"/>
    <w:rsid w:val="00117A3C"/>
    <w:rsid w:val="00124655"/>
    <w:rsid w:val="0012511B"/>
    <w:rsid w:val="0013187A"/>
    <w:rsid w:val="00133081"/>
    <w:rsid w:val="001410E3"/>
    <w:rsid w:val="00141B2A"/>
    <w:rsid w:val="00145BD7"/>
    <w:rsid w:val="001460EF"/>
    <w:rsid w:val="0015121A"/>
    <w:rsid w:val="0015596C"/>
    <w:rsid w:val="001572E3"/>
    <w:rsid w:val="00160E4C"/>
    <w:rsid w:val="00161447"/>
    <w:rsid w:val="00164803"/>
    <w:rsid w:val="001659C0"/>
    <w:rsid w:val="001663DE"/>
    <w:rsid w:val="00170D6D"/>
    <w:rsid w:val="00171FF1"/>
    <w:rsid w:val="0017440F"/>
    <w:rsid w:val="0017503D"/>
    <w:rsid w:val="0017636C"/>
    <w:rsid w:val="00176E43"/>
    <w:rsid w:val="00181AFA"/>
    <w:rsid w:val="0018243A"/>
    <w:rsid w:val="00182D13"/>
    <w:rsid w:val="00184637"/>
    <w:rsid w:val="001863A1"/>
    <w:rsid w:val="0019471D"/>
    <w:rsid w:val="0019609F"/>
    <w:rsid w:val="00197F1C"/>
    <w:rsid w:val="001A168F"/>
    <w:rsid w:val="001A5873"/>
    <w:rsid w:val="001A5F94"/>
    <w:rsid w:val="001A6CC5"/>
    <w:rsid w:val="001A7383"/>
    <w:rsid w:val="001B1F9F"/>
    <w:rsid w:val="001B23A7"/>
    <w:rsid w:val="001B6202"/>
    <w:rsid w:val="001B6C8F"/>
    <w:rsid w:val="001C1A57"/>
    <w:rsid w:val="001D091E"/>
    <w:rsid w:val="001D314A"/>
    <w:rsid w:val="001D36F1"/>
    <w:rsid w:val="001D47BF"/>
    <w:rsid w:val="001D5B7F"/>
    <w:rsid w:val="001E2D40"/>
    <w:rsid w:val="001E5D7A"/>
    <w:rsid w:val="001E71CE"/>
    <w:rsid w:val="001F4308"/>
    <w:rsid w:val="001F6016"/>
    <w:rsid w:val="001F6A3A"/>
    <w:rsid w:val="00210263"/>
    <w:rsid w:val="00210969"/>
    <w:rsid w:val="00215D1A"/>
    <w:rsid w:val="00216277"/>
    <w:rsid w:val="00217C40"/>
    <w:rsid w:val="00217E4D"/>
    <w:rsid w:val="0022037A"/>
    <w:rsid w:val="00220F18"/>
    <w:rsid w:val="00221765"/>
    <w:rsid w:val="00222D81"/>
    <w:rsid w:val="002234E9"/>
    <w:rsid w:val="00223FF2"/>
    <w:rsid w:val="0022438B"/>
    <w:rsid w:val="00232A5C"/>
    <w:rsid w:val="00232E05"/>
    <w:rsid w:val="0023561F"/>
    <w:rsid w:val="00240906"/>
    <w:rsid w:val="00245B5A"/>
    <w:rsid w:val="00246CBC"/>
    <w:rsid w:val="00251842"/>
    <w:rsid w:val="00251E20"/>
    <w:rsid w:val="00254D39"/>
    <w:rsid w:val="00257508"/>
    <w:rsid w:val="00257D47"/>
    <w:rsid w:val="00260D94"/>
    <w:rsid w:val="00261681"/>
    <w:rsid w:val="0026451F"/>
    <w:rsid w:val="00264569"/>
    <w:rsid w:val="00264DE8"/>
    <w:rsid w:val="002661C6"/>
    <w:rsid w:val="002669DD"/>
    <w:rsid w:val="00270B9A"/>
    <w:rsid w:val="002746F5"/>
    <w:rsid w:val="00277F1A"/>
    <w:rsid w:val="00282004"/>
    <w:rsid w:val="00283586"/>
    <w:rsid w:val="00285461"/>
    <w:rsid w:val="0028670A"/>
    <w:rsid w:val="00286F8E"/>
    <w:rsid w:val="002872AB"/>
    <w:rsid w:val="00290710"/>
    <w:rsid w:val="00290B39"/>
    <w:rsid w:val="00293384"/>
    <w:rsid w:val="002940B4"/>
    <w:rsid w:val="0029576C"/>
    <w:rsid w:val="00295C83"/>
    <w:rsid w:val="002A2703"/>
    <w:rsid w:val="002A56E5"/>
    <w:rsid w:val="002B061F"/>
    <w:rsid w:val="002B2218"/>
    <w:rsid w:val="002B440A"/>
    <w:rsid w:val="002B5A70"/>
    <w:rsid w:val="002B6EA5"/>
    <w:rsid w:val="002C2D20"/>
    <w:rsid w:val="002C3070"/>
    <w:rsid w:val="002C5D81"/>
    <w:rsid w:val="002C70D2"/>
    <w:rsid w:val="002C788E"/>
    <w:rsid w:val="002D1B24"/>
    <w:rsid w:val="002D228F"/>
    <w:rsid w:val="002D268B"/>
    <w:rsid w:val="002D3366"/>
    <w:rsid w:val="002D6960"/>
    <w:rsid w:val="002E0490"/>
    <w:rsid w:val="002E0FEA"/>
    <w:rsid w:val="002E102A"/>
    <w:rsid w:val="002E3F90"/>
    <w:rsid w:val="002E4BA8"/>
    <w:rsid w:val="002E537A"/>
    <w:rsid w:val="002E7186"/>
    <w:rsid w:val="002E7930"/>
    <w:rsid w:val="002F2FBC"/>
    <w:rsid w:val="002F3E17"/>
    <w:rsid w:val="002F5B5A"/>
    <w:rsid w:val="002F70E9"/>
    <w:rsid w:val="002F7E1D"/>
    <w:rsid w:val="00301E07"/>
    <w:rsid w:val="0030574E"/>
    <w:rsid w:val="00305A2E"/>
    <w:rsid w:val="00310BCE"/>
    <w:rsid w:val="0031145C"/>
    <w:rsid w:val="00321B2B"/>
    <w:rsid w:val="0033605E"/>
    <w:rsid w:val="003376C7"/>
    <w:rsid w:val="003405C3"/>
    <w:rsid w:val="00345500"/>
    <w:rsid w:val="00350C18"/>
    <w:rsid w:val="00353EAB"/>
    <w:rsid w:val="00355196"/>
    <w:rsid w:val="003564A5"/>
    <w:rsid w:val="003618CE"/>
    <w:rsid w:val="003640A7"/>
    <w:rsid w:val="00365144"/>
    <w:rsid w:val="00365DAE"/>
    <w:rsid w:val="0037142F"/>
    <w:rsid w:val="00374E0E"/>
    <w:rsid w:val="003771F7"/>
    <w:rsid w:val="0038332B"/>
    <w:rsid w:val="0039126A"/>
    <w:rsid w:val="0039200B"/>
    <w:rsid w:val="003969B7"/>
    <w:rsid w:val="003A060E"/>
    <w:rsid w:val="003A074B"/>
    <w:rsid w:val="003A1C90"/>
    <w:rsid w:val="003A4509"/>
    <w:rsid w:val="003A6486"/>
    <w:rsid w:val="003A7D2D"/>
    <w:rsid w:val="003B5A50"/>
    <w:rsid w:val="003C0C34"/>
    <w:rsid w:val="003C1479"/>
    <w:rsid w:val="003C5262"/>
    <w:rsid w:val="003D019E"/>
    <w:rsid w:val="003D7F0E"/>
    <w:rsid w:val="003E5983"/>
    <w:rsid w:val="003E6947"/>
    <w:rsid w:val="003F0A43"/>
    <w:rsid w:val="003F1F30"/>
    <w:rsid w:val="00400060"/>
    <w:rsid w:val="00400D5D"/>
    <w:rsid w:val="0040269A"/>
    <w:rsid w:val="00402902"/>
    <w:rsid w:val="00406A26"/>
    <w:rsid w:val="004117EE"/>
    <w:rsid w:val="00412189"/>
    <w:rsid w:val="00412DD7"/>
    <w:rsid w:val="0041491D"/>
    <w:rsid w:val="00415499"/>
    <w:rsid w:val="00415743"/>
    <w:rsid w:val="004162E8"/>
    <w:rsid w:val="004216AE"/>
    <w:rsid w:val="0042235E"/>
    <w:rsid w:val="00424010"/>
    <w:rsid w:val="00425A2A"/>
    <w:rsid w:val="00425C32"/>
    <w:rsid w:val="00426346"/>
    <w:rsid w:val="00427684"/>
    <w:rsid w:val="00434B91"/>
    <w:rsid w:val="00435592"/>
    <w:rsid w:val="00436F88"/>
    <w:rsid w:val="0044157C"/>
    <w:rsid w:val="004514B7"/>
    <w:rsid w:val="00451E81"/>
    <w:rsid w:val="00455354"/>
    <w:rsid w:val="004626D5"/>
    <w:rsid w:val="004627A8"/>
    <w:rsid w:val="00463E8D"/>
    <w:rsid w:val="00472C04"/>
    <w:rsid w:val="004731F2"/>
    <w:rsid w:val="00475652"/>
    <w:rsid w:val="0047696A"/>
    <w:rsid w:val="00485F11"/>
    <w:rsid w:val="0048700A"/>
    <w:rsid w:val="00490D81"/>
    <w:rsid w:val="00490FE9"/>
    <w:rsid w:val="004923AA"/>
    <w:rsid w:val="00495775"/>
    <w:rsid w:val="004957A8"/>
    <w:rsid w:val="004B1BFA"/>
    <w:rsid w:val="004B6D89"/>
    <w:rsid w:val="004C2296"/>
    <w:rsid w:val="004C78B2"/>
    <w:rsid w:val="004D02F1"/>
    <w:rsid w:val="004D0DF9"/>
    <w:rsid w:val="004D2E38"/>
    <w:rsid w:val="004D370C"/>
    <w:rsid w:val="004D4257"/>
    <w:rsid w:val="004D701D"/>
    <w:rsid w:val="004E0ADE"/>
    <w:rsid w:val="004E1E98"/>
    <w:rsid w:val="004E26F3"/>
    <w:rsid w:val="004E2779"/>
    <w:rsid w:val="004E4C42"/>
    <w:rsid w:val="004E63FD"/>
    <w:rsid w:val="004E683D"/>
    <w:rsid w:val="004E7269"/>
    <w:rsid w:val="004F2353"/>
    <w:rsid w:val="004F552D"/>
    <w:rsid w:val="004F5CDA"/>
    <w:rsid w:val="004F6CB8"/>
    <w:rsid w:val="005006A6"/>
    <w:rsid w:val="00501F06"/>
    <w:rsid w:val="00503785"/>
    <w:rsid w:val="00503823"/>
    <w:rsid w:val="005054A8"/>
    <w:rsid w:val="00505B79"/>
    <w:rsid w:val="00510D7C"/>
    <w:rsid w:val="00513A64"/>
    <w:rsid w:val="00514749"/>
    <w:rsid w:val="00514CB7"/>
    <w:rsid w:val="00516284"/>
    <w:rsid w:val="00520D21"/>
    <w:rsid w:val="00523DEA"/>
    <w:rsid w:val="00525191"/>
    <w:rsid w:val="005323D1"/>
    <w:rsid w:val="00532417"/>
    <w:rsid w:val="00532D89"/>
    <w:rsid w:val="00540D73"/>
    <w:rsid w:val="00544546"/>
    <w:rsid w:val="00544EA2"/>
    <w:rsid w:val="00552276"/>
    <w:rsid w:val="005524D5"/>
    <w:rsid w:val="005562B4"/>
    <w:rsid w:val="00557387"/>
    <w:rsid w:val="005613B1"/>
    <w:rsid w:val="00561BF1"/>
    <w:rsid w:val="00563314"/>
    <w:rsid w:val="00563D9E"/>
    <w:rsid w:val="005654E7"/>
    <w:rsid w:val="00570B78"/>
    <w:rsid w:val="005770B8"/>
    <w:rsid w:val="00580C5F"/>
    <w:rsid w:val="005815ED"/>
    <w:rsid w:val="005840E5"/>
    <w:rsid w:val="005857F3"/>
    <w:rsid w:val="00591B0B"/>
    <w:rsid w:val="0059476D"/>
    <w:rsid w:val="005957F6"/>
    <w:rsid w:val="00595E63"/>
    <w:rsid w:val="005A0153"/>
    <w:rsid w:val="005A47D0"/>
    <w:rsid w:val="005A5F14"/>
    <w:rsid w:val="005B4B39"/>
    <w:rsid w:val="005B565E"/>
    <w:rsid w:val="005B7B44"/>
    <w:rsid w:val="005C2ED0"/>
    <w:rsid w:val="005C4E28"/>
    <w:rsid w:val="005C7ABE"/>
    <w:rsid w:val="005D05C9"/>
    <w:rsid w:val="005D3691"/>
    <w:rsid w:val="005D4154"/>
    <w:rsid w:val="005D4F4A"/>
    <w:rsid w:val="005D6C44"/>
    <w:rsid w:val="005D7D35"/>
    <w:rsid w:val="005E1680"/>
    <w:rsid w:val="005E3025"/>
    <w:rsid w:val="005E3B92"/>
    <w:rsid w:val="005E5681"/>
    <w:rsid w:val="005F59A8"/>
    <w:rsid w:val="0060482C"/>
    <w:rsid w:val="00604B89"/>
    <w:rsid w:val="006139A9"/>
    <w:rsid w:val="00617C7F"/>
    <w:rsid w:val="00620047"/>
    <w:rsid w:val="00626986"/>
    <w:rsid w:val="00627D1C"/>
    <w:rsid w:val="00630356"/>
    <w:rsid w:val="00637B82"/>
    <w:rsid w:val="00640033"/>
    <w:rsid w:val="0064155D"/>
    <w:rsid w:val="00641AA6"/>
    <w:rsid w:val="006432D5"/>
    <w:rsid w:val="006450FF"/>
    <w:rsid w:val="00646A04"/>
    <w:rsid w:val="006472DA"/>
    <w:rsid w:val="006516FD"/>
    <w:rsid w:val="00657317"/>
    <w:rsid w:val="00657AE4"/>
    <w:rsid w:val="00657D7F"/>
    <w:rsid w:val="00657EE4"/>
    <w:rsid w:val="006639D8"/>
    <w:rsid w:val="00665DC0"/>
    <w:rsid w:val="006675C5"/>
    <w:rsid w:val="00682700"/>
    <w:rsid w:val="00684C9A"/>
    <w:rsid w:val="0069435F"/>
    <w:rsid w:val="0069444E"/>
    <w:rsid w:val="006968CC"/>
    <w:rsid w:val="006973A4"/>
    <w:rsid w:val="006A330D"/>
    <w:rsid w:val="006B17E7"/>
    <w:rsid w:val="006B2669"/>
    <w:rsid w:val="006B7D4D"/>
    <w:rsid w:val="006C352C"/>
    <w:rsid w:val="006C499D"/>
    <w:rsid w:val="006C652D"/>
    <w:rsid w:val="006C7657"/>
    <w:rsid w:val="006D10BF"/>
    <w:rsid w:val="006D203E"/>
    <w:rsid w:val="006D4609"/>
    <w:rsid w:val="006E118F"/>
    <w:rsid w:val="006E24A7"/>
    <w:rsid w:val="006F25AE"/>
    <w:rsid w:val="006F2BB1"/>
    <w:rsid w:val="006F3750"/>
    <w:rsid w:val="006F3B2E"/>
    <w:rsid w:val="006F6DF4"/>
    <w:rsid w:val="00700805"/>
    <w:rsid w:val="00703286"/>
    <w:rsid w:val="007056B3"/>
    <w:rsid w:val="00706D83"/>
    <w:rsid w:val="0071435C"/>
    <w:rsid w:val="00715C40"/>
    <w:rsid w:val="00715F6E"/>
    <w:rsid w:val="00716489"/>
    <w:rsid w:val="00720472"/>
    <w:rsid w:val="0072068A"/>
    <w:rsid w:val="00721B1B"/>
    <w:rsid w:val="00721D3B"/>
    <w:rsid w:val="00725F7C"/>
    <w:rsid w:val="00727C97"/>
    <w:rsid w:val="00730267"/>
    <w:rsid w:val="00734D83"/>
    <w:rsid w:val="00741A0B"/>
    <w:rsid w:val="00743E10"/>
    <w:rsid w:val="0074682D"/>
    <w:rsid w:val="00746FD7"/>
    <w:rsid w:val="00753514"/>
    <w:rsid w:val="007563A2"/>
    <w:rsid w:val="00756EBA"/>
    <w:rsid w:val="007625EF"/>
    <w:rsid w:val="00764C2C"/>
    <w:rsid w:val="007655C3"/>
    <w:rsid w:val="00767E3B"/>
    <w:rsid w:val="00773A34"/>
    <w:rsid w:val="0078184D"/>
    <w:rsid w:val="00784D51"/>
    <w:rsid w:val="00786646"/>
    <w:rsid w:val="00791330"/>
    <w:rsid w:val="00791DB1"/>
    <w:rsid w:val="00797DD2"/>
    <w:rsid w:val="007A0925"/>
    <w:rsid w:val="007A197F"/>
    <w:rsid w:val="007B43B3"/>
    <w:rsid w:val="007B7388"/>
    <w:rsid w:val="007B7800"/>
    <w:rsid w:val="007C69C1"/>
    <w:rsid w:val="007D6747"/>
    <w:rsid w:val="007D7848"/>
    <w:rsid w:val="007E2B21"/>
    <w:rsid w:val="007E3739"/>
    <w:rsid w:val="007E3983"/>
    <w:rsid w:val="007E4A6E"/>
    <w:rsid w:val="007E5403"/>
    <w:rsid w:val="007E5633"/>
    <w:rsid w:val="007F3C65"/>
    <w:rsid w:val="007F6D88"/>
    <w:rsid w:val="008071F9"/>
    <w:rsid w:val="008136E5"/>
    <w:rsid w:val="00813FB0"/>
    <w:rsid w:val="00816BAB"/>
    <w:rsid w:val="00816F96"/>
    <w:rsid w:val="00820ACE"/>
    <w:rsid w:val="0082405D"/>
    <w:rsid w:val="00824C62"/>
    <w:rsid w:val="00825433"/>
    <w:rsid w:val="0083006D"/>
    <w:rsid w:val="00830EA0"/>
    <w:rsid w:val="00832DAF"/>
    <w:rsid w:val="008357E7"/>
    <w:rsid w:val="00837BD9"/>
    <w:rsid w:val="00837C03"/>
    <w:rsid w:val="00843F3E"/>
    <w:rsid w:val="008474C7"/>
    <w:rsid w:val="00851C12"/>
    <w:rsid w:val="00853EA0"/>
    <w:rsid w:val="008544DD"/>
    <w:rsid w:val="00854FC8"/>
    <w:rsid w:val="00855E99"/>
    <w:rsid w:val="008569F2"/>
    <w:rsid w:val="00863C9D"/>
    <w:rsid w:val="00863FE4"/>
    <w:rsid w:val="00873087"/>
    <w:rsid w:val="008747ED"/>
    <w:rsid w:val="00876AF0"/>
    <w:rsid w:val="008823BF"/>
    <w:rsid w:val="00886534"/>
    <w:rsid w:val="008918A7"/>
    <w:rsid w:val="00893D2B"/>
    <w:rsid w:val="00895C9E"/>
    <w:rsid w:val="008A5B64"/>
    <w:rsid w:val="008A5D9D"/>
    <w:rsid w:val="008A69F8"/>
    <w:rsid w:val="008B05A8"/>
    <w:rsid w:val="008B1F98"/>
    <w:rsid w:val="008B51CB"/>
    <w:rsid w:val="008B61FF"/>
    <w:rsid w:val="008C569D"/>
    <w:rsid w:val="008C5FA2"/>
    <w:rsid w:val="008C5FB7"/>
    <w:rsid w:val="008D25F3"/>
    <w:rsid w:val="008D3721"/>
    <w:rsid w:val="008D5FBD"/>
    <w:rsid w:val="008E6108"/>
    <w:rsid w:val="008E68FC"/>
    <w:rsid w:val="008E7A02"/>
    <w:rsid w:val="008F3072"/>
    <w:rsid w:val="00900BEE"/>
    <w:rsid w:val="00904DB7"/>
    <w:rsid w:val="00905A1B"/>
    <w:rsid w:val="009129F7"/>
    <w:rsid w:val="009132D9"/>
    <w:rsid w:val="00914FB9"/>
    <w:rsid w:val="00916717"/>
    <w:rsid w:val="00917D63"/>
    <w:rsid w:val="009207D5"/>
    <w:rsid w:val="00922B95"/>
    <w:rsid w:val="00922FC9"/>
    <w:rsid w:val="0092401F"/>
    <w:rsid w:val="009276F6"/>
    <w:rsid w:val="00932D15"/>
    <w:rsid w:val="00941F3E"/>
    <w:rsid w:val="00944F6C"/>
    <w:rsid w:val="00947049"/>
    <w:rsid w:val="009472E2"/>
    <w:rsid w:val="0095284C"/>
    <w:rsid w:val="009530DA"/>
    <w:rsid w:val="00963E2F"/>
    <w:rsid w:val="00967C16"/>
    <w:rsid w:val="00970C35"/>
    <w:rsid w:val="00972178"/>
    <w:rsid w:val="00976AD7"/>
    <w:rsid w:val="009804A9"/>
    <w:rsid w:val="009841CB"/>
    <w:rsid w:val="00985B84"/>
    <w:rsid w:val="00985FD0"/>
    <w:rsid w:val="009910A1"/>
    <w:rsid w:val="009945A8"/>
    <w:rsid w:val="00995745"/>
    <w:rsid w:val="0099681E"/>
    <w:rsid w:val="00996C06"/>
    <w:rsid w:val="00997B18"/>
    <w:rsid w:val="009A0277"/>
    <w:rsid w:val="009A4964"/>
    <w:rsid w:val="009A75C8"/>
    <w:rsid w:val="009B3C28"/>
    <w:rsid w:val="009B739E"/>
    <w:rsid w:val="009C00E9"/>
    <w:rsid w:val="009C2FD2"/>
    <w:rsid w:val="009D0DDB"/>
    <w:rsid w:val="009D1748"/>
    <w:rsid w:val="009D2777"/>
    <w:rsid w:val="009E4D31"/>
    <w:rsid w:val="009E6359"/>
    <w:rsid w:val="009F150A"/>
    <w:rsid w:val="00A05BE3"/>
    <w:rsid w:val="00A06E42"/>
    <w:rsid w:val="00A106DA"/>
    <w:rsid w:val="00A14078"/>
    <w:rsid w:val="00A15DFD"/>
    <w:rsid w:val="00A20B92"/>
    <w:rsid w:val="00A214A9"/>
    <w:rsid w:val="00A21E25"/>
    <w:rsid w:val="00A2240C"/>
    <w:rsid w:val="00A24049"/>
    <w:rsid w:val="00A26E43"/>
    <w:rsid w:val="00A27EA3"/>
    <w:rsid w:val="00A30129"/>
    <w:rsid w:val="00A303A7"/>
    <w:rsid w:val="00A37091"/>
    <w:rsid w:val="00A42DD5"/>
    <w:rsid w:val="00A43DE8"/>
    <w:rsid w:val="00A46A3E"/>
    <w:rsid w:val="00A47ACB"/>
    <w:rsid w:val="00A47AF1"/>
    <w:rsid w:val="00A5016B"/>
    <w:rsid w:val="00A522E6"/>
    <w:rsid w:val="00A555FF"/>
    <w:rsid w:val="00A56391"/>
    <w:rsid w:val="00A602B2"/>
    <w:rsid w:val="00A60A51"/>
    <w:rsid w:val="00A61A3A"/>
    <w:rsid w:val="00A63E3B"/>
    <w:rsid w:val="00A646E4"/>
    <w:rsid w:val="00A65324"/>
    <w:rsid w:val="00A66177"/>
    <w:rsid w:val="00A74E52"/>
    <w:rsid w:val="00A75D22"/>
    <w:rsid w:val="00A776EB"/>
    <w:rsid w:val="00A80EDF"/>
    <w:rsid w:val="00A82B38"/>
    <w:rsid w:val="00A85E04"/>
    <w:rsid w:val="00A919AF"/>
    <w:rsid w:val="00A91B2E"/>
    <w:rsid w:val="00A91E85"/>
    <w:rsid w:val="00A9779D"/>
    <w:rsid w:val="00AA48AD"/>
    <w:rsid w:val="00AA4FB6"/>
    <w:rsid w:val="00AA6EF7"/>
    <w:rsid w:val="00AB0105"/>
    <w:rsid w:val="00AB34A0"/>
    <w:rsid w:val="00AB3B4D"/>
    <w:rsid w:val="00AB4D8A"/>
    <w:rsid w:val="00AB61A9"/>
    <w:rsid w:val="00AC181E"/>
    <w:rsid w:val="00AC448D"/>
    <w:rsid w:val="00AC6B9A"/>
    <w:rsid w:val="00AD3C64"/>
    <w:rsid w:val="00AD4ACE"/>
    <w:rsid w:val="00AE3014"/>
    <w:rsid w:val="00AE5497"/>
    <w:rsid w:val="00AF08C5"/>
    <w:rsid w:val="00AF0DA6"/>
    <w:rsid w:val="00AF0DE3"/>
    <w:rsid w:val="00AF29E1"/>
    <w:rsid w:val="00B06254"/>
    <w:rsid w:val="00B10DFB"/>
    <w:rsid w:val="00B15BA1"/>
    <w:rsid w:val="00B24227"/>
    <w:rsid w:val="00B26218"/>
    <w:rsid w:val="00B26A22"/>
    <w:rsid w:val="00B32EBF"/>
    <w:rsid w:val="00B32EEB"/>
    <w:rsid w:val="00B335FE"/>
    <w:rsid w:val="00B36D15"/>
    <w:rsid w:val="00B40813"/>
    <w:rsid w:val="00B42354"/>
    <w:rsid w:val="00B4312D"/>
    <w:rsid w:val="00B50854"/>
    <w:rsid w:val="00B50972"/>
    <w:rsid w:val="00B52F89"/>
    <w:rsid w:val="00B54179"/>
    <w:rsid w:val="00B5614A"/>
    <w:rsid w:val="00B61A00"/>
    <w:rsid w:val="00B646AC"/>
    <w:rsid w:val="00B66809"/>
    <w:rsid w:val="00B7013E"/>
    <w:rsid w:val="00B70F12"/>
    <w:rsid w:val="00B710EF"/>
    <w:rsid w:val="00B743B0"/>
    <w:rsid w:val="00B752E1"/>
    <w:rsid w:val="00B7761A"/>
    <w:rsid w:val="00B864AA"/>
    <w:rsid w:val="00B86A06"/>
    <w:rsid w:val="00B8785D"/>
    <w:rsid w:val="00B9341C"/>
    <w:rsid w:val="00B9467D"/>
    <w:rsid w:val="00BA47B5"/>
    <w:rsid w:val="00BA65D2"/>
    <w:rsid w:val="00BB1E03"/>
    <w:rsid w:val="00BB5337"/>
    <w:rsid w:val="00BB63E7"/>
    <w:rsid w:val="00BC1D53"/>
    <w:rsid w:val="00BC30AF"/>
    <w:rsid w:val="00BC6832"/>
    <w:rsid w:val="00BC7998"/>
    <w:rsid w:val="00BD48A3"/>
    <w:rsid w:val="00BD5441"/>
    <w:rsid w:val="00BD746A"/>
    <w:rsid w:val="00BE1101"/>
    <w:rsid w:val="00BE1576"/>
    <w:rsid w:val="00BE1F2B"/>
    <w:rsid w:val="00BE35E1"/>
    <w:rsid w:val="00BF2093"/>
    <w:rsid w:val="00BF375D"/>
    <w:rsid w:val="00BF4606"/>
    <w:rsid w:val="00C04907"/>
    <w:rsid w:val="00C110BF"/>
    <w:rsid w:val="00C13DEE"/>
    <w:rsid w:val="00C1523D"/>
    <w:rsid w:val="00C16449"/>
    <w:rsid w:val="00C17120"/>
    <w:rsid w:val="00C208BA"/>
    <w:rsid w:val="00C2090F"/>
    <w:rsid w:val="00C22793"/>
    <w:rsid w:val="00C23153"/>
    <w:rsid w:val="00C277A3"/>
    <w:rsid w:val="00C3071F"/>
    <w:rsid w:val="00C320F9"/>
    <w:rsid w:val="00C34147"/>
    <w:rsid w:val="00C41065"/>
    <w:rsid w:val="00C426EF"/>
    <w:rsid w:val="00C453B9"/>
    <w:rsid w:val="00C5171D"/>
    <w:rsid w:val="00C51F5A"/>
    <w:rsid w:val="00C540CB"/>
    <w:rsid w:val="00C60A95"/>
    <w:rsid w:val="00C64378"/>
    <w:rsid w:val="00C64578"/>
    <w:rsid w:val="00C66C67"/>
    <w:rsid w:val="00C67EF9"/>
    <w:rsid w:val="00C7189C"/>
    <w:rsid w:val="00C80B6D"/>
    <w:rsid w:val="00C81261"/>
    <w:rsid w:val="00C82905"/>
    <w:rsid w:val="00C82ABA"/>
    <w:rsid w:val="00C84824"/>
    <w:rsid w:val="00C84C85"/>
    <w:rsid w:val="00C84E95"/>
    <w:rsid w:val="00C86CD1"/>
    <w:rsid w:val="00C87C01"/>
    <w:rsid w:val="00C910D8"/>
    <w:rsid w:val="00C92BCC"/>
    <w:rsid w:val="00C934A7"/>
    <w:rsid w:val="00C94253"/>
    <w:rsid w:val="00C956EF"/>
    <w:rsid w:val="00C963C0"/>
    <w:rsid w:val="00CA3F84"/>
    <w:rsid w:val="00CA4915"/>
    <w:rsid w:val="00CB066B"/>
    <w:rsid w:val="00CB0ADE"/>
    <w:rsid w:val="00CB396C"/>
    <w:rsid w:val="00CB5B04"/>
    <w:rsid w:val="00CB635F"/>
    <w:rsid w:val="00CB6D7E"/>
    <w:rsid w:val="00CC21E1"/>
    <w:rsid w:val="00CC6B16"/>
    <w:rsid w:val="00CD11B2"/>
    <w:rsid w:val="00CD2459"/>
    <w:rsid w:val="00CD34A5"/>
    <w:rsid w:val="00CD406E"/>
    <w:rsid w:val="00CD4E5C"/>
    <w:rsid w:val="00CD700F"/>
    <w:rsid w:val="00CE3FB3"/>
    <w:rsid w:val="00CF37F6"/>
    <w:rsid w:val="00CF4506"/>
    <w:rsid w:val="00CF62D0"/>
    <w:rsid w:val="00D024D9"/>
    <w:rsid w:val="00D05C85"/>
    <w:rsid w:val="00D139B2"/>
    <w:rsid w:val="00D14A46"/>
    <w:rsid w:val="00D16DD4"/>
    <w:rsid w:val="00D17DDB"/>
    <w:rsid w:val="00D22ED5"/>
    <w:rsid w:val="00D23339"/>
    <w:rsid w:val="00D24F4D"/>
    <w:rsid w:val="00D271DC"/>
    <w:rsid w:val="00D33463"/>
    <w:rsid w:val="00D42B33"/>
    <w:rsid w:val="00D5626C"/>
    <w:rsid w:val="00D566C5"/>
    <w:rsid w:val="00D600B4"/>
    <w:rsid w:val="00D60A8D"/>
    <w:rsid w:val="00D6389B"/>
    <w:rsid w:val="00D65E22"/>
    <w:rsid w:val="00D71445"/>
    <w:rsid w:val="00D715C4"/>
    <w:rsid w:val="00D71834"/>
    <w:rsid w:val="00D761BE"/>
    <w:rsid w:val="00D77E7E"/>
    <w:rsid w:val="00D810BF"/>
    <w:rsid w:val="00D8477F"/>
    <w:rsid w:val="00D87433"/>
    <w:rsid w:val="00D91A65"/>
    <w:rsid w:val="00D93358"/>
    <w:rsid w:val="00D9790C"/>
    <w:rsid w:val="00DA2555"/>
    <w:rsid w:val="00DA38A7"/>
    <w:rsid w:val="00DA3EFF"/>
    <w:rsid w:val="00DA41D5"/>
    <w:rsid w:val="00DA4D90"/>
    <w:rsid w:val="00DA7F6C"/>
    <w:rsid w:val="00DB1DBF"/>
    <w:rsid w:val="00DB5041"/>
    <w:rsid w:val="00DB5CC6"/>
    <w:rsid w:val="00DC097C"/>
    <w:rsid w:val="00DC5A6B"/>
    <w:rsid w:val="00DC65F3"/>
    <w:rsid w:val="00DD0E02"/>
    <w:rsid w:val="00DD315A"/>
    <w:rsid w:val="00DD3AB7"/>
    <w:rsid w:val="00DD5765"/>
    <w:rsid w:val="00DE0665"/>
    <w:rsid w:val="00DE1F61"/>
    <w:rsid w:val="00DE4B50"/>
    <w:rsid w:val="00DF3B97"/>
    <w:rsid w:val="00DF7D19"/>
    <w:rsid w:val="00E02261"/>
    <w:rsid w:val="00E04A49"/>
    <w:rsid w:val="00E054AA"/>
    <w:rsid w:val="00E07096"/>
    <w:rsid w:val="00E10CB6"/>
    <w:rsid w:val="00E13613"/>
    <w:rsid w:val="00E21BEF"/>
    <w:rsid w:val="00E24784"/>
    <w:rsid w:val="00E3054D"/>
    <w:rsid w:val="00E30B94"/>
    <w:rsid w:val="00E31080"/>
    <w:rsid w:val="00E33459"/>
    <w:rsid w:val="00E36175"/>
    <w:rsid w:val="00E42195"/>
    <w:rsid w:val="00E42EBD"/>
    <w:rsid w:val="00E43446"/>
    <w:rsid w:val="00E434E8"/>
    <w:rsid w:val="00E46CFB"/>
    <w:rsid w:val="00E56470"/>
    <w:rsid w:val="00E56991"/>
    <w:rsid w:val="00E61CDB"/>
    <w:rsid w:val="00E632CF"/>
    <w:rsid w:val="00E742CC"/>
    <w:rsid w:val="00E754F0"/>
    <w:rsid w:val="00E856F0"/>
    <w:rsid w:val="00E86B4D"/>
    <w:rsid w:val="00E9026D"/>
    <w:rsid w:val="00E90569"/>
    <w:rsid w:val="00E911D5"/>
    <w:rsid w:val="00EA08A3"/>
    <w:rsid w:val="00EA3BEF"/>
    <w:rsid w:val="00EB2979"/>
    <w:rsid w:val="00EB4091"/>
    <w:rsid w:val="00EB7892"/>
    <w:rsid w:val="00EC0DAE"/>
    <w:rsid w:val="00EC1993"/>
    <w:rsid w:val="00EC1E6A"/>
    <w:rsid w:val="00EC20B4"/>
    <w:rsid w:val="00EC26E3"/>
    <w:rsid w:val="00EC7B7F"/>
    <w:rsid w:val="00ED2079"/>
    <w:rsid w:val="00ED27EB"/>
    <w:rsid w:val="00ED5755"/>
    <w:rsid w:val="00ED5DE7"/>
    <w:rsid w:val="00ED7833"/>
    <w:rsid w:val="00ED7D39"/>
    <w:rsid w:val="00EE126B"/>
    <w:rsid w:val="00EE26E1"/>
    <w:rsid w:val="00EE3ED8"/>
    <w:rsid w:val="00EE545F"/>
    <w:rsid w:val="00EF1D28"/>
    <w:rsid w:val="00EF5A32"/>
    <w:rsid w:val="00EF6290"/>
    <w:rsid w:val="00EF7D22"/>
    <w:rsid w:val="00F020CE"/>
    <w:rsid w:val="00F03BEF"/>
    <w:rsid w:val="00F133F5"/>
    <w:rsid w:val="00F14111"/>
    <w:rsid w:val="00F15835"/>
    <w:rsid w:val="00F16694"/>
    <w:rsid w:val="00F17733"/>
    <w:rsid w:val="00F20220"/>
    <w:rsid w:val="00F2106F"/>
    <w:rsid w:val="00F21988"/>
    <w:rsid w:val="00F23034"/>
    <w:rsid w:val="00F2536C"/>
    <w:rsid w:val="00F27A75"/>
    <w:rsid w:val="00F33A39"/>
    <w:rsid w:val="00F36F3B"/>
    <w:rsid w:val="00F4331A"/>
    <w:rsid w:val="00F4363F"/>
    <w:rsid w:val="00F44A5D"/>
    <w:rsid w:val="00F45379"/>
    <w:rsid w:val="00F528D0"/>
    <w:rsid w:val="00F53EC2"/>
    <w:rsid w:val="00F555CE"/>
    <w:rsid w:val="00F5582E"/>
    <w:rsid w:val="00F56BA9"/>
    <w:rsid w:val="00F571DC"/>
    <w:rsid w:val="00F61DB3"/>
    <w:rsid w:val="00F71195"/>
    <w:rsid w:val="00F7461D"/>
    <w:rsid w:val="00F75999"/>
    <w:rsid w:val="00F82D3D"/>
    <w:rsid w:val="00F951E7"/>
    <w:rsid w:val="00F9552F"/>
    <w:rsid w:val="00F96B18"/>
    <w:rsid w:val="00F96C2E"/>
    <w:rsid w:val="00FA02C5"/>
    <w:rsid w:val="00FA1CD4"/>
    <w:rsid w:val="00FA2B44"/>
    <w:rsid w:val="00FA3923"/>
    <w:rsid w:val="00FA42B0"/>
    <w:rsid w:val="00FA4448"/>
    <w:rsid w:val="00FA55DE"/>
    <w:rsid w:val="00FB4E1A"/>
    <w:rsid w:val="00FC059E"/>
    <w:rsid w:val="00FC5C10"/>
    <w:rsid w:val="00FC646E"/>
    <w:rsid w:val="00FD0CE0"/>
    <w:rsid w:val="00FD42B4"/>
    <w:rsid w:val="00FD4960"/>
    <w:rsid w:val="00FD62AA"/>
    <w:rsid w:val="00FD6F56"/>
    <w:rsid w:val="00FD79AF"/>
    <w:rsid w:val="00FE0A8F"/>
    <w:rsid w:val="00FE5068"/>
    <w:rsid w:val="00FE68AB"/>
    <w:rsid w:val="00FF29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F6CFE"/>
  <w15:docId w15:val="{26996FBF-B5C7-4726-A0BB-F601504F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0C"/>
    <w:pPr>
      <w:keepLines/>
    </w:pPr>
    <w:rPr>
      <w:color w:val="54575A" w:themeColor="text1"/>
      <w:lang w:val="fr-CA"/>
    </w:rPr>
  </w:style>
  <w:style w:type="paragraph" w:styleId="Heading1">
    <w:name w:val="heading 1"/>
    <w:basedOn w:val="Normal"/>
    <w:next w:val="Normal"/>
    <w:link w:val="Heading1Char"/>
    <w:uiPriority w:val="9"/>
    <w:qFormat/>
    <w:rsid w:val="005C2ED0"/>
    <w:pPr>
      <w:keepNext/>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5C2ED0"/>
    <w:pPr>
      <w:keepNext/>
      <w:spacing w:before="40" w:after="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5C2ED0"/>
    <w:pPr>
      <w:keepNext/>
      <w:spacing w:before="40" w:after="0"/>
      <w:outlineLvl w:val="2"/>
    </w:pPr>
    <w:rPr>
      <w:rFonts w:ascii="Segoe UI Semibold" w:eastAsiaTheme="majorEastAsia" w:hAnsi="Segoe UI Semibold" w:cs="Segoe UI Semibold"/>
      <w:sz w:val="24"/>
      <w:szCs w:val="24"/>
    </w:rPr>
  </w:style>
  <w:style w:type="paragraph" w:styleId="Heading4">
    <w:name w:val="heading 4"/>
    <w:basedOn w:val="Normal"/>
    <w:next w:val="Normal"/>
    <w:link w:val="Heading4Char"/>
    <w:uiPriority w:val="9"/>
    <w:unhideWhenUsed/>
    <w:qFormat/>
    <w:rsid w:val="00222D81"/>
    <w:pPr>
      <w:keepNext/>
      <w:spacing w:before="40" w:after="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C92BCC"/>
    <w:pPr>
      <w:keepNext/>
      <w:spacing w:before="40" w:after="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62E"/>
  </w:style>
  <w:style w:type="paragraph" w:styleId="Footer">
    <w:name w:val="footer"/>
    <w:basedOn w:val="Normal"/>
    <w:link w:val="FooterChar"/>
    <w:uiPriority w:val="99"/>
    <w:unhideWhenUsed/>
    <w:rsid w:val="003F1F30"/>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3F1F30"/>
    <w:rPr>
      <w:sz w:val="18"/>
    </w:rPr>
  </w:style>
  <w:style w:type="paragraph" w:styleId="Title">
    <w:name w:val="Title"/>
    <w:basedOn w:val="Normal"/>
    <w:next w:val="Normal"/>
    <w:link w:val="TitleChar"/>
    <w:autoRedefine/>
    <w:uiPriority w:val="10"/>
    <w:qFormat/>
    <w:rsid w:val="00721D3B"/>
    <w:pPr>
      <w:spacing w:after="0" w:line="1200" w:lineRule="exact"/>
      <w:contextualSpacing/>
    </w:pPr>
    <w:rPr>
      <w:rFonts w:ascii="Segoe UI Light" w:eastAsiaTheme="majorEastAsia" w:hAnsi="Segoe UI Light" w:cs="Segoe UI Light"/>
      <w:color w:val="auto"/>
      <w:spacing w:val="-10"/>
      <w:kern w:val="28"/>
      <w:sz w:val="72"/>
      <w:szCs w:val="120"/>
    </w:rPr>
  </w:style>
  <w:style w:type="character" w:customStyle="1" w:styleId="TitleChar">
    <w:name w:val="Title Char"/>
    <w:basedOn w:val="DefaultParagraphFont"/>
    <w:link w:val="Title"/>
    <w:uiPriority w:val="10"/>
    <w:rsid w:val="00721D3B"/>
    <w:rPr>
      <w:rFonts w:ascii="Segoe UI Light" w:eastAsiaTheme="majorEastAsia" w:hAnsi="Segoe UI Light" w:cs="Segoe UI Light"/>
      <w:spacing w:val="-10"/>
      <w:kern w:val="28"/>
      <w:sz w:val="72"/>
      <w:szCs w:val="120"/>
      <w:lang w:val="fr-CA"/>
    </w:rPr>
  </w:style>
  <w:style w:type="paragraph" w:styleId="Subtitle">
    <w:name w:val="Subtitle"/>
    <w:basedOn w:val="Normal"/>
    <w:next w:val="Normal"/>
    <w:link w:val="SubtitleChar"/>
    <w:uiPriority w:val="11"/>
    <w:qFormat/>
    <w:rsid w:val="00743E10"/>
    <w:rPr>
      <w:rFonts w:ascii="Segoe UI Light" w:hAnsi="Segoe UI Light" w:cs="Segoe UI Light"/>
      <w:sz w:val="36"/>
      <w:szCs w:val="36"/>
    </w:rPr>
  </w:style>
  <w:style w:type="character" w:customStyle="1" w:styleId="SubtitleChar">
    <w:name w:val="Subtitle Char"/>
    <w:basedOn w:val="DefaultParagraphFont"/>
    <w:link w:val="Subtitle"/>
    <w:uiPriority w:val="11"/>
    <w:rsid w:val="00743E10"/>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5C2ED0"/>
    <w:rPr>
      <w:rFonts w:asciiTheme="majorHAnsi" w:eastAsiaTheme="majorEastAsia" w:hAnsiTheme="majorHAnsi" w:cstheme="majorBidi"/>
      <w:color w:val="54575A" w:themeColor="text1"/>
      <w:sz w:val="48"/>
      <w:szCs w:val="48"/>
    </w:rPr>
  </w:style>
  <w:style w:type="character" w:customStyle="1" w:styleId="Heading2Char">
    <w:name w:val="Heading 2 Char"/>
    <w:basedOn w:val="DefaultParagraphFont"/>
    <w:link w:val="Heading2"/>
    <w:uiPriority w:val="9"/>
    <w:rsid w:val="005C2ED0"/>
    <w:rPr>
      <w:rFonts w:ascii="Segoe UI" w:eastAsiaTheme="majorEastAsia" w:hAnsi="Segoe UI" w:cs="Segoe UI"/>
      <w:b/>
      <w:color w:val="5B315E" w:themeColor="accent2"/>
      <w:sz w:val="32"/>
      <w:szCs w:val="32"/>
    </w:rPr>
  </w:style>
  <w:style w:type="character" w:customStyle="1" w:styleId="Heading3Char">
    <w:name w:val="Heading 3 Char"/>
    <w:basedOn w:val="DefaultParagraphFont"/>
    <w:link w:val="Heading3"/>
    <w:uiPriority w:val="9"/>
    <w:rsid w:val="005C2ED0"/>
    <w:rPr>
      <w:rFonts w:ascii="Segoe UI Semibold" w:eastAsiaTheme="majorEastAsia" w:hAnsi="Segoe UI Semibold" w:cs="Segoe UI Semibold"/>
      <w:color w:val="54575A" w:themeColor="text1"/>
      <w:sz w:val="24"/>
      <w:szCs w:val="24"/>
    </w:rPr>
  </w:style>
  <w:style w:type="paragraph" w:styleId="ListParagraph">
    <w:name w:val="List Paragraph"/>
    <w:basedOn w:val="Normal"/>
    <w:uiPriority w:val="34"/>
    <w:qFormat/>
    <w:rsid w:val="006C652D"/>
    <w:pPr>
      <w:numPr>
        <w:numId w:val="2"/>
      </w:numPr>
      <w:spacing w:after="320"/>
      <w:contextualSpacing/>
    </w:pPr>
  </w:style>
  <w:style w:type="character" w:customStyle="1" w:styleId="Heading4Char">
    <w:name w:val="Heading 4 Char"/>
    <w:basedOn w:val="DefaultParagraphFont"/>
    <w:link w:val="Heading4"/>
    <w:uiPriority w:val="9"/>
    <w:rsid w:val="00222D81"/>
    <w:rPr>
      <w:rFonts w:asciiTheme="majorHAnsi" w:eastAsiaTheme="majorEastAsia" w:hAnsiTheme="majorHAnsi" w:cstheme="majorBidi"/>
      <w:iCs/>
      <w:color w:val="54575A" w:themeColor="text2"/>
    </w:rPr>
  </w:style>
  <w:style w:type="paragraph" w:styleId="BalloonText">
    <w:name w:val="Balloon Text"/>
    <w:basedOn w:val="Normal"/>
    <w:link w:val="BalloonTextChar"/>
    <w:autoRedefine/>
    <w:uiPriority w:val="99"/>
    <w:semiHidden/>
    <w:unhideWhenUsed/>
    <w:rsid w:val="00D14A46"/>
    <w:pPr>
      <w:spacing w:after="0" w:line="240" w:lineRule="auto"/>
    </w:pPr>
    <w:rPr>
      <w:rFonts w:ascii="Segoe UI" w:hAnsi="Segoe UI" w:cs="Segoe UI"/>
      <w:sz w:val="24"/>
      <w:szCs w:val="18"/>
    </w:rPr>
  </w:style>
  <w:style w:type="character" w:customStyle="1" w:styleId="BalloonTextChar">
    <w:name w:val="Balloon Text Char"/>
    <w:basedOn w:val="DefaultParagraphFont"/>
    <w:link w:val="BalloonText"/>
    <w:uiPriority w:val="99"/>
    <w:semiHidden/>
    <w:rsid w:val="003C0C34"/>
    <w:rPr>
      <w:rFonts w:ascii="Segoe UI" w:hAnsi="Segoe UI" w:cs="Segoe UI"/>
      <w:color w:val="54575A" w:themeColor="text1"/>
      <w:sz w:val="24"/>
      <w:szCs w:val="18"/>
      <w:lang w:val="fr-CA"/>
    </w:rPr>
  </w:style>
  <w:style w:type="paragraph" w:customStyle="1" w:styleId="Numberedlist">
    <w:name w:val="Numbered list"/>
    <w:basedOn w:val="ListParagraph"/>
    <w:qFormat/>
    <w:rsid w:val="003C0C34"/>
    <w:pPr>
      <w:numPr>
        <w:numId w:val="3"/>
      </w:numPr>
    </w:pPr>
  </w:style>
  <w:style w:type="table" w:styleId="TableGrid">
    <w:name w:val="Table Grid"/>
    <w:basedOn w:val="TableNormal"/>
    <w:uiPriority w:val="39"/>
    <w:rsid w:val="0098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985FD0"/>
    <w:rPr>
      <w:rFonts w:ascii="Segoe UI Semibold" w:hAnsi="Segoe UI Semibold"/>
      <w:b w:val="0"/>
      <w:color w:val="54575A" w:themeColor="text1"/>
    </w:rPr>
  </w:style>
  <w:style w:type="paragraph" w:customStyle="1" w:styleId="ColumnTitle">
    <w:name w:val="Column Title"/>
    <w:basedOn w:val="Normal"/>
    <w:qFormat/>
    <w:rsid w:val="002669DD"/>
    <w:pPr>
      <w:spacing w:after="0" w:line="240" w:lineRule="auto"/>
    </w:pPr>
    <w:rPr>
      <w:rFonts w:ascii="Segoe UI Semibold" w:hAnsi="Segoe UI Semibold" w:cs="Segoe UI Semibold"/>
      <w:color w:val="F2F2F2" w:themeColor="background2"/>
      <w:sz w:val="24"/>
      <w:szCs w:val="24"/>
    </w:rPr>
  </w:style>
  <w:style w:type="paragraph" w:customStyle="1" w:styleId="DataText">
    <w:name w:val="Data Text"/>
    <w:basedOn w:val="Normal"/>
    <w:qFormat/>
    <w:rsid w:val="002669DD"/>
    <w:pPr>
      <w:spacing w:after="0" w:line="240" w:lineRule="auto"/>
    </w:pPr>
  </w:style>
  <w:style w:type="paragraph" w:customStyle="1" w:styleId="Heading3forBox">
    <w:name w:val="Heading 3 for Box"/>
    <w:basedOn w:val="Normal"/>
    <w:qFormat/>
    <w:rsid w:val="00BC7998"/>
    <w:rPr>
      <w:rFonts w:ascii="Segoe UI Semibold" w:eastAsiaTheme="majorEastAsia" w:hAnsi="Segoe UI Semibold" w:cs="Segoe UI Semibold"/>
      <w:color w:val="FFFFFF" w:themeColor="background1"/>
      <w:sz w:val="24"/>
      <w:szCs w:val="24"/>
    </w:rPr>
  </w:style>
  <w:style w:type="paragraph" w:customStyle="1" w:styleId="NormalWhiteforBox">
    <w:name w:val="Normal White for Box"/>
    <w:basedOn w:val="Normal"/>
    <w:qFormat/>
    <w:rsid w:val="00BC7998"/>
  </w:style>
  <w:style w:type="paragraph" w:styleId="FootnoteText">
    <w:name w:val="footnote text"/>
    <w:basedOn w:val="Normal"/>
    <w:link w:val="FootnoteTextChar"/>
    <w:uiPriority w:val="99"/>
    <w:unhideWhenUsed/>
    <w:rsid w:val="00F45379"/>
    <w:pPr>
      <w:spacing w:after="0" w:line="240" w:lineRule="auto"/>
    </w:pPr>
    <w:rPr>
      <w:sz w:val="20"/>
      <w:szCs w:val="20"/>
    </w:rPr>
  </w:style>
  <w:style w:type="character" w:customStyle="1" w:styleId="FootnoteTextChar">
    <w:name w:val="Footnote Text Char"/>
    <w:basedOn w:val="DefaultParagraphFont"/>
    <w:link w:val="FootnoteText"/>
    <w:uiPriority w:val="99"/>
    <w:rsid w:val="00F45379"/>
    <w:rPr>
      <w:sz w:val="20"/>
      <w:szCs w:val="20"/>
    </w:rPr>
  </w:style>
  <w:style w:type="character" w:styleId="FootnoteReference">
    <w:name w:val="footnote reference"/>
    <w:basedOn w:val="DefaultParagraphFont"/>
    <w:uiPriority w:val="99"/>
    <w:semiHidden/>
    <w:unhideWhenUsed/>
    <w:rsid w:val="00F45379"/>
    <w:rPr>
      <w:vertAlign w:val="superscript"/>
    </w:rPr>
  </w:style>
  <w:style w:type="character" w:customStyle="1" w:styleId="Heading5Char">
    <w:name w:val="Heading 5 Char"/>
    <w:basedOn w:val="DefaultParagraphFont"/>
    <w:link w:val="Heading5"/>
    <w:uiPriority w:val="9"/>
    <w:rsid w:val="00C92BCC"/>
    <w:rPr>
      <w:rFonts w:asciiTheme="majorHAnsi" w:eastAsiaTheme="majorEastAsia" w:hAnsiTheme="majorHAnsi" w:cstheme="majorBidi"/>
      <w:color w:val="9F0040" w:themeColor="accent1" w:themeShade="BF"/>
    </w:rPr>
  </w:style>
  <w:style w:type="paragraph" w:styleId="TOCHeading">
    <w:name w:val="TOC Heading"/>
    <w:basedOn w:val="Heading1"/>
    <w:next w:val="Normal"/>
    <w:uiPriority w:val="39"/>
    <w:unhideWhenUsed/>
    <w:qFormat/>
    <w:rsid w:val="00436F88"/>
    <w:pPr>
      <w:outlineLvl w:val="9"/>
    </w:pPr>
    <w:rPr>
      <w:color w:val="9F0040" w:themeColor="accent1" w:themeShade="BF"/>
      <w:sz w:val="32"/>
      <w:szCs w:val="32"/>
      <w:lang w:val="en-US"/>
    </w:rPr>
  </w:style>
  <w:style w:type="paragraph" w:styleId="Quote">
    <w:name w:val="Quote"/>
    <w:basedOn w:val="Normal"/>
    <w:next w:val="Normal"/>
    <w:link w:val="QuoteChar"/>
    <w:uiPriority w:val="29"/>
    <w:qFormat/>
    <w:rsid w:val="00436F88"/>
    <w:pPr>
      <w:spacing w:before="200"/>
      <w:ind w:left="864" w:right="864"/>
      <w:jc w:val="center"/>
    </w:pPr>
    <w:rPr>
      <w:i/>
      <w:iCs/>
      <w:color w:val="7C8085" w:themeColor="text1" w:themeTint="BF"/>
    </w:rPr>
  </w:style>
  <w:style w:type="character" w:customStyle="1" w:styleId="QuoteChar">
    <w:name w:val="Quote Char"/>
    <w:basedOn w:val="DefaultParagraphFont"/>
    <w:link w:val="Quote"/>
    <w:uiPriority w:val="29"/>
    <w:rsid w:val="00436F88"/>
    <w:rPr>
      <w:i/>
      <w:iCs/>
      <w:color w:val="7C8085" w:themeColor="text1" w:themeTint="BF"/>
      <w:lang w:val="fr-CA"/>
    </w:rPr>
  </w:style>
  <w:style w:type="character" w:styleId="Hyperlink">
    <w:name w:val="Hyperlink"/>
    <w:basedOn w:val="DefaultParagraphFont"/>
    <w:uiPriority w:val="99"/>
    <w:unhideWhenUsed/>
    <w:rsid w:val="00DC65F3"/>
    <w:rPr>
      <w:color w:val="0099A8" w:themeColor="hyperlink"/>
      <w:u w:val="single"/>
    </w:rPr>
  </w:style>
  <w:style w:type="character" w:styleId="CommentReference">
    <w:name w:val="annotation reference"/>
    <w:basedOn w:val="DefaultParagraphFont"/>
    <w:uiPriority w:val="99"/>
    <w:semiHidden/>
    <w:unhideWhenUsed/>
    <w:rsid w:val="0041491D"/>
    <w:rPr>
      <w:sz w:val="16"/>
      <w:szCs w:val="16"/>
    </w:rPr>
  </w:style>
  <w:style w:type="paragraph" w:styleId="CommentText">
    <w:name w:val="annotation text"/>
    <w:basedOn w:val="Normal"/>
    <w:link w:val="CommentTextChar"/>
    <w:autoRedefine/>
    <w:uiPriority w:val="99"/>
    <w:unhideWhenUsed/>
    <w:rsid w:val="005857F3"/>
    <w:pPr>
      <w:spacing w:line="240" w:lineRule="auto"/>
    </w:pPr>
    <w:rPr>
      <w:sz w:val="24"/>
      <w:szCs w:val="20"/>
    </w:rPr>
  </w:style>
  <w:style w:type="character" w:customStyle="1" w:styleId="CommentTextChar">
    <w:name w:val="Comment Text Char"/>
    <w:basedOn w:val="DefaultParagraphFont"/>
    <w:link w:val="CommentText"/>
    <w:uiPriority w:val="99"/>
    <w:rsid w:val="005857F3"/>
    <w:rPr>
      <w:color w:val="54575A" w:themeColor="text1"/>
      <w:sz w:val="24"/>
      <w:szCs w:val="20"/>
      <w:lang w:val="fr-CA"/>
    </w:rPr>
  </w:style>
  <w:style w:type="paragraph" w:styleId="TOC1">
    <w:name w:val="toc 1"/>
    <w:basedOn w:val="Normal"/>
    <w:next w:val="Normal"/>
    <w:autoRedefine/>
    <w:uiPriority w:val="39"/>
    <w:unhideWhenUsed/>
    <w:rsid w:val="00CA3F84"/>
    <w:pPr>
      <w:tabs>
        <w:tab w:val="right" w:leader="dot" w:pos="9350"/>
      </w:tabs>
      <w:spacing w:after="100"/>
    </w:pPr>
    <w:rPr>
      <w:rFonts w:asciiTheme="majorHAnsi" w:eastAsiaTheme="majorEastAsia" w:hAnsiTheme="majorHAnsi" w:cstheme="majorBidi"/>
      <w:noProof/>
      <w:color w:val="auto"/>
    </w:rPr>
  </w:style>
  <w:style w:type="paragraph" w:styleId="TOC2">
    <w:name w:val="toc 2"/>
    <w:basedOn w:val="Normal"/>
    <w:next w:val="Normal"/>
    <w:autoRedefine/>
    <w:uiPriority w:val="39"/>
    <w:unhideWhenUsed/>
    <w:rsid w:val="00CA3F84"/>
    <w:pPr>
      <w:tabs>
        <w:tab w:val="right" w:leader="dot" w:pos="9350"/>
      </w:tabs>
      <w:spacing w:after="100"/>
      <w:ind w:left="220"/>
    </w:pPr>
    <w:rPr>
      <w:noProof/>
      <w:color w:val="auto"/>
    </w:rPr>
  </w:style>
  <w:style w:type="paragraph" w:styleId="TOC3">
    <w:name w:val="toc 3"/>
    <w:basedOn w:val="Normal"/>
    <w:next w:val="Normal"/>
    <w:autoRedefine/>
    <w:uiPriority w:val="39"/>
    <w:unhideWhenUsed/>
    <w:rsid w:val="00FC5C10"/>
    <w:pPr>
      <w:spacing w:after="100"/>
      <w:ind w:left="440"/>
    </w:pPr>
  </w:style>
  <w:style w:type="paragraph" w:styleId="CommentSubject">
    <w:name w:val="annotation subject"/>
    <w:basedOn w:val="CommentText"/>
    <w:next w:val="CommentText"/>
    <w:link w:val="CommentSubjectChar"/>
    <w:uiPriority w:val="99"/>
    <w:semiHidden/>
    <w:unhideWhenUsed/>
    <w:rsid w:val="00753514"/>
    <w:rPr>
      <w:b/>
      <w:bCs/>
    </w:rPr>
  </w:style>
  <w:style w:type="character" w:customStyle="1" w:styleId="CommentSubjectChar">
    <w:name w:val="Comment Subject Char"/>
    <w:basedOn w:val="CommentTextChar"/>
    <w:link w:val="CommentSubject"/>
    <w:uiPriority w:val="99"/>
    <w:semiHidden/>
    <w:rsid w:val="00753514"/>
    <w:rPr>
      <w:b/>
      <w:bCs/>
      <w:color w:val="54575A" w:themeColor="text1"/>
      <w:sz w:val="20"/>
      <w:szCs w:val="20"/>
      <w:lang w:val="fr-CA"/>
    </w:rPr>
  </w:style>
  <w:style w:type="character" w:styleId="FollowedHyperlink">
    <w:name w:val="FollowedHyperlink"/>
    <w:basedOn w:val="DefaultParagraphFont"/>
    <w:uiPriority w:val="99"/>
    <w:semiHidden/>
    <w:unhideWhenUsed/>
    <w:rsid w:val="00B7013E"/>
    <w:rPr>
      <w:color w:val="A5A5A5" w:themeColor="followedHyperlink"/>
      <w:u w:val="single"/>
    </w:rPr>
  </w:style>
  <w:style w:type="paragraph" w:styleId="EndnoteText">
    <w:name w:val="endnote text"/>
    <w:basedOn w:val="Normal"/>
    <w:link w:val="EndnoteTextChar"/>
    <w:uiPriority w:val="99"/>
    <w:semiHidden/>
    <w:unhideWhenUsed/>
    <w:rsid w:val="00893D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D2B"/>
    <w:rPr>
      <w:color w:val="54575A" w:themeColor="text1"/>
      <w:sz w:val="20"/>
      <w:szCs w:val="20"/>
      <w:lang w:val="fr-CA"/>
    </w:rPr>
  </w:style>
  <w:style w:type="character" w:styleId="EndnoteReference">
    <w:name w:val="endnote reference"/>
    <w:basedOn w:val="DefaultParagraphFont"/>
    <w:uiPriority w:val="99"/>
    <w:semiHidden/>
    <w:unhideWhenUsed/>
    <w:rsid w:val="00893D2B"/>
    <w:rPr>
      <w:vertAlign w:val="superscript"/>
    </w:rPr>
  </w:style>
  <w:style w:type="character" w:styleId="IntenseEmphasis">
    <w:name w:val="Intense Emphasis"/>
    <w:basedOn w:val="DefaultParagraphFont"/>
    <w:uiPriority w:val="21"/>
    <w:qFormat/>
    <w:rsid w:val="00DC5A6B"/>
    <w:rPr>
      <w:i w:val="0"/>
      <w:iCs/>
      <w:color w:val="D50057" w:themeColor="accent1"/>
    </w:rPr>
  </w:style>
  <w:style w:type="paragraph" w:styleId="Revision">
    <w:name w:val="Revision"/>
    <w:hidden/>
    <w:uiPriority w:val="99"/>
    <w:semiHidden/>
    <w:rsid w:val="00FD4960"/>
    <w:pPr>
      <w:spacing w:after="0" w:line="240" w:lineRule="auto"/>
    </w:pPr>
    <w:rPr>
      <w:color w:val="54575A" w:themeColor="text1"/>
      <w:lang w:val="fr-CA"/>
    </w:rPr>
  </w:style>
  <w:style w:type="paragraph" w:styleId="Caption">
    <w:name w:val="caption"/>
    <w:basedOn w:val="Normal"/>
    <w:next w:val="Normal"/>
    <w:uiPriority w:val="35"/>
    <w:unhideWhenUsed/>
    <w:qFormat/>
    <w:rsid w:val="00013052"/>
    <w:pPr>
      <w:spacing w:after="200" w:line="240" w:lineRule="auto"/>
    </w:pPr>
    <w:rPr>
      <w:i/>
      <w:iCs/>
      <w:color w:val="54575A" w:themeColor="text2"/>
      <w:sz w:val="18"/>
      <w:szCs w:val="18"/>
    </w:rPr>
  </w:style>
  <w:style w:type="character" w:styleId="Strong">
    <w:name w:val="Strong"/>
    <w:basedOn w:val="DefaultParagraphFont"/>
    <w:uiPriority w:val="22"/>
    <w:qFormat/>
    <w:rsid w:val="00F14111"/>
    <w:rPr>
      <w:b/>
      <w:bCs/>
    </w:rPr>
  </w:style>
  <w:style w:type="character" w:styleId="SubtleEmphasis">
    <w:name w:val="Subtle Emphasis"/>
    <w:basedOn w:val="DefaultParagraphFont"/>
    <w:uiPriority w:val="19"/>
    <w:qFormat/>
    <w:rsid w:val="004E7269"/>
    <w:rPr>
      <w:i/>
      <w:iCs/>
      <w:color w:val="7C8085"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655275">
      <w:bodyDiv w:val="1"/>
      <w:marLeft w:val="0"/>
      <w:marRight w:val="0"/>
      <w:marTop w:val="0"/>
      <w:marBottom w:val="0"/>
      <w:divBdr>
        <w:top w:val="none" w:sz="0" w:space="0" w:color="auto"/>
        <w:left w:val="none" w:sz="0" w:space="0" w:color="auto"/>
        <w:bottom w:val="none" w:sz="0" w:space="0" w:color="auto"/>
        <w:right w:val="none" w:sz="0" w:space="0" w:color="auto"/>
      </w:divBdr>
      <w:divsChild>
        <w:div w:id="2118911344">
          <w:marLeft w:val="0"/>
          <w:marRight w:val="0"/>
          <w:marTop w:val="0"/>
          <w:marBottom w:val="0"/>
          <w:divBdr>
            <w:top w:val="none" w:sz="0" w:space="0" w:color="auto"/>
            <w:left w:val="none" w:sz="0" w:space="0" w:color="auto"/>
            <w:bottom w:val="none" w:sz="0" w:space="0" w:color="auto"/>
            <w:right w:val="none" w:sz="0" w:space="0" w:color="auto"/>
          </w:divBdr>
        </w:div>
      </w:divsChild>
    </w:div>
    <w:div w:id="1061758382">
      <w:bodyDiv w:val="1"/>
      <w:marLeft w:val="0"/>
      <w:marRight w:val="0"/>
      <w:marTop w:val="0"/>
      <w:marBottom w:val="0"/>
      <w:divBdr>
        <w:top w:val="none" w:sz="0" w:space="0" w:color="auto"/>
        <w:left w:val="none" w:sz="0" w:space="0" w:color="auto"/>
        <w:bottom w:val="none" w:sz="0" w:space="0" w:color="auto"/>
        <w:right w:val="none" w:sz="0" w:space="0" w:color="auto"/>
      </w:divBdr>
    </w:div>
    <w:div w:id="1342588754">
      <w:bodyDiv w:val="1"/>
      <w:marLeft w:val="0"/>
      <w:marRight w:val="0"/>
      <w:marTop w:val="0"/>
      <w:marBottom w:val="0"/>
      <w:divBdr>
        <w:top w:val="none" w:sz="0" w:space="0" w:color="auto"/>
        <w:left w:val="none" w:sz="0" w:space="0" w:color="auto"/>
        <w:bottom w:val="none" w:sz="0" w:space="0" w:color="auto"/>
        <w:right w:val="none" w:sz="0" w:space="0" w:color="auto"/>
      </w:divBdr>
    </w:div>
    <w:div w:id="1749957644">
      <w:bodyDiv w:val="1"/>
      <w:marLeft w:val="0"/>
      <w:marRight w:val="0"/>
      <w:marTop w:val="0"/>
      <w:marBottom w:val="0"/>
      <w:divBdr>
        <w:top w:val="none" w:sz="0" w:space="0" w:color="auto"/>
        <w:left w:val="none" w:sz="0" w:space="0" w:color="auto"/>
        <w:bottom w:val="none" w:sz="0" w:space="0" w:color="auto"/>
        <w:right w:val="none" w:sz="0" w:space="0" w:color="auto"/>
      </w:divBdr>
    </w:div>
    <w:div w:id="20521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yperlink" Target="https://ouvert.canada.ca/fr/utilisation-donnee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tbs-sct.gc.ca/pol/doc-fra.aspx?id=326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ouvert.canada.ca/fr/licence-du-gouvernement-ouvert-cana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bs-sct.gc.ca/pol/doc-fra.aspx?id=32601" TargetMode="External"/><Relationship Id="rId23" Type="http://schemas.openxmlformats.org/officeDocument/2006/relationships/hyperlink" Target="https://www.tbs-sct.gc.ca/pol/doc-fra.aspx?id=32601&amp;section=html" TargetMode="External"/><Relationship Id="rId10" Type="http://schemas.openxmlformats.org/officeDocument/2006/relationships/footer" Target="footer2.xml"/><Relationship Id="rId19" Type="http://schemas.openxmlformats.org/officeDocument/2006/relationships/package" Target="embeddings/Microsoft_Visio_Drawing11.vsd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cdocs.gc.ca/psc-cfp/llisapi.dll?func=ll&amp;objaction=overview&amp;objid=8872837" TargetMode="External"/><Relationship Id="rId22" Type="http://schemas.openxmlformats.org/officeDocument/2006/relationships/hyperlink" Target="https://www.tbs-sct.gc.ca/pol/doc-fra.aspx?id=32603&amp;sectio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opengovpartnership.org/fr/documents/2019-2020-ogp-co-chair-vision-government-of-argentina-and-robin-hodess/" TargetMode="External"/><Relationship Id="rId7" Type="http://schemas.openxmlformats.org/officeDocument/2006/relationships/hyperlink" Target="https://www.tbs-sct.gc.ca/pol/doc-fra.aspx?id=32601" TargetMode="External"/><Relationship Id="rId2" Type="http://schemas.openxmlformats.org/officeDocument/2006/relationships/hyperlink" Target="https://ouvert.canada.ca/fr/contenu/plan-daction-national-du-canada-pour-un-gouvernement-ouvert-de-2018-2020" TargetMode="External"/><Relationship Id="rId1" Type="http://schemas.openxmlformats.org/officeDocument/2006/relationships/hyperlink" Target="https://www.opengovpartnership.org/fr/our-members/" TargetMode="External"/><Relationship Id="rId6" Type="http://schemas.openxmlformats.org/officeDocument/2006/relationships/hyperlink" Target="https://www.tbs-sct.gc.ca/pol/doc-fra.aspx?id=32603" TargetMode="External"/><Relationship Id="rId5" Type="http://schemas.openxmlformats.org/officeDocument/2006/relationships/hyperlink" Target="https://ouvert.canada.ca/data/fr/dataset?q=" TargetMode="External"/><Relationship Id="rId4" Type="http://schemas.openxmlformats.org/officeDocument/2006/relationships/hyperlink" Target="https://www.tbs-sct.gc.ca/pol/doc-fra.aspx?id=281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Report-PSC2019.dotx" TargetMode="External"/></Relationships>
</file>

<file path=word/theme/theme1.xml><?xml version="1.0" encoding="utf-8"?>
<a:theme xmlns:a="http://schemas.openxmlformats.org/drawingml/2006/main" name="Office 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2B35B-A1F8-4CA1-9FE8-0EAA41EF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Report-PSC2019.dotx</Template>
  <TotalTime>2130</TotalTime>
  <Pages>40</Pages>
  <Words>9863</Words>
  <Characters>56221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65953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Heenan</dc:creator>
  <cp:lastModifiedBy>Nicolas Lacroix</cp:lastModifiedBy>
  <cp:revision>102</cp:revision>
  <cp:lastPrinted>2021-02-11T21:04:00Z</cp:lastPrinted>
  <dcterms:created xsi:type="dcterms:W3CDTF">2020-07-17T19:24:00Z</dcterms:created>
  <dcterms:modified xsi:type="dcterms:W3CDTF">2021-02-11T21:04:00Z</dcterms:modified>
</cp:coreProperties>
</file>