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F5750" w14:textId="05A0213C" w:rsidR="007E5403" w:rsidRPr="00234CC3" w:rsidRDefault="000C19EC" w:rsidP="003F7C6C">
      <w:pPr>
        <w:pStyle w:val="Title"/>
      </w:pPr>
      <w:r w:rsidRPr="00234CC3">
        <w:t>Public Service Commission</w:t>
      </w:r>
    </w:p>
    <w:p w14:paraId="2C1F1F6C" w14:textId="04794522" w:rsidR="00646A04" w:rsidRPr="00F272F2" w:rsidRDefault="00BB765C" w:rsidP="00F272F2">
      <w:pPr>
        <w:pStyle w:val="Subtitle"/>
        <w:rPr>
          <w:b/>
          <w:lang w:val="en-CA"/>
        </w:rPr>
      </w:pPr>
      <w:r w:rsidRPr="00BB765C">
        <w:rPr>
          <w:b/>
          <w:lang w:val="en-CA"/>
        </w:rPr>
        <w:t>Overview of public service staffing</w:t>
      </w:r>
      <w:r>
        <w:rPr>
          <w:b/>
          <w:lang w:val="en-CA"/>
        </w:rPr>
        <w:t xml:space="preserve"> and trends </w:t>
      </w:r>
      <w:r w:rsidR="00154B3C">
        <w:rPr>
          <w:b/>
          <w:lang w:val="en-CA"/>
        </w:rPr>
        <w:t>i</w:t>
      </w:r>
      <w:r>
        <w:rPr>
          <w:b/>
          <w:lang w:val="en-CA"/>
        </w:rPr>
        <w:t xml:space="preserve">n </w:t>
      </w:r>
      <w:r w:rsidR="0064640B" w:rsidRPr="00234CC3">
        <w:rPr>
          <w:b/>
          <w:lang w:val="en-CA"/>
        </w:rPr>
        <w:t>EX-03, EX-04 and EX-05 groups</w:t>
      </w:r>
      <w:r w:rsidR="00646A04" w:rsidRPr="00234CC3">
        <w:rPr>
          <w:lang w:val="en-CA"/>
        </w:rPr>
        <w:br w:type="page"/>
      </w:r>
    </w:p>
    <w:p w14:paraId="4340599C" w14:textId="0B3F15A7" w:rsidR="004A3B58" w:rsidRDefault="004A3B58" w:rsidP="004A3B58">
      <w:pPr>
        <w:pStyle w:val="Heading2"/>
      </w:pPr>
      <w:bookmarkStart w:id="0" w:name="_Toc46902826"/>
      <w:r>
        <w:lastRenderedPageBreak/>
        <w:t>Background</w:t>
      </w:r>
    </w:p>
    <w:p w14:paraId="0F0C1BA9" w14:textId="7167D7E3" w:rsidR="004A3B58" w:rsidRPr="009A1DAD" w:rsidRDefault="000539D7" w:rsidP="004A3B58">
      <w:pPr>
        <w:rPr>
          <w:lang w:val="en-CA"/>
        </w:rPr>
      </w:pPr>
      <w:r>
        <w:rPr>
          <w:lang w:val="en-CA"/>
        </w:rPr>
        <w:t>T</w:t>
      </w:r>
      <w:r w:rsidR="009A1DAD">
        <w:rPr>
          <w:lang w:val="en-CA"/>
        </w:rPr>
        <w:t xml:space="preserve">his </w:t>
      </w:r>
      <w:r>
        <w:rPr>
          <w:lang w:val="en-CA"/>
        </w:rPr>
        <w:t>document</w:t>
      </w:r>
      <w:r w:rsidR="009A1DAD">
        <w:rPr>
          <w:lang w:val="en-CA"/>
        </w:rPr>
        <w:t xml:space="preserve"> summarize</w:t>
      </w:r>
      <w:r>
        <w:rPr>
          <w:lang w:val="en-CA"/>
        </w:rPr>
        <w:t>s</w:t>
      </w:r>
      <w:r w:rsidR="009A1DAD">
        <w:rPr>
          <w:lang w:val="en-CA"/>
        </w:rPr>
        <w:t xml:space="preserve"> key trends on employment equity of applicants and appointments as well as</w:t>
      </w:r>
      <w:r w:rsidR="004A3B58" w:rsidRPr="009A1DAD">
        <w:rPr>
          <w:lang w:val="en-CA"/>
        </w:rPr>
        <w:t xml:space="preserve"> trends in recruitment, promotions, departures and employment equity representation for the senior executive cadre of the public service. This report </w:t>
      </w:r>
      <w:r w:rsidR="006E331F">
        <w:rPr>
          <w:lang w:val="en-CA"/>
        </w:rPr>
        <w:t xml:space="preserve">also </w:t>
      </w:r>
      <w:r w:rsidR="004A3B58" w:rsidRPr="009A1DAD">
        <w:rPr>
          <w:lang w:val="en-CA"/>
        </w:rPr>
        <w:t>examines movement in and out of senior executive groups, employment equity representation of their members, and the characteristics of the most common senior executive feeder groups</w:t>
      </w:r>
      <w:r w:rsidR="00091252">
        <w:rPr>
          <w:lang w:val="en-CA"/>
        </w:rPr>
        <w:t>.</w:t>
      </w:r>
    </w:p>
    <w:p w14:paraId="515F9004" w14:textId="2752D80B" w:rsidR="004A3B58" w:rsidRDefault="00714D45" w:rsidP="004A3B58">
      <w:pPr>
        <w:pStyle w:val="Heading2"/>
      </w:pPr>
      <w:r>
        <w:t>Overview of public service staffing</w:t>
      </w:r>
    </w:p>
    <w:p w14:paraId="5A24DBAE" w14:textId="0C1FFB19" w:rsidR="004A3B58" w:rsidRDefault="006E5BBD" w:rsidP="002C55D6">
      <w:pPr>
        <w:pStyle w:val="Heading3"/>
      </w:pPr>
      <w:r>
        <w:t>Applications</w:t>
      </w:r>
      <w:r w:rsidR="002C55D6">
        <w:t xml:space="preserve"> to external advertisements</w:t>
      </w:r>
    </w:p>
    <w:p w14:paraId="11FA33A6" w14:textId="2500CF18" w:rsidR="001D4808" w:rsidRPr="001D4808" w:rsidRDefault="001D4808" w:rsidP="000539D7">
      <w:pPr>
        <w:pStyle w:val="ListParagraph"/>
        <w:numPr>
          <w:ilvl w:val="0"/>
          <w:numId w:val="34"/>
        </w:numPr>
        <w:spacing w:after="120"/>
        <w:ind w:left="714" w:hanging="357"/>
        <w:contextualSpacing w:val="0"/>
        <w:rPr>
          <w:lang w:val="en-CA"/>
        </w:rPr>
      </w:pPr>
      <w:r w:rsidRPr="001D4808">
        <w:rPr>
          <w:lang w:val="en-CA"/>
        </w:rPr>
        <w:t xml:space="preserve">In 2019-2020 there were 858,128 applications to </w:t>
      </w:r>
      <w:r w:rsidR="00714D45">
        <w:rPr>
          <w:lang w:val="en-CA"/>
        </w:rPr>
        <w:t xml:space="preserve">3,357 </w:t>
      </w:r>
      <w:r w:rsidRPr="001D4808">
        <w:rPr>
          <w:lang w:val="en-CA"/>
        </w:rPr>
        <w:t>external advertised processes.</w:t>
      </w:r>
    </w:p>
    <w:p w14:paraId="6E6B9470" w14:textId="2123D6F3" w:rsidR="001D4808" w:rsidRDefault="006E331F" w:rsidP="000539D7">
      <w:pPr>
        <w:pStyle w:val="ListParagraph"/>
        <w:numPr>
          <w:ilvl w:val="0"/>
          <w:numId w:val="34"/>
        </w:numPr>
        <w:spacing w:after="120"/>
        <w:ind w:left="714" w:hanging="357"/>
        <w:contextualSpacing w:val="0"/>
        <w:rPr>
          <w:lang w:val="en-CA"/>
        </w:rPr>
      </w:pPr>
      <w:r>
        <w:rPr>
          <w:lang w:val="en-CA"/>
        </w:rPr>
        <w:t>This was a decrease of 11.5% (</w:t>
      </w:r>
      <w:r w:rsidR="001D4808" w:rsidRPr="001D4808">
        <w:rPr>
          <w:lang w:val="en-CA"/>
        </w:rPr>
        <w:t>111,774)</w:t>
      </w:r>
      <w:r w:rsidR="00714D45">
        <w:rPr>
          <w:lang w:val="en-CA"/>
        </w:rPr>
        <w:t xml:space="preserve"> in applications and an increase of 2.9% (94) in advertisements</w:t>
      </w:r>
      <w:r w:rsidR="001D4808" w:rsidRPr="001D4808">
        <w:rPr>
          <w:lang w:val="en-CA"/>
        </w:rPr>
        <w:t xml:space="preserve"> from the previous fiscal year.</w:t>
      </w:r>
    </w:p>
    <w:p w14:paraId="2BEB091D" w14:textId="5EC01AE9" w:rsidR="00E915C4" w:rsidRPr="001D4808" w:rsidRDefault="00E915C4" w:rsidP="001D4808">
      <w:pPr>
        <w:pStyle w:val="ListParagraph"/>
        <w:numPr>
          <w:ilvl w:val="0"/>
          <w:numId w:val="34"/>
        </w:numPr>
        <w:rPr>
          <w:lang w:val="en-CA"/>
        </w:rPr>
      </w:pPr>
      <w:r>
        <w:rPr>
          <w:lang w:val="en-CA"/>
        </w:rPr>
        <w:t xml:space="preserve">Since 2012-2013, the number of applications and external advertised processes have increased by 211% </w:t>
      </w:r>
      <w:r w:rsidR="00D033CB">
        <w:rPr>
          <w:lang w:val="en-CA"/>
        </w:rPr>
        <w:t xml:space="preserve">(582,350) </w:t>
      </w:r>
      <w:r>
        <w:rPr>
          <w:lang w:val="en-CA"/>
        </w:rPr>
        <w:t xml:space="preserve">and 171% </w:t>
      </w:r>
      <w:r w:rsidR="00D033CB">
        <w:rPr>
          <w:lang w:val="en-CA"/>
        </w:rPr>
        <w:t xml:space="preserve">(2,120) </w:t>
      </w:r>
      <w:r>
        <w:rPr>
          <w:lang w:val="en-CA"/>
        </w:rPr>
        <w:t>respectively.</w:t>
      </w:r>
    </w:p>
    <w:p w14:paraId="109A3C55" w14:textId="182191A9" w:rsidR="004A3B58" w:rsidRPr="002C55D6" w:rsidRDefault="004A3B58" w:rsidP="002C55D6">
      <w:pPr>
        <w:pStyle w:val="Heading3"/>
      </w:pPr>
      <w:r w:rsidRPr="002C55D6">
        <w:t xml:space="preserve">Applicants by </w:t>
      </w:r>
      <w:r w:rsidR="00AB0242" w:rsidRPr="002C55D6">
        <w:t>employment equity group</w:t>
      </w:r>
    </w:p>
    <w:p w14:paraId="492481F0" w14:textId="77777777" w:rsidR="00D033CB" w:rsidRDefault="001D4808" w:rsidP="000539D7">
      <w:pPr>
        <w:pStyle w:val="ListParagraph"/>
        <w:numPr>
          <w:ilvl w:val="0"/>
          <w:numId w:val="35"/>
        </w:numPr>
        <w:spacing w:after="0"/>
        <w:rPr>
          <w:lang w:val="en-CA"/>
        </w:rPr>
      </w:pPr>
      <w:r w:rsidRPr="001D4808">
        <w:rPr>
          <w:lang w:val="en-CA"/>
        </w:rPr>
        <w:t>In 2019-2020,</w:t>
      </w:r>
      <w:r w:rsidR="00D033CB">
        <w:rPr>
          <w:lang w:val="en-CA"/>
        </w:rPr>
        <w:t xml:space="preserve"> the share of applicants for all employment equity groups increased.</w:t>
      </w:r>
    </w:p>
    <w:p w14:paraId="696EA24E" w14:textId="6AA3ABE1" w:rsidR="00AB0242" w:rsidRDefault="00AB0242" w:rsidP="000539D7">
      <w:pPr>
        <w:pStyle w:val="ListParagraph"/>
        <w:numPr>
          <w:ilvl w:val="1"/>
          <w:numId w:val="35"/>
        </w:numPr>
        <w:spacing w:after="0"/>
        <w:rPr>
          <w:lang w:val="en-CA"/>
        </w:rPr>
      </w:pPr>
      <w:r>
        <w:rPr>
          <w:lang w:val="en-CA"/>
        </w:rPr>
        <w:t>Persons with disabilities accounted for</w:t>
      </w:r>
      <w:r w:rsidR="001D4808" w:rsidRPr="001D4808">
        <w:rPr>
          <w:lang w:val="en-CA"/>
        </w:rPr>
        <w:t xml:space="preserve"> 3.0% of applicants to external advertised </w:t>
      </w:r>
      <w:r>
        <w:rPr>
          <w:lang w:val="en-CA"/>
        </w:rPr>
        <w:t>processes, an increase of 0.3 percentage points over the previous year.</w:t>
      </w:r>
    </w:p>
    <w:p w14:paraId="32B1F8FD" w14:textId="68268634" w:rsidR="00AB0242" w:rsidRDefault="00AB0242" w:rsidP="000539D7">
      <w:pPr>
        <w:pStyle w:val="ListParagraph"/>
        <w:numPr>
          <w:ilvl w:val="1"/>
          <w:numId w:val="35"/>
        </w:numPr>
        <w:spacing w:after="0"/>
        <w:rPr>
          <w:lang w:val="en-CA"/>
        </w:rPr>
      </w:pPr>
      <w:r w:rsidRPr="001D4808">
        <w:rPr>
          <w:lang w:val="en-CA"/>
        </w:rPr>
        <w:t>Indigenous peoples</w:t>
      </w:r>
      <w:r>
        <w:rPr>
          <w:lang w:val="en-CA"/>
        </w:rPr>
        <w:t xml:space="preserve"> accounted for</w:t>
      </w:r>
      <w:r w:rsidRPr="001D4808">
        <w:rPr>
          <w:lang w:val="en-CA"/>
        </w:rPr>
        <w:t xml:space="preserve"> 3.</w:t>
      </w:r>
      <w:r>
        <w:rPr>
          <w:lang w:val="en-CA"/>
        </w:rPr>
        <w:t>2</w:t>
      </w:r>
      <w:r w:rsidRPr="001D4808">
        <w:rPr>
          <w:lang w:val="en-CA"/>
        </w:rPr>
        <w:t xml:space="preserve">% of applicants to external advertised </w:t>
      </w:r>
      <w:r>
        <w:rPr>
          <w:lang w:val="en-CA"/>
        </w:rPr>
        <w:t>processes, an increase of 0.2 percentage points over the previous year.</w:t>
      </w:r>
    </w:p>
    <w:p w14:paraId="1B269992" w14:textId="301693EC" w:rsidR="00AB0242" w:rsidRDefault="00AB0242" w:rsidP="000539D7">
      <w:pPr>
        <w:pStyle w:val="ListParagraph"/>
        <w:numPr>
          <w:ilvl w:val="1"/>
          <w:numId w:val="35"/>
        </w:numPr>
        <w:spacing w:after="0"/>
        <w:rPr>
          <w:lang w:val="en-CA"/>
        </w:rPr>
      </w:pPr>
      <w:r w:rsidRPr="001D4808">
        <w:rPr>
          <w:lang w:val="en-CA"/>
        </w:rPr>
        <w:t>Members of visible minorities</w:t>
      </w:r>
      <w:r>
        <w:rPr>
          <w:lang w:val="en-CA"/>
        </w:rPr>
        <w:t xml:space="preserve"> accounted for</w:t>
      </w:r>
      <w:r w:rsidRPr="001D4808">
        <w:rPr>
          <w:lang w:val="en-CA"/>
        </w:rPr>
        <w:t xml:space="preserve"> </w:t>
      </w:r>
      <w:r>
        <w:rPr>
          <w:lang w:val="en-CA"/>
        </w:rPr>
        <w:t>24</w:t>
      </w:r>
      <w:r w:rsidRPr="001D4808">
        <w:rPr>
          <w:lang w:val="en-CA"/>
        </w:rPr>
        <w:t>.</w:t>
      </w:r>
      <w:r>
        <w:rPr>
          <w:lang w:val="en-CA"/>
        </w:rPr>
        <w:t>3</w:t>
      </w:r>
      <w:r w:rsidRPr="001D4808">
        <w:rPr>
          <w:lang w:val="en-CA"/>
        </w:rPr>
        <w:t xml:space="preserve">% of applicants to external advertised </w:t>
      </w:r>
      <w:r>
        <w:rPr>
          <w:lang w:val="en-CA"/>
        </w:rPr>
        <w:t>processes, an increase of 1.0 percentage point over the previous year.</w:t>
      </w:r>
    </w:p>
    <w:p w14:paraId="13E510D9" w14:textId="1FDA531E" w:rsidR="00AB0242" w:rsidRDefault="00AB0242" w:rsidP="000539D7">
      <w:pPr>
        <w:pStyle w:val="ListParagraph"/>
        <w:numPr>
          <w:ilvl w:val="1"/>
          <w:numId w:val="35"/>
        </w:numPr>
        <w:spacing w:after="120"/>
        <w:ind w:left="1434" w:hanging="357"/>
        <w:contextualSpacing w:val="0"/>
        <w:rPr>
          <w:lang w:val="en-CA"/>
        </w:rPr>
      </w:pPr>
      <w:r>
        <w:rPr>
          <w:lang w:val="en-CA"/>
        </w:rPr>
        <w:t>Women accounted for</w:t>
      </w:r>
      <w:r w:rsidRPr="001D4808">
        <w:rPr>
          <w:lang w:val="en-CA"/>
        </w:rPr>
        <w:t xml:space="preserve"> </w:t>
      </w:r>
      <w:r>
        <w:rPr>
          <w:lang w:val="en-CA"/>
        </w:rPr>
        <w:t>55.3%</w:t>
      </w:r>
      <w:r w:rsidRPr="001D4808">
        <w:rPr>
          <w:lang w:val="en-CA"/>
        </w:rPr>
        <w:t xml:space="preserve"> of applicants to external advertised </w:t>
      </w:r>
      <w:r>
        <w:rPr>
          <w:lang w:val="en-CA"/>
        </w:rPr>
        <w:t>processes, an increase of 0.3 percentage points over the previous year.</w:t>
      </w:r>
    </w:p>
    <w:p w14:paraId="2C10D36F" w14:textId="76F9E21E" w:rsidR="0093747F" w:rsidRDefault="001D4808" w:rsidP="000539D7">
      <w:pPr>
        <w:pStyle w:val="ListParagraph"/>
        <w:numPr>
          <w:ilvl w:val="0"/>
          <w:numId w:val="35"/>
        </w:numPr>
        <w:spacing w:after="120"/>
        <w:contextualSpacing w:val="0"/>
        <w:rPr>
          <w:lang w:val="en-CA"/>
        </w:rPr>
      </w:pPr>
      <w:r w:rsidRPr="001D4808">
        <w:rPr>
          <w:lang w:val="en-CA"/>
        </w:rPr>
        <w:t>Th</w:t>
      </w:r>
      <w:r w:rsidR="00AB0242">
        <w:rPr>
          <w:lang w:val="en-CA"/>
        </w:rPr>
        <w:t>ese</w:t>
      </w:r>
      <w:r w:rsidRPr="001D4808">
        <w:rPr>
          <w:lang w:val="en-CA"/>
        </w:rPr>
        <w:t xml:space="preserve"> </w:t>
      </w:r>
      <w:r w:rsidR="00AB0242">
        <w:rPr>
          <w:lang w:val="en-CA"/>
        </w:rPr>
        <w:t>are</w:t>
      </w:r>
      <w:r w:rsidRPr="001D4808">
        <w:rPr>
          <w:lang w:val="en-CA"/>
        </w:rPr>
        <w:t xml:space="preserve"> </w:t>
      </w:r>
      <w:r w:rsidR="006E331F">
        <w:rPr>
          <w:lang w:val="en-CA"/>
        </w:rPr>
        <w:t xml:space="preserve">the </w:t>
      </w:r>
      <w:r w:rsidRPr="001D4808">
        <w:rPr>
          <w:lang w:val="en-CA"/>
        </w:rPr>
        <w:t xml:space="preserve">highest </w:t>
      </w:r>
      <w:r w:rsidR="00AB0242">
        <w:rPr>
          <w:lang w:val="en-CA"/>
        </w:rPr>
        <w:t xml:space="preserve">shares of applicants for </w:t>
      </w:r>
      <w:r w:rsidR="00234D67">
        <w:rPr>
          <w:lang w:val="en-CA"/>
        </w:rPr>
        <w:t xml:space="preserve">persons with disabilities, members of visible minorities, and women in the last five years. However, for </w:t>
      </w:r>
      <w:r w:rsidR="0093747F">
        <w:rPr>
          <w:lang w:val="en-CA"/>
        </w:rPr>
        <w:t>indigenous applicants,</w:t>
      </w:r>
      <w:r w:rsidRPr="001D4808">
        <w:rPr>
          <w:lang w:val="en-CA"/>
        </w:rPr>
        <w:t xml:space="preserve"> </w:t>
      </w:r>
      <w:r w:rsidR="00234D67">
        <w:rPr>
          <w:lang w:val="en-CA"/>
        </w:rPr>
        <w:t>their share has trended down</w:t>
      </w:r>
      <w:r w:rsidRPr="001D4808">
        <w:rPr>
          <w:lang w:val="en-CA"/>
        </w:rPr>
        <w:t xml:space="preserve"> </w:t>
      </w:r>
      <w:r w:rsidR="00234D67">
        <w:rPr>
          <w:lang w:val="en-CA"/>
        </w:rPr>
        <w:t>over the same period</w:t>
      </w:r>
      <w:r w:rsidR="0093747F">
        <w:rPr>
          <w:lang w:val="en-CA"/>
        </w:rPr>
        <w:t>.</w:t>
      </w:r>
    </w:p>
    <w:p w14:paraId="4AE35F1C" w14:textId="5A6930C8" w:rsidR="0093747F" w:rsidRDefault="00234D67" w:rsidP="000539D7">
      <w:pPr>
        <w:pStyle w:val="ListParagraph"/>
        <w:numPr>
          <w:ilvl w:val="0"/>
          <w:numId w:val="35"/>
        </w:numPr>
        <w:spacing w:after="120"/>
        <w:contextualSpacing w:val="0"/>
        <w:rPr>
          <w:lang w:val="en-CA"/>
        </w:rPr>
      </w:pPr>
      <w:r>
        <w:rPr>
          <w:lang w:val="en-CA"/>
        </w:rPr>
        <w:t>The share of applicants for both w</w:t>
      </w:r>
      <w:r w:rsidR="0093747F">
        <w:rPr>
          <w:lang w:val="en-CA"/>
        </w:rPr>
        <w:t xml:space="preserve">omen and </w:t>
      </w:r>
      <w:r>
        <w:rPr>
          <w:lang w:val="en-CA"/>
        </w:rPr>
        <w:t>members of v</w:t>
      </w:r>
      <w:r w:rsidR="0093747F">
        <w:rPr>
          <w:lang w:val="en-CA"/>
        </w:rPr>
        <w:t xml:space="preserve">isible </w:t>
      </w:r>
      <w:r>
        <w:rPr>
          <w:lang w:val="en-CA"/>
        </w:rPr>
        <w:t>mino</w:t>
      </w:r>
      <w:r w:rsidR="0093747F">
        <w:rPr>
          <w:lang w:val="en-CA"/>
        </w:rPr>
        <w:t>r</w:t>
      </w:r>
      <w:r>
        <w:rPr>
          <w:lang w:val="en-CA"/>
        </w:rPr>
        <w:t>ities are above their workforce availabili</w:t>
      </w:r>
      <w:r w:rsidR="00384D52">
        <w:rPr>
          <w:lang w:val="en-CA"/>
        </w:rPr>
        <w:t>ty for the past five years, 52.7</w:t>
      </w:r>
      <w:r>
        <w:rPr>
          <w:lang w:val="en-CA"/>
        </w:rPr>
        <w:t>% and 15.3% respectively.</w:t>
      </w:r>
    </w:p>
    <w:p w14:paraId="2715CEA8" w14:textId="600CF7A0" w:rsidR="0093747F" w:rsidRPr="00D07661" w:rsidRDefault="00234D67" w:rsidP="000539D7">
      <w:pPr>
        <w:pStyle w:val="ListParagraph"/>
        <w:numPr>
          <w:ilvl w:val="0"/>
          <w:numId w:val="35"/>
        </w:numPr>
        <w:spacing w:after="120"/>
        <w:contextualSpacing w:val="0"/>
        <w:rPr>
          <w:lang w:val="en-CA"/>
        </w:rPr>
      </w:pPr>
      <w:r>
        <w:rPr>
          <w:lang w:val="en-CA"/>
        </w:rPr>
        <w:t>The share of applicants for both i</w:t>
      </w:r>
      <w:r w:rsidR="0093747F">
        <w:rPr>
          <w:lang w:val="en-CA"/>
        </w:rPr>
        <w:t>ndige</w:t>
      </w:r>
      <w:r>
        <w:rPr>
          <w:lang w:val="en-CA"/>
        </w:rPr>
        <w:t>nous and p</w:t>
      </w:r>
      <w:r w:rsidR="0093747F">
        <w:rPr>
          <w:lang w:val="en-CA"/>
        </w:rPr>
        <w:t xml:space="preserve">ersons with </w:t>
      </w:r>
      <w:r>
        <w:rPr>
          <w:lang w:val="en-CA"/>
        </w:rPr>
        <w:t>disabilities</w:t>
      </w:r>
      <w:r w:rsidR="001D4808" w:rsidRPr="001D4808">
        <w:rPr>
          <w:lang w:val="en-CA"/>
        </w:rPr>
        <w:t xml:space="preserve"> </w:t>
      </w:r>
      <w:r>
        <w:rPr>
          <w:lang w:val="en-CA"/>
        </w:rPr>
        <w:t>are</w:t>
      </w:r>
      <w:r w:rsidR="001D4808" w:rsidRPr="001D4808">
        <w:rPr>
          <w:lang w:val="en-CA"/>
        </w:rPr>
        <w:t xml:space="preserve"> below </w:t>
      </w:r>
      <w:r>
        <w:rPr>
          <w:lang w:val="en-CA"/>
        </w:rPr>
        <w:t>workforce availability for the past five years, 4.0% and 9.0% respectively.</w:t>
      </w:r>
    </w:p>
    <w:p w14:paraId="235E551C" w14:textId="7B9D0FDB" w:rsidR="004A3B58" w:rsidRDefault="002C55D6" w:rsidP="000539D7">
      <w:pPr>
        <w:pStyle w:val="Heading3"/>
      </w:pPr>
      <w:r>
        <w:lastRenderedPageBreak/>
        <w:t>External h</w:t>
      </w:r>
      <w:r w:rsidR="004A3B58">
        <w:t>ires</w:t>
      </w:r>
    </w:p>
    <w:p w14:paraId="6D83F92A" w14:textId="77777777" w:rsidR="001D4808" w:rsidRPr="001D4808" w:rsidRDefault="001D4808" w:rsidP="000539D7">
      <w:pPr>
        <w:pStyle w:val="ListParagraph"/>
        <w:numPr>
          <w:ilvl w:val="0"/>
          <w:numId w:val="36"/>
        </w:numPr>
        <w:spacing w:after="120"/>
        <w:contextualSpacing w:val="0"/>
        <w:rPr>
          <w:lang w:val="en-CA"/>
        </w:rPr>
      </w:pPr>
      <w:r w:rsidRPr="001D4808">
        <w:rPr>
          <w:lang w:val="en-CA"/>
        </w:rPr>
        <w:t xml:space="preserve">In 2019-2020, there were 61,794 total external hires for organizations subject to the </w:t>
      </w:r>
      <w:r w:rsidRPr="00384D52">
        <w:rPr>
          <w:i/>
          <w:lang w:val="en-CA"/>
        </w:rPr>
        <w:t>Public Service Employment Act</w:t>
      </w:r>
      <w:r w:rsidRPr="001D4808">
        <w:rPr>
          <w:lang w:val="en-CA"/>
        </w:rPr>
        <w:t>.</w:t>
      </w:r>
    </w:p>
    <w:p w14:paraId="7AFABC69" w14:textId="77777777" w:rsidR="001D4808" w:rsidRPr="001D4808" w:rsidRDefault="001D4808" w:rsidP="000539D7">
      <w:pPr>
        <w:pStyle w:val="ListParagraph"/>
        <w:numPr>
          <w:ilvl w:val="1"/>
          <w:numId w:val="36"/>
        </w:numPr>
        <w:spacing w:after="120"/>
        <w:contextualSpacing w:val="0"/>
        <w:rPr>
          <w:lang w:val="en-CA"/>
        </w:rPr>
      </w:pPr>
      <w:r w:rsidRPr="001D4808">
        <w:rPr>
          <w:lang w:val="en-CA"/>
        </w:rPr>
        <w:t>This was an increase of 3.5% (2,077) from the previous fiscal year.</w:t>
      </w:r>
    </w:p>
    <w:p w14:paraId="22797AFD" w14:textId="454C75DD" w:rsidR="0093747F" w:rsidRPr="0093747F" w:rsidRDefault="001D4808" w:rsidP="000539D7">
      <w:pPr>
        <w:pStyle w:val="ListParagraph"/>
        <w:numPr>
          <w:ilvl w:val="1"/>
          <w:numId w:val="36"/>
        </w:numPr>
        <w:spacing w:after="120"/>
        <w:contextualSpacing w:val="0"/>
        <w:rPr>
          <w:lang w:val="en-CA"/>
        </w:rPr>
      </w:pPr>
      <w:r w:rsidRPr="001D4808">
        <w:rPr>
          <w:lang w:val="en-CA"/>
        </w:rPr>
        <w:t>Since 201</w:t>
      </w:r>
      <w:r w:rsidR="0093747F">
        <w:rPr>
          <w:lang w:val="en-CA"/>
        </w:rPr>
        <w:t>2</w:t>
      </w:r>
      <w:r w:rsidRPr="001D4808">
        <w:rPr>
          <w:lang w:val="en-CA"/>
        </w:rPr>
        <w:t>-201</w:t>
      </w:r>
      <w:r w:rsidR="0093747F">
        <w:rPr>
          <w:lang w:val="en-CA"/>
        </w:rPr>
        <w:t>3</w:t>
      </w:r>
      <w:r w:rsidRPr="001D4808">
        <w:rPr>
          <w:lang w:val="en-CA"/>
        </w:rPr>
        <w:t xml:space="preserve">, </w:t>
      </w:r>
      <w:r w:rsidR="0093747F">
        <w:rPr>
          <w:lang w:val="en-CA"/>
        </w:rPr>
        <w:t xml:space="preserve">the number of </w:t>
      </w:r>
      <w:r w:rsidRPr="001D4808">
        <w:rPr>
          <w:lang w:val="en-CA"/>
        </w:rPr>
        <w:t>external hiring has increased</w:t>
      </w:r>
      <w:r w:rsidR="0093747F">
        <w:rPr>
          <w:lang w:val="en-CA"/>
        </w:rPr>
        <w:t xml:space="preserve"> by 101% (31,091).</w:t>
      </w:r>
    </w:p>
    <w:p w14:paraId="7386F0FB" w14:textId="3FA05E67" w:rsidR="001D4808" w:rsidRPr="001D4808" w:rsidRDefault="001D4808" w:rsidP="000539D7">
      <w:pPr>
        <w:pStyle w:val="ListParagraph"/>
        <w:numPr>
          <w:ilvl w:val="0"/>
          <w:numId w:val="36"/>
        </w:numPr>
        <w:spacing w:after="120"/>
        <w:contextualSpacing w:val="0"/>
        <w:rPr>
          <w:lang w:val="en-CA"/>
        </w:rPr>
      </w:pPr>
      <w:r w:rsidRPr="001D4808">
        <w:rPr>
          <w:lang w:val="en-CA"/>
        </w:rPr>
        <w:t>In 2019-2020, there were 11,360 total external indeterminate hires.</w:t>
      </w:r>
    </w:p>
    <w:p w14:paraId="1AD7D57B" w14:textId="77777777" w:rsidR="001D4808" w:rsidRDefault="001D4808" w:rsidP="000539D7">
      <w:pPr>
        <w:pStyle w:val="ListParagraph"/>
        <w:numPr>
          <w:ilvl w:val="1"/>
          <w:numId w:val="36"/>
        </w:numPr>
        <w:spacing w:after="120"/>
        <w:contextualSpacing w:val="0"/>
        <w:rPr>
          <w:lang w:val="en-CA"/>
        </w:rPr>
      </w:pPr>
      <w:r w:rsidRPr="001D4808">
        <w:rPr>
          <w:lang w:val="en-CA"/>
        </w:rPr>
        <w:t>This was an increase of 2.9% (321) from the previous fiscal year.</w:t>
      </w:r>
    </w:p>
    <w:p w14:paraId="04213B01" w14:textId="428EE230" w:rsidR="0093747F" w:rsidRDefault="0093747F" w:rsidP="000539D7">
      <w:pPr>
        <w:pStyle w:val="ListParagraph"/>
        <w:numPr>
          <w:ilvl w:val="1"/>
          <w:numId w:val="36"/>
        </w:numPr>
        <w:spacing w:after="120"/>
        <w:contextualSpacing w:val="0"/>
        <w:rPr>
          <w:lang w:val="en-CA"/>
        </w:rPr>
      </w:pPr>
      <w:r w:rsidRPr="001D4808">
        <w:rPr>
          <w:lang w:val="en-CA"/>
        </w:rPr>
        <w:t>Since 201</w:t>
      </w:r>
      <w:r>
        <w:rPr>
          <w:lang w:val="en-CA"/>
        </w:rPr>
        <w:t>2</w:t>
      </w:r>
      <w:r w:rsidRPr="001D4808">
        <w:rPr>
          <w:lang w:val="en-CA"/>
        </w:rPr>
        <w:t>-201</w:t>
      </w:r>
      <w:r>
        <w:rPr>
          <w:lang w:val="en-CA"/>
        </w:rPr>
        <w:t>3</w:t>
      </w:r>
      <w:r w:rsidRPr="001D4808">
        <w:rPr>
          <w:lang w:val="en-CA"/>
        </w:rPr>
        <w:t xml:space="preserve">, </w:t>
      </w:r>
      <w:r>
        <w:rPr>
          <w:lang w:val="en-CA"/>
        </w:rPr>
        <w:t>the number of indeterminate</w:t>
      </w:r>
      <w:r w:rsidRPr="001D4808">
        <w:rPr>
          <w:lang w:val="en-CA"/>
        </w:rPr>
        <w:t xml:space="preserve"> hiring has increased</w:t>
      </w:r>
      <w:r>
        <w:rPr>
          <w:lang w:val="en-CA"/>
        </w:rPr>
        <w:t xml:space="preserve"> by 474% (9,381).</w:t>
      </w:r>
    </w:p>
    <w:p w14:paraId="107B6311" w14:textId="06526F69" w:rsidR="001D4808" w:rsidRPr="001D4808" w:rsidRDefault="001D4808" w:rsidP="000539D7">
      <w:pPr>
        <w:pStyle w:val="ListParagraph"/>
        <w:numPr>
          <w:ilvl w:val="0"/>
          <w:numId w:val="36"/>
        </w:numPr>
        <w:spacing w:after="120"/>
        <w:contextualSpacing w:val="0"/>
        <w:rPr>
          <w:lang w:val="en-CA"/>
        </w:rPr>
      </w:pPr>
      <w:r w:rsidRPr="001D4808">
        <w:rPr>
          <w:lang w:val="en-CA"/>
        </w:rPr>
        <w:t>In 2019-2020, there were 14,836 total external term hires.</w:t>
      </w:r>
    </w:p>
    <w:p w14:paraId="68944D47" w14:textId="77777777" w:rsidR="001D4808" w:rsidRPr="001D4808" w:rsidRDefault="001D4808" w:rsidP="000539D7">
      <w:pPr>
        <w:pStyle w:val="ListParagraph"/>
        <w:numPr>
          <w:ilvl w:val="1"/>
          <w:numId w:val="36"/>
        </w:numPr>
        <w:spacing w:after="120"/>
        <w:contextualSpacing w:val="0"/>
        <w:rPr>
          <w:lang w:val="en-CA"/>
        </w:rPr>
      </w:pPr>
      <w:r w:rsidRPr="001D4808">
        <w:rPr>
          <w:lang w:val="en-CA"/>
        </w:rPr>
        <w:t>This was an increase of 8.7% (1,183) from the previous fiscal year.</w:t>
      </w:r>
    </w:p>
    <w:p w14:paraId="7661D6BF" w14:textId="57A79432" w:rsidR="0093747F" w:rsidRDefault="0093747F" w:rsidP="000539D7">
      <w:pPr>
        <w:pStyle w:val="ListParagraph"/>
        <w:numPr>
          <w:ilvl w:val="1"/>
          <w:numId w:val="36"/>
        </w:numPr>
        <w:spacing w:after="120"/>
        <w:contextualSpacing w:val="0"/>
        <w:rPr>
          <w:lang w:val="en-CA"/>
        </w:rPr>
      </w:pPr>
      <w:r w:rsidRPr="001D4808">
        <w:rPr>
          <w:lang w:val="en-CA"/>
        </w:rPr>
        <w:t>Since 201</w:t>
      </w:r>
      <w:r>
        <w:rPr>
          <w:lang w:val="en-CA"/>
        </w:rPr>
        <w:t>2</w:t>
      </w:r>
      <w:r w:rsidRPr="001D4808">
        <w:rPr>
          <w:lang w:val="en-CA"/>
        </w:rPr>
        <w:t>-201</w:t>
      </w:r>
      <w:r>
        <w:rPr>
          <w:lang w:val="en-CA"/>
        </w:rPr>
        <w:t>3</w:t>
      </w:r>
      <w:r w:rsidRPr="001D4808">
        <w:rPr>
          <w:lang w:val="en-CA"/>
        </w:rPr>
        <w:t xml:space="preserve">, </w:t>
      </w:r>
      <w:r>
        <w:rPr>
          <w:lang w:val="en-CA"/>
        </w:rPr>
        <w:t xml:space="preserve">the number of </w:t>
      </w:r>
      <w:r w:rsidR="0037405F" w:rsidRPr="001D4808">
        <w:rPr>
          <w:lang w:val="en-CA"/>
        </w:rPr>
        <w:t xml:space="preserve">term </w:t>
      </w:r>
      <w:r w:rsidRPr="001D4808">
        <w:rPr>
          <w:lang w:val="en-CA"/>
        </w:rPr>
        <w:t>hiring has increased</w:t>
      </w:r>
      <w:r>
        <w:rPr>
          <w:lang w:val="en-CA"/>
        </w:rPr>
        <w:t xml:space="preserve"> by 208% (10,032).</w:t>
      </w:r>
    </w:p>
    <w:p w14:paraId="5CE33B82" w14:textId="5F17D560" w:rsidR="002C55D6" w:rsidRPr="002C55D6" w:rsidRDefault="002C55D6" w:rsidP="002C55D6">
      <w:pPr>
        <w:pStyle w:val="Heading3"/>
      </w:pPr>
      <w:r w:rsidRPr="002C55D6">
        <w:t>External hires by employment equity group</w:t>
      </w:r>
    </w:p>
    <w:p w14:paraId="448E9660" w14:textId="03E50FE9" w:rsidR="00CB1315" w:rsidRPr="003F7C6C" w:rsidRDefault="0093747F" w:rsidP="003F7C6C">
      <w:pPr>
        <w:pStyle w:val="ListParagraph"/>
        <w:numPr>
          <w:ilvl w:val="0"/>
          <w:numId w:val="37"/>
        </w:numPr>
        <w:rPr>
          <w:lang w:val="en-CA"/>
        </w:rPr>
      </w:pPr>
      <w:r w:rsidRPr="001D4808">
        <w:rPr>
          <w:lang w:val="en-CA"/>
        </w:rPr>
        <w:t>In 201</w:t>
      </w:r>
      <w:r w:rsidR="006E331F">
        <w:rPr>
          <w:lang w:val="en-CA"/>
        </w:rPr>
        <w:t>8</w:t>
      </w:r>
      <w:r w:rsidRPr="001D4808">
        <w:rPr>
          <w:lang w:val="en-CA"/>
        </w:rPr>
        <w:t>-20</w:t>
      </w:r>
      <w:r w:rsidR="006E331F">
        <w:rPr>
          <w:lang w:val="en-CA"/>
        </w:rPr>
        <w:t>19</w:t>
      </w:r>
      <w:r w:rsidRPr="001D4808">
        <w:rPr>
          <w:lang w:val="en-CA"/>
        </w:rPr>
        <w:t>,</w:t>
      </w:r>
      <w:r>
        <w:rPr>
          <w:lang w:val="en-CA"/>
        </w:rPr>
        <w:t xml:space="preserve"> the share of external hires to indeterminate and terms with a duration of 3 months or more for all employment equity groups increased, with the exception of women.</w:t>
      </w:r>
      <w:r w:rsidR="006E331F">
        <w:rPr>
          <w:rStyle w:val="FootnoteReference"/>
          <w:lang w:val="en-CA"/>
        </w:rPr>
        <w:footnoteReference w:id="1"/>
      </w:r>
    </w:p>
    <w:p w14:paraId="260CC4DC" w14:textId="4ECB9DDF" w:rsidR="00091252" w:rsidRPr="00091252" w:rsidRDefault="0093747F" w:rsidP="00091252">
      <w:pPr>
        <w:pStyle w:val="ListParagraph"/>
        <w:numPr>
          <w:ilvl w:val="0"/>
          <w:numId w:val="37"/>
        </w:numPr>
        <w:rPr>
          <w:lang w:val="en-CA"/>
        </w:rPr>
      </w:pPr>
      <w:r w:rsidRPr="0019378E">
        <w:rPr>
          <w:lang w:val="en-CA"/>
        </w:rPr>
        <w:t>I</w:t>
      </w:r>
      <w:r w:rsidRPr="006E5BBD">
        <w:rPr>
          <w:lang w:val="en-CA"/>
        </w:rPr>
        <w:t xml:space="preserve">n 2018-2019, </w:t>
      </w:r>
      <w:r w:rsidR="00091252">
        <w:rPr>
          <w:lang w:val="en-CA"/>
        </w:rPr>
        <w:t>the share of</w:t>
      </w:r>
      <w:r w:rsidRPr="006E5BBD">
        <w:rPr>
          <w:lang w:val="en-CA"/>
        </w:rPr>
        <w:t xml:space="preserve"> hiring activities of all external indeterminate and terms greater than three months </w:t>
      </w:r>
      <w:r w:rsidR="00F272F2">
        <w:rPr>
          <w:lang w:val="en-CA"/>
        </w:rPr>
        <w:t>for each designated group was:</w:t>
      </w:r>
    </w:p>
    <w:p w14:paraId="0B394CC0" w14:textId="3FA544EB" w:rsidR="0093747F" w:rsidRDefault="00091252" w:rsidP="00091252">
      <w:pPr>
        <w:pStyle w:val="ListParagraph"/>
        <w:numPr>
          <w:ilvl w:val="1"/>
          <w:numId w:val="37"/>
        </w:numPr>
        <w:rPr>
          <w:lang w:val="en-CA"/>
        </w:rPr>
      </w:pPr>
      <w:r w:rsidRPr="006E5BBD">
        <w:rPr>
          <w:lang w:val="en-CA"/>
        </w:rPr>
        <w:t>3.7% (864)</w:t>
      </w:r>
      <w:r>
        <w:rPr>
          <w:lang w:val="en-CA"/>
        </w:rPr>
        <w:t xml:space="preserve"> for persons with disabilities, an</w:t>
      </w:r>
      <w:r w:rsidR="0093747F">
        <w:rPr>
          <w:lang w:val="en-CA"/>
        </w:rPr>
        <w:t xml:space="preserve"> </w:t>
      </w:r>
      <w:r w:rsidR="0093747F" w:rsidRPr="006E5BBD">
        <w:rPr>
          <w:lang w:val="en-CA"/>
        </w:rPr>
        <w:t xml:space="preserve">increase from </w:t>
      </w:r>
      <w:r w:rsidR="00CB1315" w:rsidRPr="006E5BBD">
        <w:rPr>
          <w:lang w:val="en-CA"/>
        </w:rPr>
        <w:t>3.5% (347) in 2014-2015.</w:t>
      </w:r>
    </w:p>
    <w:p w14:paraId="45502C27" w14:textId="6079D3C4" w:rsidR="00091252" w:rsidRDefault="00091252">
      <w:pPr>
        <w:pStyle w:val="ListParagraph"/>
        <w:numPr>
          <w:ilvl w:val="1"/>
          <w:numId w:val="37"/>
        </w:numPr>
        <w:rPr>
          <w:lang w:val="en-CA"/>
        </w:rPr>
      </w:pPr>
      <w:r w:rsidRPr="0093747F">
        <w:rPr>
          <w:lang w:val="en-CA"/>
        </w:rPr>
        <w:t>4.1% (962)</w:t>
      </w:r>
      <w:r>
        <w:rPr>
          <w:lang w:val="en-CA"/>
        </w:rPr>
        <w:t xml:space="preserve"> for i</w:t>
      </w:r>
      <w:r w:rsidRPr="0093747F">
        <w:rPr>
          <w:lang w:val="en-CA"/>
        </w:rPr>
        <w:t>ndigenous peoples</w:t>
      </w:r>
      <w:r>
        <w:rPr>
          <w:lang w:val="en-CA"/>
        </w:rPr>
        <w:t xml:space="preserve">, an </w:t>
      </w:r>
      <w:r w:rsidRPr="006E5BBD">
        <w:rPr>
          <w:lang w:val="en-CA"/>
        </w:rPr>
        <w:t>increase from3.8% (385) in 2014-2015</w:t>
      </w:r>
      <w:r>
        <w:rPr>
          <w:lang w:val="en-CA"/>
        </w:rPr>
        <w:t>.</w:t>
      </w:r>
    </w:p>
    <w:p w14:paraId="4C413CE8" w14:textId="2B786263" w:rsidR="00091252" w:rsidRDefault="00091252">
      <w:pPr>
        <w:pStyle w:val="ListParagraph"/>
        <w:numPr>
          <w:ilvl w:val="1"/>
          <w:numId w:val="37"/>
        </w:numPr>
        <w:rPr>
          <w:lang w:val="en-CA"/>
        </w:rPr>
      </w:pPr>
      <w:r w:rsidRPr="006E5BBD">
        <w:rPr>
          <w:lang w:val="en-CA"/>
        </w:rPr>
        <w:t>19.3% (4</w:t>
      </w:r>
      <w:r>
        <w:rPr>
          <w:lang w:val="en-CA"/>
        </w:rPr>
        <w:t>,</w:t>
      </w:r>
      <w:r w:rsidRPr="006E5BBD">
        <w:rPr>
          <w:lang w:val="en-CA"/>
        </w:rPr>
        <w:t>507)</w:t>
      </w:r>
      <w:r>
        <w:rPr>
          <w:lang w:val="en-CA"/>
        </w:rPr>
        <w:t xml:space="preserve"> for members of visible minorities, an </w:t>
      </w:r>
      <w:r w:rsidRPr="006E5BBD">
        <w:rPr>
          <w:lang w:val="en-CA"/>
        </w:rPr>
        <w:t xml:space="preserve">increase from </w:t>
      </w:r>
      <w:r>
        <w:rPr>
          <w:lang w:val="en-CA"/>
        </w:rPr>
        <w:t>16</w:t>
      </w:r>
      <w:r w:rsidRPr="006E5BBD">
        <w:rPr>
          <w:lang w:val="en-CA"/>
        </w:rPr>
        <w:t>.</w:t>
      </w:r>
      <w:r>
        <w:rPr>
          <w:lang w:val="en-CA"/>
        </w:rPr>
        <w:t>1</w:t>
      </w:r>
      <w:r w:rsidRPr="006E5BBD">
        <w:rPr>
          <w:lang w:val="en-CA"/>
        </w:rPr>
        <w:t>% (</w:t>
      </w:r>
      <w:r>
        <w:rPr>
          <w:lang w:val="en-CA"/>
        </w:rPr>
        <w:t>1,610</w:t>
      </w:r>
      <w:r w:rsidRPr="006E5BBD">
        <w:rPr>
          <w:lang w:val="en-CA"/>
        </w:rPr>
        <w:t>) in 2014-2015</w:t>
      </w:r>
      <w:r>
        <w:rPr>
          <w:lang w:val="en-CA"/>
        </w:rPr>
        <w:t>.</w:t>
      </w:r>
    </w:p>
    <w:p w14:paraId="66C05DDA" w14:textId="0EBBAB0A" w:rsidR="00091252" w:rsidRDefault="00091252" w:rsidP="00091252">
      <w:pPr>
        <w:pStyle w:val="ListParagraph"/>
        <w:numPr>
          <w:ilvl w:val="1"/>
          <w:numId w:val="37"/>
        </w:numPr>
        <w:rPr>
          <w:lang w:val="en-CA"/>
        </w:rPr>
      </w:pPr>
      <w:r w:rsidRPr="009A1DAD">
        <w:rPr>
          <w:lang w:val="en-CA"/>
        </w:rPr>
        <w:t xml:space="preserve">56.5% (13,176) </w:t>
      </w:r>
      <w:r>
        <w:rPr>
          <w:lang w:val="en-CA"/>
        </w:rPr>
        <w:t xml:space="preserve">for women, a </w:t>
      </w:r>
      <w:r w:rsidR="00C42F94">
        <w:rPr>
          <w:lang w:val="en-CA"/>
        </w:rPr>
        <w:t>de</w:t>
      </w:r>
      <w:r w:rsidR="00C42F94" w:rsidRPr="006E5BBD">
        <w:rPr>
          <w:lang w:val="en-CA"/>
        </w:rPr>
        <w:t xml:space="preserve">crease </w:t>
      </w:r>
      <w:r w:rsidRPr="006E5BBD">
        <w:rPr>
          <w:lang w:val="en-CA"/>
        </w:rPr>
        <w:t xml:space="preserve">from </w:t>
      </w:r>
      <w:r>
        <w:rPr>
          <w:lang w:val="en-CA"/>
        </w:rPr>
        <w:t>56.6</w:t>
      </w:r>
      <w:r w:rsidRPr="006E5BBD">
        <w:rPr>
          <w:lang w:val="en-CA"/>
        </w:rPr>
        <w:t>% (</w:t>
      </w:r>
      <w:r>
        <w:rPr>
          <w:lang w:val="en-CA"/>
        </w:rPr>
        <w:t>5,665</w:t>
      </w:r>
      <w:r w:rsidRPr="006E5BBD">
        <w:rPr>
          <w:lang w:val="en-CA"/>
        </w:rPr>
        <w:t>)</w:t>
      </w:r>
      <w:r>
        <w:rPr>
          <w:lang w:val="en-CA"/>
        </w:rPr>
        <w:t xml:space="preserve"> </w:t>
      </w:r>
      <w:r w:rsidRPr="006E5BBD">
        <w:rPr>
          <w:lang w:val="en-CA"/>
        </w:rPr>
        <w:t>in 2014-2015</w:t>
      </w:r>
      <w:r>
        <w:rPr>
          <w:lang w:val="en-CA"/>
        </w:rPr>
        <w:t>.</w:t>
      </w:r>
    </w:p>
    <w:p w14:paraId="39F05223" w14:textId="4B25A532" w:rsidR="00823802" w:rsidRDefault="00823802" w:rsidP="00823802">
      <w:pPr>
        <w:pStyle w:val="ListParagraph"/>
        <w:numPr>
          <w:ilvl w:val="0"/>
          <w:numId w:val="35"/>
        </w:numPr>
        <w:rPr>
          <w:lang w:val="en-CA"/>
        </w:rPr>
      </w:pPr>
      <w:r>
        <w:rPr>
          <w:lang w:val="en-CA"/>
        </w:rPr>
        <w:t>The share of</w:t>
      </w:r>
      <w:r w:rsidR="006E331F">
        <w:rPr>
          <w:lang w:val="en-CA"/>
        </w:rPr>
        <w:t xml:space="preserve"> external</w:t>
      </w:r>
      <w:r>
        <w:rPr>
          <w:lang w:val="en-CA"/>
        </w:rPr>
        <w:t xml:space="preserve"> </w:t>
      </w:r>
      <w:r w:rsidR="006E331F">
        <w:rPr>
          <w:lang w:val="en-CA"/>
        </w:rPr>
        <w:t>hires</w:t>
      </w:r>
      <w:r>
        <w:rPr>
          <w:lang w:val="en-CA"/>
        </w:rPr>
        <w:t xml:space="preserve"> for women</w:t>
      </w:r>
      <w:r w:rsidR="006E331F">
        <w:rPr>
          <w:lang w:val="en-CA"/>
        </w:rPr>
        <w:t xml:space="preserve"> and</w:t>
      </w:r>
      <w:r>
        <w:rPr>
          <w:lang w:val="en-CA"/>
        </w:rPr>
        <w:t xml:space="preserve"> members of visible minorities</w:t>
      </w:r>
      <w:r w:rsidR="006E331F">
        <w:rPr>
          <w:lang w:val="en-CA"/>
        </w:rPr>
        <w:t xml:space="preserve"> </w:t>
      </w:r>
      <w:r>
        <w:rPr>
          <w:lang w:val="en-CA"/>
        </w:rPr>
        <w:t>are above their workforce availability for the past five years, 52.</w:t>
      </w:r>
      <w:r w:rsidR="00384D52">
        <w:rPr>
          <w:lang w:val="en-CA"/>
        </w:rPr>
        <w:t>7</w:t>
      </w:r>
      <w:r>
        <w:rPr>
          <w:lang w:val="en-CA"/>
        </w:rPr>
        <w:t>% and 15.3% respectively.</w:t>
      </w:r>
    </w:p>
    <w:p w14:paraId="59BC37CD" w14:textId="047ED99B" w:rsidR="006E331F" w:rsidRDefault="006E331F" w:rsidP="006E331F">
      <w:pPr>
        <w:pStyle w:val="ListParagraph"/>
        <w:numPr>
          <w:ilvl w:val="1"/>
          <w:numId w:val="35"/>
        </w:numPr>
        <w:rPr>
          <w:lang w:val="en-CA"/>
        </w:rPr>
      </w:pPr>
      <w:r>
        <w:rPr>
          <w:lang w:val="en-CA"/>
        </w:rPr>
        <w:t xml:space="preserve">For indigenous peoples the share of external hires was above their workforce availability of 4.0% </w:t>
      </w:r>
      <w:r w:rsidR="00091252">
        <w:rPr>
          <w:lang w:val="en-CA"/>
        </w:rPr>
        <w:t xml:space="preserve">in each of </w:t>
      </w:r>
      <w:r>
        <w:rPr>
          <w:lang w:val="en-CA"/>
        </w:rPr>
        <w:t>the past four years.</w:t>
      </w:r>
    </w:p>
    <w:p w14:paraId="538BE6D3" w14:textId="509D4D2A" w:rsidR="00823802" w:rsidRPr="00D07661" w:rsidRDefault="00823802" w:rsidP="00823802">
      <w:pPr>
        <w:pStyle w:val="ListParagraph"/>
        <w:numPr>
          <w:ilvl w:val="0"/>
          <w:numId w:val="35"/>
        </w:numPr>
        <w:rPr>
          <w:lang w:val="en-CA"/>
        </w:rPr>
      </w:pPr>
      <w:r>
        <w:rPr>
          <w:lang w:val="en-CA"/>
        </w:rPr>
        <w:t xml:space="preserve">The share of </w:t>
      </w:r>
      <w:r w:rsidR="006E331F">
        <w:rPr>
          <w:lang w:val="en-CA"/>
        </w:rPr>
        <w:t xml:space="preserve">external hires </w:t>
      </w:r>
      <w:r>
        <w:rPr>
          <w:lang w:val="en-CA"/>
        </w:rPr>
        <w:t>for persons with disabilities</w:t>
      </w:r>
      <w:r w:rsidRPr="001D4808">
        <w:rPr>
          <w:lang w:val="en-CA"/>
        </w:rPr>
        <w:t xml:space="preserve"> </w:t>
      </w:r>
      <w:r w:rsidR="006E331F">
        <w:rPr>
          <w:lang w:val="en-CA"/>
        </w:rPr>
        <w:t>is well</w:t>
      </w:r>
      <w:r w:rsidRPr="001D4808">
        <w:rPr>
          <w:lang w:val="en-CA"/>
        </w:rPr>
        <w:t xml:space="preserve"> below</w:t>
      </w:r>
      <w:r w:rsidR="006E331F">
        <w:rPr>
          <w:lang w:val="en-CA"/>
        </w:rPr>
        <w:t xml:space="preserve"> its</w:t>
      </w:r>
      <w:r w:rsidRPr="001D4808">
        <w:rPr>
          <w:lang w:val="en-CA"/>
        </w:rPr>
        <w:t xml:space="preserve"> </w:t>
      </w:r>
      <w:r>
        <w:rPr>
          <w:lang w:val="en-CA"/>
        </w:rPr>
        <w:t xml:space="preserve">workforce availability </w:t>
      </w:r>
      <w:r w:rsidR="006E331F">
        <w:rPr>
          <w:lang w:val="en-CA"/>
        </w:rPr>
        <w:t>of 9.0%</w:t>
      </w:r>
      <w:r w:rsidR="00C42F94">
        <w:rPr>
          <w:lang w:val="en-CA"/>
        </w:rPr>
        <w:t xml:space="preserve"> in 2018-2019, as well as the previous workforce availability of 4.4%</w:t>
      </w:r>
      <w:r w:rsidR="006E331F">
        <w:rPr>
          <w:lang w:val="en-CA"/>
        </w:rPr>
        <w:t xml:space="preserve"> </w:t>
      </w:r>
      <w:r>
        <w:rPr>
          <w:lang w:val="en-CA"/>
        </w:rPr>
        <w:t xml:space="preserve">for the </w:t>
      </w:r>
      <w:r w:rsidR="00C42F94">
        <w:rPr>
          <w:lang w:val="en-CA"/>
        </w:rPr>
        <w:t>preceding four years</w:t>
      </w:r>
      <w:r>
        <w:rPr>
          <w:lang w:val="en-CA"/>
        </w:rPr>
        <w:t>.</w:t>
      </w:r>
    </w:p>
    <w:p w14:paraId="076B40BD" w14:textId="063C8DF9" w:rsidR="004A3B58" w:rsidRPr="002C0F89" w:rsidRDefault="00234D67" w:rsidP="00AE01FA">
      <w:pPr>
        <w:pStyle w:val="Heading2"/>
      </w:pPr>
      <w:r w:rsidRPr="002C0F89">
        <w:lastRenderedPageBreak/>
        <w:t xml:space="preserve">Trends </w:t>
      </w:r>
      <w:r w:rsidR="00F272F2" w:rsidRPr="002C0F89">
        <w:t>in</w:t>
      </w:r>
      <w:r w:rsidRPr="002C0F89">
        <w:t xml:space="preserve"> EX-03 to EX-05 positions</w:t>
      </w:r>
    </w:p>
    <w:p w14:paraId="5A84F6DF" w14:textId="747442E9" w:rsidR="0038000D" w:rsidRPr="0038000D" w:rsidRDefault="004A3B58" w:rsidP="0038000D">
      <w:pPr>
        <w:rPr>
          <w:lang w:val="en-CA"/>
        </w:rPr>
      </w:pPr>
      <w:r w:rsidRPr="004A3B58">
        <w:rPr>
          <w:lang w:val="en-CA"/>
        </w:rPr>
        <w:t>The federal public service must continue to expand its understanding of the challenges faced by employment equity groups, and of the opportunities a diverse workforce offers.</w:t>
      </w:r>
      <w:r w:rsidRPr="006E331F">
        <w:rPr>
          <w:lang w:val="en-CA"/>
        </w:rPr>
        <w:t xml:space="preserve"> This involves building a deeper understanding of differences within groups, and of intersections with diversity factors within our executive community</w:t>
      </w:r>
      <w:r w:rsidR="00F272F2">
        <w:rPr>
          <w:lang w:val="en-CA"/>
        </w:rPr>
        <w:t>.</w:t>
      </w:r>
    </w:p>
    <w:p w14:paraId="69154E8A" w14:textId="198FB360" w:rsidR="00B610A7" w:rsidRPr="00234CC3" w:rsidRDefault="004A3B58" w:rsidP="00234D67">
      <w:pPr>
        <w:pStyle w:val="Heading3"/>
      </w:pPr>
      <w:r>
        <w:t xml:space="preserve">EX </w:t>
      </w:r>
      <w:r w:rsidR="00F272F2">
        <w:t>p</w:t>
      </w:r>
      <w:r w:rsidR="0064640B" w:rsidRPr="00234CC3">
        <w:t>opulation</w:t>
      </w:r>
    </w:p>
    <w:p w14:paraId="2204C263" w14:textId="5D628EF4" w:rsidR="0064640B" w:rsidRPr="00234CC3" w:rsidRDefault="002C08D4" w:rsidP="002C08D4">
      <w:pPr>
        <w:rPr>
          <w:lang w:val="en-CA"/>
        </w:rPr>
      </w:pPr>
      <w:r w:rsidRPr="00234CC3">
        <w:rPr>
          <w:lang w:val="en-CA"/>
        </w:rPr>
        <w:t xml:space="preserve">Population trends </w:t>
      </w:r>
      <w:r w:rsidR="004D61C4">
        <w:rPr>
          <w:lang w:val="en-CA"/>
        </w:rPr>
        <w:t>in the EX-03, EX-04 and EX-05 (“senior executive”) groups</w:t>
      </w:r>
      <w:r w:rsidR="004D61C4" w:rsidRPr="00234CC3">
        <w:rPr>
          <w:lang w:val="en-CA"/>
        </w:rPr>
        <w:t xml:space="preserve"> </w:t>
      </w:r>
      <w:r w:rsidRPr="00234CC3">
        <w:rPr>
          <w:lang w:val="en-CA"/>
        </w:rPr>
        <w:t xml:space="preserve">are largely driven by the EX-03 group, which accounted for just </w:t>
      </w:r>
      <w:r w:rsidR="00C8190F" w:rsidRPr="00234CC3">
        <w:rPr>
          <w:lang w:val="en-CA"/>
        </w:rPr>
        <w:t>under 75</w:t>
      </w:r>
      <w:r w:rsidR="00532BCB" w:rsidRPr="00234CC3">
        <w:rPr>
          <w:lang w:val="en-CA"/>
        </w:rPr>
        <w:t xml:space="preserve"> percent of such executives</w:t>
      </w:r>
      <w:r w:rsidR="00CA40A5" w:rsidRPr="00234CC3">
        <w:rPr>
          <w:lang w:val="en-CA"/>
        </w:rPr>
        <w:t xml:space="preserve"> in 2018-2019</w:t>
      </w:r>
      <w:r w:rsidR="00532BCB" w:rsidRPr="00234CC3">
        <w:rPr>
          <w:lang w:val="en-CA"/>
        </w:rPr>
        <w:t>.</w:t>
      </w:r>
      <w:r w:rsidR="00F84010" w:rsidRPr="00234CC3">
        <w:rPr>
          <w:lang w:val="en-CA"/>
        </w:rPr>
        <w:t xml:space="preserve"> </w:t>
      </w:r>
      <w:r w:rsidR="009E4A05">
        <w:rPr>
          <w:lang w:val="en-CA"/>
        </w:rPr>
        <w:t>Among senior executives</w:t>
      </w:r>
      <w:r w:rsidR="00F84010" w:rsidRPr="00234CC3">
        <w:rPr>
          <w:lang w:val="en-CA"/>
        </w:rPr>
        <w:t xml:space="preserve">, </w:t>
      </w:r>
      <w:r w:rsidR="009E4A05">
        <w:rPr>
          <w:lang w:val="en-CA"/>
        </w:rPr>
        <w:t xml:space="preserve">the </w:t>
      </w:r>
      <w:r w:rsidR="00F84010" w:rsidRPr="00234CC3">
        <w:rPr>
          <w:lang w:val="en-CA"/>
        </w:rPr>
        <w:t xml:space="preserve">representation </w:t>
      </w:r>
      <w:r w:rsidR="009E4A05">
        <w:rPr>
          <w:lang w:val="en-CA"/>
        </w:rPr>
        <w:t xml:space="preserve">in each </w:t>
      </w:r>
      <w:r w:rsidR="009E4A05" w:rsidRPr="00234CC3">
        <w:rPr>
          <w:lang w:val="en-CA"/>
        </w:rPr>
        <w:t xml:space="preserve">employment equity </w:t>
      </w:r>
      <w:r w:rsidR="009E4A05">
        <w:rPr>
          <w:lang w:val="en-CA"/>
        </w:rPr>
        <w:t xml:space="preserve">group </w:t>
      </w:r>
      <w:r w:rsidR="00F84010" w:rsidRPr="00234CC3">
        <w:rPr>
          <w:lang w:val="en-CA"/>
        </w:rPr>
        <w:t xml:space="preserve">is </w:t>
      </w:r>
      <w:r w:rsidR="00C22FB6" w:rsidRPr="00234CC3">
        <w:rPr>
          <w:lang w:val="en-CA"/>
        </w:rPr>
        <w:t xml:space="preserve">below </w:t>
      </w:r>
      <w:r w:rsidR="009E4A05">
        <w:rPr>
          <w:lang w:val="en-CA"/>
        </w:rPr>
        <w:t xml:space="preserve">the </w:t>
      </w:r>
      <w:r w:rsidR="00F84010" w:rsidRPr="00234CC3">
        <w:rPr>
          <w:lang w:val="en-CA"/>
        </w:rPr>
        <w:t>workforce availability</w:t>
      </w:r>
      <w:r w:rsidR="009E4A05">
        <w:rPr>
          <w:lang w:val="en-CA"/>
        </w:rPr>
        <w:t xml:space="preserve"> of the overall executive </w:t>
      </w:r>
      <w:r w:rsidR="00693FC0">
        <w:rPr>
          <w:lang w:val="en-CA"/>
        </w:rPr>
        <w:t xml:space="preserve">cadre. The representation of senior executives is also lower than the representation within the EX-01 and EX-02 feeder groups for all employment equity groups except persons with disabilities. </w:t>
      </w:r>
      <w:r w:rsidR="00B31A12" w:rsidRPr="009B69D5">
        <w:rPr>
          <w:lang w:val="en-CA"/>
        </w:rPr>
        <w:t xml:space="preserve">However, employment equity representation for </w:t>
      </w:r>
      <w:r w:rsidR="00494B99">
        <w:rPr>
          <w:lang w:val="en-CA"/>
        </w:rPr>
        <w:t xml:space="preserve">senior </w:t>
      </w:r>
      <w:r w:rsidR="00B31A12" w:rsidRPr="009B69D5">
        <w:rPr>
          <w:lang w:val="en-CA"/>
        </w:rPr>
        <w:t xml:space="preserve">executives has </w:t>
      </w:r>
      <w:r w:rsidR="00B51997">
        <w:rPr>
          <w:lang w:val="en-CA"/>
        </w:rPr>
        <w:t>generally</w:t>
      </w:r>
      <w:r w:rsidR="00B51997" w:rsidRPr="00234CC3">
        <w:rPr>
          <w:lang w:val="en-CA"/>
        </w:rPr>
        <w:t xml:space="preserve"> </w:t>
      </w:r>
      <w:r w:rsidR="00B31A12" w:rsidRPr="00234CC3">
        <w:rPr>
          <w:lang w:val="en-CA"/>
        </w:rPr>
        <w:t>increased over the past five years.</w:t>
      </w:r>
    </w:p>
    <w:p w14:paraId="1A355BB5" w14:textId="60C459F3" w:rsidR="00532BCB" w:rsidRPr="00234CC3" w:rsidRDefault="00532BCB" w:rsidP="000539D7">
      <w:pPr>
        <w:pStyle w:val="ListParagraph"/>
        <w:numPr>
          <w:ilvl w:val="0"/>
          <w:numId w:val="31"/>
        </w:numPr>
        <w:spacing w:after="120"/>
        <w:ind w:hanging="357"/>
        <w:contextualSpacing w:val="0"/>
        <w:rPr>
          <w:lang w:val="en-CA"/>
        </w:rPr>
      </w:pPr>
      <w:r w:rsidRPr="00234CC3">
        <w:rPr>
          <w:lang w:val="en-CA"/>
        </w:rPr>
        <w:t xml:space="preserve">The </w:t>
      </w:r>
      <w:r w:rsidR="003E6617" w:rsidRPr="00234CC3">
        <w:rPr>
          <w:lang w:val="en-CA"/>
        </w:rPr>
        <w:t xml:space="preserve">number of </w:t>
      </w:r>
      <w:r w:rsidR="00494B99">
        <w:rPr>
          <w:lang w:val="en-CA"/>
        </w:rPr>
        <w:t>senior</w:t>
      </w:r>
      <w:r w:rsidR="003E6617" w:rsidRPr="00234CC3">
        <w:rPr>
          <w:lang w:val="en-CA"/>
        </w:rPr>
        <w:t xml:space="preserve"> </w:t>
      </w:r>
      <w:r w:rsidR="0029141D" w:rsidRPr="00234CC3">
        <w:rPr>
          <w:lang w:val="en-CA"/>
        </w:rPr>
        <w:t>executives</w:t>
      </w:r>
      <w:r w:rsidR="003E6617" w:rsidRPr="00234CC3">
        <w:rPr>
          <w:lang w:val="en-CA"/>
        </w:rPr>
        <w:t xml:space="preserve"> has increased</w:t>
      </w:r>
      <w:r w:rsidR="00DF11C6" w:rsidRPr="00234CC3">
        <w:rPr>
          <w:lang w:val="en-CA"/>
        </w:rPr>
        <w:t xml:space="preserve"> from 1,106 in 2014 to 1,28</w:t>
      </w:r>
      <w:r w:rsidR="00824BC7" w:rsidRPr="00234CC3">
        <w:rPr>
          <w:lang w:val="en-CA"/>
        </w:rPr>
        <w:t xml:space="preserve">7 in 2019, </w:t>
      </w:r>
      <w:r w:rsidRPr="00234CC3">
        <w:rPr>
          <w:lang w:val="en-CA"/>
        </w:rPr>
        <w:t xml:space="preserve">driven </w:t>
      </w:r>
      <w:r w:rsidR="00B44CE7" w:rsidRPr="00234CC3">
        <w:rPr>
          <w:lang w:val="en-CA"/>
        </w:rPr>
        <w:t xml:space="preserve">largely </w:t>
      </w:r>
      <w:r w:rsidRPr="00234CC3">
        <w:rPr>
          <w:lang w:val="en-CA"/>
        </w:rPr>
        <w:t xml:space="preserve">by </w:t>
      </w:r>
      <w:r w:rsidR="00EF34FF" w:rsidRPr="00234CC3">
        <w:rPr>
          <w:lang w:val="en-CA"/>
        </w:rPr>
        <w:t>promotions</w:t>
      </w:r>
      <w:r w:rsidRPr="00234CC3">
        <w:rPr>
          <w:lang w:val="en-CA"/>
        </w:rPr>
        <w:t xml:space="preserve"> in</w:t>
      </w:r>
      <w:r w:rsidR="00EF34FF" w:rsidRPr="00234CC3">
        <w:rPr>
          <w:lang w:val="en-CA"/>
        </w:rPr>
        <w:t>to</w:t>
      </w:r>
      <w:r w:rsidRPr="00234CC3">
        <w:rPr>
          <w:lang w:val="en-CA"/>
        </w:rPr>
        <w:t xml:space="preserve"> </w:t>
      </w:r>
      <w:r w:rsidR="003E6617" w:rsidRPr="00234CC3">
        <w:rPr>
          <w:lang w:val="en-CA"/>
        </w:rPr>
        <w:t>the EX-03 group.</w:t>
      </w:r>
    </w:p>
    <w:p w14:paraId="21EF3847" w14:textId="5DB2F951" w:rsidR="00C22FB6" w:rsidRPr="00C55F79" w:rsidRDefault="00C22FB6" w:rsidP="000539D7">
      <w:pPr>
        <w:pStyle w:val="ListParagraph"/>
        <w:numPr>
          <w:ilvl w:val="1"/>
          <w:numId w:val="31"/>
        </w:numPr>
        <w:spacing w:after="120"/>
        <w:ind w:hanging="357"/>
        <w:contextualSpacing w:val="0"/>
        <w:rPr>
          <w:lang w:val="en-CA"/>
        </w:rPr>
      </w:pPr>
      <w:r w:rsidRPr="005B637D">
        <w:rPr>
          <w:lang w:val="en-CA"/>
        </w:rPr>
        <w:t xml:space="preserve">As of March 31, 2019 there were </w:t>
      </w:r>
      <w:r w:rsidR="00AE2F9F" w:rsidRPr="00C55F79">
        <w:rPr>
          <w:lang w:val="en-CA"/>
        </w:rPr>
        <w:t xml:space="preserve">957 </w:t>
      </w:r>
      <w:r w:rsidRPr="00C55F79">
        <w:rPr>
          <w:lang w:val="en-CA"/>
        </w:rPr>
        <w:t xml:space="preserve">EX-03, </w:t>
      </w:r>
      <w:r w:rsidR="00AE2F9F" w:rsidRPr="00C55F79">
        <w:rPr>
          <w:lang w:val="en-CA"/>
        </w:rPr>
        <w:t xml:space="preserve">229 </w:t>
      </w:r>
      <w:r w:rsidRPr="00C55F79">
        <w:rPr>
          <w:lang w:val="en-CA"/>
        </w:rPr>
        <w:t xml:space="preserve">EX-04, and </w:t>
      </w:r>
      <w:r w:rsidR="00AE2F9F" w:rsidRPr="00C55F79">
        <w:rPr>
          <w:lang w:val="en-CA"/>
        </w:rPr>
        <w:t>101</w:t>
      </w:r>
      <w:r w:rsidR="00AE2F9F" w:rsidRPr="00C55F79">
        <w:rPr>
          <w:color w:val="auto"/>
          <w:lang w:val="en-CA"/>
        </w:rPr>
        <w:t xml:space="preserve"> </w:t>
      </w:r>
      <w:r w:rsidRPr="00C55F79">
        <w:rPr>
          <w:lang w:val="en-CA"/>
        </w:rPr>
        <w:t>EX-05</w:t>
      </w:r>
      <w:r w:rsidR="00B44CE7" w:rsidRPr="00C55F79">
        <w:rPr>
          <w:lang w:val="en-CA"/>
        </w:rPr>
        <w:t xml:space="preserve"> executives</w:t>
      </w:r>
      <w:r w:rsidR="00494B99">
        <w:rPr>
          <w:lang w:val="en-CA"/>
        </w:rPr>
        <w:t xml:space="preserve"> subject to the </w:t>
      </w:r>
      <w:r w:rsidR="00494B99" w:rsidRPr="002C7FDA">
        <w:rPr>
          <w:i/>
          <w:lang w:val="en-CA"/>
        </w:rPr>
        <w:t>P</w:t>
      </w:r>
      <w:r w:rsidR="00494B99">
        <w:rPr>
          <w:i/>
          <w:lang w:val="en-CA"/>
        </w:rPr>
        <w:t xml:space="preserve">ublic </w:t>
      </w:r>
      <w:r w:rsidR="00494B99" w:rsidRPr="002C7FDA">
        <w:rPr>
          <w:i/>
          <w:lang w:val="en-CA"/>
        </w:rPr>
        <w:t>S</w:t>
      </w:r>
      <w:r w:rsidR="00494B99">
        <w:rPr>
          <w:i/>
          <w:lang w:val="en-CA"/>
        </w:rPr>
        <w:t xml:space="preserve">ervice </w:t>
      </w:r>
      <w:r w:rsidR="00494B99" w:rsidRPr="002C7FDA">
        <w:rPr>
          <w:i/>
          <w:lang w:val="en-CA"/>
        </w:rPr>
        <w:t>E</w:t>
      </w:r>
      <w:r w:rsidR="00494B99">
        <w:rPr>
          <w:i/>
          <w:lang w:val="en-CA"/>
        </w:rPr>
        <w:t xml:space="preserve">mployment </w:t>
      </w:r>
      <w:r w:rsidR="00494B99" w:rsidRPr="002C7FDA">
        <w:rPr>
          <w:i/>
          <w:lang w:val="en-CA"/>
        </w:rPr>
        <w:t>A</w:t>
      </w:r>
      <w:r w:rsidR="00494B99">
        <w:rPr>
          <w:i/>
          <w:lang w:val="en-CA"/>
        </w:rPr>
        <w:t>ct</w:t>
      </w:r>
      <w:r w:rsidRPr="00C55F79">
        <w:rPr>
          <w:lang w:val="en-CA"/>
        </w:rPr>
        <w:t>.</w:t>
      </w:r>
    </w:p>
    <w:p w14:paraId="00E94DFD" w14:textId="05FF5B2D" w:rsidR="00905C8C" w:rsidRPr="00234CC3" w:rsidRDefault="00C22FB6" w:rsidP="000539D7">
      <w:pPr>
        <w:pStyle w:val="ListParagraph"/>
        <w:numPr>
          <w:ilvl w:val="0"/>
          <w:numId w:val="31"/>
        </w:numPr>
        <w:spacing w:after="120"/>
        <w:ind w:hanging="357"/>
        <w:contextualSpacing w:val="0"/>
        <w:rPr>
          <w:lang w:val="en-CA"/>
        </w:rPr>
      </w:pPr>
      <w:r w:rsidRPr="00234CC3">
        <w:rPr>
          <w:lang w:val="en-CA"/>
        </w:rPr>
        <w:t>Employment equity r</w:t>
      </w:r>
      <w:r w:rsidR="00905C8C" w:rsidRPr="00234CC3">
        <w:rPr>
          <w:lang w:val="en-CA"/>
        </w:rPr>
        <w:t>epresentation is strongly influenced by the EX-03 group. Within the EX-04 and EX-05 communities in 2018-2019, there were 10 Indigenous peoples, 16 persons with disabilities and 29 visible minorities.</w:t>
      </w:r>
    </w:p>
    <w:p w14:paraId="221A60A5" w14:textId="3DA61661" w:rsidR="009F2F97" w:rsidRPr="00234CC3" w:rsidRDefault="009F2F97" w:rsidP="000539D7">
      <w:pPr>
        <w:pStyle w:val="ListParagraph"/>
        <w:numPr>
          <w:ilvl w:val="1"/>
          <w:numId w:val="31"/>
        </w:numPr>
        <w:spacing w:after="120"/>
        <w:ind w:hanging="357"/>
        <w:contextualSpacing w:val="0"/>
        <w:rPr>
          <w:lang w:val="en-CA"/>
        </w:rPr>
      </w:pPr>
      <w:r w:rsidRPr="00234CC3">
        <w:rPr>
          <w:lang w:val="en-CA"/>
        </w:rPr>
        <w:t xml:space="preserve">The representation for women within </w:t>
      </w:r>
      <w:r w:rsidR="00864BAE">
        <w:rPr>
          <w:lang w:val="en-CA"/>
        </w:rPr>
        <w:t>senior executive</w:t>
      </w:r>
      <w:r w:rsidRPr="00234CC3">
        <w:rPr>
          <w:lang w:val="en-CA"/>
        </w:rPr>
        <w:t xml:space="preserve"> positions </w:t>
      </w:r>
      <w:r w:rsidR="00867DE7">
        <w:rPr>
          <w:lang w:val="en-CA"/>
        </w:rPr>
        <w:t>was</w:t>
      </w:r>
      <w:r w:rsidR="00867DE7" w:rsidRPr="00234CC3">
        <w:rPr>
          <w:lang w:val="en-CA"/>
        </w:rPr>
        <w:t xml:space="preserve"> </w:t>
      </w:r>
      <w:r w:rsidRPr="00234CC3">
        <w:rPr>
          <w:lang w:val="en-CA"/>
        </w:rPr>
        <w:t>43.4%</w:t>
      </w:r>
      <w:r w:rsidR="00867DE7" w:rsidRPr="00234CC3">
        <w:rPr>
          <w:lang w:val="en-CA"/>
        </w:rPr>
        <w:t xml:space="preserve"> in 2018-2019</w:t>
      </w:r>
      <w:r w:rsidRPr="00234CC3">
        <w:rPr>
          <w:lang w:val="en-CA"/>
        </w:rPr>
        <w:t>, below workforce availabil</w:t>
      </w:r>
      <w:r w:rsidR="00A777B6">
        <w:rPr>
          <w:lang w:val="en-CA"/>
        </w:rPr>
        <w:t>ity for female executives (48%).</w:t>
      </w:r>
    </w:p>
    <w:p w14:paraId="11AE39AE" w14:textId="5ECE4116" w:rsidR="00D812DD" w:rsidRPr="00234CC3" w:rsidRDefault="00867DE7" w:rsidP="000539D7">
      <w:pPr>
        <w:pStyle w:val="ListParagraph"/>
        <w:numPr>
          <w:ilvl w:val="1"/>
          <w:numId w:val="31"/>
        </w:numPr>
        <w:spacing w:after="120"/>
        <w:ind w:hanging="357"/>
        <w:contextualSpacing w:val="0"/>
        <w:rPr>
          <w:lang w:val="en-CA"/>
        </w:rPr>
      </w:pPr>
      <w:r w:rsidRPr="00234CC3">
        <w:rPr>
          <w:lang w:val="en-CA"/>
        </w:rPr>
        <w:t xml:space="preserve">The representation for </w:t>
      </w:r>
      <w:r w:rsidR="00D812DD" w:rsidRPr="00234CC3">
        <w:rPr>
          <w:lang w:val="en-CA"/>
        </w:rPr>
        <w:t xml:space="preserve">persons with disabilities in </w:t>
      </w:r>
      <w:r w:rsidR="00864BAE">
        <w:rPr>
          <w:lang w:val="en-CA"/>
        </w:rPr>
        <w:t>senior executive</w:t>
      </w:r>
      <w:r w:rsidR="00864BAE" w:rsidRPr="00234CC3">
        <w:rPr>
          <w:lang w:val="en-CA"/>
        </w:rPr>
        <w:t xml:space="preserve"> </w:t>
      </w:r>
      <w:r w:rsidR="000F1D33" w:rsidRPr="00234CC3">
        <w:rPr>
          <w:lang w:val="en-CA"/>
        </w:rPr>
        <w:t>positions was 4.8</w:t>
      </w:r>
      <w:r w:rsidR="00D812DD" w:rsidRPr="00234CC3">
        <w:rPr>
          <w:lang w:val="en-CA"/>
        </w:rPr>
        <w:t>% in 2018-2019, below workforce availability</w:t>
      </w:r>
      <w:r w:rsidR="004403ED" w:rsidRPr="00234CC3">
        <w:rPr>
          <w:lang w:val="en-CA"/>
        </w:rPr>
        <w:t xml:space="preserve"> for executives </w:t>
      </w:r>
      <w:r w:rsidR="00A777B6">
        <w:rPr>
          <w:lang w:val="en-CA"/>
        </w:rPr>
        <w:t>(5.3%).</w:t>
      </w:r>
    </w:p>
    <w:p w14:paraId="0379E25E" w14:textId="29A3D304" w:rsidR="00D812DD" w:rsidRPr="00234CC3" w:rsidRDefault="00867DE7" w:rsidP="000539D7">
      <w:pPr>
        <w:pStyle w:val="ListParagraph"/>
        <w:numPr>
          <w:ilvl w:val="1"/>
          <w:numId w:val="31"/>
        </w:numPr>
        <w:spacing w:after="120"/>
        <w:ind w:hanging="357"/>
        <w:contextualSpacing w:val="0"/>
        <w:rPr>
          <w:lang w:val="en-CA"/>
        </w:rPr>
      </w:pPr>
      <w:r w:rsidRPr="00234CC3">
        <w:rPr>
          <w:lang w:val="en-CA"/>
        </w:rPr>
        <w:t xml:space="preserve">The representation for </w:t>
      </w:r>
      <w:r w:rsidR="00D812DD" w:rsidRPr="00234CC3">
        <w:rPr>
          <w:lang w:val="en-CA"/>
        </w:rPr>
        <w:t xml:space="preserve">visible minorities in </w:t>
      </w:r>
      <w:r w:rsidR="00864BAE">
        <w:rPr>
          <w:lang w:val="en-CA"/>
        </w:rPr>
        <w:t>senior executive</w:t>
      </w:r>
      <w:r w:rsidR="00864BAE" w:rsidRPr="00234CC3">
        <w:rPr>
          <w:lang w:val="en-CA"/>
        </w:rPr>
        <w:t xml:space="preserve"> </w:t>
      </w:r>
      <w:r w:rsidR="00D812DD" w:rsidRPr="00234CC3">
        <w:rPr>
          <w:lang w:val="en-CA"/>
        </w:rPr>
        <w:t xml:space="preserve">positions was </w:t>
      </w:r>
      <w:r w:rsidR="00445E7B" w:rsidRPr="00234CC3">
        <w:rPr>
          <w:lang w:val="en-CA"/>
        </w:rPr>
        <w:t>9.7%</w:t>
      </w:r>
      <w:r w:rsidRPr="00867DE7">
        <w:rPr>
          <w:lang w:val="en-CA"/>
        </w:rPr>
        <w:t xml:space="preserve"> </w:t>
      </w:r>
      <w:r w:rsidRPr="00234CC3">
        <w:rPr>
          <w:lang w:val="en-CA"/>
        </w:rPr>
        <w:t>in 2018-2019</w:t>
      </w:r>
      <w:r w:rsidR="00445E7B" w:rsidRPr="00234CC3">
        <w:rPr>
          <w:lang w:val="en-CA"/>
        </w:rPr>
        <w:t xml:space="preserve">, below </w:t>
      </w:r>
      <w:r w:rsidR="004403ED" w:rsidRPr="00234CC3">
        <w:rPr>
          <w:lang w:val="en-CA"/>
        </w:rPr>
        <w:t xml:space="preserve">executive </w:t>
      </w:r>
      <w:r w:rsidR="00445E7B" w:rsidRPr="00234CC3">
        <w:rPr>
          <w:lang w:val="en-CA"/>
        </w:rPr>
        <w:t>workforce availability (10.6%).</w:t>
      </w:r>
    </w:p>
    <w:p w14:paraId="00A93473" w14:textId="0CE31B1F" w:rsidR="00893297" w:rsidRDefault="00867DE7" w:rsidP="000539D7">
      <w:pPr>
        <w:pStyle w:val="ListParagraph"/>
        <w:numPr>
          <w:ilvl w:val="1"/>
          <w:numId w:val="31"/>
        </w:numPr>
        <w:spacing w:after="120"/>
        <w:ind w:hanging="357"/>
        <w:contextualSpacing w:val="0"/>
        <w:rPr>
          <w:lang w:val="en-CA"/>
        </w:rPr>
      </w:pPr>
      <w:r w:rsidRPr="00234CC3">
        <w:rPr>
          <w:lang w:val="en-CA"/>
        </w:rPr>
        <w:t xml:space="preserve">The representation for </w:t>
      </w:r>
      <w:r w:rsidR="0069469D">
        <w:rPr>
          <w:lang w:val="en-CA"/>
        </w:rPr>
        <w:t>I</w:t>
      </w:r>
      <w:r w:rsidR="0069469D" w:rsidRPr="00234CC3">
        <w:rPr>
          <w:lang w:val="en-CA"/>
        </w:rPr>
        <w:t>ndigenous</w:t>
      </w:r>
      <w:r w:rsidR="004403ED" w:rsidRPr="00234CC3">
        <w:rPr>
          <w:lang w:val="en-CA"/>
        </w:rPr>
        <w:t xml:space="preserve"> peoples in </w:t>
      </w:r>
      <w:r w:rsidR="00864BAE">
        <w:rPr>
          <w:lang w:val="en-CA"/>
        </w:rPr>
        <w:t>senior executive</w:t>
      </w:r>
      <w:r w:rsidR="00864BAE" w:rsidRPr="00234CC3">
        <w:rPr>
          <w:lang w:val="en-CA"/>
        </w:rPr>
        <w:t xml:space="preserve"> </w:t>
      </w:r>
      <w:r w:rsidR="000F1D33" w:rsidRPr="00234CC3">
        <w:rPr>
          <w:lang w:val="en-CA"/>
        </w:rPr>
        <w:t>positions was 3.0</w:t>
      </w:r>
      <w:r w:rsidR="004403ED" w:rsidRPr="00234CC3">
        <w:rPr>
          <w:lang w:val="en-CA"/>
        </w:rPr>
        <w:t>% in 2018-2019, below workforce availability for executives (5.1%).</w:t>
      </w:r>
    </w:p>
    <w:p w14:paraId="46B8C576" w14:textId="2FD1EAE5" w:rsidR="00BB2434" w:rsidRPr="00BB2434" w:rsidRDefault="00BB2434" w:rsidP="000539D7">
      <w:pPr>
        <w:pStyle w:val="ListParagraph"/>
        <w:numPr>
          <w:ilvl w:val="0"/>
          <w:numId w:val="31"/>
        </w:numPr>
        <w:spacing w:after="120"/>
        <w:ind w:hanging="357"/>
        <w:contextualSpacing w:val="0"/>
        <w:rPr>
          <w:lang w:val="en-CA"/>
        </w:rPr>
      </w:pPr>
      <w:r>
        <w:rPr>
          <w:lang w:val="en-CA"/>
        </w:rPr>
        <w:t xml:space="preserve">Although workforce availability </w:t>
      </w:r>
      <w:r w:rsidR="00B402D0">
        <w:rPr>
          <w:lang w:val="en-CA"/>
        </w:rPr>
        <w:t xml:space="preserve">is not calculated </w:t>
      </w:r>
      <w:r>
        <w:rPr>
          <w:lang w:val="en-CA"/>
        </w:rPr>
        <w:t xml:space="preserve">for senior executives, if we use the workforce availability for </w:t>
      </w:r>
      <w:r w:rsidR="00B402D0">
        <w:rPr>
          <w:lang w:val="en-CA"/>
        </w:rPr>
        <w:t>the</w:t>
      </w:r>
      <w:r>
        <w:rPr>
          <w:lang w:val="en-CA"/>
        </w:rPr>
        <w:t xml:space="preserve"> ex</w:t>
      </w:r>
      <w:r w:rsidR="00B402D0">
        <w:rPr>
          <w:lang w:val="en-CA"/>
        </w:rPr>
        <w:t>ecutive group at large</w:t>
      </w:r>
      <w:r>
        <w:rPr>
          <w:lang w:val="en-CA"/>
        </w:rPr>
        <w:t xml:space="preserve">, there is a gap </w:t>
      </w:r>
      <w:r w:rsidR="00C05F7B">
        <w:rPr>
          <w:lang w:val="en-CA"/>
        </w:rPr>
        <w:t>in</w:t>
      </w:r>
      <w:r>
        <w:rPr>
          <w:lang w:val="en-CA"/>
        </w:rPr>
        <w:t xml:space="preserve"> </w:t>
      </w:r>
      <w:r w:rsidR="00B402D0">
        <w:rPr>
          <w:lang w:val="en-CA"/>
        </w:rPr>
        <w:t xml:space="preserve">senior executive </w:t>
      </w:r>
      <w:r>
        <w:rPr>
          <w:lang w:val="en-CA"/>
        </w:rPr>
        <w:t xml:space="preserve">representation </w:t>
      </w:r>
      <w:r w:rsidR="00B402D0">
        <w:rPr>
          <w:lang w:val="en-CA"/>
        </w:rPr>
        <w:t>for each employment equity group</w:t>
      </w:r>
      <w:r>
        <w:rPr>
          <w:lang w:val="en-CA"/>
        </w:rPr>
        <w:t xml:space="preserve">. </w:t>
      </w:r>
      <w:r w:rsidR="00B402D0">
        <w:rPr>
          <w:lang w:val="en-CA"/>
        </w:rPr>
        <w:t xml:space="preserve">As of 2018-2019, </w:t>
      </w:r>
      <w:r w:rsidR="008416CE">
        <w:rPr>
          <w:lang w:val="en-CA"/>
        </w:rPr>
        <w:t xml:space="preserve">the </w:t>
      </w:r>
      <w:r w:rsidR="005E33BF">
        <w:rPr>
          <w:lang w:val="en-CA"/>
        </w:rPr>
        <w:t xml:space="preserve">senior executive population would need to add </w:t>
      </w:r>
      <w:r>
        <w:rPr>
          <w:lang w:val="en-CA"/>
        </w:rPr>
        <w:t>6 persons with disabilities, 27 Indigenous peoples, 11 visible minorities and 59 women</w:t>
      </w:r>
      <w:r w:rsidR="00A85416" w:rsidRPr="00A85416">
        <w:rPr>
          <w:lang w:val="en-CA"/>
        </w:rPr>
        <w:t xml:space="preserve"> </w:t>
      </w:r>
      <w:r w:rsidR="00A85416">
        <w:rPr>
          <w:lang w:val="en-CA"/>
        </w:rPr>
        <w:t>to fill that representation gap</w:t>
      </w:r>
      <w:r>
        <w:rPr>
          <w:lang w:val="en-CA"/>
        </w:rPr>
        <w:t>.</w:t>
      </w:r>
    </w:p>
    <w:p w14:paraId="2EB793CA" w14:textId="0864A24A" w:rsidR="00234CC3" w:rsidRDefault="00076B17" w:rsidP="000539D7">
      <w:pPr>
        <w:pStyle w:val="ListParagraph"/>
        <w:numPr>
          <w:ilvl w:val="0"/>
          <w:numId w:val="31"/>
        </w:numPr>
        <w:spacing w:after="120"/>
        <w:ind w:hanging="357"/>
        <w:contextualSpacing w:val="0"/>
        <w:rPr>
          <w:lang w:val="en-CA"/>
        </w:rPr>
      </w:pPr>
      <w:r w:rsidRPr="00BB2434">
        <w:rPr>
          <w:lang w:val="en-CA"/>
        </w:rPr>
        <w:lastRenderedPageBreak/>
        <w:t xml:space="preserve">Although </w:t>
      </w:r>
      <w:r w:rsidR="00234CC3" w:rsidRPr="00BB2434">
        <w:rPr>
          <w:lang w:val="en-CA"/>
        </w:rPr>
        <w:t xml:space="preserve">employment equity </w:t>
      </w:r>
      <w:r w:rsidRPr="00BB2434">
        <w:rPr>
          <w:lang w:val="en-CA"/>
        </w:rPr>
        <w:t xml:space="preserve">representation </w:t>
      </w:r>
      <w:r w:rsidR="00234CC3" w:rsidRPr="00BB2434">
        <w:rPr>
          <w:lang w:val="en-CA"/>
        </w:rPr>
        <w:t xml:space="preserve">for senior executives </w:t>
      </w:r>
      <w:r w:rsidRPr="00BB2434">
        <w:rPr>
          <w:lang w:val="en-CA"/>
        </w:rPr>
        <w:t>falls below workforce availability</w:t>
      </w:r>
      <w:r w:rsidR="00234CC3" w:rsidRPr="00BB2434">
        <w:rPr>
          <w:lang w:val="en-CA"/>
        </w:rPr>
        <w:t xml:space="preserve">, representation has </w:t>
      </w:r>
      <w:r w:rsidR="0071351E">
        <w:rPr>
          <w:lang w:val="en-CA"/>
        </w:rPr>
        <w:t xml:space="preserve">generally </w:t>
      </w:r>
      <w:r w:rsidR="00234CC3" w:rsidRPr="00BB2434">
        <w:rPr>
          <w:lang w:val="en-CA"/>
        </w:rPr>
        <w:t>been increasing since 2014.</w:t>
      </w:r>
    </w:p>
    <w:p w14:paraId="2A22F986" w14:textId="77777777" w:rsidR="00040F03" w:rsidRDefault="00DC40B3" w:rsidP="00040F03">
      <w:pPr>
        <w:keepNext/>
        <w:ind w:left="360"/>
        <w:jc w:val="center"/>
      </w:pPr>
      <w:r>
        <w:rPr>
          <w:noProof/>
          <w:lang w:val="en-CA" w:eastAsia="en-CA"/>
        </w:rPr>
        <w:drawing>
          <wp:inline distT="0" distB="0" distL="0" distR="0" wp14:anchorId="19E7B186" wp14:editId="5A496A2D">
            <wp:extent cx="5943294" cy="3681094"/>
            <wp:effectExtent l="0" t="0" r="635" b="0"/>
            <wp:docPr id="3" name="Picture 3" descr="A series of four line charts. Each line chart shows the representation of an employment equity group within the senior executive groups from 2013-2014 to 2018-2019." title="Senior executive repres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presentati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294" cy="368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CD727" w14:textId="37B75CC4" w:rsidR="00040F03" w:rsidRPr="00040F03" w:rsidRDefault="00040F03" w:rsidP="006D3B63">
      <w:pPr>
        <w:pStyle w:val="Caption"/>
        <w:jc w:val="center"/>
        <w:rPr>
          <w:i w:val="0"/>
          <w:iCs w:val="0"/>
          <w:lang w:val="en-CA"/>
        </w:rPr>
      </w:pPr>
      <w:r w:rsidRPr="00040F03">
        <w:rPr>
          <w:lang w:val="en-CA"/>
        </w:rPr>
        <w:t xml:space="preserve">Figure </w:t>
      </w:r>
      <w:r>
        <w:fldChar w:fldCharType="begin"/>
      </w:r>
      <w:r w:rsidRPr="00040F03">
        <w:rPr>
          <w:lang w:val="en-CA"/>
        </w:rPr>
        <w:instrText xml:space="preserve"> SEQ Figure \* ARABIC </w:instrText>
      </w:r>
      <w:r>
        <w:fldChar w:fldCharType="separate"/>
      </w:r>
      <w:r w:rsidR="00443B95">
        <w:rPr>
          <w:noProof/>
          <w:lang w:val="en-CA"/>
        </w:rPr>
        <w:t>1</w:t>
      </w:r>
      <w:r>
        <w:fldChar w:fldCharType="end"/>
      </w:r>
      <w:r w:rsidRPr="00040F03">
        <w:rPr>
          <w:lang w:val="en-CA"/>
        </w:rPr>
        <w:t>: Senior executive representation</w:t>
      </w:r>
      <w:r w:rsidRPr="00040F03">
        <w:rPr>
          <w:lang w:val="en-CA"/>
        </w:rPr>
        <w:br w:type="page"/>
      </w:r>
    </w:p>
    <w:p w14:paraId="6FEE58C0" w14:textId="48D38B49" w:rsidR="00040F03" w:rsidRPr="00040F03" w:rsidRDefault="00040F03" w:rsidP="00040F03">
      <w:pPr>
        <w:pStyle w:val="Caption"/>
        <w:keepNext/>
        <w:jc w:val="center"/>
        <w:rPr>
          <w:lang w:val="en-CA"/>
        </w:rPr>
      </w:pPr>
      <w:r w:rsidRPr="00040F03">
        <w:rPr>
          <w:lang w:val="en-CA"/>
        </w:rPr>
        <w:lastRenderedPageBreak/>
        <w:t xml:space="preserve">Table </w:t>
      </w:r>
      <w:r>
        <w:fldChar w:fldCharType="begin"/>
      </w:r>
      <w:r w:rsidRPr="00040F03">
        <w:rPr>
          <w:lang w:val="en-CA"/>
        </w:rPr>
        <w:instrText xml:space="preserve"> SEQ Table \* ARABIC </w:instrText>
      </w:r>
      <w:r>
        <w:fldChar w:fldCharType="separate"/>
      </w:r>
      <w:r w:rsidR="008C0DF1">
        <w:rPr>
          <w:noProof/>
          <w:lang w:val="en-CA"/>
        </w:rPr>
        <w:t>1</w:t>
      </w:r>
      <w:r>
        <w:fldChar w:fldCharType="end"/>
      </w:r>
      <w:r w:rsidRPr="00040F03">
        <w:rPr>
          <w:lang w:val="en-CA"/>
        </w:rPr>
        <w:t>: Senior executive representation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  <w:tblCaption w:val="Senior executive representation"/>
        <w:tblDescription w:val="A table showing the representation of each employment equity group within the senior executive cadre from 2013-2014 to 2018-2019."/>
      </w:tblPr>
      <w:tblGrid>
        <w:gridCol w:w="1406"/>
        <w:gridCol w:w="1260"/>
        <w:gridCol w:w="1261"/>
        <w:gridCol w:w="1266"/>
        <w:gridCol w:w="1265"/>
        <w:gridCol w:w="1266"/>
        <w:gridCol w:w="1266"/>
      </w:tblGrid>
      <w:tr w:rsidR="00D53DD7" w14:paraId="69FE9B3B" w14:textId="77777777" w:rsidTr="00040F03">
        <w:trPr>
          <w:tblHeader/>
        </w:trPr>
        <w:tc>
          <w:tcPr>
            <w:tcW w:w="1406" w:type="dxa"/>
          </w:tcPr>
          <w:p w14:paraId="6F8909CB" w14:textId="0C5EFA2F" w:rsidR="00F24373" w:rsidRDefault="00F24373" w:rsidP="00A95EC8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Employment equity group</w:t>
            </w:r>
          </w:p>
        </w:tc>
        <w:tc>
          <w:tcPr>
            <w:tcW w:w="1260" w:type="dxa"/>
          </w:tcPr>
          <w:p w14:paraId="77499260" w14:textId="32B0A0BC" w:rsidR="00F24373" w:rsidRDefault="00F24373" w:rsidP="00A95EC8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2013-2014</w:t>
            </w:r>
          </w:p>
        </w:tc>
        <w:tc>
          <w:tcPr>
            <w:tcW w:w="1261" w:type="dxa"/>
          </w:tcPr>
          <w:p w14:paraId="5C8160CA" w14:textId="3D1326F6" w:rsidR="00F24373" w:rsidRDefault="00F24373" w:rsidP="00A95EC8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2014-2015</w:t>
            </w:r>
          </w:p>
        </w:tc>
        <w:tc>
          <w:tcPr>
            <w:tcW w:w="1266" w:type="dxa"/>
          </w:tcPr>
          <w:p w14:paraId="6A6AFF38" w14:textId="22CA7CF7" w:rsidR="00F24373" w:rsidRDefault="00F24373" w:rsidP="00A95EC8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2015-2016</w:t>
            </w:r>
          </w:p>
        </w:tc>
        <w:tc>
          <w:tcPr>
            <w:tcW w:w="1265" w:type="dxa"/>
          </w:tcPr>
          <w:p w14:paraId="25CDFF61" w14:textId="4D28E227" w:rsidR="00F24373" w:rsidRDefault="00F24373" w:rsidP="00A95EC8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2016-2017</w:t>
            </w:r>
          </w:p>
        </w:tc>
        <w:tc>
          <w:tcPr>
            <w:tcW w:w="1266" w:type="dxa"/>
          </w:tcPr>
          <w:p w14:paraId="6ACB05A0" w14:textId="3478C484" w:rsidR="00F24373" w:rsidRDefault="00F24373" w:rsidP="00A95EC8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2017-2018</w:t>
            </w:r>
          </w:p>
        </w:tc>
        <w:tc>
          <w:tcPr>
            <w:tcW w:w="1266" w:type="dxa"/>
          </w:tcPr>
          <w:p w14:paraId="09A3BFB8" w14:textId="1817C755" w:rsidR="00F24373" w:rsidRDefault="00F24373" w:rsidP="00A95EC8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2018-2019</w:t>
            </w:r>
          </w:p>
        </w:tc>
      </w:tr>
      <w:tr w:rsidR="00D53DD7" w14:paraId="5D59AF00" w14:textId="77777777" w:rsidTr="00040F03">
        <w:tc>
          <w:tcPr>
            <w:tcW w:w="1406" w:type="dxa"/>
          </w:tcPr>
          <w:p w14:paraId="679618C6" w14:textId="6346D760" w:rsidR="00F24373" w:rsidRDefault="00F24373" w:rsidP="00F24373">
            <w:pPr>
              <w:rPr>
                <w:lang w:val="en-CA"/>
              </w:rPr>
            </w:pPr>
            <w:r>
              <w:rPr>
                <w:lang w:val="en-CA"/>
              </w:rPr>
              <w:t>Indigenous peoples</w:t>
            </w:r>
          </w:p>
        </w:tc>
        <w:tc>
          <w:tcPr>
            <w:tcW w:w="1260" w:type="dxa"/>
          </w:tcPr>
          <w:p w14:paraId="044144D1" w14:textId="1CD91D92" w:rsidR="00F24373" w:rsidRDefault="00973EFF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2.4%</w:t>
            </w:r>
          </w:p>
        </w:tc>
        <w:tc>
          <w:tcPr>
            <w:tcW w:w="1261" w:type="dxa"/>
          </w:tcPr>
          <w:p w14:paraId="56F9B415" w14:textId="41A6829F" w:rsidR="00F24373" w:rsidRDefault="00973EFF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2.4%</w:t>
            </w:r>
          </w:p>
        </w:tc>
        <w:tc>
          <w:tcPr>
            <w:tcW w:w="1266" w:type="dxa"/>
          </w:tcPr>
          <w:p w14:paraId="447E5F46" w14:textId="72D9789C" w:rsidR="00F24373" w:rsidRDefault="00973EFF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2.6%</w:t>
            </w:r>
          </w:p>
        </w:tc>
        <w:tc>
          <w:tcPr>
            <w:tcW w:w="1265" w:type="dxa"/>
          </w:tcPr>
          <w:p w14:paraId="3F19CB82" w14:textId="1642B144" w:rsidR="00F24373" w:rsidRDefault="00973EFF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2.9%</w:t>
            </w:r>
          </w:p>
        </w:tc>
        <w:tc>
          <w:tcPr>
            <w:tcW w:w="1266" w:type="dxa"/>
          </w:tcPr>
          <w:p w14:paraId="5BA11437" w14:textId="614778DC" w:rsidR="00F24373" w:rsidRDefault="00973EFF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2.8%</w:t>
            </w:r>
          </w:p>
        </w:tc>
        <w:tc>
          <w:tcPr>
            <w:tcW w:w="1266" w:type="dxa"/>
          </w:tcPr>
          <w:p w14:paraId="4D916197" w14:textId="3C262651" w:rsidR="00F24373" w:rsidRDefault="00973EFF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3.0%</w:t>
            </w:r>
          </w:p>
        </w:tc>
      </w:tr>
      <w:tr w:rsidR="00D53DD7" w14:paraId="0D9DEDDC" w14:textId="77777777" w:rsidTr="00040F03">
        <w:tc>
          <w:tcPr>
            <w:tcW w:w="1406" w:type="dxa"/>
          </w:tcPr>
          <w:p w14:paraId="549B8856" w14:textId="2FC1735D" w:rsidR="00F24373" w:rsidRDefault="00F24373" w:rsidP="00F24373">
            <w:pPr>
              <w:rPr>
                <w:lang w:val="en-CA"/>
              </w:rPr>
            </w:pPr>
            <w:r>
              <w:rPr>
                <w:lang w:val="en-CA"/>
              </w:rPr>
              <w:t>Persons with disabilities</w:t>
            </w:r>
          </w:p>
        </w:tc>
        <w:tc>
          <w:tcPr>
            <w:tcW w:w="1260" w:type="dxa"/>
          </w:tcPr>
          <w:p w14:paraId="6DCA3650" w14:textId="50D0C49C" w:rsidR="00F24373" w:rsidRDefault="00973EFF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4.3%</w:t>
            </w:r>
          </w:p>
        </w:tc>
        <w:tc>
          <w:tcPr>
            <w:tcW w:w="1261" w:type="dxa"/>
          </w:tcPr>
          <w:p w14:paraId="01928A8F" w14:textId="4A3339CD" w:rsidR="00F24373" w:rsidRDefault="00973EFF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4.9%</w:t>
            </w:r>
          </w:p>
        </w:tc>
        <w:tc>
          <w:tcPr>
            <w:tcW w:w="1266" w:type="dxa"/>
          </w:tcPr>
          <w:p w14:paraId="6DDA4E36" w14:textId="4A24D473" w:rsidR="00F24373" w:rsidRDefault="00973EFF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4.4%</w:t>
            </w:r>
          </w:p>
        </w:tc>
        <w:tc>
          <w:tcPr>
            <w:tcW w:w="1265" w:type="dxa"/>
          </w:tcPr>
          <w:p w14:paraId="6AF76BA5" w14:textId="24094AD1" w:rsidR="00F24373" w:rsidRDefault="00973EFF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4.1%</w:t>
            </w:r>
          </w:p>
        </w:tc>
        <w:tc>
          <w:tcPr>
            <w:tcW w:w="1266" w:type="dxa"/>
          </w:tcPr>
          <w:p w14:paraId="30E99240" w14:textId="4D8BE3DE" w:rsidR="00F24373" w:rsidRDefault="00973EFF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4.6%</w:t>
            </w:r>
          </w:p>
        </w:tc>
        <w:tc>
          <w:tcPr>
            <w:tcW w:w="1266" w:type="dxa"/>
          </w:tcPr>
          <w:p w14:paraId="0B9C7E17" w14:textId="339E9D44" w:rsidR="00F24373" w:rsidRDefault="00973EFF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4.8%</w:t>
            </w:r>
          </w:p>
        </w:tc>
      </w:tr>
      <w:tr w:rsidR="00D53DD7" w14:paraId="173109ED" w14:textId="77777777" w:rsidTr="00040F03">
        <w:tc>
          <w:tcPr>
            <w:tcW w:w="1406" w:type="dxa"/>
          </w:tcPr>
          <w:p w14:paraId="7EBAB88E" w14:textId="2B73896F" w:rsidR="00F24373" w:rsidRDefault="00F24373" w:rsidP="00F24373">
            <w:pPr>
              <w:rPr>
                <w:lang w:val="en-CA"/>
              </w:rPr>
            </w:pPr>
            <w:r>
              <w:rPr>
                <w:lang w:val="en-CA"/>
              </w:rPr>
              <w:t>Visible minorities</w:t>
            </w:r>
          </w:p>
        </w:tc>
        <w:tc>
          <w:tcPr>
            <w:tcW w:w="1260" w:type="dxa"/>
          </w:tcPr>
          <w:p w14:paraId="5C472329" w14:textId="09A8FA74" w:rsidR="00F24373" w:rsidRDefault="00D53DD7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7.2%</w:t>
            </w:r>
          </w:p>
        </w:tc>
        <w:tc>
          <w:tcPr>
            <w:tcW w:w="1261" w:type="dxa"/>
          </w:tcPr>
          <w:p w14:paraId="301CB43C" w14:textId="5EF8FA30" w:rsidR="00F24373" w:rsidRDefault="00D53DD7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8.0%</w:t>
            </w:r>
          </w:p>
        </w:tc>
        <w:tc>
          <w:tcPr>
            <w:tcW w:w="1266" w:type="dxa"/>
          </w:tcPr>
          <w:p w14:paraId="583B418E" w14:textId="4364C4E7" w:rsidR="00F24373" w:rsidRDefault="00D53DD7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8.1%</w:t>
            </w:r>
          </w:p>
        </w:tc>
        <w:tc>
          <w:tcPr>
            <w:tcW w:w="1265" w:type="dxa"/>
          </w:tcPr>
          <w:p w14:paraId="744EC3AB" w14:textId="6979D68D" w:rsidR="00F24373" w:rsidRDefault="00D53DD7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8.6%</w:t>
            </w:r>
          </w:p>
        </w:tc>
        <w:tc>
          <w:tcPr>
            <w:tcW w:w="1266" w:type="dxa"/>
          </w:tcPr>
          <w:p w14:paraId="0CB56438" w14:textId="12315B35" w:rsidR="00F24373" w:rsidRDefault="00D53DD7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9.2%</w:t>
            </w:r>
          </w:p>
        </w:tc>
        <w:tc>
          <w:tcPr>
            <w:tcW w:w="1266" w:type="dxa"/>
          </w:tcPr>
          <w:p w14:paraId="25D27DCE" w14:textId="08D8ECD6" w:rsidR="00F24373" w:rsidRDefault="00D53DD7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9.7%</w:t>
            </w:r>
          </w:p>
        </w:tc>
      </w:tr>
      <w:tr w:rsidR="00D53DD7" w14:paraId="7C0FFCB7" w14:textId="77777777" w:rsidTr="00040F03">
        <w:tc>
          <w:tcPr>
            <w:tcW w:w="1406" w:type="dxa"/>
          </w:tcPr>
          <w:p w14:paraId="4F568484" w14:textId="0A6C2837" w:rsidR="00F24373" w:rsidRDefault="00F24373" w:rsidP="00F24373">
            <w:pPr>
              <w:rPr>
                <w:lang w:val="en-CA"/>
              </w:rPr>
            </w:pPr>
            <w:r>
              <w:rPr>
                <w:lang w:val="en-CA"/>
              </w:rPr>
              <w:t>Women</w:t>
            </w:r>
          </w:p>
        </w:tc>
        <w:tc>
          <w:tcPr>
            <w:tcW w:w="1260" w:type="dxa"/>
          </w:tcPr>
          <w:p w14:paraId="4526975E" w14:textId="5BC2AC6D" w:rsidR="00F24373" w:rsidRDefault="00D53DD7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41.5%</w:t>
            </w:r>
          </w:p>
        </w:tc>
        <w:tc>
          <w:tcPr>
            <w:tcW w:w="1261" w:type="dxa"/>
          </w:tcPr>
          <w:p w14:paraId="7489BBB3" w14:textId="43F58FA8" w:rsidR="00F24373" w:rsidRDefault="00D53DD7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41.7%</w:t>
            </w:r>
          </w:p>
        </w:tc>
        <w:tc>
          <w:tcPr>
            <w:tcW w:w="1266" w:type="dxa"/>
          </w:tcPr>
          <w:p w14:paraId="62F2B7F6" w14:textId="5147DA23" w:rsidR="00F24373" w:rsidRDefault="00D53DD7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42.4%</w:t>
            </w:r>
          </w:p>
        </w:tc>
        <w:tc>
          <w:tcPr>
            <w:tcW w:w="1265" w:type="dxa"/>
          </w:tcPr>
          <w:p w14:paraId="148854FA" w14:textId="0F54322F" w:rsidR="00F24373" w:rsidRDefault="00D53DD7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42.7%</w:t>
            </w:r>
          </w:p>
        </w:tc>
        <w:tc>
          <w:tcPr>
            <w:tcW w:w="1266" w:type="dxa"/>
          </w:tcPr>
          <w:p w14:paraId="4D30B0EB" w14:textId="30CA7C98" w:rsidR="00F24373" w:rsidRDefault="00D53DD7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43.0%</w:t>
            </w:r>
          </w:p>
        </w:tc>
        <w:tc>
          <w:tcPr>
            <w:tcW w:w="1266" w:type="dxa"/>
          </w:tcPr>
          <w:p w14:paraId="600006C1" w14:textId="13496BB0" w:rsidR="00F24373" w:rsidRDefault="00D53DD7" w:rsidP="00F2437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43.4%</w:t>
            </w:r>
          </w:p>
        </w:tc>
      </w:tr>
    </w:tbl>
    <w:p w14:paraId="1C7CB59C" w14:textId="5102DAAF" w:rsidR="005008CC" w:rsidRPr="004D771D" w:rsidRDefault="005008CC" w:rsidP="00E1607C">
      <w:pPr>
        <w:pStyle w:val="Heading3"/>
        <w:spacing w:before="320"/>
      </w:pPr>
      <w:r>
        <w:rPr>
          <w:rStyle w:val="Heading3Char"/>
        </w:rPr>
        <w:t>Representation within senior executive feeder</w:t>
      </w:r>
      <w:r w:rsidRPr="004D771D">
        <w:t xml:space="preserve"> groups</w:t>
      </w:r>
    </w:p>
    <w:p w14:paraId="32BC3A67" w14:textId="008CDC02" w:rsidR="005008CC" w:rsidRPr="009B69D5" w:rsidRDefault="005008CC" w:rsidP="009B69D5">
      <w:pPr>
        <w:rPr>
          <w:lang w:val="en-CA"/>
        </w:rPr>
      </w:pPr>
      <w:r w:rsidRPr="004D771D">
        <w:rPr>
          <w:lang w:val="en-CA"/>
        </w:rPr>
        <w:t xml:space="preserve">Given </w:t>
      </w:r>
      <w:r>
        <w:rPr>
          <w:lang w:val="en-CA"/>
        </w:rPr>
        <w:t xml:space="preserve">that </w:t>
      </w:r>
      <w:r w:rsidRPr="00C54E56">
        <w:rPr>
          <w:lang w:val="en-CA"/>
        </w:rPr>
        <w:t>the majority of movement into senior executive positions is from existing public servants, we evaluated the demographics of the EX-01 and EX-02 groups. These traditional feeder groups tend to be younger and more representative</w:t>
      </w:r>
      <w:r w:rsidR="00864EC9">
        <w:rPr>
          <w:lang w:val="en-CA"/>
        </w:rPr>
        <w:t xml:space="preserve"> </w:t>
      </w:r>
      <w:r w:rsidRPr="00C54E56">
        <w:rPr>
          <w:lang w:val="en-CA"/>
        </w:rPr>
        <w:t>than the EX-03 to EX-05 groups themselves.</w:t>
      </w:r>
    </w:p>
    <w:p w14:paraId="24275023" w14:textId="77777777" w:rsidR="004D61C4" w:rsidRDefault="004D61C4" w:rsidP="004D61C4">
      <w:pPr>
        <w:pStyle w:val="ListParagraph"/>
        <w:numPr>
          <w:ilvl w:val="0"/>
          <w:numId w:val="31"/>
        </w:numPr>
        <w:rPr>
          <w:lang w:val="en-CA"/>
        </w:rPr>
      </w:pPr>
      <w:r w:rsidRPr="00635737">
        <w:rPr>
          <w:lang w:val="en-CA"/>
        </w:rPr>
        <w:t>The primary feeder groups for EX-03, EX-04 and EX-05 positions are existing EX-02 executives and external candidates.</w:t>
      </w:r>
    </w:p>
    <w:p w14:paraId="133A1CF1" w14:textId="51B8BC0A" w:rsidR="004D61C4" w:rsidRDefault="004D61C4" w:rsidP="002C7FDA">
      <w:pPr>
        <w:pStyle w:val="ListParagraph"/>
        <w:numPr>
          <w:ilvl w:val="1"/>
          <w:numId w:val="31"/>
        </w:numPr>
        <w:rPr>
          <w:lang w:val="en-CA"/>
        </w:rPr>
      </w:pPr>
      <w:r>
        <w:rPr>
          <w:lang w:val="en-CA"/>
        </w:rPr>
        <w:t>Since 2014, over three quarters of newly appointed EX-03s came from an EX-02 position. Roughly 11% came from an EX-01 position, and under 7% were</w:t>
      </w:r>
      <w:r w:rsidR="001955DE">
        <w:rPr>
          <w:lang w:val="en-CA"/>
        </w:rPr>
        <w:t xml:space="preserve"> hired from outside government.</w:t>
      </w:r>
    </w:p>
    <w:p w14:paraId="731C9C88" w14:textId="77777777" w:rsidR="00040F03" w:rsidRPr="00DA538A" w:rsidRDefault="002F0BC3" w:rsidP="00040F03">
      <w:pPr>
        <w:keepNext/>
        <w:jc w:val="center"/>
        <w:rPr>
          <w:lang w:val="en-CA"/>
        </w:rPr>
      </w:pPr>
      <w:r w:rsidRPr="00DA538A">
        <w:rPr>
          <w:i/>
          <w:noProof/>
          <w:lang w:val="en-CA" w:eastAsia="en-CA"/>
        </w:rPr>
        <w:lastRenderedPageBreak/>
        <w:drawing>
          <wp:inline distT="0" distB="0" distL="0" distR="0" wp14:anchorId="5B8FB51B" wp14:editId="0C816A6A">
            <wp:extent cx="5943295" cy="3681095"/>
            <wp:effectExtent l="0" t="0" r="635" b="0"/>
            <wp:docPr id="5" name="Picture 5" descr="A stacked bar chart. The stacked bars indicate the previous position of new EX-03 positions from 2013-2014 to 2018-2019. There are four stacks in each bar, representing EX-01 positions, EX-02 positions, external hires and other classifications." title="Feeder groups for EX-03 posi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ed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295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CDFA9" w14:textId="51D5CAFC" w:rsidR="00040F03" w:rsidRPr="00DA538A" w:rsidRDefault="00040F03" w:rsidP="003F7C6C">
      <w:pPr>
        <w:pStyle w:val="Caption"/>
        <w:spacing w:after="320"/>
        <w:jc w:val="center"/>
        <w:rPr>
          <w:lang w:val="en-CA"/>
        </w:rPr>
      </w:pPr>
      <w:r w:rsidRPr="00DA538A">
        <w:rPr>
          <w:lang w:val="en-CA"/>
        </w:rPr>
        <w:t xml:space="preserve">Figure </w:t>
      </w:r>
      <w:r w:rsidRPr="00DA538A">
        <w:rPr>
          <w:lang w:val="en-CA"/>
        </w:rPr>
        <w:fldChar w:fldCharType="begin"/>
      </w:r>
      <w:r w:rsidRPr="00DA538A">
        <w:rPr>
          <w:lang w:val="en-CA"/>
        </w:rPr>
        <w:instrText xml:space="preserve"> SEQ Figure \* ARABIC </w:instrText>
      </w:r>
      <w:r w:rsidRPr="00DA538A">
        <w:rPr>
          <w:lang w:val="en-CA"/>
        </w:rPr>
        <w:fldChar w:fldCharType="separate"/>
      </w:r>
      <w:r w:rsidR="00443B95" w:rsidRPr="00DA538A">
        <w:rPr>
          <w:noProof/>
          <w:lang w:val="en-CA"/>
        </w:rPr>
        <w:t>2</w:t>
      </w:r>
      <w:r w:rsidRPr="00DA538A">
        <w:rPr>
          <w:lang w:val="en-CA"/>
        </w:rPr>
        <w:fldChar w:fldCharType="end"/>
      </w:r>
      <w:r w:rsidRPr="00DA538A">
        <w:rPr>
          <w:lang w:val="en-CA"/>
        </w:rPr>
        <w:t>: Feeder groups for EX-03 positions</w:t>
      </w:r>
    </w:p>
    <w:p w14:paraId="462E031B" w14:textId="52E4E9DF" w:rsidR="00040F03" w:rsidRPr="00DA538A" w:rsidRDefault="00040F03" w:rsidP="00040F03">
      <w:pPr>
        <w:pStyle w:val="Caption"/>
        <w:keepNext/>
        <w:jc w:val="center"/>
        <w:rPr>
          <w:lang w:val="en-CA"/>
        </w:rPr>
      </w:pPr>
      <w:r w:rsidRPr="00DA538A">
        <w:rPr>
          <w:lang w:val="en-CA"/>
        </w:rPr>
        <w:t xml:space="preserve">Table </w:t>
      </w:r>
      <w:r w:rsidRPr="00DA538A">
        <w:rPr>
          <w:lang w:val="en-CA"/>
        </w:rPr>
        <w:fldChar w:fldCharType="begin"/>
      </w:r>
      <w:r w:rsidRPr="00DA538A">
        <w:rPr>
          <w:lang w:val="en-CA"/>
        </w:rPr>
        <w:instrText xml:space="preserve"> SEQ Table \* ARABIC </w:instrText>
      </w:r>
      <w:r w:rsidRPr="00DA538A">
        <w:rPr>
          <w:lang w:val="en-CA"/>
        </w:rPr>
        <w:fldChar w:fldCharType="separate"/>
      </w:r>
      <w:r w:rsidR="008C0DF1" w:rsidRPr="00DA538A">
        <w:rPr>
          <w:noProof/>
          <w:lang w:val="en-CA"/>
        </w:rPr>
        <w:t>2</w:t>
      </w:r>
      <w:r w:rsidRPr="00DA538A">
        <w:rPr>
          <w:lang w:val="en-CA"/>
        </w:rPr>
        <w:fldChar w:fldCharType="end"/>
      </w:r>
      <w:r w:rsidRPr="00DA538A">
        <w:rPr>
          <w:lang w:val="en-CA"/>
        </w:rPr>
        <w:t>: Feeder groups for EX-03 positions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eeder groups for EX-03 positions"/>
        <w:tblDescription w:val="A table showing the previous position of new EX-03 positions from 2013-2014 to 2018-2019. There are options, representing EX-01 positions, EX-02 positions, external hires and other classifications."/>
      </w:tblPr>
      <w:tblGrid>
        <w:gridCol w:w="1484"/>
        <w:gridCol w:w="1310"/>
        <w:gridCol w:w="1312"/>
        <w:gridCol w:w="1311"/>
        <w:gridCol w:w="1311"/>
        <w:gridCol w:w="1311"/>
        <w:gridCol w:w="1311"/>
      </w:tblGrid>
      <w:tr w:rsidR="00860783" w:rsidRPr="00DA538A" w14:paraId="766E4F7F" w14:textId="77777777" w:rsidTr="00040F03">
        <w:trPr>
          <w:tblHeader/>
        </w:trPr>
        <w:tc>
          <w:tcPr>
            <w:tcW w:w="1484" w:type="dxa"/>
          </w:tcPr>
          <w:p w14:paraId="3110D219" w14:textId="54CEAF54" w:rsidR="00860783" w:rsidRPr="00DA538A" w:rsidRDefault="00860783" w:rsidP="002F0BC3">
            <w:pPr>
              <w:jc w:val="center"/>
              <w:rPr>
                <w:lang w:val="en-CA"/>
              </w:rPr>
            </w:pPr>
            <w:r w:rsidRPr="00DA538A">
              <w:rPr>
                <w:lang w:val="en-CA"/>
              </w:rPr>
              <w:t>Previous positions</w:t>
            </w:r>
          </w:p>
        </w:tc>
        <w:tc>
          <w:tcPr>
            <w:tcW w:w="1310" w:type="dxa"/>
          </w:tcPr>
          <w:p w14:paraId="6D58C8EB" w14:textId="7796BDFD" w:rsidR="00860783" w:rsidRPr="00DA538A" w:rsidRDefault="00860783" w:rsidP="002F0BC3">
            <w:pPr>
              <w:jc w:val="center"/>
              <w:rPr>
                <w:lang w:val="en-CA"/>
              </w:rPr>
            </w:pPr>
            <w:r w:rsidRPr="00DA538A">
              <w:rPr>
                <w:lang w:val="en-CA"/>
              </w:rPr>
              <w:t>2013-2014</w:t>
            </w:r>
          </w:p>
        </w:tc>
        <w:tc>
          <w:tcPr>
            <w:tcW w:w="1312" w:type="dxa"/>
          </w:tcPr>
          <w:p w14:paraId="0220D649" w14:textId="6D038BEB" w:rsidR="00860783" w:rsidRPr="00DA538A" w:rsidRDefault="00860783" w:rsidP="002F0BC3">
            <w:pPr>
              <w:jc w:val="center"/>
              <w:rPr>
                <w:lang w:val="en-CA"/>
              </w:rPr>
            </w:pPr>
            <w:r w:rsidRPr="00DA538A">
              <w:rPr>
                <w:lang w:val="en-CA"/>
              </w:rPr>
              <w:t>2014-2015</w:t>
            </w:r>
          </w:p>
        </w:tc>
        <w:tc>
          <w:tcPr>
            <w:tcW w:w="1311" w:type="dxa"/>
          </w:tcPr>
          <w:p w14:paraId="40C96C30" w14:textId="3C1B9DB3" w:rsidR="00860783" w:rsidRPr="00DA538A" w:rsidRDefault="00860783" w:rsidP="002F0BC3">
            <w:pPr>
              <w:jc w:val="center"/>
              <w:rPr>
                <w:lang w:val="en-CA"/>
              </w:rPr>
            </w:pPr>
            <w:r w:rsidRPr="00DA538A">
              <w:rPr>
                <w:lang w:val="en-CA"/>
              </w:rPr>
              <w:t>2015-2016</w:t>
            </w:r>
          </w:p>
        </w:tc>
        <w:tc>
          <w:tcPr>
            <w:tcW w:w="1311" w:type="dxa"/>
          </w:tcPr>
          <w:p w14:paraId="0A4833BA" w14:textId="0A7DA217" w:rsidR="00860783" w:rsidRPr="00DA538A" w:rsidRDefault="00860783" w:rsidP="002F0BC3">
            <w:pPr>
              <w:jc w:val="center"/>
              <w:rPr>
                <w:lang w:val="en-CA"/>
              </w:rPr>
            </w:pPr>
            <w:r w:rsidRPr="00DA538A">
              <w:rPr>
                <w:lang w:val="en-CA"/>
              </w:rPr>
              <w:t>2016-2017</w:t>
            </w:r>
          </w:p>
        </w:tc>
        <w:tc>
          <w:tcPr>
            <w:tcW w:w="1311" w:type="dxa"/>
          </w:tcPr>
          <w:p w14:paraId="0EF5193A" w14:textId="10BFF977" w:rsidR="00860783" w:rsidRPr="00DA538A" w:rsidRDefault="00860783" w:rsidP="002F0BC3">
            <w:pPr>
              <w:jc w:val="center"/>
              <w:rPr>
                <w:lang w:val="en-CA"/>
              </w:rPr>
            </w:pPr>
            <w:r w:rsidRPr="00DA538A">
              <w:rPr>
                <w:lang w:val="en-CA"/>
              </w:rPr>
              <w:t>2017-2018</w:t>
            </w:r>
          </w:p>
        </w:tc>
        <w:tc>
          <w:tcPr>
            <w:tcW w:w="1311" w:type="dxa"/>
          </w:tcPr>
          <w:p w14:paraId="6BD57174" w14:textId="2FD20B0B" w:rsidR="00860783" w:rsidRPr="00DA538A" w:rsidRDefault="00860783" w:rsidP="002F0BC3">
            <w:pPr>
              <w:jc w:val="center"/>
              <w:rPr>
                <w:lang w:val="en-CA"/>
              </w:rPr>
            </w:pPr>
            <w:r w:rsidRPr="00DA538A">
              <w:rPr>
                <w:lang w:val="en-CA"/>
              </w:rPr>
              <w:t>2018-2019</w:t>
            </w:r>
          </w:p>
        </w:tc>
      </w:tr>
      <w:tr w:rsidR="00860783" w:rsidRPr="00DA538A" w14:paraId="4F1B06F0" w14:textId="77777777" w:rsidTr="00040F03">
        <w:tc>
          <w:tcPr>
            <w:tcW w:w="1484" w:type="dxa"/>
          </w:tcPr>
          <w:p w14:paraId="00ECABC2" w14:textId="18290BD3" w:rsidR="00860783" w:rsidRPr="00DA538A" w:rsidRDefault="00860783" w:rsidP="00860783">
            <w:pPr>
              <w:rPr>
                <w:lang w:val="en-CA"/>
              </w:rPr>
            </w:pPr>
            <w:r w:rsidRPr="00DA538A">
              <w:rPr>
                <w:lang w:val="en-CA"/>
              </w:rPr>
              <w:t>EX-01</w:t>
            </w:r>
          </w:p>
        </w:tc>
        <w:tc>
          <w:tcPr>
            <w:tcW w:w="1310" w:type="dxa"/>
          </w:tcPr>
          <w:p w14:paraId="1285E541" w14:textId="231F1E43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18</w:t>
            </w:r>
          </w:p>
        </w:tc>
        <w:tc>
          <w:tcPr>
            <w:tcW w:w="1312" w:type="dxa"/>
          </w:tcPr>
          <w:p w14:paraId="35B8B5CC" w14:textId="3954019B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15</w:t>
            </w:r>
          </w:p>
        </w:tc>
        <w:tc>
          <w:tcPr>
            <w:tcW w:w="1311" w:type="dxa"/>
          </w:tcPr>
          <w:p w14:paraId="0A232785" w14:textId="377DCE8C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18</w:t>
            </w:r>
          </w:p>
        </w:tc>
        <w:tc>
          <w:tcPr>
            <w:tcW w:w="1311" w:type="dxa"/>
          </w:tcPr>
          <w:p w14:paraId="01AFD15E" w14:textId="44ACAD75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22</w:t>
            </w:r>
          </w:p>
        </w:tc>
        <w:tc>
          <w:tcPr>
            <w:tcW w:w="1311" w:type="dxa"/>
          </w:tcPr>
          <w:p w14:paraId="50FFB187" w14:textId="21573D55" w:rsidR="000156B6" w:rsidRPr="00DA538A" w:rsidRDefault="000156B6" w:rsidP="000156B6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19</w:t>
            </w:r>
          </w:p>
        </w:tc>
        <w:tc>
          <w:tcPr>
            <w:tcW w:w="1311" w:type="dxa"/>
          </w:tcPr>
          <w:p w14:paraId="7C4A7297" w14:textId="6FAE1F57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14</w:t>
            </w:r>
          </w:p>
        </w:tc>
      </w:tr>
      <w:tr w:rsidR="00860783" w:rsidRPr="00DA538A" w14:paraId="5AE96BDE" w14:textId="77777777" w:rsidTr="00040F03">
        <w:tc>
          <w:tcPr>
            <w:tcW w:w="1484" w:type="dxa"/>
          </w:tcPr>
          <w:p w14:paraId="5AE5F73C" w14:textId="0468C968" w:rsidR="00860783" w:rsidRPr="00DA538A" w:rsidRDefault="00860783" w:rsidP="00860783">
            <w:pPr>
              <w:rPr>
                <w:lang w:val="en-CA"/>
              </w:rPr>
            </w:pPr>
            <w:r w:rsidRPr="00DA538A">
              <w:rPr>
                <w:lang w:val="en-CA"/>
              </w:rPr>
              <w:t>EX-02</w:t>
            </w:r>
          </w:p>
        </w:tc>
        <w:tc>
          <w:tcPr>
            <w:tcW w:w="1310" w:type="dxa"/>
          </w:tcPr>
          <w:p w14:paraId="434A8EAA" w14:textId="538F3238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69</w:t>
            </w:r>
          </w:p>
        </w:tc>
        <w:tc>
          <w:tcPr>
            <w:tcW w:w="1312" w:type="dxa"/>
          </w:tcPr>
          <w:p w14:paraId="1E4FEFBE" w14:textId="210E5EFE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107</w:t>
            </w:r>
          </w:p>
        </w:tc>
        <w:tc>
          <w:tcPr>
            <w:tcW w:w="1311" w:type="dxa"/>
          </w:tcPr>
          <w:p w14:paraId="7BAD19A5" w14:textId="015C5550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91</w:t>
            </w:r>
          </w:p>
        </w:tc>
        <w:tc>
          <w:tcPr>
            <w:tcW w:w="1311" w:type="dxa"/>
          </w:tcPr>
          <w:p w14:paraId="3ABDD60A" w14:textId="6482AD96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109</w:t>
            </w:r>
          </w:p>
        </w:tc>
        <w:tc>
          <w:tcPr>
            <w:tcW w:w="1311" w:type="dxa"/>
          </w:tcPr>
          <w:p w14:paraId="1FC9044B" w14:textId="7A899D42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157</w:t>
            </w:r>
          </w:p>
        </w:tc>
        <w:tc>
          <w:tcPr>
            <w:tcW w:w="1311" w:type="dxa"/>
          </w:tcPr>
          <w:p w14:paraId="7DB66FBC" w14:textId="5B87CAF0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138</w:t>
            </w:r>
          </w:p>
        </w:tc>
      </w:tr>
      <w:tr w:rsidR="00860783" w:rsidRPr="00DA538A" w14:paraId="4DF471D1" w14:textId="77777777" w:rsidTr="00040F03">
        <w:tc>
          <w:tcPr>
            <w:tcW w:w="1484" w:type="dxa"/>
          </w:tcPr>
          <w:p w14:paraId="47DC0521" w14:textId="0A7C1BF9" w:rsidR="00860783" w:rsidRPr="00DA538A" w:rsidRDefault="00860783" w:rsidP="00860783">
            <w:pPr>
              <w:rPr>
                <w:lang w:val="en-CA"/>
              </w:rPr>
            </w:pPr>
            <w:r w:rsidRPr="00DA538A">
              <w:rPr>
                <w:lang w:val="en-CA"/>
              </w:rPr>
              <w:t>External hire</w:t>
            </w:r>
          </w:p>
        </w:tc>
        <w:tc>
          <w:tcPr>
            <w:tcW w:w="1310" w:type="dxa"/>
          </w:tcPr>
          <w:p w14:paraId="5EBDA8E4" w14:textId="3F48CCF2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8</w:t>
            </w:r>
          </w:p>
        </w:tc>
        <w:tc>
          <w:tcPr>
            <w:tcW w:w="1312" w:type="dxa"/>
          </w:tcPr>
          <w:p w14:paraId="2D050DDE" w14:textId="14A0042D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7</w:t>
            </w:r>
          </w:p>
        </w:tc>
        <w:tc>
          <w:tcPr>
            <w:tcW w:w="1311" w:type="dxa"/>
          </w:tcPr>
          <w:p w14:paraId="35F1CBBA" w14:textId="115B9A54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9</w:t>
            </w:r>
          </w:p>
        </w:tc>
        <w:tc>
          <w:tcPr>
            <w:tcW w:w="1311" w:type="dxa"/>
          </w:tcPr>
          <w:p w14:paraId="18215C64" w14:textId="520A3329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11</w:t>
            </w:r>
          </w:p>
        </w:tc>
        <w:tc>
          <w:tcPr>
            <w:tcW w:w="1311" w:type="dxa"/>
          </w:tcPr>
          <w:p w14:paraId="52E2162F" w14:textId="2C571E3B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13</w:t>
            </w:r>
          </w:p>
        </w:tc>
        <w:tc>
          <w:tcPr>
            <w:tcW w:w="1311" w:type="dxa"/>
          </w:tcPr>
          <w:p w14:paraId="4679E935" w14:textId="4F2932F6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12</w:t>
            </w:r>
          </w:p>
        </w:tc>
      </w:tr>
      <w:tr w:rsidR="00860783" w:rsidRPr="00DA538A" w14:paraId="440A28DE" w14:textId="77777777" w:rsidTr="00040F03">
        <w:tc>
          <w:tcPr>
            <w:tcW w:w="1484" w:type="dxa"/>
          </w:tcPr>
          <w:p w14:paraId="35BF376B" w14:textId="5649CB70" w:rsidR="00860783" w:rsidRPr="00DA538A" w:rsidRDefault="00860783" w:rsidP="00860783">
            <w:pPr>
              <w:rPr>
                <w:lang w:val="en-CA"/>
              </w:rPr>
            </w:pPr>
            <w:r w:rsidRPr="00DA538A">
              <w:rPr>
                <w:lang w:val="en-CA"/>
              </w:rPr>
              <w:t>Other classifications</w:t>
            </w:r>
          </w:p>
        </w:tc>
        <w:tc>
          <w:tcPr>
            <w:tcW w:w="1310" w:type="dxa"/>
          </w:tcPr>
          <w:p w14:paraId="03BDCB35" w14:textId="7A94E58C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3</w:t>
            </w:r>
          </w:p>
        </w:tc>
        <w:tc>
          <w:tcPr>
            <w:tcW w:w="1312" w:type="dxa"/>
          </w:tcPr>
          <w:p w14:paraId="232960BC" w14:textId="3D37386D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5</w:t>
            </w:r>
          </w:p>
        </w:tc>
        <w:tc>
          <w:tcPr>
            <w:tcW w:w="1311" w:type="dxa"/>
          </w:tcPr>
          <w:p w14:paraId="0570D3C8" w14:textId="0A7C7E26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11</w:t>
            </w:r>
          </w:p>
        </w:tc>
        <w:tc>
          <w:tcPr>
            <w:tcW w:w="1311" w:type="dxa"/>
          </w:tcPr>
          <w:p w14:paraId="54795E12" w14:textId="65003565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8</w:t>
            </w:r>
          </w:p>
        </w:tc>
        <w:tc>
          <w:tcPr>
            <w:tcW w:w="1311" w:type="dxa"/>
          </w:tcPr>
          <w:p w14:paraId="4F1ABE24" w14:textId="540D495E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6</w:t>
            </w:r>
          </w:p>
        </w:tc>
        <w:tc>
          <w:tcPr>
            <w:tcW w:w="1311" w:type="dxa"/>
          </w:tcPr>
          <w:p w14:paraId="4FFD509B" w14:textId="1CC487A6" w:rsidR="00860783" w:rsidRPr="00DA538A" w:rsidRDefault="000156B6" w:rsidP="00860783">
            <w:pPr>
              <w:jc w:val="right"/>
              <w:rPr>
                <w:lang w:val="en-CA"/>
              </w:rPr>
            </w:pPr>
            <w:r w:rsidRPr="00DA538A">
              <w:rPr>
                <w:lang w:val="en-CA"/>
              </w:rPr>
              <w:t>7</w:t>
            </w:r>
          </w:p>
        </w:tc>
      </w:tr>
    </w:tbl>
    <w:p w14:paraId="7DF1DA69" w14:textId="77777777" w:rsidR="00040F03" w:rsidRPr="00DA538A" w:rsidRDefault="00040F03">
      <w:pPr>
        <w:keepLines w:val="0"/>
        <w:rPr>
          <w:lang w:val="en-CA"/>
        </w:rPr>
      </w:pPr>
      <w:r w:rsidRPr="00DA538A">
        <w:rPr>
          <w:lang w:val="en-CA"/>
        </w:rPr>
        <w:br w:type="page"/>
      </w:r>
    </w:p>
    <w:p w14:paraId="7A2A8241" w14:textId="77777777" w:rsidR="003860EB" w:rsidRDefault="004D61C4" w:rsidP="002C7FDA">
      <w:pPr>
        <w:pStyle w:val="ListParagraph"/>
        <w:numPr>
          <w:ilvl w:val="0"/>
          <w:numId w:val="31"/>
        </w:numPr>
        <w:rPr>
          <w:lang w:val="en-CA"/>
        </w:rPr>
      </w:pPr>
      <w:r w:rsidRPr="00635737">
        <w:rPr>
          <w:lang w:val="en-CA"/>
        </w:rPr>
        <w:lastRenderedPageBreak/>
        <w:t>In 2018-2019, employment equity representation within the EX-02 group was higher than within the EX-</w:t>
      </w:r>
      <w:bookmarkStart w:id="1" w:name="_GoBack"/>
      <w:bookmarkEnd w:id="1"/>
      <w:r w:rsidRPr="00635737">
        <w:rPr>
          <w:lang w:val="en-CA"/>
        </w:rPr>
        <w:t>03 to EX-05 group, with the exception of persons with disabilities (4.8% in EX-03 to EX-05; 4.3% in the EX-02 feeder group).</w:t>
      </w:r>
    </w:p>
    <w:p w14:paraId="5D8DF870" w14:textId="612AA400" w:rsidR="00532BCB" w:rsidRPr="002C7FDA" w:rsidRDefault="00A35C69" w:rsidP="00234D67">
      <w:pPr>
        <w:pStyle w:val="Heading3"/>
      </w:pPr>
      <w:r>
        <w:t>Staffing</w:t>
      </w:r>
    </w:p>
    <w:p w14:paraId="323686DE" w14:textId="468FEC7F" w:rsidR="00823F7C" w:rsidRPr="00BB2434" w:rsidRDefault="00A35C69" w:rsidP="00823F7C">
      <w:pPr>
        <w:rPr>
          <w:lang w:val="en-CA"/>
        </w:rPr>
      </w:pPr>
      <w:r>
        <w:rPr>
          <w:lang w:val="en-CA"/>
        </w:rPr>
        <w:t>Staffing activities</w:t>
      </w:r>
      <w:r w:rsidR="00551F96">
        <w:rPr>
          <w:lang w:val="en-CA"/>
        </w:rPr>
        <w:t xml:space="preserve">, </w:t>
      </w:r>
      <w:r w:rsidR="00DE226C">
        <w:rPr>
          <w:lang w:val="en-CA"/>
        </w:rPr>
        <w:t xml:space="preserve">which </w:t>
      </w:r>
      <w:r w:rsidR="00551F96">
        <w:rPr>
          <w:lang w:val="en-CA"/>
        </w:rPr>
        <w:t>includ</w:t>
      </w:r>
      <w:r w:rsidR="00DE226C">
        <w:rPr>
          <w:lang w:val="en-CA"/>
        </w:rPr>
        <w:t xml:space="preserve">e both </w:t>
      </w:r>
      <w:r w:rsidR="00551F96" w:rsidRPr="004702B8">
        <w:rPr>
          <w:lang w:val="en-CA"/>
        </w:rPr>
        <w:t xml:space="preserve">hires from outside the public service </w:t>
      </w:r>
      <w:r w:rsidR="00551F96">
        <w:rPr>
          <w:lang w:val="en-CA"/>
        </w:rPr>
        <w:t>and internal promotions,</w:t>
      </w:r>
      <w:r>
        <w:rPr>
          <w:lang w:val="en-CA"/>
        </w:rPr>
        <w:t xml:space="preserve"> for</w:t>
      </w:r>
      <w:r w:rsidR="00823F7C" w:rsidRPr="004702B8">
        <w:rPr>
          <w:lang w:val="en-CA"/>
        </w:rPr>
        <w:t xml:space="preserve"> EX-03 to EX-05 positions ha</w:t>
      </w:r>
      <w:r>
        <w:rPr>
          <w:lang w:val="en-CA"/>
        </w:rPr>
        <w:t>ve</w:t>
      </w:r>
      <w:r w:rsidR="00823F7C" w:rsidRPr="004702B8">
        <w:rPr>
          <w:lang w:val="en-CA"/>
        </w:rPr>
        <w:t xml:space="preserve"> increased in recent years</w:t>
      </w:r>
      <w:r w:rsidR="003860EB">
        <w:rPr>
          <w:lang w:val="en-CA"/>
        </w:rPr>
        <w:t xml:space="preserve">, </w:t>
      </w:r>
      <w:r w:rsidR="00823F7C" w:rsidRPr="00BB2434">
        <w:rPr>
          <w:lang w:val="en-CA"/>
        </w:rPr>
        <w:t>outpac</w:t>
      </w:r>
      <w:r w:rsidR="00551F96">
        <w:rPr>
          <w:lang w:val="en-CA"/>
        </w:rPr>
        <w:t>ing</w:t>
      </w:r>
      <w:r w:rsidR="00823F7C" w:rsidRPr="00BB2434">
        <w:rPr>
          <w:lang w:val="en-CA"/>
        </w:rPr>
        <w:t xml:space="preserve"> </w:t>
      </w:r>
      <w:r w:rsidR="005C5002" w:rsidRPr="00BB2434">
        <w:rPr>
          <w:lang w:val="en-CA"/>
        </w:rPr>
        <w:t>departures from these positions.</w:t>
      </w:r>
    </w:p>
    <w:p w14:paraId="7C0AA0B4" w14:textId="2442E427" w:rsidR="003860EB" w:rsidRDefault="00551F96" w:rsidP="002809FA">
      <w:pPr>
        <w:pStyle w:val="ListParagraph"/>
        <w:numPr>
          <w:ilvl w:val="0"/>
          <w:numId w:val="32"/>
        </w:numPr>
        <w:rPr>
          <w:lang w:val="en-CA"/>
        </w:rPr>
      </w:pPr>
      <w:r>
        <w:rPr>
          <w:lang w:val="en-CA"/>
        </w:rPr>
        <w:t>Annual staffing activities</w:t>
      </w:r>
      <w:r w:rsidRPr="004702B8">
        <w:rPr>
          <w:lang w:val="en-CA"/>
        </w:rPr>
        <w:t xml:space="preserve"> </w:t>
      </w:r>
      <w:r>
        <w:rPr>
          <w:lang w:val="en-CA"/>
        </w:rPr>
        <w:t xml:space="preserve">into senior executive positions </w:t>
      </w:r>
      <w:r w:rsidR="003860EB" w:rsidRPr="004702B8">
        <w:rPr>
          <w:lang w:val="en-CA"/>
        </w:rPr>
        <w:t>increased from 151 in 2013-2014 to 239 in 2018-2019.</w:t>
      </w:r>
    </w:p>
    <w:p w14:paraId="1EFDDC07" w14:textId="7A72E24C" w:rsidR="00511B03" w:rsidRPr="004702B8" w:rsidRDefault="00BC2EA5" w:rsidP="002809FA">
      <w:pPr>
        <w:pStyle w:val="ListParagraph"/>
        <w:numPr>
          <w:ilvl w:val="0"/>
          <w:numId w:val="32"/>
        </w:numPr>
        <w:rPr>
          <w:lang w:val="en-CA"/>
        </w:rPr>
      </w:pPr>
      <w:r w:rsidRPr="00BB2434">
        <w:rPr>
          <w:lang w:val="en-CA"/>
        </w:rPr>
        <w:t xml:space="preserve">Most EX-03, EX-04 and EX-05 </w:t>
      </w:r>
      <w:r w:rsidR="0029141D" w:rsidRPr="00BB2434">
        <w:rPr>
          <w:lang w:val="en-CA"/>
        </w:rPr>
        <w:t>executives</w:t>
      </w:r>
      <w:r w:rsidRPr="00BB2434">
        <w:rPr>
          <w:lang w:val="en-CA"/>
        </w:rPr>
        <w:t xml:space="preserve"> arrive in those groups vi</w:t>
      </w:r>
      <w:r w:rsidR="00EF1B8F">
        <w:rPr>
          <w:lang w:val="en-CA"/>
        </w:rPr>
        <w:t xml:space="preserve">a promotion. In 2018-2019, </w:t>
      </w:r>
      <w:r w:rsidRPr="00BB2434">
        <w:rPr>
          <w:lang w:val="en-CA"/>
        </w:rPr>
        <w:t xml:space="preserve">13% of </w:t>
      </w:r>
      <w:r w:rsidR="00C155B8" w:rsidRPr="00BB2434">
        <w:rPr>
          <w:lang w:val="en-CA"/>
        </w:rPr>
        <w:t xml:space="preserve">EX-03 to EX-05 </w:t>
      </w:r>
      <w:r w:rsidR="00551F96">
        <w:rPr>
          <w:lang w:val="en-CA"/>
        </w:rPr>
        <w:t xml:space="preserve">staffing activities </w:t>
      </w:r>
      <w:r w:rsidRPr="00234CC3">
        <w:rPr>
          <w:lang w:val="en-CA"/>
        </w:rPr>
        <w:t xml:space="preserve">were </w:t>
      </w:r>
      <w:r w:rsidR="00240664">
        <w:rPr>
          <w:lang w:val="en-CA"/>
        </w:rPr>
        <w:t>from outside the public service</w:t>
      </w:r>
      <w:r w:rsidR="00A46273" w:rsidRPr="005B637D">
        <w:rPr>
          <w:lang w:val="en-CA"/>
        </w:rPr>
        <w:t xml:space="preserve">, whereas 87% </w:t>
      </w:r>
      <w:r w:rsidRPr="004702B8">
        <w:rPr>
          <w:lang w:val="en-CA"/>
        </w:rPr>
        <w:t>resulted from promotion</w:t>
      </w:r>
      <w:r w:rsidR="00A46273" w:rsidRPr="004702B8">
        <w:rPr>
          <w:lang w:val="en-CA"/>
        </w:rPr>
        <w:t>s of existing public servants</w:t>
      </w:r>
      <w:r w:rsidRPr="004702B8">
        <w:rPr>
          <w:lang w:val="en-CA"/>
        </w:rPr>
        <w:t>.</w:t>
      </w:r>
    </w:p>
    <w:p w14:paraId="4650A659" w14:textId="7F5A0B64" w:rsidR="007C0004" w:rsidRPr="001D4808" w:rsidRDefault="00ED57FE" w:rsidP="001D4808">
      <w:pPr>
        <w:pStyle w:val="ListParagraph"/>
        <w:numPr>
          <w:ilvl w:val="1"/>
          <w:numId w:val="32"/>
        </w:numPr>
        <w:rPr>
          <w:lang w:val="en-CA"/>
        </w:rPr>
      </w:pPr>
      <w:r w:rsidRPr="00BB2434">
        <w:rPr>
          <w:lang w:val="en-CA"/>
        </w:rPr>
        <w:t>Given the limited number of EX-04 and EX-05 positions</w:t>
      </w:r>
      <w:r w:rsidR="005734ED" w:rsidRPr="00BB2434">
        <w:rPr>
          <w:lang w:val="en-CA"/>
        </w:rPr>
        <w:t xml:space="preserve">, over 65 percent of </w:t>
      </w:r>
      <w:r w:rsidRPr="00BB2434">
        <w:rPr>
          <w:lang w:val="en-CA"/>
        </w:rPr>
        <w:t>movement into senior executive positions</w:t>
      </w:r>
      <w:r w:rsidR="005734ED" w:rsidRPr="00BB2434">
        <w:rPr>
          <w:lang w:val="en-CA"/>
        </w:rPr>
        <w:t xml:space="preserve"> has been into the EX-03 group. In 2018-2019, </w:t>
      </w:r>
      <w:r w:rsidR="00E926DF" w:rsidRPr="00EB6C58">
        <w:rPr>
          <w:lang w:val="en-CA"/>
        </w:rPr>
        <w:t xml:space="preserve">71.5% of new </w:t>
      </w:r>
      <w:r w:rsidRPr="00EB6C58">
        <w:rPr>
          <w:lang w:val="en-CA"/>
        </w:rPr>
        <w:t xml:space="preserve">senior executives </w:t>
      </w:r>
      <w:r w:rsidRPr="00664049">
        <w:rPr>
          <w:lang w:val="en-CA"/>
        </w:rPr>
        <w:t>were</w:t>
      </w:r>
      <w:r w:rsidR="005734ED" w:rsidRPr="00664049">
        <w:rPr>
          <w:lang w:val="en-CA"/>
        </w:rPr>
        <w:t xml:space="preserve"> </w:t>
      </w:r>
      <w:r w:rsidR="00240664">
        <w:rPr>
          <w:lang w:val="en-CA"/>
        </w:rPr>
        <w:t>appointed</w:t>
      </w:r>
      <w:r w:rsidR="00DA4872" w:rsidRPr="004D61C4">
        <w:rPr>
          <w:lang w:val="en-CA"/>
        </w:rPr>
        <w:t xml:space="preserve"> into the </w:t>
      </w:r>
      <w:r w:rsidR="005734ED" w:rsidRPr="004D61C4">
        <w:rPr>
          <w:lang w:val="en-CA"/>
        </w:rPr>
        <w:t>EX-03</w:t>
      </w:r>
      <w:r w:rsidR="00DA4872" w:rsidRPr="009B69D5">
        <w:rPr>
          <w:lang w:val="en-CA"/>
        </w:rPr>
        <w:t xml:space="preserve"> group</w:t>
      </w:r>
      <w:r w:rsidR="005734ED" w:rsidRPr="009B69D5">
        <w:rPr>
          <w:lang w:val="en-CA"/>
        </w:rPr>
        <w:t>.</w:t>
      </w:r>
    </w:p>
    <w:p w14:paraId="64495707" w14:textId="5D30A206" w:rsidR="002809FA" w:rsidRPr="007C0004" w:rsidRDefault="00C55F79" w:rsidP="00C148C4">
      <w:pPr>
        <w:pStyle w:val="ListParagraph"/>
        <w:numPr>
          <w:ilvl w:val="0"/>
          <w:numId w:val="33"/>
        </w:numPr>
        <w:rPr>
          <w:lang w:val="en-CA"/>
        </w:rPr>
      </w:pPr>
      <w:r w:rsidRPr="00C148C4">
        <w:rPr>
          <w:lang w:val="en-CA"/>
        </w:rPr>
        <w:t xml:space="preserve">Employment equity </w:t>
      </w:r>
      <w:r w:rsidR="00551F96">
        <w:rPr>
          <w:lang w:val="en-CA"/>
        </w:rPr>
        <w:t>representation</w:t>
      </w:r>
      <w:r w:rsidR="009A00C8" w:rsidRPr="00C148C4">
        <w:rPr>
          <w:lang w:val="en-CA"/>
        </w:rPr>
        <w:t xml:space="preserve"> </w:t>
      </w:r>
      <w:r w:rsidR="0071351E">
        <w:rPr>
          <w:lang w:val="en-CA"/>
        </w:rPr>
        <w:t>of</w:t>
      </w:r>
      <w:r w:rsidR="0071351E" w:rsidRPr="00C148C4">
        <w:rPr>
          <w:lang w:val="en-CA"/>
        </w:rPr>
        <w:t xml:space="preserve"> </w:t>
      </w:r>
      <w:r w:rsidR="00551F96">
        <w:rPr>
          <w:lang w:val="en-CA"/>
        </w:rPr>
        <w:t xml:space="preserve">staffing actions into </w:t>
      </w:r>
      <w:r w:rsidR="009A00C8" w:rsidRPr="00C148C4">
        <w:rPr>
          <w:lang w:val="en-CA"/>
        </w:rPr>
        <w:t>senior executive positions ha</w:t>
      </w:r>
      <w:r w:rsidR="00551F96">
        <w:rPr>
          <w:lang w:val="en-CA"/>
        </w:rPr>
        <w:t>s</w:t>
      </w:r>
      <w:r w:rsidR="009A00C8" w:rsidRPr="00C148C4">
        <w:rPr>
          <w:lang w:val="en-CA"/>
        </w:rPr>
        <w:t xml:space="preserve"> fluctuated in recent years</w:t>
      </w:r>
      <w:r w:rsidR="0069469D">
        <w:rPr>
          <w:lang w:val="en-CA"/>
        </w:rPr>
        <w:t>,</w:t>
      </w:r>
      <w:r w:rsidR="00DF6BC6">
        <w:rPr>
          <w:lang w:val="en-CA"/>
        </w:rPr>
        <w:t xml:space="preserve"> but is trending up for all groups</w:t>
      </w:r>
      <w:r w:rsidR="009A00C8" w:rsidRPr="00C148C4">
        <w:rPr>
          <w:lang w:val="en-CA"/>
        </w:rPr>
        <w:t>.</w:t>
      </w:r>
    </w:p>
    <w:p w14:paraId="02460DA2" w14:textId="18F9F539" w:rsidR="0024006E" w:rsidRPr="009A00C8" w:rsidRDefault="009A00C8" w:rsidP="0024006E">
      <w:pPr>
        <w:pStyle w:val="ListParagraph"/>
        <w:numPr>
          <w:ilvl w:val="1"/>
          <w:numId w:val="32"/>
        </w:numPr>
        <w:rPr>
          <w:lang w:val="en-CA"/>
        </w:rPr>
      </w:pPr>
      <w:r>
        <w:rPr>
          <w:lang w:val="en-CA"/>
        </w:rPr>
        <w:t>In the past five years, between</w:t>
      </w:r>
      <w:r w:rsidRPr="009A00C8">
        <w:rPr>
          <w:lang w:val="en-CA"/>
        </w:rPr>
        <w:t xml:space="preserve"> </w:t>
      </w:r>
      <w:r w:rsidR="00D55836" w:rsidRPr="009A00C8">
        <w:rPr>
          <w:lang w:val="en-CA"/>
        </w:rPr>
        <w:t>5 and 11 pers</w:t>
      </w:r>
      <w:r w:rsidR="0024006E" w:rsidRPr="009A00C8">
        <w:rPr>
          <w:lang w:val="en-CA"/>
        </w:rPr>
        <w:t>ons with disabilities</w:t>
      </w:r>
      <w:r w:rsidR="00D55836" w:rsidRPr="009A00C8">
        <w:rPr>
          <w:lang w:val="en-CA"/>
        </w:rPr>
        <w:t xml:space="preserve"> </w:t>
      </w:r>
      <w:r>
        <w:rPr>
          <w:lang w:val="en-CA"/>
        </w:rPr>
        <w:t>have</w:t>
      </w:r>
      <w:r w:rsidR="00D55836" w:rsidRPr="009A00C8">
        <w:rPr>
          <w:lang w:val="en-CA"/>
        </w:rPr>
        <w:t xml:space="preserve"> </w:t>
      </w:r>
      <w:r>
        <w:rPr>
          <w:lang w:val="en-CA"/>
        </w:rPr>
        <w:t xml:space="preserve">been </w:t>
      </w:r>
      <w:r w:rsidR="00D55836" w:rsidRPr="009A00C8">
        <w:rPr>
          <w:lang w:val="en-CA"/>
        </w:rPr>
        <w:t xml:space="preserve">newly </w:t>
      </w:r>
      <w:r>
        <w:rPr>
          <w:lang w:val="en-CA"/>
        </w:rPr>
        <w:t>appointed</w:t>
      </w:r>
      <w:r w:rsidR="00D55836" w:rsidRPr="009A00C8">
        <w:rPr>
          <w:lang w:val="en-CA"/>
        </w:rPr>
        <w:t xml:space="preserve"> into </w:t>
      </w:r>
      <w:r>
        <w:rPr>
          <w:lang w:val="en-CA"/>
        </w:rPr>
        <w:t xml:space="preserve">senior executive </w:t>
      </w:r>
      <w:r w:rsidR="00D55836" w:rsidRPr="009A00C8">
        <w:rPr>
          <w:lang w:val="en-CA"/>
        </w:rPr>
        <w:t>positions per year</w:t>
      </w:r>
      <w:r>
        <w:rPr>
          <w:lang w:val="en-CA"/>
        </w:rPr>
        <w:t>.</w:t>
      </w:r>
      <w:r w:rsidR="00D55836" w:rsidRPr="009A00C8">
        <w:rPr>
          <w:lang w:val="en-CA"/>
        </w:rPr>
        <w:t xml:space="preserve"> In 2018-2019, the share </w:t>
      </w:r>
      <w:r w:rsidR="00DF6BC6">
        <w:rPr>
          <w:lang w:val="en-CA"/>
        </w:rPr>
        <w:t xml:space="preserve">of senior executive staffing actions </w:t>
      </w:r>
      <w:r w:rsidR="00D55836" w:rsidRPr="009A00C8">
        <w:rPr>
          <w:lang w:val="en-CA"/>
        </w:rPr>
        <w:t>was 4.6% (11).</w:t>
      </w:r>
    </w:p>
    <w:p w14:paraId="28546E28" w14:textId="48413FB5" w:rsidR="0024006E" w:rsidRPr="009A00C8" w:rsidRDefault="009A00C8" w:rsidP="0024006E">
      <w:pPr>
        <w:pStyle w:val="ListParagraph"/>
        <w:numPr>
          <w:ilvl w:val="1"/>
          <w:numId w:val="32"/>
        </w:numPr>
        <w:rPr>
          <w:lang w:val="en-CA"/>
        </w:rPr>
      </w:pPr>
      <w:r>
        <w:rPr>
          <w:lang w:val="en-CA"/>
        </w:rPr>
        <w:t>In the past five years, b</w:t>
      </w:r>
      <w:r w:rsidR="00335854" w:rsidRPr="009A00C8">
        <w:rPr>
          <w:lang w:val="en-CA"/>
        </w:rPr>
        <w:t xml:space="preserve">etween 2 and 12 </w:t>
      </w:r>
      <w:r w:rsidR="0024006E" w:rsidRPr="009A00C8">
        <w:rPr>
          <w:lang w:val="en-CA"/>
        </w:rPr>
        <w:t>Indigenous peoples</w:t>
      </w:r>
      <w:r w:rsidR="00335854" w:rsidRPr="009A00C8">
        <w:rPr>
          <w:lang w:val="en-CA"/>
        </w:rPr>
        <w:t xml:space="preserve"> have been newly </w:t>
      </w:r>
      <w:r>
        <w:rPr>
          <w:lang w:val="en-CA"/>
        </w:rPr>
        <w:t>appointed</w:t>
      </w:r>
      <w:r w:rsidRPr="009A00C8">
        <w:rPr>
          <w:lang w:val="en-CA"/>
        </w:rPr>
        <w:t xml:space="preserve"> </w:t>
      </w:r>
      <w:r w:rsidR="00335854" w:rsidRPr="009A00C8">
        <w:rPr>
          <w:lang w:val="en-CA"/>
        </w:rPr>
        <w:t xml:space="preserve">into </w:t>
      </w:r>
      <w:r>
        <w:rPr>
          <w:lang w:val="en-CA"/>
        </w:rPr>
        <w:t>senior executive</w:t>
      </w:r>
      <w:r w:rsidRPr="009A00C8">
        <w:rPr>
          <w:lang w:val="en-CA"/>
        </w:rPr>
        <w:t xml:space="preserve"> </w:t>
      </w:r>
      <w:r w:rsidR="00335854" w:rsidRPr="009A00C8">
        <w:rPr>
          <w:lang w:val="en-CA"/>
        </w:rPr>
        <w:t>positions per year.</w:t>
      </w:r>
      <w:r w:rsidR="00C55F79">
        <w:rPr>
          <w:lang w:val="en-CA"/>
        </w:rPr>
        <w:t xml:space="preserve"> </w:t>
      </w:r>
      <w:r w:rsidR="007358D3" w:rsidRPr="009A00C8">
        <w:rPr>
          <w:lang w:val="en-CA"/>
        </w:rPr>
        <w:t xml:space="preserve">In 2018-2019, </w:t>
      </w:r>
      <w:r w:rsidR="00DF6BC6" w:rsidRPr="009A00C8">
        <w:rPr>
          <w:lang w:val="en-CA"/>
        </w:rPr>
        <w:t xml:space="preserve">the share </w:t>
      </w:r>
      <w:r w:rsidR="00DF6BC6">
        <w:rPr>
          <w:lang w:val="en-CA"/>
        </w:rPr>
        <w:t>of senior executive staffing actions</w:t>
      </w:r>
      <w:r w:rsidR="007358D3" w:rsidRPr="009A00C8">
        <w:rPr>
          <w:lang w:val="en-CA"/>
        </w:rPr>
        <w:t xml:space="preserve"> was 3.8% (9).</w:t>
      </w:r>
    </w:p>
    <w:p w14:paraId="4CF45629" w14:textId="0A35DED8" w:rsidR="0024006E" w:rsidRPr="009A00C8" w:rsidRDefault="00C63E90" w:rsidP="0024006E">
      <w:pPr>
        <w:pStyle w:val="ListParagraph"/>
        <w:numPr>
          <w:ilvl w:val="1"/>
          <w:numId w:val="32"/>
        </w:numPr>
        <w:rPr>
          <w:lang w:val="en-CA"/>
        </w:rPr>
      </w:pPr>
      <w:r>
        <w:rPr>
          <w:lang w:val="en-CA"/>
        </w:rPr>
        <w:t>In the past five year</w:t>
      </w:r>
      <w:r w:rsidR="002A0257">
        <w:rPr>
          <w:lang w:val="en-CA"/>
        </w:rPr>
        <w:t>s</w:t>
      </w:r>
      <w:r>
        <w:rPr>
          <w:lang w:val="en-CA"/>
        </w:rPr>
        <w:t xml:space="preserve">, between </w:t>
      </w:r>
      <w:r w:rsidR="002A0257">
        <w:rPr>
          <w:lang w:val="en-CA"/>
        </w:rPr>
        <w:t xml:space="preserve">10 </w:t>
      </w:r>
      <w:r>
        <w:rPr>
          <w:lang w:val="en-CA"/>
        </w:rPr>
        <w:t>and</w:t>
      </w:r>
      <w:r w:rsidR="002A0257">
        <w:rPr>
          <w:lang w:val="en-CA"/>
        </w:rPr>
        <w:t xml:space="preserve"> 27</w:t>
      </w:r>
      <w:r>
        <w:rPr>
          <w:lang w:val="en-CA"/>
        </w:rPr>
        <w:t xml:space="preserve"> </w:t>
      </w:r>
      <w:r w:rsidR="009A00C8">
        <w:rPr>
          <w:lang w:val="en-CA"/>
        </w:rPr>
        <w:t>v</w:t>
      </w:r>
      <w:r w:rsidR="007358D3" w:rsidRPr="009A00C8">
        <w:rPr>
          <w:lang w:val="en-CA"/>
        </w:rPr>
        <w:t>isible minorit</w:t>
      </w:r>
      <w:r w:rsidR="009A00C8">
        <w:rPr>
          <w:lang w:val="en-CA"/>
        </w:rPr>
        <w:t>ies</w:t>
      </w:r>
      <w:r w:rsidR="007358D3" w:rsidRPr="009A00C8">
        <w:rPr>
          <w:lang w:val="en-CA"/>
        </w:rPr>
        <w:t xml:space="preserve"> </w:t>
      </w:r>
      <w:r>
        <w:rPr>
          <w:lang w:val="en-CA"/>
        </w:rPr>
        <w:t xml:space="preserve">have been newly </w:t>
      </w:r>
      <w:r w:rsidR="000566CC">
        <w:rPr>
          <w:lang w:val="en-CA"/>
        </w:rPr>
        <w:t>appointed</w:t>
      </w:r>
      <w:r>
        <w:rPr>
          <w:lang w:val="en-CA"/>
        </w:rPr>
        <w:t xml:space="preserve"> into senior executive positions per year.</w:t>
      </w:r>
      <w:r w:rsidR="002A0257">
        <w:rPr>
          <w:lang w:val="en-CA"/>
        </w:rPr>
        <w:t xml:space="preserve"> In 2018-2019, the share of senior executive staffing actions was </w:t>
      </w:r>
      <w:r w:rsidR="007358D3" w:rsidRPr="009A00C8">
        <w:rPr>
          <w:lang w:val="en-CA"/>
        </w:rPr>
        <w:t>11.3% (27).</w:t>
      </w:r>
    </w:p>
    <w:p w14:paraId="3BA2EF46" w14:textId="4FB2C103" w:rsidR="0024006E" w:rsidRDefault="002A0257" w:rsidP="0024006E">
      <w:pPr>
        <w:pStyle w:val="ListParagraph"/>
        <w:numPr>
          <w:ilvl w:val="1"/>
          <w:numId w:val="32"/>
        </w:numPr>
        <w:rPr>
          <w:lang w:val="en-CA"/>
        </w:rPr>
      </w:pPr>
      <w:r>
        <w:rPr>
          <w:lang w:val="en-CA"/>
        </w:rPr>
        <w:t xml:space="preserve">In the past five years, between 65 and 144 women have been newly </w:t>
      </w:r>
      <w:r w:rsidR="000566CC">
        <w:rPr>
          <w:lang w:val="en-CA"/>
        </w:rPr>
        <w:t>appointed</w:t>
      </w:r>
      <w:r w:rsidR="000566CC" w:rsidRPr="009A00C8">
        <w:rPr>
          <w:lang w:val="en-CA"/>
        </w:rPr>
        <w:t xml:space="preserve"> </w:t>
      </w:r>
      <w:r>
        <w:rPr>
          <w:lang w:val="en-CA"/>
        </w:rPr>
        <w:t xml:space="preserve">into senior executive positions per year. In 2018-2019, the share of senior executive staffing actions was </w:t>
      </w:r>
      <w:r w:rsidR="00074FA0" w:rsidRPr="009A00C8">
        <w:rPr>
          <w:lang w:val="en-CA"/>
        </w:rPr>
        <w:t>48.7% (116).</w:t>
      </w:r>
    </w:p>
    <w:p w14:paraId="4F0FA605" w14:textId="77777777" w:rsidR="00443B95" w:rsidRDefault="00257CF2" w:rsidP="00443B95">
      <w:pPr>
        <w:keepNext/>
        <w:jc w:val="center"/>
      </w:pPr>
      <w:r>
        <w:rPr>
          <w:noProof/>
          <w:lang w:val="en-CA" w:eastAsia="en-CA"/>
        </w:rPr>
        <w:lastRenderedPageBreak/>
        <w:drawing>
          <wp:inline distT="0" distB="0" distL="0" distR="0" wp14:anchorId="4CA753B9" wp14:editId="5EAE9B53">
            <wp:extent cx="5472404" cy="3389438"/>
            <wp:effectExtent l="0" t="0" r="0" b="1905"/>
            <wp:docPr id="2" name="Picture 2" descr="A line chart showing the number of externally hired and promoted senior executives from 2013-2014 to 2018-2019. Each line represents one employment equity group." title="Number of externally hired and  promoted senior execut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cruitme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871" cy="339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5DAAE" w14:textId="1A710922" w:rsidR="00DA3EB0" w:rsidRDefault="00443B95" w:rsidP="003F7C6C">
      <w:pPr>
        <w:pStyle w:val="Caption"/>
        <w:spacing w:after="360"/>
        <w:jc w:val="center"/>
        <w:rPr>
          <w:lang w:val="en-CA"/>
        </w:rPr>
      </w:pPr>
      <w:r w:rsidRPr="008C0DF1">
        <w:rPr>
          <w:lang w:val="en-CA"/>
        </w:rPr>
        <w:t xml:space="preserve">Figure </w:t>
      </w:r>
      <w:r w:rsidRPr="008C0DF1">
        <w:rPr>
          <w:lang w:val="en-CA"/>
        </w:rPr>
        <w:fldChar w:fldCharType="begin"/>
      </w:r>
      <w:r w:rsidRPr="008C0DF1">
        <w:rPr>
          <w:lang w:val="en-CA"/>
        </w:rPr>
        <w:instrText xml:space="preserve"> SEQ Figure \* ARABIC </w:instrText>
      </w:r>
      <w:r w:rsidRPr="008C0DF1">
        <w:rPr>
          <w:lang w:val="en-CA"/>
        </w:rPr>
        <w:fldChar w:fldCharType="separate"/>
      </w:r>
      <w:r w:rsidRPr="008C0DF1">
        <w:rPr>
          <w:noProof/>
          <w:lang w:val="en-CA"/>
        </w:rPr>
        <w:t>3</w:t>
      </w:r>
      <w:r w:rsidRPr="008C0DF1">
        <w:rPr>
          <w:lang w:val="en-CA"/>
        </w:rPr>
        <w:fldChar w:fldCharType="end"/>
      </w:r>
      <w:r w:rsidRPr="008C0DF1">
        <w:rPr>
          <w:lang w:val="en-CA"/>
        </w:rPr>
        <w:t>: Number of externally hired and promoted sen</w:t>
      </w:r>
      <w:r w:rsidR="008C0DF1">
        <w:rPr>
          <w:lang w:val="en-CA"/>
        </w:rPr>
        <w:t>i</w:t>
      </w:r>
      <w:r w:rsidRPr="008C0DF1">
        <w:rPr>
          <w:lang w:val="en-CA"/>
        </w:rPr>
        <w:t>or executives</w:t>
      </w:r>
    </w:p>
    <w:p w14:paraId="633CB6E3" w14:textId="5D8D8D2B" w:rsidR="00443B95" w:rsidRPr="00443B95" w:rsidRDefault="00443B95" w:rsidP="00443B95">
      <w:pPr>
        <w:pStyle w:val="Caption"/>
        <w:keepNext/>
        <w:jc w:val="center"/>
        <w:rPr>
          <w:lang w:val="en-CA"/>
        </w:rPr>
      </w:pPr>
      <w:r w:rsidRPr="00443B95">
        <w:rPr>
          <w:lang w:val="en-CA"/>
        </w:rPr>
        <w:t xml:space="preserve">Table </w:t>
      </w:r>
      <w:r>
        <w:fldChar w:fldCharType="begin"/>
      </w:r>
      <w:r w:rsidRPr="00443B95">
        <w:rPr>
          <w:lang w:val="en-CA"/>
        </w:rPr>
        <w:instrText xml:space="preserve"> SEQ Table \* ARABIC </w:instrText>
      </w:r>
      <w:r>
        <w:fldChar w:fldCharType="separate"/>
      </w:r>
      <w:r w:rsidR="008C0DF1">
        <w:rPr>
          <w:noProof/>
          <w:lang w:val="en-CA"/>
        </w:rPr>
        <w:t>3</w:t>
      </w:r>
      <w:r>
        <w:fldChar w:fldCharType="end"/>
      </w:r>
      <w:r w:rsidRPr="00443B95">
        <w:rPr>
          <w:lang w:val="en-CA"/>
        </w:rPr>
        <w:t>: Number of externally hired and promoted senior executives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umber of externally hired and promoted senior executives"/>
        <w:tblDescription w:val="A table showing  the number of externally hired and promoted senior executives from 2013-2014 to 2018-2019 by employment equity group."/>
      </w:tblPr>
      <w:tblGrid>
        <w:gridCol w:w="1407"/>
        <w:gridCol w:w="1323"/>
        <w:gridCol w:w="1324"/>
        <w:gridCol w:w="1324"/>
        <w:gridCol w:w="1324"/>
        <w:gridCol w:w="1324"/>
        <w:gridCol w:w="1324"/>
      </w:tblGrid>
      <w:tr w:rsidR="00DA3EB0" w14:paraId="517DB6B6" w14:textId="77777777" w:rsidTr="00443B95">
        <w:trPr>
          <w:tblHeader/>
        </w:trPr>
        <w:tc>
          <w:tcPr>
            <w:tcW w:w="1407" w:type="dxa"/>
          </w:tcPr>
          <w:p w14:paraId="6FD5EA8E" w14:textId="62A372C8" w:rsidR="00DA3EB0" w:rsidRDefault="00DA3EB0" w:rsidP="00C148C4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Employment equity group</w:t>
            </w:r>
          </w:p>
        </w:tc>
        <w:tc>
          <w:tcPr>
            <w:tcW w:w="1323" w:type="dxa"/>
          </w:tcPr>
          <w:p w14:paraId="7C942BE3" w14:textId="10BEC53D" w:rsidR="00DA3EB0" w:rsidRDefault="00DA3EB0" w:rsidP="00C148C4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2013-2014</w:t>
            </w:r>
          </w:p>
        </w:tc>
        <w:tc>
          <w:tcPr>
            <w:tcW w:w="1324" w:type="dxa"/>
          </w:tcPr>
          <w:p w14:paraId="5B64AFA8" w14:textId="01A1681E" w:rsidR="00DA3EB0" w:rsidRDefault="00DA3EB0" w:rsidP="00C148C4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2014-2015</w:t>
            </w:r>
          </w:p>
        </w:tc>
        <w:tc>
          <w:tcPr>
            <w:tcW w:w="1324" w:type="dxa"/>
          </w:tcPr>
          <w:p w14:paraId="40B3942D" w14:textId="2823E7CB" w:rsidR="00DA3EB0" w:rsidRDefault="00DA3EB0" w:rsidP="00C148C4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2015-2016</w:t>
            </w:r>
          </w:p>
        </w:tc>
        <w:tc>
          <w:tcPr>
            <w:tcW w:w="1324" w:type="dxa"/>
          </w:tcPr>
          <w:p w14:paraId="44485B83" w14:textId="048026A0" w:rsidR="00DA3EB0" w:rsidRDefault="00DA3EB0" w:rsidP="00C148C4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2016-2017</w:t>
            </w:r>
          </w:p>
        </w:tc>
        <w:tc>
          <w:tcPr>
            <w:tcW w:w="1324" w:type="dxa"/>
          </w:tcPr>
          <w:p w14:paraId="26EB9046" w14:textId="435678DE" w:rsidR="00DA3EB0" w:rsidRDefault="00DA3EB0" w:rsidP="00C148C4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2017-2018</w:t>
            </w:r>
          </w:p>
        </w:tc>
        <w:tc>
          <w:tcPr>
            <w:tcW w:w="1324" w:type="dxa"/>
          </w:tcPr>
          <w:p w14:paraId="360AA58C" w14:textId="6767A956" w:rsidR="00DA3EB0" w:rsidRDefault="00DA3EB0" w:rsidP="00C148C4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2018-2019</w:t>
            </w:r>
          </w:p>
        </w:tc>
      </w:tr>
      <w:tr w:rsidR="00DA3EB0" w14:paraId="1E303466" w14:textId="77777777" w:rsidTr="00443B95">
        <w:tc>
          <w:tcPr>
            <w:tcW w:w="1407" w:type="dxa"/>
          </w:tcPr>
          <w:p w14:paraId="5ED74F90" w14:textId="40943227" w:rsidR="00DA3EB0" w:rsidRDefault="00DA3EB0" w:rsidP="00DA3EB0">
            <w:pPr>
              <w:rPr>
                <w:lang w:val="en-CA"/>
              </w:rPr>
            </w:pPr>
            <w:r>
              <w:rPr>
                <w:lang w:val="en-CA"/>
              </w:rPr>
              <w:t>Indigenous peoples</w:t>
            </w:r>
          </w:p>
        </w:tc>
        <w:tc>
          <w:tcPr>
            <w:tcW w:w="1323" w:type="dxa"/>
          </w:tcPr>
          <w:p w14:paraId="0514334A" w14:textId="67F88098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2</w:t>
            </w:r>
          </w:p>
        </w:tc>
        <w:tc>
          <w:tcPr>
            <w:tcW w:w="1324" w:type="dxa"/>
          </w:tcPr>
          <w:p w14:paraId="7300478A" w14:textId="5EAA2B7A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6</w:t>
            </w:r>
          </w:p>
        </w:tc>
        <w:tc>
          <w:tcPr>
            <w:tcW w:w="1324" w:type="dxa"/>
          </w:tcPr>
          <w:p w14:paraId="6CC57908" w14:textId="4076D0CE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3</w:t>
            </w:r>
          </w:p>
        </w:tc>
        <w:tc>
          <w:tcPr>
            <w:tcW w:w="1324" w:type="dxa"/>
          </w:tcPr>
          <w:p w14:paraId="6EC12A81" w14:textId="44E3D0B0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10</w:t>
            </w:r>
          </w:p>
        </w:tc>
        <w:tc>
          <w:tcPr>
            <w:tcW w:w="1324" w:type="dxa"/>
          </w:tcPr>
          <w:p w14:paraId="038887C9" w14:textId="5C981185" w:rsidR="00DA3EB0" w:rsidRDefault="00325041" w:rsidP="00325041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12</w:t>
            </w:r>
          </w:p>
        </w:tc>
        <w:tc>
          <w:tcPr>
            <w:tcW w:w="1324" w:type="dxa"/>
          </w:tcPr>
          <w:p w14:paraId="27CDD34F" w14:textId="2FC80744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9</w:t>
            </w:r>
          </w:p>
        </w:tc>
      </w:tr>
      <w:tr w:rsidR="00DA3EB0" w14:paraId="37174308" w14:textId="77777777" w:rsidTr="00443B95">
        <w:tc>
          <w:tcPr>
            <w:tcW w:w="1407" w:type="dxa"/>
          </w:tcPr>
          <w:p w14:paraId="3A56F776" w14:textId="754DBBE1" w:rsidR="00DA3EB0" w:rsidRDefault="00DA3EB0" w:rsidP="00DA3EB0">
            <w:pPr>
              <w:rPr>
                <w:lang w:val="en-CA"/>
              </w:rPr>
            </w:pPr>
            <w:r>
              <w:rPr>
                <w:lang w:val="en-CA"/>
              </w:rPr>
              <w:t>Persons with disabilities</w:t>
            </w:r>
          </w:p>
        </w:tc>
        <w:tc>
          <w:tcPr>
            <w:tcW w:w="1323" w:type="dxa"/>
          </w:tcPr>
          <w:p w14:paraId="35602B81" w14:textId="1433B243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9</w:t>
            </w:r>
          </w:p>
        </w:tc>
        <w:tc>
          <w:tcPr>
            <w:tcW w:w="1324" w:type="dxa"/>
          </w:tcPr>
          <w:p w14:paraId="4571D233" w14:textId="16C56D5D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15</w:t>
            </w:r>
          </w:p>
        </w:tc>
        <w:tc>
          <w:tcPr>
            <w:tcW w:w="1324" w:type="dxa"/>
          </w:tcPr>
          <w:p w14:paraId="3A99BC4E" w14:textId="2F5101BA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  <w:tc>
          <w:tcPr>
            <w:tcW w:w="1324" w:type="dxa"/>
          </w:tcPr>
          <w:p w14:paraId="36D9C4A5" w14:textId="73595B89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10</w:t>
            </w:r>
          </w:p>
        </w:tc>
        <w:tc>
          <w:tcPr>
            <w:tcW w:w="1324" w:type="dxa"/>
          </w:tcPr>
          <w:p w14:paraId="5B59AC48" w14:textId="7F6A3067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10</w:t>
            </w:r>
          </w:p>
        </w:tc>
        <w:tc>
          <w:tcPr>
            <w:tcW w:w="1324" w:type="dxa"/>
          </w:tcPr>
          <w:p w14:paraId="1A3324CB" w14:textId="06DE8534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11</w:t>
            </w:r>
          </w:p>
        </w:tc>
      </w:tr>
      <w:tr w:rsidR="00DA3EB0" w14:paraId="77DD51FB" w14:textId="77777777" w:rsidTr="00443B95">
        <w:tc>
          <w:tcPr>
            <w:tcW w:w="1407" w:type="dxa"/>
          </w:tcPr>
          <w:p w14:paraId="12736818" w14:textId="262A0493" w:rsidR="00DA3EB0" w:rsidRDefault="00DA3EB0" w:rsidP="00DA3EB0">
            <w:pPr>
              <w:rPr>
                <w:lang w:val="en-CA"/>
              </w:rPr>
            </w:pPr>
            <w:r>
              <w:rPr>
                <w:lang w:val="en-CA"/>
              </w:rPr>
              <w:t>Visible minorities</w:t>
            </w:r>
          </w:p>
        </w:tc>
        <w:tc>
          <w:tcPr>
            <w:tcW w:w="1323" w:type="dxa"/>
          </w:tcPr>
          <w:p w14:paraId="706D208E" w14:textId="4E64D1AC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10</w:t>
            </w:r>
          </w:p>
        </w:tc>
        <w:tc>
          <w:tcPr>
            <w:tcW w:w="1324" w:type="dxa"/>
          </w:tcPr>
          <w:p w14:paraId="2586DE80" w14:textId="1BAF8302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20</w:t>
            </w:r>
          </w:p>
        </w:tc>
        <w:tc>
          <w:tcPr>
            <w:tcW w:w="1324" w:type="dxa"/>
          </w:tcPr>
          <w:p w14:paraId="4212922B" w14:textId="5367986B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15</w:t>
            </w:r>
          </w:p>
        </w:tc>
        <w:tc>
          <w:tcPr>
            <w:tcW w:w="1324" w:type="dxa"/>
          </w:tcPr>
          <w:p w14:paraId="5D7E41E7" w14:textId="0BE23D54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21</w:t>
            </w:r>
          </w:p>
        </w:tc>
        <w:tc>
          <w:tcPr>
            <w:tcW w:w="1324" w:type="dxa"/>
          </w:tcPr>
          <w:p w14:paraId="4FB3234B" w14:textId="269C3701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25</w:t>
            </w:r>
          </w:p>
        </w:tc>
        <w:tc>
          <w:tcPr>
            <w:tcW w:w="1324" w:type="dxa"/>
          </w:tcPr>
          <w:p w14:paraId="265DCF10" w14:textId="64AE7B55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27</w:t>
            </w:r>
          </w:p>
        </w:tc>
      </w:tr>
      <w:tr w:rsidR="00DA3EB0" w14:paraId="0F5C4A84" w14:textId="77777777" w:rsidTr="00443B95">
        <w:tc>
          <w:tcPr>
            <w:tcW w:w="1407" w:type="dxa"/>
          </w:tcPr>
          <w:p w14:paraId="009EFABB" w14:textId="34FE492E" w:rsidR="00DA3EB0" w:rsidRDefault="00DA3EB0" w:rsidP="00DA3EB0">
            <w:pPr>
              <w:rPr>
                <w:lang w:val="en-CA"/>
              </w:rPr>
            </w:pPr>
            <w:r w:rsidRPr="00DA3EB0">
              <w:rPr>
                <w:lang w:val="en-CA"/>
              </w:rPr>
              <w:t>Women</w:t>
            </w:r>
          </w:p>
        </w:tc>
        <w:tc>
          <w:tcPr>
            <w:tcW w:w="1323" w:type="dxa"/>
          </w:tcPr>
          <w:p w14:paraId="6E0584D0" w14:textId="14BE5382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65</w:t>
            </w:r>
          </w:p>
        </w:tc>
        <w:tc>
          <w:tcPr>
            <w:tcW w:w="1324" w:type="dxa"/>
          </w:tcPr>
          <w:p w14:paraId="64C51832" w14:textId="64965DB8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90</w:t>
            </w:r>
          </w:p>
        </w:tc>
        <w:tc>
          <w:tcPr>
            <w:tcW w:w="1324" w:type="dxa"/>
          </w:tcPr>
          <w:p w14:paraId="783E2C79" w14:textId="77963E39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81</w:t>
            </w:r>
          </w:p>
        </w:tc>
        <w:tc>
          <w:tcPr>
            <w:tcW w:w="1324" w:type="dxa"/>
          </w:tcPr>
          <w:p w14:paraId="043D16E5" w14:textId="34530DD0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96</w:t>
            </w:r>
          </w:p>
        </w:tc>
        <w:tc>
          <w:tcPr>
            <w:tcW w:w="1324" w:type="dxa"/>
          </w:tcPr>
          <w:p w14:paraId="36A40943" w14:textId="7145B721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144</w:t>
            </w:r>
          </w:p>
        </w:tc>
        <w:tc>
          <w:tcPr>
            <w:tcW w:w="1324" w:type="dxa"/>
          </w:tcPr>
          <w:p w14:paraId="4E042069" w14:textId="1A8F73A3" w:rsidR="00DA3EB0" w:rsidRDefault="00325041" w:rsidP="00DA3EB0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116</w:t>
            </w:r>
          </w:p>
        </w:tc>
      </w:tr>
    </w:tbl>
    <w:p w14:paraId="6E1C6B91" w14:textId="77777777" w:rsidR="00F272F2" w:rsidRDefault="00F272F2">
      <w:pPr>
        <w:keepLines w:val="0"/>
        <w:rPr>
          <w:lang w:val="en-CA"/>
        </w:rPr>
      </w:pPr>
      <w:r>
        <w:rPr>
          <w:lang w:val="en-CA"/>
        </w:rPr>
        <w:br w:type="page"/>
      </w:r>
    </w:p>
    <w:p w14:paraId="2DB08977" w14:textId="4D3EBE14" w:rsidR="00532BCB" w:rsidRPr="00234CC3" w:rsidRDefault="00532BCB" w:rsidP="00234D67">
      <w:pPr>
        <w:pStyle w:val="Heading3"/>
      </w:pPr>
      <w:r w:rsidRPr="00234CC3">
        <w:lastRenderedPageBreak/>
        <w:t>Departures</w:t>
      </w:r>
    </w:p>
    <w:p w14:paraId="6DA535FF" w14:textId="0BBC7703" w:rsidR="0082345F" w:rsidRPr="00BB2434" w:rsidRDefault="0082345F" w:rsidP="0082345F">
      <w:pPr>
        <w:rPr>
          <w:lang w:val="en-CA"/>
        </w:rPr>
      </w:pPr>
      <w:r w:rsidRPr="005B637D">
        <w:rPr>
          <w:lang w:val="en-CA"/>
        </w:rPr>
        <w:t>D</w:t>
      </w:r>
      <w:r w:rsidR="008E5B1F" w:rsidRPr="004702B8">
        <w:rPr>
          <w:lang w:val="en-CA"/>
        </w:rPr>
        <w:t xml:space="preserve">epartures </w:t>
      </w:r>
      <w:r w:rsidRPr="004702B8">
        <w:rPr>
          <w:lang w:val="en-CA"/>
        </w:rPr>
        <w:t xml:space="preserve">from EX-03 to EX-05 positions are generally </w:t>
      </w:r>
      <w:r w:rsidR="00DF6BC6">
        <w:rPr>
          <w:lang w:val="en-CA"/>
        </w:rPr>
        <w:t>lower</w:t>
      </w:r>
      <w:r w:rsidR="00DF6BC6" w:rsidRPr="004702B8">
        <w:rPr>
          <w:lang w:val="en-CA"/>
        </w:rPr>
        <w:t xml:space="preserve"> </w:t>
      </w:r>
      <w:r w:rsidRPr="004702B8">
        <w:rPr>
          <w:lang w:val="en-CA"/>
        </w:rPr>
        <w:t>than recruitment volumes, which contributes to the increase in employment e</w:t>
      </w:r>
      <w:r w:rsidR="00A50AAA" w:rsidRPr="004702B8">
        <w:rPr>
          <w:lang w:val="en-CA"/>
        </w:rPr>
        <w:t xml:space="preserve">quity representation </w:t>
      </w:r>
      <w:r w:rsidR="00A50AAA" w:rsidRPr="00234CC3">
        <w:rPr>
          <w:lang w:val="en-CA"/>
        </w:rPr>
        <w:t>seen in the</w:t>
      </w:r>
      <w:r w:rsidRPr="00234CC3">
        <w:rPr>
          <w:lang w:val="en-CA"/>
        </w:rPr>
        <w:t xml:space="preserve">se </w:t>
      </w:r>
      <w:r w:rsidR="00A50AAA" w:rsidRPr="005B637D">
        <w:rPr>
          <w:lang w:val="en-CA"/>
        </w:rPr>
        <w:t xml:space="preserve">executive </w:t>
      </w:r>
      <w:r w:rsidRPr="005B637D">
        <w:rPr>
          <w:lang w:val="en-CA"/>
        </w:rPr>
        <w:t xml:space="preserve">groups over the past five years. There is some evidence to suggest that </w:t>
      </w:r>
      <w:r w:rsidR="00DF6BC6">
        <w:rPr>
          <w:lang w:val="en-CA"/>
        </w:rPr>
        <w:t>senior</w:t>
      </w:r>
      <w:r w:rsidR="00DF6BC6" w:rsidRPr="005B637D">
        <w:rPr>
          <w:lang w:val="en-CA"/>
        </w:rPr>
        <w:t xml:space="preserve"> </w:t>
      </w:r>
      <w:r w:rsidRPr="005B637D">
        <w:rPr>
          <w:lang w:val="en-CA"/>
        </w:rPr>
        <w:t>execu</w:t>
      </w:r>
      <w:r w:rsidRPr="004702B8">
        <w:rPr>
          <w:lang w:val="en-CA"/>
        </w:rPr>
        <w:t xml:space="preserve">tives may be leaving the public service later than </w:t>
      </w:r>
      <w:r w:rsidR="00DF6BC6">
        <w:rPr>
          <w:lang w:val="en-CA"/>
        </w:rPr>
        <w:t>in previous years</w:t>
      </w:r>
      <w:r w:rsidRPr="004702B8">
        <w:rPr>
          <w:lang w:val="en-CA"/>
        </w:rPr>
        <w:t>.</w:t>
      </w:r>
    </w:p>
    <w:p w14:paraId="3438B3AF" w14:textId="1E849BA4" w:rsidR="00433586" w:rsidRPr="00EB6C58" w:rsidRDefault="00433586" w:rsidP="00532BCB">
      <w:pPr>
        <w:pStyle w:val="ListParagraph"/>
        <w:numPr>
          <w:ilvl w:val="0"/>
          <w:numId w:val="32"/>
        </w:numPr>
        <w:rPr>
          <w:lang w:val="en-CA"/>
        </w:rPr>
      </w:pPr>
      <w:r w:rsidRPr="00BB2434">
        <w:rPr>
          <w:lang w:val="en-CA"/>
        </w:rPr>
        <w:t xml:space="preserve">The number of total departures from </w:t>
      </w:r>
      <w:r w:rsidR="002566BA">
        <w:rPr>
          <w:lang w:val="en-CA"/>
        </w:rPr>
        <w:t>senior executive</w:t>
      </w:r>
      <w:r w:rsidR="002566BA" w:rsidRPr="00BB2434">
        <w:rPr>
          <w:lang w:val="en-CA"/>
        </w:rPr>
        <w:t xml:space="preserve"> </w:t>
      </w:r>
      <w:r w:rsidRPr="00BB2434">
        <w:rPr>
          <w:lang w:val="en-CA"/>
        </w:rPr>
        <w:t xml:space="preserve">positions has decreased slightly, from </w:t>
      </w:r>
      <w:r w:rsidR="00DC6735" w:rsidRPr="00BB2434">
        <w:rPr>
          <w:lang w:val="en-CA"/>
        </w:rPr>
        <w:t>154 in 2013-2014 to 111 in 2018-2019.</w:t>
      </w:r>
    </w:p>
    <w:p w14:paraId="38065A1A" w14:textId="159C1DAE" w:rsidR="002C08D4" w:rsidRPr="00234CC3" w:rsidRDefault="002C08D4" w:rsidP="002C08D4">
      <w:pPr>
        <w:pStyle w:val="ListParagraph"/>
        <w:numPr>
          <w:ilvl w:val="0"/>
          <w:numId w:val="32"/>
        </w:numPr>
        <w:rPr>
          <w:lang w:val="en-CA"/>
        </w:rPr>
      </w:pPr>
      <w:r w:rsidRPr="009B69D5">
        <w:rPr>
          <w:lang w:val="en-CA"/>
        </w:rPr>
        <w:t>Most departures from EX-03, EX-04 and EX-05 positions are retirements. In 2018-2019, nearly 65% of departures were classified as retirements.</w:t>
      </w:r>
    </w:p>
    <w:p w14:paraId="545CEFA5" w14:textId="69B382D7" w:rsidR="005148B7" w:rsidRPr="00234CC3" w:rsidRDefault="005148B7" w:rsidP="00DE26F3">
      <w:pPr>
        <w:pStyle w:val="ListParagraph"/>
        <w:numPr>
          <w:ilvl w:val="1"/>
          <w:numId w:val="32"/>
        </w:numPr>
        <w:rPr>
          <w:lang w:val="en-CA"/>
        </w:rPr>
      </w:pPr>
      <w:r w:rsidRPr="00234CC3">
        <w:rPr>
          <w:lang w:val="en-CA"/>
        </w:rPr>
        <w:t xml:space="preserve">Most of these departures are from EX-03 positions, due to that group’s larger share of </w:t>
      </w:r>
      <w:r w:rsidR="00EC4D71">
        <w:rPr>
          <w:lang w:val="en-CA"/>
        </w:rPr>
        <w:t>senior executive</w:t>
      </w:r>
      <w:r w:rsidRPr="00234CC3">
        <w:rPr>
          <w:lang w:val="en-CA"/>
        </w:rPr>
        <w:t xml:space="preserve"> positions.</w:t>
      </w:r>
    </w:p>
    <w:p w14:paraId="4459F255" w14:textId="49B75CD4" w:rsidR="005E46D9" w:rsidRPr="003F7C6C" w:rsidRDefault="002C08D4" w:rsidP="003F7C6C">
      <w:pPr>
        <w:pStyle w:val="ListParagraph"/>
        <w:keepLines w:val="0"/>
        <w:numPr>
          <w:ilvl w:val="0"/>
          <w:numId w:val="32"/>
        </w:numPr>
        <w:ind w:left="714" w:hanging="357"/>
        <w:rPr>
          <w:lang w:val="en-CA"/>
        </w:rPr>
      </w:pPr>
      <w:r w:rsidRPr="00C148C4">
        <w:rPr>
          <w:lang w:val="en-CA"/>
        </w:rPr>
        <w:t>Within all employment equity groups in 2018-2019, the number of</w:t>
      </w:r>
      <w:r w:rsidR="0009708E" w:rsidRPr="00C148C4">
        <w:rPr>
          <w:lang w:val="en-CA"/>
        </w:rPr>
        <w:t xml:space="preserve"> newly appointed senior executives</w:t>
      </w:r>
      <w:r w:rsidR="00E530E8" w:rsidRPr="00C148C4">
        <w:rPr>
          <w:lang w:val="en-CA"/>
        </w:rPr>
        <w:t xml:space="preserve"> </w:t>
      </w:r>
      <w:r w:rsidRPr="00C148C4">
        <w:rPr>
          <w:lang w:val="en-CA"/>
        </w:rPr>
        <w:t>exceeded the number of departures. The table below illustrates the difference between</w:t>
      </w:r>
      <w:r w:rsidR="0009708E" w:rsidRPr="00C148C4">
        <w:rPr>
          <w:lang w:val="en-CA"/>
        </w:rPr>
        <w:t xml:space="preserve"> inflows</w:t>
      </w:r>
      <w:r w:rsidR="00E530E8" w:rsidRPr="00C148C4">
        <w:rPr>
          <w:lang w:val="en-CA"/>
        </w:rPr>
        <w:t xml:space="preserve"> </w:t>
      </w:r>
      <w:r w:rsidRPr="00C148C4">
        <w:rPr>
          <w:lang w:val="en-CA"/>
        </w:rPr>
        <w:t xml:space="preserve">and </w:t>
      </w:r>
      <w:r w:rsidR="0009708E" w:rsidRPr="00C148C4">
        <w:rPr>
          <w:lang w:val="en-CA"/>
        </w:rPr>
        <w:t>outflows for senior executives</w:t>
      </w:r>
      <w:r w:rsidRPr="00C148C4">
        <w:rPr>
          <w:lang w:val="en-CA"/>
        </w:rPr>
        <w:t>:</w:t>
      </w:r>
    </w:p>
    <w:p w14:paraId="43E9D5F7" w14:textId="24913384" w:rsidR="008C0DF1" w:rsidRPr="008C0DF1" w:rsidRDefault="008C0DF1" w:rsidP="008C0DF1">
      <w:pPr>
        <w:pStyle w:val="Caption"/>
        <w:keepNext/>
        <w:jc w:val="center"/>
        <w:rPr>
          <w:lang w:val="en-CA"/>
        </w:rPr>
      </w:pPr>
      <w:r w:rsidRPr="008C0DF1">
        <w:rPr>
          <w:lang w:val="en-CA"/>
        </w:rPr>
        <w:t xml:space="preserve">Table </w:t>
      </w:r>
      <w:r w:rsidRPr="008C0DF1">
        <w:rPr>
          <w:lang w:val="en-CA"/>
        </w:rPr>
        <w:fldChar w:fldCharType="begin"/>
      </w:r>
      <w:r w:rsidRPr="008C0DF1">
        <w:rPr>
          <w:lang w:val="en-CA"/>
        </w:rPr>
        <w:instrText xml:space="preserve"> SEQ Table \* ARABIC </w:instrText>
      </w:r>
      <w:r w:rsidRPr="008C0DF1">
        <w:rPr>
          <w:lang w:val="en-CA"/>
        </w:rPr>
        <w:fldChar w:fldCharType="separate"/>
      </w:r>
      <w:r w:rsidRPr="008C0DF1">
        <w:rPr>
          <w:noProof/>
          <w:lang w:val="en-CA"/>
        </w:rPr>
        <w:t>4</w:t>
      </w:r>
      <w:r w:rsidRPr="008C0DF1">
        <w:rPr>
          <w:lang w:val="en-CA"/>
        </w:rPr>
        <w:fldChar w:fldCharType="end"/>
      </w:r>
      <w:r w:rsidRPr="008C0DF1">
        <w:rPr>
          <w:lang w:val="en-CA"/>
        </w:rPr>
        <w:t>: Representation within the EX-03 to EX-05 groups, 2018-2019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  <w:tblCaption w:val="Representation within the EX-03 to EX-05 groups, 2018-2019"/>
        <w:tblDescription w:val="A table that shows for each employment equity group the overall inflow, inflow from a non-senior executive group, outflow, population representation, workforce availability for all EX positions, and gap between representation and workforce availability."/>
      </w:tblPr>
      <w:tblGrid>
        <w:gridCol w:w="1407"/>
        <w:gridCol w:w="1523"/>
        <w:gridCol w:w="1307"/>
        <w:gridCol w:w="1361"/>
        <w:gridCol w:w="1589"/>
        <w:gridCol w:w="1201"/>
        <w:gridCol w:w="2244"/>
      </w:tblGrid>
      <w:tr w:rsidR="0029141D" w:rsidRPr="009B69D5" w14:paraId="78852BA0" w14:textId="77777777" w:rsidTr="00783509">
        <w:trPr>
          <w:tblHeader/>
        </w:trPr>
        <w:tc>
          <w:tcPr>
            <w:tcW w:w="1407" w:type="dxa"/>
          </w:tcPr>
          <w:p w14:paraId="192787D5" w14:textId="783FFE90" w:rsidR="0029141D" w:rsidRPr="005E46D9" w:rsidRDefault="00F84010" w:rsidP="004E06B6">
            <w:pPr>
              <w:rPr>
                <w:lang w:val="en-CA"/>
              </w:rPr>
            </w:pPr>
            <w:r w:rsidRPr="005E46D9">
              <w:rPr>
                <w:lang w:val="en-CA"/>
              </w:rPr>
              <w:t>Employment equity g</w:t>
            </w:r>
            <w:r w:rsidR="0029141D" w:rsidRPr="005E46D9">
              <w:rPr>
                <w:lang w:val="en-CA"/>
              </w:rPr>
              <w:t>roup</w:t>
            </w:r>
          </w:p>
        </w:tc>
        <w:tc>
          <w:tcPr>
            <w:tcW w:w="1523" w:type="dxa"/>
          </w:tcPr>
          <w:p w14:paraId="1C92AAC2" w14:textId="50BDFBCC" w:rsidR="0029141D" w:rsidRPr="005E46D9" w:rsidRDefault="006C5201" w:rsidP="006C5201">
            <w:pPr>
              <w:rPr>
                <w:lang w:val="en-CA"/>
              </w:rPr>
            </w:pPr>
            <w:r w:rsidRPr="005E46D9">
              <w:rPr>
                <w:lang w:val="en-CA"/>
              </w:rPr>
              <w:t>Inflow (promotions+ new hires</w:t>
            </w:r>
            <w:r w:rsidR="00B40FAB" w:rsidRPr="005E46D9">
              <w:rPr>
                <w:lang w:val="en-CA"/>
              </w:rPr>
              <w:t>)</w:t>
            </w:r>
          </w:p>
        </w:tc>
        <w:tc>
          <w:tcPr>
            <w:tcW w:w="1307" w:type="dxa"/>
          </w:tcPr>
          <w:p w14:paraId="518763D5" w14:textId="0D8CD858" w:rsidR="0029141D" w:rsidRPr="005E46D9" w:rsidRDefault="00643277" w:rsidP="00643277">
            <w:pPr>
              <w:rPr>
                <w:lang w:val="en-CA"/>
              </w:rPr>
            </w:pPr>
            <w:r w:rsidRPr="005E46D9">
              <w:rPr>
                <w:lang w:val="en-CA"/>
              </w:rPr>
              <w:t>Inflows who were not previously in the</w:t>
            </w:r>
            <w:r w:rsidR="0029141D" w:rsidRPr="005E46D9">
              <w:rPr>
                <w:lang w:val="en-CA"/>
              </w:rPr>
              <w:t xml:space="preserve"> EX-03 </w:t>
            </w:r>
            <w:r w:rsidRPr="005E46D9">
              <w:rPr>
                <w:lang w:val="en-CA"/>
              </w:rPr>
              <w:t>to EX-05 groups</w:t>
            </w:r>
            <w:r w:rsidR="007B0A63" w:rsidRPr="005E46D9">
              <w:rPr>
                <w:lang w:val="en-CA"/>
              </w:rPr>
              <w:t xml:space="preserve"> </w:t>
            </w:r>
          </w:p>
        </w:tc>
        <w:tc>
          <w:tcPr>
            <w:tcW w:w="1361" w:type="dxa"/>
          </w:tcPr>
          <w:p w14:paraId="41AD86AE" w14:textId="57EAB29B" w:rsidR="00B40FAB" w:rsidRPr="005E46D9" w:rsidRDefault="0029141D" w:rsidP="006C5201">
            <w:pPr>
              <w:rPr>
                <w:lang w:val="en-CA"/>
              </w:rPr>
            </w:pPr>
            <w:r w:rsidRPr="005E46D9">
              <w:rPr>
                <w:lang w:val="en-CA"/>
              </w:rPr>
              <w:t xml:space="preserve">Outflow (retirements </w:t>
            </w:r>
            <w:r w:rsidR="006C5201" w:rsidRPr="005E46D9">
              <w:rPr>
                <w:lang w:val="en-CA"/>
              </w:rPr>
              <w:t>+</w:t>
            </w:r>
            <w:r w:rsidRPr="005E46D9">
              <w:rPr>
                <w:lang w:val="en-CA"/>
              </w:rPr>
              <w:t xml:space="preserve"> other separations)</w:t>
            </w:r>
          </w:p>
        </w:tc>
        <w:tc>
          <w:tcPr>
            <w:tcW w:w="1589" w:type="dxa"/>
          </w:tcPr>
          <w:p w14:paraId="1B75052E" w14:textId="6F1146C0" w:rsidR="0029141D" w:rsidRPr="005E46D9" w:rsidRDefault="0029141D" w:rsidP="004E06B6">
            <w:pPr>
              <w:rPr>
                <w:lang w:val="en-CA"/>
              </w:rPr>
            </w:pPr>
            <w:r w:rsidRPr="005E46D9">
              <w:rPr>
                <w:lang w:val="en-CA"/>
              </w:rPr>
              <w:t>Population representation</w:t>
            </w:r>
          </w:p>
        </w:tc>
        <w:tc>
          <w:tcPr>
            <w:tcW w:w="1201" w:type="dxa"/>
          </w:tcPr>
          <w:p w14:paraId="64D2674F" w14:textId="769DB6A6" w:rsidR="0029141D" w:rsidRPr="005E46D9" w:rsidRDefault="0029141D" w:rsidP="004E06B6">
            <w:pPr>
              <w:rPr>
                <w:lang w:val="en-CA"/>
              </w:rPr>
            </w:pPr>
            <w:r w:rsidRPr="005E46D9">
              <w:rPr>
                <w:lang w:val="en-CA"/>
              </w:rPr>
              <w:t>Workforce availability for all EX</w:t>
            </w:r>
          </w:p>
        </w:tc>
        <w:tc>
          <w:tcPr>
            <w:tcW w:w="2244" w:type="dxa"/>
          </w:tcPr>
          <w:p w14:paraId="76D22FEA" w14:textId="28E0B6F9" w:rsidR="0029141D" w:rsidRPr="005E46D9" w:rsidRDefault="0029141D" w:rsidP="004E06B6">
            <w:pPr>
              <w:rPr>
                <w:lang w:val="en-CA"/>
              </w:rPr>
            </w:pPr>
            <w:r w:rsidRPr="005E46D9">
              <w:rPr>
                <w:lang w:val="en-CA"/>
              </w:rPr>
              <w:t>Gap</w:t>
            </w:r>
          </w:p>
        </w:tc>
      </w:tr>
      <w:tr w:rsidR="0029141D" w:rsidRPr="009B69D5" w14:paraId="604112D8" w14:textId="77777777" w:rsidTr="003235B4">
        <w:tc>
          <w:tcPr>
            <w:tcW w:w="1407" w:type="dxa"/>
          </w:tcPr>
          <w:p w14:paraId="27E790A3" w14:textId="74CE071B" w:rsidR="0029141D" w:rsidRPr="005E46D9" w:rsidRDefault="0029141D" w:rsidP="004E06B6">
            <w:pPr>
              <w:rPr>
                <w:lang w:val="en-CA"/>
              </w:rPr>
            </w:pPr>
            <w:r w:rsidRPr="005E46D9">
              <w:rPr>
                <w:lang w:val="en-CA"/>
              </w:rPr>
              <w:t>Persons with disabilities</w:t>
            </w:r>
          </w:p>
        </w:tc>
        <w:tc>
          <w:tcPr>
            <w:tcW w:w="1523" w:type="dxa"/>
          </w:tcPr>
          <w:p w14:paraId="79A48C43" w14:textId="4BD0B260" w:rsidR="0029141D" w:rsidRPr="005E46D9" w:rsidRDefault="0029141D" w:rsidP="00F24373">
            <w:pPr>
              <w:jc w:val="right"/>
              <w:rPr>
                <w:lang w:val="en-CA"/>
              </w:rPr>
            </w:pPr>
            <w:r w:rsidRPr="005E46D9">
              <w:rPr>
                <w:lang w:val="en-CA"/>
              </w:rPr>
              <w:t>11</w:t>
            </w:r>
          </w:p>
        </w:tc>
        <w:tc>
          <w:tcPr>
            <w:tcW w:w="1307" w:type="dxa"/>
          </w:tcPr>
          <w:p w14:paraId="739E8627" w14:textId="415161B0" w:rsidR="0029141D" w:rsidRPr="005E46D9" w:rsidRDefault="009542FA" w:rsidP="00F24373">
            <w:pPr>
              <w:jc w:val="right"/>
              <w:rPr>
                <w:lang w:val="en-CA"/>
              </w:rPr>
            </w:pPr>
            <w:r w:rsidRPr="005E46D9">
              <w:rPr>
                <w:lang w:val="en-CA"/>
              </w:rPr>
              <w:t>9</w:t>
            </w:r>
          </w:p>
        </w:tc>
        <w:tc>
          <w:tcPr>
            <w:tcW w:w="1361" w:type="dxa"/>
          </w:tcPr>
          <w:p w14:paraId="38A5D862" w14:textId="520DB9D2" w:rsidR="0029141D" w:rsidRPr="005E46D9" w:rsidRDefault="0029141D" w:rsidP="00F24373">
            <w:pPr>
              <w:jc w:val="right"/>
              <w:rPr>
                <w:lang w:val="en-CA"/>
              </w:rPr>
            </w:pPr>
            <w:r w:rsidRPr="005E46D9">
              <w:rPr>
                <w:lang w:val="en-CA"/>
              </w:rPr>
              <w:t>3</w:t>
            </w:r>
          </w:p>
        </w:tc>
        <w:tc>
          <w:tcPr>
            <w:tcW w:w="1589" w:type="dxa"/>
          </w:tcPr>
          <w:p w14:paraId="080F2B38" w14:textId="1D99EC5C" w:rsidR="0029141D" w:rsidRPr="005E46D9" w:rsidRDefault="0029141D" w:rsidP="00F24373">
            <w:pPr>
              <w:rPr>
                <w:lang w:val="en-CA"/>
              </w:rPr>
            </w:pPr>
            <w:r w:rsidRPr="005E46D9">
              <w:rPr>
                <w:lang w:val="en-CA"/>
              </w:rPr>
              <w:t>4.8% (62 executives)</w:t>
            </w:r>
          </w:p>
        </w:tc>
        <w:tc>
          <w:tcPr>
            <w:tcW w:w="1201" w:type="dxa"/>
          </w:tcPr>
          <w:p w14:paraId="1A09C16B" w14:textId="5C6FB47B" w:rsidR="0029141D" w:rsidRPr="005E46D9" w:rsidRDefault="0029141D" w:rsidP="00F24373">
            <w:pPr>
              <w:jc w:val="right"/>
              <w:rPr>
                <w:lang w:val="en-CA"/>
              </w:rPr>
            </w:pPr>
            <w:r w:rsidRPr="005E46D9">
              <w:rPr>
                <w:lang w:val="en-CA"/>
              </w:rPr>
              <w:t>5.3%</w:t>
            </w:r>
          </w:p>
        </w:tc>
        <w:tc>
          <w:tcPr>
            <w:tcW w:w="2244" w:type="dxa"/>
          </w:tcPr>
          <w:p w14:paraId="034DF1C7" w14:textId="0764ECF9" w:rsidR="0029141D" w:rsidRPr="005E46D9" w:rsidRDefault="005239CE" w:rsidP="00F24373">
            <w:pPr>
              <w:rPr>
                <w:lang w:val="en-CA"/>
              </w:rPr>
            </w:pPr>
            <w:r w:rsidRPr="005E46D9">
              <w:rPr>
                <w:lang w:val="en-CA"/>
              </w:rPr>
              <w:t xml:space="preserve">6 </w:t>
            </w:r>
            <w:r w:rsidR="00BB2434" w:rsidRPr="005E46D9">
              <w:rPr>
                <w:lang w:val="en-CA"/>
              </w:rPr>
              <w:t xml:space="preserve">senior </w:t>
            </w:r>
            <w:r w:rsidRPr="005E46D9">
              <w:rPr>
                <w:lang w:val="en-CA"/>
              </w:rPr>
              <w:t>executives</w:t>
            </w:r>
          </w:p>
        </w:tc>
      </w:tr>
      <w:tr w:rsidR="0029141D" w:rsidRPr="00234CC3" w14:paraId="61436BC4" w14:textId="77777777" w:rsidTr="003235B4">
        <w:tc>
          <w:tcPr>
            <w:tcW w:w="1407" w:type="dxa"/>
          </w:tcPr>
          <w:p w14:paraId="3B7CC11D" w14:textId="1EF39451" w:rsidR="0029141D" w:rsidRPr="005E46D9" w:rsidRDefault="0029141D" w:rsidP="004E06B6">
            <w:pPr>
              <w:rPr>
                <w:lang w:val="en-CA"/>
              </w:rPr>
            </w:pPr>
            <w:r w:rsidRPr="005E46D9">
              <w:rPr>
                <w:lang w:val="en-CA"/>
              </w:rPr>
              <w:t>Indigenous peoples</w:t>
            </w:r>
          </w:p>
        </w:tc>
        <w:tc>
          <w:tcPr>
            <w:tcW w:w="1523" w:type="dxa"/>
          </w:tcPr>
          <w:p w14:paraId="3C093B72" w14:textId="2C50BAEF" w:rsidR="0029141D" w:rsidRPr="005E46D9" w:rsidRDefault="0029141D" w:rsidP="00F24373">
            <w:pPr>
              <w:jc w:val="right"/>
              <w:rPr>
                <w:lang w:val="en-CA"/>
              </w:rPr>
            </w:pPr>
            <w:r w:rsidRPr="005E46D9">
              <w:rPr>
                <w:lang w:val="en-CA"/>
              </w:rPr>
              <w:t>9</w:t>
            </w:r>
          </w:p>
        </w:tc>
        <w:tc>
          <w:tcPr>
            <w:tcW w:w="1307" w:type="dxa"/>
          </w:tcPr>
          <w:p w14:paraId="041BA249" w14:textId="61D48722" w:rsidR="0029141D" w:rsidRPr="005E46D9" w:rsidRDefault="006C5201" w:rsidP="00F24373">
            <w:pPr>
              <w:jc w:val="right"/>
              <w:rPr>
                <w:lang w:val="en-CA"/>
              </w:rPr>
            </w:pPr>
            <w:r w:rsidRPr="005E46D9">
              <w:rPr>
                <w:lang w:val="en-CA"/>
              </w:rPr>
              <w:t>8</w:t>
            </w:r>
          </w:p>
        </w:tc>
        <w:tc>
          <w:tcPr>
            <w:tcW w:w="1361" w:type="dxa"/>
          </w:tcPr>
          <w:p w14:paraId="493A49F3" w14:textId="238D7058" w:rsidR="0029141D" w:rsidRPr="005E46D9" w:rsidRDefault="0029141D" w:rsidP="00F24373">
            <w:pPr>
              <w:jc w:val="right"/>
              <w:rPr>
                <w:lang w:val="en-CA"/>
              </w:rPr>
            </w:pPr>
            <w:r w:rsidRPr="005E46D9">
              <w:rPr>
                <w:lang w:val="en-CA"/>
              </w:rPr>
              <w:t>2</w:t>
            </w:r>
          </w:p>
        </w:tc>
        <w:tc>
          <w:tcPr>
            <w:tcW w:w="1589" w:type="dxa"/>
          </w:tcPr>
          <w:p w14:paraId="2C6F046A" w14:textId="2BE9E2A7" w:rsidR="0029141D" w:rsidRPr="005E46D9" w:rsidRDefault="0029141D" w:rsidP="00F24373">
            <w:pPr>
              <w:rPr>
                <w:lang w:val="en-CA"/>
              </w:rPr>
            </w:pPr>
            <w:r w:rsidRPr="005E46D9">
              <w:rPr>
                <w:lang w:val="en-CA"/>
              </w:rPr>
              <w:t>3.0% (39 executives)</w:t>
            </w:r>
          </w:p>
        </w:tc>
        <w:tc>
          <w:tcPr>
            <w:tcW w:w="1201" w:type="dxa"/>
          </w:tcPr>
          <w:p w14:paraId="4733728A" w14:textId="446BC819" w:rsidR="0029141D" w:rsidRPr="005E46D9" w:rsidRDefault="0029141D" w:rsidP="00F24373">
            <w:pPr>
              <w:jc w:val="right"/>
              <w:rPr>
                <w:lang w:val="en-CA"/>
              </w:rPr>
            </w:pPr>
            <w:r w:rsidRPr="005E46D9">
              <w:rPr>
                <w:lang w:val="en-CA"/>
              </w:rPr>
              <w:t>5.1%</w:t>
            </w:r>
          </w:p>
        </w:tc>
        <w:tc>
          <w:tcPr>
            <w:tcW w:w="2244" w:type="dxa"/>
          </w:tcPr>
          <w:p w14:paraId="1BBDF3EC" w14:textId="4F498E59" w:rsidR="0029141D" w:rsidRPr="005E46D9" w:rsidRDefault="005239CE" w:rsidP="00F24373">
            <w:pPr>
              <w:rPr>
                <w:lang w:val="en-CA"/>
              </w:rPr>
            </w:pPr>
            <w:r w:rsidRPr="005E46D9">
              <w:rPr>
                <w:lang w:val="en-CA"/>
              </w:rPr>
              <w:t xml:space="preserve">27 </w:t>
            </w:r>
            <w:r w:rsidR="00BB2434" w:rsidRPr="005E46D9">
              <w:rPr>
                <w:lang w:val="en-CA"/>
              </w:rPr>
              <w:t xml:space="preserve">senior </w:t>
            </w:r>
            <w:r w:rsidRPr="005E46D9">
              <w:rPr>
                <w:lang w:val="en-CA"/>
              </w:rPr>
              <w:t>executives</w:t>
            </w:r>
          </w:p>
        </w:tc>
      </w:tr>
      <w:tr w:rsidR="0029141D" w:rsidRPr="00234CC3" w14:paraId="4E78E349" w14:textId="77777777" w:rsidTr="003235B4">
        <w:tc>
          <w:tcPr>
            <w:tcW w:w="1407" w:type="dxa"/>
          </w:tcPr>
          <w:p w14:paraId="728A1F88" w14:textId="018DA47F" w:rsidR="0029141D" w:rsidRPr="005E46D9" w:rsidRDefault="0029141D" w:rsidP="004E06B6">
            <w:pPr>
              <w:rPr>
                <w:lang w:val="en-CA"/>
              </w:rPr>
            </w:pPr>
            <w:r w:rsidRPr="005E46D9">
              <w:rPr>
                <w:lang w:val="en-CA"/>
              </w:rPr>
              <w:t>Visible minorities</w:t>
            </w:r>
          </w:p>
        </w:tc>
        <w:tc>
          <w:tcPr>
            <w:tcW w:w="1523" w:type="dxa"/>
          </w:tcPr>
          <w:p w14:paraId="37E8A2BC" w14:textId="6D23362D" w:rsidR="0029141D" w:rsidRPr="005E46D9" w:rsidRDefault="0029141D" w:rsidP="00F24373">
            <w:pPr>
              <w:jc w:val="right"/>
              <w:rPr>
                <w:lang w:val="en-CA"/>
              </w:rPr>
            </w:pPr>
            <w:r w:rsidRPr="005E46D9">
              <w:rPr>
                <w:lang w:val="en-CA"/>
              </w:rPr>
              <w:t>27</w:t>
            </w:r>
          </w:p>
        </w:tc>
        <w:tc>
          <w:tcPr>
            <w:tcW w:w="1307" w:type="dxa"/>
          </w:tcPr>
          <w:p w14:paraId="71DA61BB" w14:textId="09342D05" w:rsidR="0029141D" w:rsidRPr="005E46D9" w:rsidRDefault="009542FA" w:rsidP="00F24373">
            <w:pPr>
              <w:jc w:val="right"/>
              <w:rPr>
                <w:lang w:val="en-CA"/>
              </w:rPr>
            </w:pPr>
            <w:r w:rsidRPr="005E46D9">
              <w:rPr>
                <w:lang w:val="en-CA"/>
              </w:rPr>
              <w:t>24</w:t>
            </w:r>
          </w:p>
        </w:tc>
        <w:tc>
          <w:tcPr>
            <w:tcW w:w="1361" w:type="dxa"/>
          </w:tcPr>
          <w:p w14:paraId="72B7E9B9" w14:textId="332D747B" w:rsidR="0029141D" w:rsidRPr="005E46D9" w:rsidRDefault="0029141D" w:rsidP="00F24373">
            <w:pPr>
              <w:jc w:val="right"/>
              <w:rPr>
                <w:lang w:val="en-CA"/>
              </w:rPr>
            </w:pPr>
            <w:r w:rsidRPr="005E46D9">
              <w:rPr>
                <w:lang w:val="en-CA"/>
              </w:rPr>
              <w:t>4</w:t>
            </w:r>
          </w:p>
        </w:tc>
        <w:tc>
          <w:tcPr>
            <w:tcW w:w="1589" w:type="dxa"/>
          </w:tcPr>
          <w:p w14:paraId="0B62F119" w14:textId="46A8DA23" w:rsidR="0029141D" w:rsidRPr="005E46D9" w:rsidRDefault="0029141D" w:rsidP="00F24373">
            <w:pPr>
              <w:rPr>
                <w:lang w:val="en-CA"/>
              </w:rPr>
            </w:pPr>
            <w:r w:rsidRPr="005E46D9">
              <w:rPr>
                <w:lang w:val="en-CA"/>
              </w:rPr>
              <w:t>9.7% (125 executives)</w:t>
            </w:r>
          </w:p>
        </w:tc>
        <w:tc>
          <w:tcPr>
            <w:tcW w:w="1201" w:type="dxa"/>
          </w:tcPr>
          <w:p w14:paraId="34FF5183" w14:textId="31426161" w:rsidR="0029141D" w:rsidRPr="005E46D9" w:rsidRDefault="0029141D" w:rsidP="00F24373">
            <w:pPr>
              <w:jc w:val="right"/>
              <w:rPr>
                <w:lang w:val="en-CA"/>
              </w:rPr>
            </w:pPr>
            <w:r w:rsidRPr="005E46D9">
              <w:rPr>
                <w:lang w:val="en-CA"/>
              </w:rPr>
              <w:t>10.6%</w:t>
            </w:r>
          </w:p>
        </w:tc>
        <w:tc>
          <w:tcPr>
            <w:tcW w:w="2244" w:type="dxa"/>
          </w:tcPr>
          <w:p w14:paraId="41E6CDFB" w14:textId="53E6BCF4" w:rsidR="0029141D" w:rsidRPr="005E46D9" w:rsidRDefault="005239CE" w:rsidP="00F24373">
            <w:pPr>
              <w:rPr>
                <w:lang w:val="en-CA"/>
              </w:rPr>
            </w:pPr>
            <w:r w:rsidRPr="005E46D9">
              <w:rPr>
                <w:lang w:val="en-CA"/>
              </w:rPr>
              <w:t xml:space="preserve">11 </w:t>
            </w:r>
            <w:r w:rsidR="00BB2434" w:rsidRPr="005E46D9">
              <w:rPr>
                <w:lang w:val="en-CA"/>
              </w:rPr>
              <w:t xml:space="preserve">senior </w:t>
            </w:r>
            <w:r w:rsidRPr="005E46D9">
              <w:rPr>
                <w:lang w:val="en-CA"/>
              </w:rPr>
              <w:t>executives</w:t>
            </w:r>
          </w:p>
        </w:tc>
      </w:tr>
      <w:tr w:rsidR="0029141D" w:rsidRPr="00234CC3" w14:paraId="3C84E2F9" w14:textId="77777777" w:rsidTr="003235B4">
        <w:tc>
          <w:tcPr>
            <w:tcW w:w="1407" w:type="dxa"/>
          </w:tcPr>
          <w:p w14:paraId="0EB43DD7" w14:textId="31EC510A" w:rsidR="0029141D" w:rsidRPr="005E46D9" w:rsidRDefault="0029141D" w:rsidP="004E06B6">
            <w:pPr>
              <w:rPr>
                <w:lang w:val="en-CA"/>
              </w:rPr>
            </w:pPr>
            <w:r w:rsidRPr="005E46D9">
              <w:rPr>
                <w:lang w:val="en-CA"/>
              </w:rPr>
              <w:t>Women</w:t>
            </w:r>
          </w:p>
        </w:tc>
        <w:tc>
          <w:tcPr>
            <w:tcW w:w="1523" w:type="dxa"/>
          </w:tcPr>
          <w:p w14:paraId="33B51E2C" w14:textId="1754B09C" w:rsidR="0029141D" w:rsidRPr="005E46D9" w:rsidRDefault="0029141D" w:rsidP="00F24373">
            <w:pPr>
              <w:jc w:val="right"/>
              <w:rPr>
                <w:lang w:val="en-CA"/>
              </w:rPr>
            </w:pPr>
            <w:r w:rsidRPr="005E46D9">
              <w:rPr>
                <w:lang w:val="en-CA"/>
              </w:rPr>
              <w:t>116</w:t>
            </w:r>
          </w:p>
        </w:tc>
        <w:tc>
          <w:tcPr>
            <w:tcW w:w="1307" w:type="dxa"/>
          </w:tcPr>
          <w:p w14:paraId="0AD11FFC" w14:textId="0ABAB63A" w:rsidR="0029141D" w:rsidRPr="005E46D9" w:rsidRDefault="006C5201" w:rsidP="00F24373">
            <w:pPr>
              <w:jc w:val="right"/>
              <w:rPr>
                <w:lang w:val="en-CA"/>
              </w:rPr>
            </w:pPr>
            <w:r w:rsidRPr="005E46D9">
              <w:rPr>
                <w:lang w:val="en-CA"/>
              </w:rPr>
              <w:t>90</w:t>
            </w:r>
          </w:p>
        </w:tc>
        <w:tc>
          <w:tcPr>
            <w:tcW w:w="1361" w:type="dxa"/>
          </w:tcPr>
          <w:p w14:paraId="4653593F" w14:textId="61E434F9" w:rsidR="0029141D" w:rsidRPr="005E46D9" w:rsidRDefault="0029141D" w:rsidP="00F24373">
            <w:pPr>
              <w:jc w:val="right"/>
              <w:rPr>
                <w:lang w:val="en-CA"/>
              </w:rPr>
            </w:pPr>
            <w:r w:rsidRPr="005E46D9">
              <w:rPr>
                <w:lang w:val="en-CA"/>
              </w:rPr>
              <w:t>53</w:t>
            </w:r>
          </w:p>
        </w:tc>
        <w:tc>
          <w:tcPr>
            <w:tcW w:w="1589" w:type="dxa"/>
          </w:tcPr>
          <w:p w14:paraId="2BA6EE01" w14:textId="56C556C4" w:rsidR="0029141D" w:rsidRPr="005E46D9" w:rsidRDefault="0029141D" w:rsidP="00F24373">
            <w:pPr>
              <w:rPr>
                <w:lang w:val="en-CA"/>
              </w:rPr>
            </w:pPr>
            <w:r w:rsidRPr="005E46D9">
              <w:rPr>
                <w:lang w:val="en-CA"/>
              </w:rPr>
              <w:t>43.4% (559 executives)</w:t>
            </w:r>
          </w:p>
        </w:tc>
        <w:tc>
          <w:tcPr>
            <w:tcW w:w="1201" w:type="dxa"/>
          </w:tcPr>
          <w:p w14:paraId="69C22476" w14:textId="7F50DE5E" w:rsidR="0029141D" w:rsidRPr="005E46D9" w:rsidRDefault="0029141D" w:rsidP="00F24373">
            <w:pPr>
              <w:jc w:val="right"/>
              <w:rPr>
                <w:lang w:val="en-CA"/>
              </w:rPr>
            </w:pPr>
            <w:r w:rsidRPr="005E46D9">
              <w:rPr>
                <w:lang w:val="en-CA"/>
              </w:rPr>
              <w:t>48%</w:t>
            </w:r>
          </w:p>
        </w:tc>
        <w:tc>
          <w:tcPr>
            <w:tcW w:w="2244" w:type="dxa"/>
          </w:tcPr>
          <w:p w14:paraId="57FDBE93" w14:textId="55EBC790" w:rsidR="0029141D" w:rsidRPr="005E46D9" w:rsidRDefault="001E3691" w:rsidP="00F24373">
            <w:pPr>
              <w:rPr>
                <w:lang w:val="en-CA"/>
              </w:rPr>
            </w:pPr>
            <w:r w:rsidRPr="005E46D9">
              <w:rPr>
                <w:lang w:val="en-CA"/>
              </w:rPr>
              <w:t xml:space="preserve">59 </w:t>
            </w:r>
            <w:r w:rsidR="00BB2434" w:rsidRPr="005E46D9">
              <w:rPr>
                <w:lang w:val="en-CA"/>
              </w:rPr>
              <w:t xml:space="preserve">senior </w:t>
            </w:r>
            <w:r w:rsidRPr="005E46D9">
              <w:rPr>
                <w:lang w:val="en-CA"/>
              </w:rPr>
              <w:t>executives</w:t>
            </w:r>
          </w:p>
        </w:tc>
      </w:tr>
      <w:bookmarkEnd w:id="0"/>
    </w:tbl>
    <w:p w14:paraId="727E1337" w14:textId="2F012775" w:rsidR="00B05209" w:rsidRPr="00635737" w:rsidRDefault="00B05209" w:rsidP="00364AC5">
      <w:pPr>
        <w:rPr>
          <w:lang w:val="en-CA"/>
        </w:rPr>
      </w:pPr>
    </w:p>
    <w:sectPr w:rsidR="00B05209" w:rsidRPr="00635737" w:rsidSect="000E5E49"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60" w:right="1440" w:bottom="1985" w:left="1440" w:header="709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10E4A" w14:textId="77777777" w:rsidR="00841007" w:rsidRDefault="00841007" w:rsidP="00A2240C">
      <w:r>
        <w:separator/>
      </w:r>
    </w:p>
  </w:endnote>
  <w:endnote w:type="continuationSeparator" w:id="0">
    <w:p w14:paraId="4D9AB4AF" w14:textId="77777777" w:rsidR="00841007" w:rsidRDefault="00841007" w:rsidP="00A2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860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6F0133" w14:textId="77777777" w:rsidR="00646A04" w:rsidRDefault="00646A04" w:rsidP="00A2240C">
        <w:pPr>
          <w:pStyle w:val="Footer"/>
          <w:rPr>
            <w:noProof/>
          </w:rPr>
        </w:pPr>
        <w:r>
          <w:rPr>
            <w:noProof/>
            <w:lang w:val="en-CA" w:eastAsia="en-CA"/>
          </w:rPr>
          <w:drawing>
            <wp:anchor distT="0" distB="0" distL="114300" distR="114300" simplePos="0" relativeHeight="251659264" behindDoc="1" locked="0" layoutInCell="1" allowOverlap="1" wp14:anchorId="5F8C380C" wp14:editId="214F0432">
              <wp:simplePos x="0" y="0"/>
              <wp:positionH relativeFrom="column">
                <wp:posOffset>-886460</wp:posOffset>
              </wp:positionH>
              <wp:positionV relativeFrom="paragraph">
                <wp:posOffset>219075</wp:posOffset>
              </wp:positionV>
              <wp:extent cx="7829550" cy="651510"/>
              <wp:effectExtent l="0" t="0" r="0" b="0"/>
              <wp:wrapNone/>
              <wp:docPr id="527" name="Picture 5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7" name="Word-Inside-colorbar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9550" cy="651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ADE">
          <w:rPr>
            <w:noProof/>
          </w:rPr>
          <w:t>2</w:t>
        </w:r>
        <w:r>
          <w:rPr>
            <w:noProof/>
          </w:rPr>
          <w:fldChar w:fldCharType="end"/>
        </w:r>
      </w:p>
      <w:p w14:paraId="148DCE2F" w14:textId="77777777" w:rsidR="00646A04" w:rsidRDefault="00DA538A" w:rsidP="00A2240C">
        <w:pPr>
          <w:pStyle w:val="Footer"/>
        </w:pPr>
      </w:p>
    </w:sdtContent>
  </w:sdt>
  <w:p w14:paraId="1F2B8D95" w14:textId="77777777" w:rsidR="00646A04" w:rsidRDefault="00646A04" w:rsidP="00A224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F137F" w14:textId="464BF78B" w:rsidR="00CB0ADE" w:rsidRPr="00143EF4" w:rsidRDefault="00CB0ADE" w:rsidP="00A2240C">
    <w:pPr>
      <w:pStyle w:val="Footer"/>
      <w:rPr>
        <w:lang w:val="en-CA"/>
      </w:rPr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6F60B1DA" wp14:editId="2E3AA6D1">
          <wp:simplePos x="0" y="0"/>
          <wp:positionH relativeFrom="column">
            <wp:posOffset>-967563</wp:posOffset>
          </wp:positionH>
          <wp:positionV relativeFrom="page">
            <wp:posOffset>9388549</wp:posOffset>
          </wp:positionV>
          <wp:extent cx="7830000" cy="643620"/>
          <wp:effectExtent l="0" t="0" r="0" b="4445"/>
          <wp:wrapNone/>
          <wp:docPr id="528" name="Picture 528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" name="Word-Inside-colorb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0000" cy="64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 w:rsidRPr="00143EF4">
      <w:rPr>
        <w:lang w:val="en-CA"/>
      </w:rPr>
      <w:instrText xml:space="preserve"> PAGE   \* MERGEFORMAT </w:instrText>
    </w:r>
    <w:r>
      <w:fldChar w:fldCharType="separate"/>
    </w:r>
    <w:r w:rsidR="00DA538A">
      <w:rPr>
        <w:noProof/>
        <w:lang w:val="en-CA"/>
      </w:rPr>
      <w:t>8</w:t>
    </w:r>
    <w:r>
      <w:rPr>
        <w:noProof/>
      </w:rPr>
      <w:fldChar w:fldCharType="end"/>
    </w:r>
    <w:r w:rsidRPr="00143EF4">
      <w:rPr>
        <w:noProof/>
        <w:lang w:val="en-CA"/>
      </w:rPr>
      <w:t xml:space="preserve"> </w:t>
    </w:r>
    <w:r w:rsidR="00067BCD" w:rsidRPr="00143EF4">
      <w:rPr>
        <w:noProof/>
        <w:lang w:val="en-CA"/>
      </w:rPr>
      <w:t>–</w:t>
    </w:r>
    <w:r w:rsidR="00332C01">
      <w:rPr>
        <w:noProof/>
        <w:lang w:val="en-CA"/>
      </w:rPr>
      <w:t xml:space="preserve"> </w:t>
    </w:r>
    <w:r w:rsidR="000E5E49">
      <w:rPr>
        <w:lang w:val="en-CA"/>
      </w:rPr>
      <w:t>Public Service Commission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3DC4E" w14:textId="017D222A" w:rsidR="0010662E" w:rsidRPr="002C0F89" w:rsidRDefault="002C0F89" w:rsidP="002C0F89">
    <w:pPr>
      <w:rPr>
        <w:color w:val="auto"/>
      </w:rPr>
    </w:pPr>
    <w:r w:rsidRPr="003F6522">
      <w:rPr>
        <w:color w:val="auto"/>
      </w:rPr>
      <w:t xml:space="preserve">Last Update: </w:t>
    </w:r>
    <w:proofErr w:type="spellStart"/>
    <w:r>
      <w:rPr>
        <w:color w:val="auto"/>
      </w:rPr>
      <w:t>November</w:t>
    </w:r>
    <w:proofErr w:type="spellEnd"/>
    <w:r>
      <w:rPr>
        <w:color w:val="auto"/>
      </w:rPr>
      <w:t xml:space="preserve"> 19</w:t>
    </w:r>
    <w:r w:rsidRPr="003F6522">
      <w:rPr>
        <w:color w:val="auto"/>
      </w:rPr>
      <w:t xml:space="preserve">, 2020 / </w:t>
    </w:r>
    <w:proofErr w:type="spellStart"/>
    <w:r>
      <w:rPr>
        <w:color w:val="auto"/>
      </w:rPr>
      <w:t>GCd</w:t>
    </w:r>
    <w:r w:rsidRPr="003F6522">
      <w:rPr>
        <w:color w:val="auto"/>
      </w:rPr>
      <w:t>ocs</w:t>
    </w:r>
    <w:proofErr w:type="spellEnd"/>
    <w:r w:rsidRPr="003F6522">
      <w:rPr>
        <w:color w:val="auto"/>
      </w:rPr>
      <w:t xml:space="preserve"> # </w:t>
    </w:r>
    <w:r w:rsidRPr="003B15F2">
      <w:rPr>
        <w:lang w:val="en-CA"/>
      </w:rPr>
      <w:t>10927981</w:t>
    </w:r>
    <w:r w:rsidR="0010662E"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7E12F07E" wp14:editId="5E0984DB">
          <wp:simplePos x="0" y="0"/>
          <wp:positionH relativeFrom="column">
            <wp:posOffset>-892175</wp:posOffset>
          </wp:positionH>
          <wp:positionV relativeFrom="page">
            <wp:posOffset>5787228</wp:posOffset>
          </wp:positionV>
          <wp:extent cx="7800212" cy="3891600"/>
          <wp:effectExtent l="0" t="0" r="0" b="0"/>
          <wp:wrapNone/>
          <wp:docPr id="530" name="Picture 530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Footer-colob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12" cy="38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54126" w14:textId="77777777" w:rsidR="00841007" w:rsidRDefault="00841007" w:rsidP="00A2240C">
      <w:r>
        <w:separator/>
      </w:r>
    </w:p>
  </w:footnote>
  <w:footnote w:type="continuationSeparator" w:id="0">
    <w:p w14:paraId="4125BB64" w14:textId="77777777" w:rsidR="00841007" w:rsidRDefault="00841007" w:rsidP="00A2240C">
      <w:r>
        <w:continuationSeparator/>
      </w:r>
    </w:p>
  </w:footnote>
  <w:footnote w:id="1">
    <w:p w14:paraId="320520AE" w14:textId="116EC616" w:rsidR="006E331F" w:rsidRPr="006E331F" w:rsidRDefault="006E331F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6E331F">
        <w:rPr>
          <w:lang w:val="en-CA"/>
        </w:rPr>
        <w:t xml:space="preserve"> Employment equity data for external hires is based on self-identification as collected by the Treasury Board Secretariat in the Employment Equity Data Bank (EEDB). The most recent data from the EEDB is up to March 31, 2019.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0C3F2" w14:textId="77777777" w:rsidR="0010662E" w:rsidRDefault="0010662E" w:rsidP="00A2240C">
    <w:pPr>
      <w:pStyle w:val="Header"/>
    </w:pPr>
    <w:r>
      <w:rPr>
        <w:noProof/>
        <w:lang w:val="en-CA" w:eastAsia="en-CA"/>
      </w:rPr>
      <w:drawing>
        <wp:inline distT="0" distB="0" distL="0" distR="0" wp14:anchorId="23321AE5" wp14:editId="6809E0FF">
          <wp:extent cx="4510800" cy="267086"/>
          <wp:effectExtent l="0" t="0" r="0" b="0"/>
          <wp:docPr id="529" name="Picture 529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-Sign-F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0800" cy="267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BC8"/>
    <w:multiLevelType w:val="hybridMultilevel"/>
    <w:tmpl w:val="E61204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4AED"/>
    <w:multiLevelType w:val="hybridMultilevel"/>
    <w:tmpl w:val="59849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4E9D"/>
    <w:multiLevelType w:val="hybridMultilevel"/>
    <w:tmpl w:val="5F2A66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E5D72"/>
    <w:multiLevelType w:val="hybridMultilevel"/>
    <w:tmpl w:val="5C6055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1543"/>
    <w:multiLevelType w:val="hybridMultilevel"/>
    <w:tmpl w:val="DA126D3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B4851"/>
    <w:multiLevelType w:val="hybridMultilevel"/>
    <w:tmpl w:val="41C6BAE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F182C"/>
    <w:multiLevelType w:val="hybridMultilevel"/>
    <w:tmpl w:val="43CE8EF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710FF"/>
    <w:multiLevelType w:val="hybridMultilevel"/>
    <w:tmpl w:val="6F5211AC"/>
    <w:lvl w:ilvl="0" w:tplc="309E786C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C6BF6"/>
    <w:multiLevelType w:val="hybridMultilevel"/>
    <w:tmpl w:val="56FA14D2"/>
    <w:lvl w:ilvl="0" w:tplc="3FAE77F8">
      <w:numFmt w:val="bullet"/>
      <w:pStyle w:val="ListParagraph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7262C"/>
    <w:multiLevelType w:val="hybridMultilevel"/>
    <w:tmpl w:val="47421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4C31"/>
    <w:multiLevelType w:val="hybridMultilevel"/>
    <w:tmpl w:val="51E634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A7214"/>
    <w:multiLevelType w:val="hybridMultilevel"/>
    <w:tmpl w:val="7B40D1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0748"/>
    <w:multiLevelType w:val="hybridMultilevel"/>
    <w:tmpl w:val="FDF6665A"/>
    <w:lvl w:ilvl="0" w:tplc="10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2216618F"/>
    <w:multiLevelType w:val="hybridMultilevel"/>
    <w:tmpl w:val="F7ECDE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C3C24"/>
    <w:multiLevelType w:val="hybridMultilevel"/>
    <w:tmpl w:val="C24A0D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A43739"/>
    <w:multiLevelType w:val="hybridMultilevel"/>
    <w:tmpl w:val="642454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AE6E6B"/>
    <w:multiLevelType w:val="hybridMultilevel"/>
    <w:tmpl w:val="8EDAC92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AA3B5D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970022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CA4DF5"/>
    <w:multiLevelType w:val="hybridMultilevel"/>
    <w:tmpl w:val="94AE41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B16CBA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2B1FF8"/>
    <w:multiLevelType w:val="hybridMultilevel"/>
    <w:tmpl w:val="412E13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3546F"/>
    <w:multiLevelType w:val="hybridMultilevel"/>
    <w:tmpl w:val="DF986A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E80328"/>
    <w:multiLevelType w:val="hybridMultilevel"/>
    <w:tmpl w:val="833C0B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E5BA4"/>
    <w:multiLevelType w:val="hybridMultilevel"/>
    <w:tmpl w:val="DAD604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A1E1E"/>
    <w:multiLevelType w:val="hybridMultilevel"/>
    <w:tmpl w:val="2040BF8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7402F4"/>
    <w:multiLevelType w:val="hybridMultilevel"/>
    <w:tmpl w:val="F7CCE1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53FD7"/>
    <w:multiLevelType w:val="hybridMultilevel"/>
    <w:tmpl w:val="CEF067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E637B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040BDF"/>
    <w:multiLevelType w:val="hybridMultilevel"/>
    <w:tmpl w:val="F74A6A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F698C"/>
    <w:multiLevelType w:val="hybridMultilevel"/>
    <w:tmpl w:val="FAE4B4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52E4E"/>
    <w:multiLevelType w:val="hybridMultilevel"/>
    <w:tmpl w:val="36A4A09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9272B9"/>
    <w:multiLevelType w:val="hybridMultilevel"/>
    <w:tmpl w:val="F176F9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D56DB"/>
    <w:multiLevelType w:val="hybridMultilevel"/>
    <w:tmpl w:val="7D56AB5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424816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8220E4"/>
    <w:multiLevelType w:val="hybridMultilevel"/>
    <w:tmpl w:val="31A27F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952C39"/>
    <w:multiLevelType w:val="hybridMultilevel"/>
    <w:tmpl w:val="A1DADA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27"/>
  </w:num>
  <w:num w:numId="5">
    <w:abstractNumId w:val="15"/>
  </w:num>
  <w:num w:numId="6">
    <w:abstractNumId w:val="33"/>
  </w:num>
  <w:num w:numId="7">
    <w:abstractNumId w:val="4"/>
  </w:num>
  <w:num w:numId="8">
    <w:abstractNumId w:val="5"/>
  </w:num>
  <w:num w:numId="9">
    <w:abstractNumId w:val="2"/>
  </w:num>
  <w:num w:numId="10">
    <w:abstractNumId w:val="18"/>
  </w:num>
  <w:num w:numId="11">
    <w:abstractNumId w:val="34"/>
  </w:num>
  <w:num w:numId="12">
    <w:abstractNumId w:val="28"/>
  </w:num>
  <w:num w:numId="13">
    <w:abstractNumId w:val="20"/>
  </w:num>
  <w:num w:numId="14">
    <w:abstractNumId w:val="17"/>
  </w:num>
  <w:num w:numId="15">
    <w:abstractNumId w:val="14"/>
  </w:num>
  <w:num w:numId="16">
    <w:abstractNumId w:val="35"/>
  </w:num>
  <w:num w:numId="17">
    <w:abstractNumId w:val="22"/>
  </w:num>
  <w:num w:numId="18">
    <w:abstractNumId w:val="32"/>
  </w:num>
  <w:num w:numId="19">
    <w:abstractNumId w:val="6"/>
  </w:num>
  <w:num w:numId="20">
    <w:abstractNumId w:val="19"/>
  </w:num>
  <w:num w:numId="21">
    <w:abstractNumId w:val="24"/>
  </w:num>
  <w:num w:numId="22">
    <w:abstractNumId w:val="9"/>
  </w:num>
  <w:num w:numId="23">
    <w:abstractNumId w:val="13"/>
  </w:num>
  <w:num w:numId="24">
    <w:abstractNumId w:val="12"/>
  </w:num>
  <w:num w:numId="25">
    <w:abstractNumId w:val="31"/>
  </w:num>
  <w:num w:numId="26">
    <w:abstractNumId w:val="25"/>
  </w:num>
  <w:num w:numId="27">
    <w:abstractNumId w:val="16"/>
  </w:num>
  <w:num w:numId="28">
    <w:abstractNumId w:val="0"/>
  </w:num>
  <w:num w:numId="29">
    <w:abstractNumId w:val="26"/>
  </w:num>
  <w:num w:numId="30">
    <w:abstractNumId w:val="3"/>
  </w:num>
  <w:num w:numId="31">
    <w:abstractNumId w:val="1"/>
  </w:num>
  <w:num w:numId="32">
    <w:abstractNumId w:val="29"/>
  </w:num>
  <w:num w:numId="33">
    <w:abstractNumId w:val="11"/>
  </w:num>
  <w:num w:numId="34">
    <w:abstractNumId w:val="10"/>
  </w:num>
  <w:num w:numId="35">
    <w:abstractNumId w:val="23"/>
  </w:num>
  <w:num w:numId="36">
    <w:abstractNumId w:val="30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11"/>
    <w:rsid w:val="000046AD"/>
    <w:rsid w:val="00005B71"/>
    <w:rsid w:val="00011FB4"/>
    <w:rsid w:val="000156B6"/>
    <w:rsid w:val="0001777C"/>
    <w:rsid w:val="00035642"/>
    <w:rsid w:val="00037567"/>
    <w:rsid w:val="0003764E"/>
    <w:rsid w:val="00040F03"/>
    <w:rsid w:val="00043FE5"/>
    <w:rsid w:val="00044C18"/>
    <w:rsid w:val="00044DED"/>
    <w:rsid w:val="000539D7"/>
    <w:rsid w:val="000539F9"/>
    <w:rsid w:val="00055211"/>
    <w:rsid w:val="000566CC"/>
    <w:rsid w:val="0006067E"/>
    <w:rsid w:val="00067BCD"/>
    <w:rsid w:val="00073906"/>
    <w:rsid w:val="00073AF1"/>
    <w:rsid w:val="00074FA0"/>
    <w:rsid w:val="00076B17"/>
    <w:rsid w:val="000841D5"/>
    <w:rsid w:val="00085DF6"/>
    <w:rsid w:val="00091252"/>
    <w:rsid w:val="0009708E"/>
    <w:rsid w:val="000A6750"/>
    <w:rsid w:val="000A7BE7"/>
    <w:rsid w:val="000B5C78"/>
    <w:rsid w:val="000B7D89"/>
    <w:rsid w:val="000C19EC"/>
    <w:rsid w:val="000D35A9"/>
    <w:rsid w:val="000E5E49"/>
    <w:rsid w:val="000E6C02"/>
    <w:rsid w:val="000F1D33"/>
    <w:rsid w:val="000F2629"/>
    <w:rsid w:val="000F4F85"/>
    <w:rsid w:val="000F712D"/>
    <w:rsid w:val="00100959"/>
    <w:rsid w:val="00101BAA"/>
    <w:rsid w:val="001037ED"/>
    <w:rsid w:val="0010662E"/>
    <w:rsid w:val="00113A92"/>
    <w:rsid w:val="00114459"/>
    <w:rsid w:val="0011577E"/>
    <w:rsid w:val="001167AF"/>
    <w:rsid w:val="0012558F"/>
    <w:rsid w:val="0013187A"/>
    <w:rsid w:val="00143EF4"/>
    <w:rsid w:val="00144747"/>
    <w:rsid w:val="001452B1"/>
    <w:rsid w:val="00154B3C"/>
    <w:rsid w:val="001578F2"/>
    <w:rsid w:val="001703E1"/>
    <w:rsid w:val="00171A52"/>
    <w:rsid w:val="00182827"/>
    <w:rsid w:val="00186646"/>
    <w:rsid w:val="00190490"/>
    <w:rsid w:val="0019378E"/>
    <w:rsid w:val="0019410D"/>
    <w:rsid w:val="001955DE"/>
    <w:rsid w:val="00196C49"/>
    <w:rsid w:val="001A1A7A"/>
    <w:rsid w:val="001B6202"/>
    <w:rsid w:val="001B66D3"/>
    <w:rsid w:val="001C0C8F"/>
    <w:rsid w:val="001C1DA9"/>
    <w:rsid w:val="001C4301"/>
    <w:rsid w:val="001D15E1"/>
    <w:rsid w:val="001D4808"/>
    <w:rsid w:val="001E3691"/>
    <w:rsid w:val="001E53A9"/>
    <w:rsid w:val="002029F1"/>
    <w:rsid w:val="002045DF"/>
    <w:rsid w:val="002056B7"/>
    <w:rsid w:val="00207732"/>
    <w:rsid w:val="002116E1"/>
    <w:rsid w:val="00212B04"/>
    <w:rsid w:val="002170AB"/>
    <w:rsid w:val="00222D81"/>
    <w:rsid w:val="0022373C"/>
    <w:rsid w:val="00223FF2"/>
    <w:rsid w:val="00227A72"/>
    <w:rsid w:val="0023379D"/>
    <w:rsid w:val="002349C3"/>
    <w:rsid w:val="00234C55"/>
    <w:rsid w:val="00234CC3"/>
    <w:rsid w:val="00234D67"/>
    <w:rsid w:val="00237B91"/>
    <w:rsid w:val="0024006E"/>
    <w:rsid w:val="00240664"/>
    <w:rsid w:val="00243374"/>
    <w:rsid w:val="00247D7B"/>
    <w:rsid w:val="00254D39"/>
    <w:rsid w:val="00254ECB"/>
    <w:rsid w:val="002566BA"/>
    <w:rsid w:val="00257CF2"/>
    <w:rsid w:val="0026150F"/>
    <w:rsid w:val="0026183E"/>
    <w:rsid w:val="0026195F"/>
    <w:rsid w:val="0026497D"/>
    <w:rsid w:val="00265FF1"/>
    <w:rsid w:val="00266411"/>
    <w:rsid w:val="002669DD"/>
    <w:rsid w:val="00267BAB"/>
    <w:rsid w:val="002769F1"/>
    <w:rsid w:val="002809FA"/>
    <w:rsid w:val="0029141D"/>
    <w:rsid w:val="002A0213"/>
    <w:rsid w:val="002A0257"/>
    <w:rsid w:val="002A1BD4"/>
    <w:rsid w:val="002A7785"/>
    <w:rsid w:val="002B0264"/>
    <w:rsid w:val="002C08D4"/>
    <w:rsid w:val="002C0F89"/>
    <w:rsid w:val="002C55D6"/>
    <w:rsid w:val="002C7FDA"/>
    <w:rsid w:val="002D0E0E"/>
    <w:rsid w:val="002D228F"/>
    <w:rsid w:val="002D6960"/>
    <w:rsid w:val="002E0490"/>
    <w:rsid w:val="002E50F6"/>
    <w:rsid w:val="002F0BC3"/>
    <w:rsid w:val="002F0DBB"/>
    <w:rsid w:val="002F12C8"/>
    <w:rsid w:val="002F1E1A"/>
    <w:rsid w:val="002F5281"/>
    <w:rsid w:val="00301027"/>
    <w:rsid w:val="00310DF1"/>
    <w:rsid w:val="00313348"/>
    <w:rsid w:val="00321FDE"/>
    <w:rsid w:val="003231AA"/>
    <w:rsid w:val="003235B4"/>
    <w:rsid w:val="00325041"/>
    <w:rsid w:val="00332C01"/>
    <w:rsid w:val="0033537A"/>
    <w:rsid w:val="00335854"/>
    <w:rsid w:val="003408D3"/>
    <w:rsid w:val="00350CE8"/>
    <w:rsid w:val="00360856"/>
    <w:rsid w:val="003618EC"/>
    <w:rsid w:val="00364AC5"/>
    <w:rsid w:val="0037405F"/>
    <w:rsid w:val="003761CB"/>
    <w:rsid w:val="00377B7A"/>
    <w:rsid w:val="0038000D"/>
    <w:rsid w:val="003802AD"/>
    <w:rsid w:val="00383F5E"/>
    <w:rsid w:val="00384BE6"/>
    <w:rsid w:val="00384D52"/>
    <w:rsid w:val="003860EB"/>
    <w:rsid w:val="0038614A"/>
    <w:rsid w:val="003869B6"/>
    <w:rsid w:val="00395AE6"/>
    <w:rsid w:val="0039690A"/>
    <w:rsid w:val="003A77AC"/>
    <w:rsid w:val="003B15F2"/>
    <w:rsid w:val="003B227A"/>
    <w:rsid w:val="003C0C34"/>
    <w:rsid w:val="003C1CFF"/>
    <w:rsid w:val="003C6D70"/>
    <w:rsid w:val="003C7C07"/>
    <w:rsid w:val="003E05AD"/>
    <w:rsid w:val="003E6617"/>
    <w:rsid w:val="003F1EFF"/>
    <w:rsid w:val="003F1F30"/>
    <w:rsid w:val="003F2AF9"/>
    <w:rsid w:val="003F2C0B"/>
    <w:rsid w:val="003F6522"/>
    <w:rsid w:val="003F65BF"/>
    <w:rsid w:val="003F7C6C"/>
    <w:rsid w:val="003F7F8A"/>
    <w:rsid w:val="00401BCB"/>
    <w:rsid w:val="0040269A"/>
    <w:rsid w:val="00403DCD"/>
    <w:rsid w:val="00415275"/>
    <w:rsid w:val="00415499"/>
    <w:rsid w:val="004217DE"/>
    <w:rsid w:val="00427E24"/>
    <w:rsid w:val="004320EB"/>
    <w:rsid w:val="00433586"/>
    <w:rsid w:val="00435AB2"/>
    <w:rsid w:val="00435E41"/>
    <w:rsid w:val="004403ED"/>
    <w:rsid w:val="004420C1"/>
    <w:rsid w:val="00443B95"/>
    <w:rsid w:val="00445E7B"/>
    <w:rsid w:val="00455836"/>
    <w:rsid w:val="00461A95"/>
    <w:rsid w:val="004650F0"/>
    <w:rsid w:val="00465642"/>
    <w:rsid w:val="004702B8"/>
    <w:rsid w:val="0047199D"/>
    <w:rsid w:val="004731F2"/>
    <w:rsid w:val="0047361A"/>
    <w:rsid w:val="00482529"/>
    <w:rsid w:val="00483764"/>
    <w:rsid w:val="00492220"/>
    <w:rsid w:val="00494B99"/>
    <w:rsid w:val="00495D53"/>
    <w:rsid w:val="00495EB6"/>
    <w:rsid w:val="004A3B58"/>
    <w:rsid w:val="004A586B"/>
    <w:rsid w:val="004A6A70"/>
    <w:rsid w:val="004B27EE"/>
    <w:rsid w:val="004B4648"/>
    <w:rsid w:val="004D13EB"/>
    <w:rsid w:val="004D61C4"/>
    <w:rsid w:val="004E06B6"/>
    <w:rsid w:val="004E6EB8"/>
    <w:rsid w:val="004E7B6B"/>
    <w:rsid w:val="004F26B1"/>
    <w:rsid w:val="004F34FF"/>
    <w:rsid w:val="005008CC"/>
    <w:rsid w:val="00502350"/>
    <w:rsid w:val="00505B79"/>
    <w:rsid w:val="00510BC7"/>
    <w:rsid w:val="00511B03"/>
    <w:rsid w:val="005148B7"/>
    <w:rsid w:val="00516EF0"/>
    <w:rsid w:val="005239CE"/>
    <w:rsid w:val="00524F35"/>
    <w:rsid w:val="0052668E"/>
    <w:rsid w:val="00530A1F"/>
    <w:rsid w:val="00532560"/>
    <w:rsid w:val="00532BA9"/>
    <w:rsid w:val="00532BCB"/>
    <w:rsid w:val="005355E2"/>
    <w:rsid w:val="00535C4F"/>
    <w:rsid w:val="00536904"/>
    <w:rsid w:val="0053783D"/>
    <w:rsid w:val="00551F96"/>
    <w:rsid w:val="00561049"/>
    <w:rsid w:val="00561F04"/>
    <w:rsid w:val="00562211"/>
    <w:rsid w:val="00563956"/>
    <w:rsid w:val="00563D9E"/>
    <w:rsid w:val="00564610"/>
    <w:rsid w:val="00566092"/>
    <w:rsid w:val="005667D2"/>
    <w:rsid w:val="005729DA"/>
    <w:rsid w:val="005734ED"/>
    <w:rsid w:val="0057552A"/>
    <w:rsid w:val="00580972"/>
    <w:rsid w:val="00580A4D"/>
    <w:rsid w:val="00582374"/>
    <w:rsid w:val="0058460E"/>
    <w:rsid w:val="00585250"/>
    <w:rsid w:val="0059104E"/>
    <w:rsid w:val="005914D9"/>
    <w:rsid w:val="00596B8D"/>
    <w:rsid w:val="005A0842"/>
    <w:rsid w:val="005A1F0C"/>
    <w:rsid w:val="005A2D6A"/>
    <w:rsid w:val="005A3465"/>
    <w:rsid w:val="005A7E6D"/>
    <w:rsid w:val="005B32FF"/>
    <w:rsid w:val="005B3839"/>
    <w:rsid w:val="005B637D"/>
    <w:rsid w:val="005C2ED0"/>
    <w:rsid w:val="005C5002"/>
    <w:rsid w:val="005C7AFF"/>
    <w:rsid w:val="005D47CE"/>
    <w:rsid w:val="005D7A62"/>
    <w:rsid w:val="005E1636"/>
    <w:rsid w:val="005E33BF"/>
    <w:rsid w:val="005E46D9"/>
    <w:rsid w:val="005E4D17"/>
    <w:rsid w:val="005F4D94"/>
    <w:rsid w:val="005F6E9E"/>
    <w:rsid w:val="005F7F63"/>
    <w:rsid w:val="00602718"/>
    <w:rsid w:val="006071D3"/>
    <w:rsid w:val="00613963"/>
    <w:rsid w:val="00614133"/>
    <w:rsid w:val="00617C67"/>
    <w:rsid w:val="00620A06"/>
    <w:rsid w:val="00621664"/>
    <w:rsid w:val="00621A55"/>
    <w:rsid w:val="00624260"/>
    <w:rsid w:val="006263CB"/>
    <w:rsid w:val="006278C1"/>
    <w:rsid w:val="00633964"/>
    <w:rsid w:val="006353B8"/>
    <w:rsid w:val="00635737"/>
    <w:rsid w:val="006361A0"/>
    <w:rsid w:val="00637B82"/>
    <w:rsid w:val="00643277"/>
    <w:rsid w:val="0064486C"/>
    <w:rsid w:val="0064640B"/>
    <w:rsid w:val="00646A04"/>
    <w:rsid w:val="00652638"/>
    <w:rsid w:val="00655846"/>
    <w:rsid w:val="00655AC5"/>
    <w:rsid w:val="00664049"/>
    <w:rsid w:val="00665D35"/>
    <w:rsid w:val="00671078"/>
    <w:rsid w:val="00684FF4"/>
    <w:rsid w:val="00686B7E"/>
    <w:rsid w:val="0068742D"/>
    <w:rsid w:val="006926B2"/>
    <w:rsid w:val="00693FC0"/>
    <w:rsid w:val="0069469D"/>
    <w:rsid w:val="006A5688"/>
    <w:rsid w:val="006A5786"/>
    <w:rsid w:val="006A5EA7"/>
    <w:rsid w:val="006C4059"/>
    <w:rsid w:val="006C5201"/>
    <w:rsid w:val="006C56A4"/>
    <w:rsid w:val="006C652D"/>
    <w:rsid w:val="006D0E60"/>
    <w:rsid w:val="006D1EA1"/>
    <w:rsid w:val="006D3B63"/>
    <w:rsid w:val="006D72B7"/>
    <w:rsid w:val="006E05F7"/>
    <w:rsid w:val="006E21A3"/>
    <w:rsid w:val="006E331F"/>
    <w:rsid w:val="006E51E1"/>
    <w:rsid w:val="006E5BBD"/>
    <w:rsid w:val="006E6160"/>
    <w:rsid w:val="006E7C30"/>
    <w:rsid w:val="006F1B05"/>
    <w:rsid w:val="006F550C"/>
    <w:rsid w:val="006F5820"/>
    <w:rsid w:val="007109A8"/>
    <w:rsid w:val="0071351E"/>
    <w:rsid w:val="00714D45"/>
    <w:rsid w:val="0072068A"/>
    <w:rsid w:val="007273F1"/>
    <w:rsid w:val="007358D3"/>
    <w:rsid w:val="007374E6"/>
    <w:rsid w:val="00743E10"/>
    <w:rsid w:val="00744D22"/>
    <w:rsid w:val="00753758"/>
    <w:rsid w:val="007556F7"/>
    <w:rsid w:val="007558FC"/>
    <w:rsid w:val="007563A2"/>
    <w:rsid w:val="00756722"/>
    <w:rsid w:val="007620E1"/>
    <w:rsid w:val="00764ABA"/>
    <w:rsid w:val="00766634"/>
    <w:rsid w:val="00772303"/>
    <w:rsid w:val="00772C4B"/>
    <w:rsid w:val="00775CF0"/>
    <w:rsid w:val="00781132"/>
    <w:rsid w:val="007817A2"/>
    <w:rsid w:val="00781E61"/>
    <w:rsid w:val="00783509"/>
    <w:rsid w:val="00783724"/>
    <w:rsid w:val="00787BD3"/>
    <w:rsid w:val="00796578"/>
    <w:rsid w:val="00796C93"/>
    <w:rsid w:val="007973FE"/>
    <w:rsid w:val="007A0D7E"/>
    <w:rsid w:val="007A1CA2"/>
    <w:rsid w:val="007A1F06"/>
    <w:rsid w:val="007A5149"/>
    <w:rsid w:val="007B0A63"/>
    <w:rsid w:val="007B2B6E"/>
    <w:rsid w:val="007B3EA3"/>
    <w:rsid w:val="007C0004"/>
    <w:rsid w:val="007C3013"/>
    <w:rsid w:val="007C60BF"/>
    <w:rsid w:val="007C71FF"/>
    <w:rsid w:val="007D1B2A"/>
    <w:rsid w:val="007E5403"/>
    <w:rsid w:val="007F19DB"/>
    <w:rsid w:val="007F6893"/>
    <w:rsid w:val="0080197D"/>
    <w:rsid w:val="00802F0C"/>
    <w:rsid w:val="008060EB"/>
    <w:rsid w:val="00812A5B"/>
    <w:rsid w:val="00813D63"/>
    <w:rsid w:val="008168A9"/>
    <w:rsid w:val="0082015A"/>
    <w:rsid w:val="0082138A"/>
    <w:rsid w:val="0082345F"/>
    <w:rsid w:val="00823802"/>
    <w:rsid w:val="0082385E"/>
    <w:rsid w:val="00823F7C"/>
    <w:rsid w:val="00824BC7"/>
    <w:rsid w:val="00826F04"/>
    <w:rsid w:val="00827750"/>
    <w:rsid w:val="008316C7"/>
    <w:rsid w:val="00834A39"/>
    <w:rsid w:val="008371AA"/>
    <w:rsid w:val="00837D32"/>
    <w:rsid w:val="00841007"/>
    <w:rsid w:val="008416CE"/>
    <w:rsid w:val="0084477C"/>
    <w:rsid w:val="00860783"/>
    <w:rsid w:val="00862791"/>
    <w:rsid w:val="00864358"/>
    <w:rsid w:val="00864BAE"/>
    <w:rsid w:val="00864EC9"/>
    <w:rsid w:val="00866947"/>
    <w:rsid w:val="00867DE7"/>
    <w:rsid w:val="00873089"/>
    <w:rsid w:val="00876D6D"/>
    <w:rsid w:val="00881D39"/>
    <w:rsid w:val="00883537"/>
    <w:rsid w:val="00891B92"/>
    <w:rsid w:val="00893297"/>
    <w:rsid w:val="008A6B68"/>
    <w:rsid w:val="008B29BB"/>
    <w:rsid w:val="008C0DF1"/>
    <w:rsid w:val="008C20BE"/>
    <w:rsid w:val="008C3C4D"/>
    <w:rsid w:val="008C5582"/>
    <w:rsid w:val="008D4B99"/>
    <w:rsid w:val="008E3691"/>
    <w:rsid w:val="008E480A"/>
    <w:rsid w:val="008E5B1F"/>
    <w:rsid w:val="008E6393"/>
    <w:rsid w:val="008F4D6A"/>
    <w:rsid w:val="008F6445"/>
    <w:rsid w:val="00900333"/>
    <w:rsid w:val="00900793"/>
    <w:rsid w:val="00903E29"/>
    <w:rsid w:val="00905C8C"/>
    <w:rsid w:val="00914FB9"/>
    <w:rsid w:val="00925104"/>
    <w:rsid w:val="0093747F"/>
    <w:rsid w:val="00940883"/>
    <w:rsid w:val="0094321C"/>
    <w:rsid w:val="009465EC"/>
    <w:rsid w:val="00953EFD"/>
    <w:rsid w:val="009542FA"/>
    <w:rsid w:val="00955B66"/>
    <w:rsid w:val="00957253"/>
    <w:rsid w:val="00961174"/>
    <w:rsid w:val="00971D55"/>
    <w:rsid w:val="0097363B"/>
    <w:rsid w:val="00973EFF"/>
    <w:rsid w:val="009747D4"/>
    <w:rsid w:val="0098087A"/>
    <w:rsid w:val="009851C1"/>
    <w:rsid w:val="00985FD0"/>
    <w:rsid w:val="009860BA"/>
    <w:rsid w:val="00987986"/>
    <w:rsid w:val="00990BE6"/>
    <w:rsid w:val="00992A5A"/>
    <w:rsid w:val="00993CFB"/>
    <w:rsid w:val="00996A08"/>
    <w:rsid w:val="009A00C8"/>
    <w:rsid w:val="009A0EAC"/>
    <w:rsid w:val="009A128B"/>
    <w:rsid w:val="009A1DAD"/>
    <w:rsid w:val="009B00D5"/>
    <w:rsid w:val="009B2A9F"/>
    <w:rsid w:val="009B5A90"/>
    <w:rsid w:val="009B69D5"/>
    <w:rsid w:val="009B739E"/>
    <w:rsid w:val="009C3907"/>
    <w:rsid w:val="009C3AE7"/>
    <w:rsid w:val="009C5B8A"/>
    <w:rsid w:val="009D12C7"/>
    <w:rsid w:val="009D3273"/>
    <w:rsid w:val="009E31B7"/>
    <w:rsid w:val="009E3635"/>
    <w:rsid w:val="009E4A05"/>
    <w:rsid w:val="009E5C2F"/>
    <w:rsid w:val="009E6002"/>
    <w:rsid w:val="009F221E"/>
    <w:rsid w:val="009F2F97"/>
    <w:rsid w:val="009F5D4B"/>
    <w:rsid w:val="00A01B06"/>
    <w:rsid w:val="00A052EC"/>
    <w:rsid w:val="00A148E7"/>
    <w:rsid w:val="00A15A2D"/>
    <w:rsid w:val="00A21F59"/>
    <w:rsid w:val="00A2240C"/>
    <w:rsid w:val="00A2266C"/>
    <w:rsid w:val="00A312DD"/>
    <w:rsid w:val="00A35C69"/>
    <w:rsid w:val="00A374B9"/>
    <w:rsid w:val="00A46273"/>
    <w:rsid w:val="00A50AAA"/>
    <w:rsid w:val="00A53A3C"/>
    <w:rsid w:val="00A734E9"/>
    <w:rsid w:val="00A75D22"/>
    <w:rsid w:val="00A777B6"/>
    <w:rsid w:val="00A85416"/>
    <w:rsid w:val="00A85961"/>
    <w:rsid w:val="00A8620E"/>
    <w:rsid w:val="00A9098A"/>
    <w:rsid w:val="00A95EC8"/>
    <w:rsid w:val="00AA31F8"/>
    <w:rsid w:val="00AA4C83"/>
    <w:rsid w:val="00AA5D0A"/>
    <w:rsid w:val="00AA72E8"/>
    <w:rsid w:val="00AB0242"/>
    <w:rsid w:val="00AB1765"/>
    <w:rsid w:val="00AB447A"/>
    <w:rsid w:val="00AB46D8"/>
    <w:rsid w:val="00AC2CFA"/>
    <w:rsid w:val="00AC30A0"/>
    <w:rsid w:val="00AC67BF"/>
    <w:rsid w:val="00AD1E70"/>
    <w:rsid w:val="00AD3C64"/>
    <w:rsid w:val="00AD657C"/>
    <w:rsid w:val="00AE01FA"/>
    <w:rsid w:val="00AE2F9F"/>
    <w:rsid w:val="00AE79D0"/>
    <w:rsid w:val="00AF05A7"/>
    <w:rsid w:val="00AF539A"/>
    <w:rsid w:val="00B03D8B"/>
    <w:rsid w:val="00B05209"/>
    <w:rsid w:val="00B066F4"/>
    <w:rsid w:val="00B104C1"/>
    <w:rsid w:val="00B1297D"/>
    <w:rsid w:val="00B14541"/>
    <w:rsid w:val="00B15AD6"/>
    <w:rsid w:val="00B16899"/>
    <w:rsid w:val="00B168CA"/>
    <w:rsid w:val="00B22F6A"/>
    <w:rsid w:val="00B26341"/>
    <w:rsid w:val="00B31A12"/>
    <w:rsid w:val="00B33ABB"/>
    <w:rsid w:val="00B402D0"/>
    <w:rsid w:val="00B40FAB"/>
    <w:rsid w:val="00B428FE"/>
    <w:rsid w:val="00B44CE7"/>
    <w:rsid w:val="00B45CF8"/>
    <w:rsid w:val="00B46EAA"/>
    <w:rsid w:val="00B471F5"/>
    <w:rsid w:val="00B50854"/>
    <w:rsid w:val="00B51997"/>
    <w:rsid w:val="00B60974"/>
    <w:rsid w:val="00B610A7"/>
    <w:rsid w:val="00B6370C"/>
    <w:rsid w:val="00B6481C"/>
    <w:rsid w:val="00B64F09"/>
    <w:rsid w:val="00B739E1"/>
    <w:rsid w:val="00B96BF4"/>
    <w:rsid w:val="00BA2FA9"/>
    <w:rsid w:val="00BA47E3"/>
    <w:rsid w:val="00BA53C9"/>
    <w:rsid w:val="00BA60A1"/>
    <w:rsid w:val="00BA6D49"/>
    <w:rsid w:val="00BA7A58"/>
    <w:rsid w:val="00BB06B6"/>
    <w:rsid w:val="00BB2434"/>
    <w:rsid w:val="00BB765C"/>
    <w:rsid w:val="00BB7BDF"/>
    <w:rsid w:val="00BC2EA5"/>
    <w:rsid w:val="00BC67C9"/>
    <w:rsid w:val="00BC7998"/>
    <w:rsid w:val="00BC7B6C"/>
    <w:rsid w:val="00BD2EFB"/>
    <w:rsid w:val="00BD5F70"/>
    <w:rsid w:val="00BD651C"/>
    <w:rsid w:val="00BE1F2B"/>
    <w:rsid w:val="00BF1D70"/>
    <w:rsid w:val="00BF2087"/>
    <w:rsid w:val="00BF4FD1"/>
    <w:rsid w:val="00C047CB"/>
    <w:rsid w:val="00C05F7B"/>
    <w:rsid w:val="00C148C4"/>
    <w:rsid w:val="00C155B8"/>
    <w:rsid w:val="00C1601B"/>
    <w:rsid w:val="00C2121D"/>
    <w:rsid w:val="00C22655"/>
    <w:rsid w:val="00C22FB6"/>
    <w:rsid w:val="00C40D92"/>
    <w:rsid w:val="00C42F94"/>
    <w:rsid w:val="00C47041"/>
    <w:rsid w:val="00C54E56"/>
    <w:rsid w:val="00C55F79"/>
    <w:rsid w:val="00C5766A"/>
    <w:rsid w:val="00C6297C"/>
    <w:rsid w:val="00C63E90"/>
    <w:rsid w:val="00C71C65"/>
    <w:rsid w:val="00C722A6"/>
    <w:rsid w:val="00C8190F"/>
    <w:rsid w:val="00C835D2"/>
    <w:rsid w:val="00C84CD3"/>
    <w:rsid w:val="00C87B20"/>
    <w:rsid w:val="00C9075F"/>
    <w:rsid w:val="00C92BCC"/>
    <w:rsid w:val="00C94F8F"/>
    <w:rsid w:val="00C96159"/>
    <w:rsid w:val="00C961E2"/>
    <w:rsid w:val="00C96994"/>
    <w:rsid w:val="00CA3E60"/>
    <w:rsid w:val="00CA40A5"/>
    <w:rsid w:val="00CB0ADE"/>
    <w:rsid w:val="00CB1315"/>
    <w:rsid w:val="00CB63BC"/>
    <w:rsid w:val="00CD31C8"/>
    <w:rsid w:val="00CD40C3"/>
    <w:rsid w:val="00CE25C6"/>
    <w:rsid w:val="00CE26CF"/>
    <w:rsid w:val="00CE44C4"/>
    <w:rsid w:val="00CE5FF6"/>
    <w:rsid w:val="00CE6BAE"/>
    <w:rsid w:val="00CF749B"/>
    <w:rsid w:val="00D01D9D"/>
    <w:rsid w:val="00D033CB"/>
    <w:rsid w:val="00D07661"/>
    <w:rsid w:val="00D130D8"/>
    <w:rsid w:val="00D23796"/>
    <w:rsid w:val="00D24DD4"/>
    <w:rsid w:val="00D26C3B"/>
    <w:rsid w:val="00D30CBD"/>
    <w:rsid w:val="00D35FED"/>
    <w:rsid w:val="00D468E3"/>
    <w:rsid w:val="00D53DD7"/>
    <w:rsid w:val="00D55836"/>
    <w:rsid w:val="00D57D04"/>
    <w:rsid w:val="00D62B1A"/>
    <w:rsid w:val="00D67DC1"/>
    <w:rsid w:val="00D743B4"/>
    <w:rsid w:val="00D74959"/>
    <w:rsid w:val="00D7521C"/>
    <w:rsid w:val="00D771A4"/>
    <w:rsid w:val="00D7786F"/>
    <w:rsid w:val="00D812DD"/>
    <w:rsid w:val="00D8270D"/>
    <w:rsid w:val="00D84B25"/>
    <w:rsid w:val="00DA3EB0"/>
    <w:rsid w:val="00DA4872"/>
    <w:rsid w:val="00DA538A"/>
    <w:rsid w:val="00DA6BBD"/>
    <w:rsid w:val="00DA7D57"/>
    <w:rsid w:val="00DB46B9"/>
    <w:rsid w:val="00DC0204"/>
    <w:rsid w:val="00DC2DA8"/>
    <w:rsid w:val="00DC40B3"/>
    <w:rsid w:val="00DC4DC9"/>
    <w:rsid w:val="00DC5A3B"/>
    <w:rsid w:val="00DC6735"/>
    <w:rsid w:val="00DD52B1"/>
    <w:rsid w:val="00DE07EB"/>
    <w:rsid w:val="00DE1574"/>
    <w:rsid w:val="00DE226C"/>
    <w:rsid w:val="00DE26F3"/>
    <w:rsid w:val="00DE2D3A"/>
    <w:rsid w:val="00DF11C6"/>
    <w:rsid w:val="00DF1AAB"/>
    <w:rsid w:val="00DF535B"/>
    <w:rsid w:val="00DF6BC6"/>
    <w:rsid w:val="00DF7C22"/>
    <w:rsid w:val="00E001A6"/>
    <w:rsid w:val="00E03A88"/>
    <w:rsid w:val="00E06E64"/>
    <w:rsid w:val="00E133FE"/>
    <w:rsid w:val="00E1607C"/>
    <w:rsid w:val="00E21BEF"/>
    <w:rsid w:val="00E222FE"/>
    <w:rsid w:val="00E33F8E"/>
    <w:rsid w:val="00E348F4"/>
    <w:rsid w:val="00E353C6"/>
    <w:rsid w:val="00E4359F"/>
    <w:rsid w:val="00E46C29"/>
    <w:rsid w:val="00E530E8"/>
    <w:rsid w:val="00E53134"/>
    <w:rsid w:val="00E67559"/>
    <w:rsid w:val="00E67D65"/>
    <w:rsid w:val="00E70FF1"/>
    <w:rsid w:val="00E87569"/>
    <w:rsid w:val="00E915C4"/>
    <w:rsid w:val="00E926DF"/>
    <w:rsid w:val="00E943A5"/>
    <w:rsid w:val="00E94AC0"/>
    <w:rsid w:val="00EA48EE"/>
    <w:rsid w:val="00EB6C58"/>
    <w:rsid w:val="00EC495E"/>
    <w:rsid w:val="00EC4D71"/>
    <w:rsid w:val="00EC6606"/>
    <w:rsid w:val="00ED4646"/>
    <w:rsid w:val="00ED57FE"/>
    <w:rsid w:val="00ED6AD2"/>
    <w:rsid w:val="00ED7787"/>
    <w:rsid w:val="00ED7E43"/>
    <w:rsid w:val="00EE67B0"/>
    <w:rsid w:val="00EF13DD"/>
    <w:rsid w:val="00EF1B8F"/>
    <w:rsid w:val="00EF34FF"/>
    <w:rsid w:val="00EF5A32"/>
    <w:rsid w:val="00EF78D9"/>
    <w:rsid w:val="00F02814"/>
    <w:rsid w:val="00F02E86"/>
    <w:rsid w:val="00F03EF2"/>
    <w:rsid w:val="00F04361"/>
    <w:rsid w:val="00F0548B"/>
    <w:rsid w:val="00F0639E"/>
    <w:rsid w:val="00F140EF"/>
    <w:rsid w:val="00F23AE8"/>
    <w:rsid w:val="00F24373"/>
    <w:rsid w:val="00F25FCA"/>
    <w:rsid w:val="00F272F2"/>
    <w:rsid w:val="00F37FA1"/>
    <w:rsid w:val="00F45379"/>
    <w:rsid w:val="00F463F0"/>
    <w:rsid w:val="00F46DBC"/>
    <w:rsid w:val="00F4718C"/>
    <w:rsid w:val="00F54A43"/>
    <w:rsid w:val="00F55A17"/>
    <w:rsid w:val="00F56BA9"/>
    <w:rsid w:val="00F57023"/>
    <w:rsid w:val="00F656BA"/>
    <w:rsid w:val="00F65B1E"/>
    <w:rsid w:val="00F672FD"/>
    <w:rsid w:val="00F74A03"/>
    <w:rsid w:val="00F81B96"/>
    <w:rsid w:val="00F84010"/>
    <w:rsid w:val="00F90E50"/>
    <w:rsid w:val="00F930AF"/>
    <w:rsid w:val="00F93EC9"/>
    <w:rsid w:val="00F96988"/>
    <w:rsid w:val="00F96A16"/>
    <w:rsid w:val="00F96EB4"/>
    <w:rsid w:val="00FA0CAA"/>
    <w:rsid w:val="00FA19A7"/>
    <w:rsid w:val="00FA2B44"/>
    <w:rsid w:val="00FA696C"/>
    <w:rsid w:val="00FB569E"/>
    <w:rsid w:val="00FC00C1"/>
    <w:rsid w:val="00FC638F"/>
    <w:rsid w:val="00FC65B5"/>
    <w:rsid w:val="00FD0C6B"/>
    <w:rsid w:val="00FD2C69"/>
    <w:rsid w:val="00FD3DAD"/>
    <w:rsid w:val="00FD6B93"/>
    <w:rsid w:val="00FD6F56"/>
    <w:rsid w:val="00FE4CE1"/>
    <w:rsid w:val="00FF7025"/>
    <w:rsid w:val="00FF70FE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5835BBE"/>
  <w15:chartTrackingRefBased/>
  <w15:docId w15:val="{41EC70A8-7A31-47DF-B6C1-9D16B558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40C"/>
    <w:pPr>
      <w:keepLines/>
    </w:pPr>
    <w:rPr>
      <w:color w:val="54575A" w:themeColor="text1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EF4"/>
    <w:pPr>
      <w:keepNext/>
      <w:spacing w:before="240" w:after="240"/>
      <w:outlineLvl w:val="0"/>
    </w:pPr>
    <w:rPr>
      <w:rFonts w:asciiTheme="majorHAnsi" w:eastAsiaTheme="majorEastAsia" w:hAnsiTheme="majorHAnsi" w:cstheme="majorBidi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EF4"/>
    <w:pPr>
      <w:keepNext/>
      <w:spacing w:before="40" w:after="240"/>
      <w:outlineLvl w:val="1"/>
    </w:pPr>
    <w:rPr>
      <w:rFonts w:ascii="Segoe UI" w:eastAsiaTheme="majorEastAsia" w:hAnsi="Segoe UI" w:cs="Segoe UI"/>
      <w:b/>
      <w:color w:val="5B315E" w:themeColor="accent2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EF4"/>
    <w:pPr>
      <w:keepNext/>
      <w:spacing w:before="40" w:after="120"/>
      <w:outlineLvl w:val="2"/>
    </w:pPr>
    <w:rPr>
      <w:rFonts w:ascii="Segoe UI Semibold" w:eastAsiaTheme="majorEastAsia" w:hAnsi="Segoe UI Semibold" w:cs="Segoe UI Semibold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2D81"/>
    <w:pPr>
      <w:keepNext/>
      <w:spacing w:before="40" w:after="0"/>
      <w:outlineLvl w:val="3"/>
    </w:pPr>
    <w:rPr>
      <w:rFonts w:asciiTheme="majorHAnsi" w:eastAsiaTheme="majorEastAsia" w:hAnsiTheme="majorHAnsi" w:cstheme="majorBidi"/>
      <w:iCs/>
      <w:color w:val="54575A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2BCC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9F004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62E"/>
  </w:style>
  <w:style w:type="paragraph" w:styleId="Footer">
    <w:name w:val="footer"/>
    <w:basedOn w:val="Normal"/>
    <w:link w:val="FooterChar"/>
    <w:uiPriority w:val="99"/>
    <w:unhideWhenUsed/>
    <w:rsid w:val="003F1F30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F1F30"/>
    <w:rPr>
      <w:sz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03EF2"/>
    <w:pPr>
      <w:spacing w:before="1200" w:after="0" w:line="1200" w:lineRule="exact"/>
      <w:contextualSpacing/>
    </w:pPr>
    <w:rPr>
      <w:rFonts w:ascii="Segoe UI Light" w:eastAsiaTheme="majorEastAsia" w:hAnsi="Segoe UI Light" w:cs="Segoe UI Light"/>
      <w:b/>
      <w:spacing w:val="-10"/>
      <w:kern w:val="28"/>
      <w:sz w:val="72"/>
      <w:szCs w:val="72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F03EF2"/>
    <w:rPr>
      <w:rFonts w:ascii="Segoe UI Light" w:eastAsiaTheme="majorEastAsia" w:hAnsi="Segoe UI Light" w:cs="Segoe UI Light"/>
      <w:b/>
      <w:color w:val="54575A" w:themeColor="text1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E10"/>
    <w:rPr>
      <w:rFonts w:ascii="Segoe UI Light" w:hAnsi="Segoe UI Light" w:cs="Segoe UI Light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43E10"/>
    <w:rPr>
      <w:rFonts w:ascii="Segoe UI Light" w:hAnsi="Segoe UI Light" w:cs="Segoe UI Light"/>
      <w:color w:val="54575A" w:themeColor="text1"/>
      <w:sz w:val="36"/>
      <w:szCs w:val="36"/>
      <w:lang w:val="fr-CA"/>
    </w:rPr>
  </w:style>
  <w:style w:type="character" w:customStyle="1" w:styleId="Heading1Char">
    <w:name w:val="Heading 1 Char"/>
    <w:basedOn w:val="DefaultParagraphFont"/>
    <w:link w:val="Heading1"/>
    <w:uiPriority w:val="9"/>
    <w:rsid w:val="00143EF4"/>
    <w:rPr>
      <w:rFonts w:asciiTheme="majorHAnsi" w:eastAsiaTheme="majorEastAsia" w:hAnsiTheme="majorHAnsi" w:cstheme="majorBidi"/>
      <w:color w:val="54575A" w:themeColor="text1"/>
      <w:sz w:val="48"/>
      <w:szCs w:val="48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143EF4"/>
    <w:rPr>
      <w:rFonts w:ascii="Segoe UI" w:eastAsiaTheme="majorEastAsia" w:hAnsi="Segoe UI" w:cs="Segoe UI"/>
      <w:b/>
      <w:color w:val="5B315E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43EF4"/>
    <w:rPr>
      <w:rFonts w:ascii="Segoe UI Semibold" w:eastAsiaTheme="majorEastAsia" w:hAnsi="Segoe UI Semibold" w:cs="Segoe UI Semibold"/>
      <w:color w:val="54575A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52D"/>
    <w:pPr>
      <w:numPr>
        <w:numId w:val="2"/>
      </w:numPr>
      <w:spacing w:after="3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22D81"/>
    <w:rPr>
      <w:rFonts w:asciiTheme="majorHAnsi" w:eastAsiaTheme="majorEastAsia" w:hAnsiTheme="majorHAnsi" w:cstheme="majorBidi"/>
      <w:iCs/>
      <w:color w:val="54575A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34"/>
    <w:rPr>
      <w:rFonts w:ascii="Segoe UI" w:hAnsi="Segoe UI" w:cs="Segoe UI"/>
      <w:sz w:val="18"/>
      <w:szCs w:val="18"/>
    </w:rPr>
  </w:style>
  <w:style w:type="paragraph" w:customStyle="1" w:styleId="Numberedlist">
    <w:name w:val="Numbered list"/>
    <w:basedOn w:val="ListParagraph"/>
    <w:qFormat/>
    <w:rsid w:val="003C0C34"/>
    <w:pPr>
      <w:numPr>
        <w:numId w:val="3"/>
      </w:numPr>
    </w:pPr>
  </w:style>
  <w:style w:type="table" w:styleId="TableGrid">
    <w:name w:val="Table Grid"/>
    <w:basedOn w:val="TableNormal"/>
    <w:uiPriority w:val="39"/>
    <w:rsid w:val="0098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Heading2"/>
    <w:qFormat/>
    <w:rsid w:val="00985FD0"/>
    <w:rPr>
      <w:rFonts w:ascii="Segoe UI Semibold" w:hAnsi="Segoe UI Semibold"/>
      <w:b w:val="0"/>
      <w:color w:val="54575A" w:themeColor="text1"/>
    </w:rPr>
  </w:style>
  <w:style w:type="paragraph" w:customStyle="1" w:styleId="ColumnTitle">
    <w:name w:val="Column Title"/>
    <w:basedOn w:val="Normal"/>
    <w:qFormat/>
    <w:rsid w:val="002669DD"/>
    <w:pPr>
      <w:spacing w:after="0" w:line="240" w:lineRule="auto"/>
    </w:pPr>
    <w:rPr>
      <w:rFonts w:ascii="Segoe UI Semibold" w:hAnsi="Segoe UI Semibold" w:cs="Segoe UI Semibold"/>
      <w:color w:val="F2F2F2" w:themeColor="background2"/>
      <w:sz w:val="24"/>
      <w:szCs w:val="24"/>
    </w:rPr>
  </w:style>
  <w:style w:type="paragraph" w:customStyle="1" w:styleId="DataText">
    <w:name w:val="Data Text"/>
    <w:basedOn w:val="Normal"/>
    <w:qFormat/>
    <w:rsid w:val="002669DD"/>
    <w:pPr>
      <w:spacing w:after="0" w:line="240" w:lineRule="auto"/>
    </w:pPr>
  </w:style>
  <w:style w:type="paragraph" w:customStyle="1" w:styleId="Heading3forBox">
    <w:name w:val="Heading 3 for Box"/>
    <w:basedOn w:val="Normal"/>
    <w:qFormat/>
    <w:rsid w:val="00BC7998"/>
    <w:rPr>
      <w:rFonts w:ascii="Segoe UI Semibold" w:eastAsiaTheme="majorEastAsia" w:hAnsi="Segoe UI Semibold" w:cs="Segoe UI Semibold"/>
      <w:color w:val="FFFFFF" w:themeColor="background1"/>
      <w:sz w:val="24"/>
      <w:szCs w:val="24"/>
    </w:rPr>
  </w:style>
  <w:style w:type="paragraph" w:customStyle="1" w:styleId="NormalWhiteforBox">
    <w:name w:val="Normal White for Box"/>
    <w:basedOn w:val="Normal"/>
    <w:qFormat/>
    <w:rsid w:val="00BC7998"/>
  </w:style>
  <w:style w:type="paragraph" w:styleId="FootnoteText">
    <w:name w:val="footnote text"/>
    <w:basedOn w:val="Normal"/>
    <w:link w:val="FootnoteTextChar"/>
    <w:uiPriority w:val="99"/>
    <w:unhideWhenUsed/>
    <w:rsid w:val="00F453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53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379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C92BCC"/>
    <w:rPr>
      <w:rFonts w:asciiTheme="majorHAnsi" w:eastAsiaTheme="majorEastAsia" w:hAnsiTheme="majorHAnsi" w:cstheme="majorBidi"/>
      <w:color w:val="9F0040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F46DBC"/>
    <w:pPr>
      <w:outlineLvl w:val="9"/>
    </w:pPr>
    <w:rPr>
      <w:color w:val="9F0040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8376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376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83764"/>
    <w:rPr>
      <w:color w:val="0099A8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95EB6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261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5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50F"/>
    <w:rPr>
      <w:color w:val="54575A" w:themeColor="text1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50F"/>
    <w:rPr>
      <w:b/>
      <w:bCs/>
      <w:color w:val="54575A" w:themeColor="text1"/>
      <w:sz w:val="20"/>
      <w:szCs w:val="20"/>
      <w:lang w:val="fr-CA"/>
    </w:rPr>
  </w:style>
  <w:style w:type="table" w:styleId="PlainTable1">
    <w:name w:val="Plain Table 1"/>
    <w:basedOn w:val="TableNormal"/>
    <w:uiPriority w:val="41"/>
    <w:rsid w:val="00A01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B46D8"/>
    <w:rPr>
      <w:color w:val="A5A5A5" w:themeColor="followedHyperlink"/>
      <w:u w:val="single"/>
    </w:rPr>
  </w:style>
  <w:style w:type="paragraph" w:styleId="Revision">
    <w:name w:val="Revision"/>
    <w:hidden/>
    <w:uiPriority w:val="99"/>
    <w:semiHidden/>
    <w:rsid w:val="00D62B1A"/>
    <w:pPr>
      <w:spacing w:after="0" w:line="240" w:lineRule="auto"/>
    </w:pPr>
    <w:rPr>
      <w:color w:val="54575A" w:themeColor="text1"/>
      <w:lang w:val="fr-CA"/>
    </w:rPr>
  </w:style>
  <w:style w:type="paragraph" w:styleId="Caption">
    <w:name w:val="caption"/>
    <w:basedOn w:val="Normal"/>
    <w:next w:val="Normal"/>
    <w:uiPriority w:val="35"/>
    <w:unhideWhenUsed/>
    <w:qFormat/>
    <w:rsid w:val="00040F03"/>
    <w:pPr>
      <w:spacing w:after="200" w:line="240" w:lineRule="auto"/>
    </w:pPr>
    <w:rPr>
      <w:i/>
      <w:iCs/>
      <w:color w:val="54575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Rapport-CFP2019.dotx" TargetMode="External"/></Relationships>
</file>

<file path=word/theme/theme1.xml><?xml version="1.0" encoding="utf-8"?>
<a:theme xmlns:a="http://schemas.openxmlformats.org/drawingml/2006/main" name="Office 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0099A8"/>
      </a:hlink>
      <a:folHlink>
        <a:srgbClr val="A5A5A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54C2-E431-4A1F-96B0-077E3AC5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Rapport-CFP2019.dotx</Template>
  <TotalTime>891</TotalTime>
  <Pages>10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CFP-PSC</Company>
  <LinksUpToDate>false</LinksUpToDate>
  <CharactersWithSpaces>12131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dbarbaga</dc:creator>
  <cp:keywords/>
  <dc:description/>
  <cp:lastModifiedBy>Daniel Spracklin</cp:lastModifiedBy>
  <cp:revision>42</cp:revision>
  <cp:lastPrinted>2019-07-11T17:58:00Z</cp:lastPrinted>
  <dcterms:created xsi:type="dcterms:W3CDTF">2020-09-18T17:45:00Z</dcterms:created>
  <dcterms:modified xsi:type="dcterms:W3CDTF">2020-12-03T11:12:00Z</dcterms:modified>
</cp:coreProperties>
</file>