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B6491B" w14:textId="33BEAC4D" w:rsidR="00E21BEF" w:rsidRPr="00B758DD" w:rsidRDefault="00B758DD" w:rsidP="00F03EF2">
      <w:pPr>
        <w:pStyle w:val="Title"/>
        <w:rPr>
          <w:lang w:val="fr-CA"/>
        </w:rPr>
      </w:pPr>
      <w:r>
        <w:rPr>
          <w:lang w:val="fr-CA"/>
        </w:rPr>
        <w:t>Commission de la fonction publique</w:t>
      </w:r>
    </w:p>
    <w:p w14:paraId="2C1F1F6C" w14:textId="09C21B6D" w:rsidR="00646A04" w:rsidRPr="0042441B" w:rsidRDefault="00B758DD" w:rsidP="0042441B">
      <w:pPr>
        <w:pStyle w:val="Subtitle"/>
        <w:rPr>
          <w:b/>
        </w:rPr>
      </w:pPr>
      <w:r>
        <w:rPr>
          <w:b/>
        </w:rPr>
        <w:t xml:space="preserve">Aperçu de la dotation </w:t>
      </w:r>
      <w:r w:rsidR="005C0BEF">
        <w:rPr>
          <w:b/>
        </w:rPr>
        <w:t xml:space="preserve">dans la </w:t>
      </w:r>
      <w:r>
        <w:rPr>
          <w:b/>
        </w:rPr>
        <w:t xml:space="preserve">fonction publique et des tendances </w:t>
      </w:r>
      <w:r w:rsidR="00725066">
        <w:rPr>
          <w:b/>
        </w:rPr>
        <w:t xml:space="preserve">dans les </w:t>
      </w:r>
      <w:r>
        <w:rPr>
          <w:b/>
        </w:rPr>
        <w:t xml:space="preserve">groupes </w:t>
      </w:r>
      <w:r w:rsidR="0064640B" w:rsidRPr="00B758DD">
        <w:rPr>
          <w:b/>
        </w:rPr>
        <w:t xml:space="preserve">EX-03, EX-04 </w:t>
      </w:r>
      <w:r>
        <w:rPr>
          <w:b/>
        </w:rPr>
        <w:t>et</w:t>
      </w:r>
      <w:r w:rsidR="0042441B">
        <w:rPr>
          <w:b/>
        </w:rPr>
        <w:t xml:space="preserve"> EX-05</w:t>
      </w:r>
      <w:r w:rsidR="00646A04" w:rsidRPr="00B758DD">
        <w:br w:type="page"/>
      </w:r>
    </w:p>
    <w:p w14:paraId="4340599C" w14:textId="4B85598B" w:rsidR="004A3B58" w:rsidRPr="00B758DD" w:rsidRDefault="00B758DD" w:rsidP="004A3B58">
      <w:pPr>
        <w:pStyle w:val="Heading2"/>
        <w:rPr>
          <w:lang w:val="fr-CA"/>
        </w:rPr>
      </w:pPr>
      <w:bookmarkStart w:id="0" w:name="_Toc46902826"/>
      <w:r>
        <w:rPr>
          <w:lang w:val="fr-CA"/>
        </w:rPr>
        <w:lastRenderedPageBreak/>
        <w:t>Contexte</w:t>
      </w:r>
    </w:p>
    <w:p w14:paraId="0F0C1BA9" w14:textId="48F6E3F0" w:rsidR="004A3B58" w:rsidRPr="00B758DD" w:rsidRDefault="00B758DD" w:rsidP="004A3B58">
      <w:r>
        <w:t xml:space="preserve">Le présent document résume les principales tendances sur le plan de l’équité en matière d’emploi des </w:t>
      </w:r>
      <w:r w:rsidR="005C0BEF">
        <w:t>postulants</w:t>
      </w:r>
      <w:r>
        <w:t xml:space="preserve"> et des nominations, ainsi que les tendances du recrutement, des promotions, des départs et de la représentation </w:t>
      </w:r>
      <w:r w:rsidR="00725066">
        <w:t>sur le plan de</w:t>
      </w:r>
      <w:r w:rsidR="005C0BEF">
        <w:t xml:space="preserve"> l’équité en matière d’emploi pour les </w:t>
      </w:r>
      <w:r>
        <w:t xml:space="preserve">cadres supérieurs de la fonction publique. Le présent rapport se penche aussi sur les mouvements </w:t>
      </w:r>
      <w:r w:rsidR="00D8573B">
        <w:t>du personnel intégrant et quittant les groupes de</w:t>
      </w:r>
      <w:r w:rsidR="00725066">
        <w:t>s</w:t>
      </w:r>
      <w:r w:rsidR="00D8573B">
        <w:t xml:space="preserve"> </w:t>
      </w:r>
      <w:r w:rsidR="005C0BEF">
        <w:t>cadres supérieurs</w:t>
      </w:r>
      <w:r w:rsidR="00D8573B">
        <w:t xml:space="preserve">, la représentation sur le plan de l’équité en matière d’emploi de leurs membres, et les caractéristiques des groupes de relève </w:t>
      </w:r>
      <w:r w:rsidR="005C0BEF">
        <w:t>les plus communs des cadres supérieurs</w:t>
      </w:r>
      <w:r w:rsidR="00091252" w:rsidRPr="00B758DD">
        <w:t>.</w:t>
      </w:r>
    </w:p>
    <w:p w14:paraId="515F9004" w14:textId="0A71FD09" w:rsidR="004A3B58" w:rsidRPr="00B758DD" w:rsidRDefault="00D8573B" w:rsidP="004A3B58">
      <w:pPr>
        <w:pStyle w:val="Heading2"/>
        <w:rPr>
          <w:lang w:val="fr-CA"/>
        </w:rPr>
      </w:pPr>
      <w:r>
        <w:rPr>
          <w:lang w:val="fr-CA"/>
        </w:rPr>
        <w:t xml:space="preserve">Aperçu de la dotation </w:t>
      </w:r>
      <w:r w:rsidR="005C0BEF">
        <w:rPr>
          <w:lang w:val="fr-CA"/>
        </w:rPr>
        <w:t>dans</w:t>
      </w:r>
      <w:r>
        <w:rPr>
          <w:lang w:val="fr-CA"/>
        </w:rPr>
        <w:t xml:space="preserve"> la fonction publique</w:t>
      </w:r>
    </w:p>
    <w:p w14:paraId="5A24DBAE" w14:textId="51165172" w:rsidR="004A3B58" w:rsidRPr="00B758DD" w:rsidRDefault="00D8573B" w:rsidP="002C55D6">
      <w:pPr>
        <w:pStyle w:val="Heading3"/>
        <w:rPr>
          <w:lang w:val="fr-CA"/>
        </w:rPr>
      </w:pPr>
      <w:r>
        <w:rPr>
          <w:lang w:val="fr-CA"/>
        </w:rPr>
        <w:t>Candidatures présentées aux annonces externes</w:t>
      </w:r>
    </w:p>
    <w:p w14:paraId="11FA33A6" w14:textId="3CF02607" w:rsidR="001D4808" w:rsidRPr="00B758DD" w:rsidRDefault="00D8573B" w:rsidP="000539D7">
      <w:pPr>
        <w:pStyle w:val="ListParagraph"/>
        <w:numPr>
          <w:ilvl w:val="0"/>
          <w:numId w:val="34"/>
        </w:numPr>
        <w:spacing w:after="120"/>
        <w:ind w:left="714" w:hanging="357"/>
        <w:contextualSpacing w:val="0"/>
      </w:pPr>
      <w:r>
        <w:t xml:space="preserve">En 2019-2020, </w:t>
      </w:r>
      <w:r w:rsidR="001D4808" w:rsidRPr="00B758DD">
        <w:t>858</w:t>
      </w:r>
      <w:r w:rsidR="00D35491">
        <w:t> </w:t>
      </w:r>
      <w:r w:rsidR="001D4808" w:rsidRPr="00B758DD">
        <w:t xml:space="preserve">128 </w:t>
      </w:r>
      <w:r>
        <w:t>candidatures ont été présentées à 3</w:t>
      </w:r>
      <w:r w:rsidR="00D35491">
        <w:t> </w:t>
      </w:r>
      <w:r>
        <w:t>357 processus de nomination externes annoncés</w:t>
      </w:r>
      <w:r w:rsidR="001D4808" w:rsidRPr="00B758DD">
        <w:t>.</w:t>
      </w:r>
    </w:p>
    <w:p w14:paraId="6E6B9470" w14:textId="4DB1B623" w:rsidR="001D4808" w:rsidRPr="00B758DD" w:rsidRDefault="00D8573B" w:rsidP="000539D7">
      <w:pPr>
        <w:pStyle w:val="ListParagraph"/>
        <w:numPr>
          <w:ilvl w:val="0"/>
          <w:numId w:val="34"/>
        </w:numPr>
        <w:spacing w:after="120"/>
        <w:ind w:left="714" w:hanging="357"/>
        <w:contextualSpacing w:val="0"/>
      </w:pPr>
      <w:r>
        <w:t>Ce chiffre représente une baisse de 11,5</w:t>
      </w:r>
      <w:r w:rsidR="00D35491">
        <w:t> </w:t>
      </w:r>
      <w:r>
        <w:t xml:space="preserve">p. 100 </w:t>
      </w:r>
      <w:r w:rsidR="006E331F" w:rsidRPr="00B758DD">
        <w:t>(</w:t>
      </w:r>
      <w:r w:rsidR="001D4808" w:rsidRPr="00B758DD">
        <w:t>111</w:t>
      </w:r>
      <w:r w:rsidR="00D35491">
        <w:t> </w:t>
      </w:r>
      <w:r w:rsidR="001D4808" w:rsidRPr="00B758DD">
        <w:t>774)</w:t>
      </w:r>
      <w:r w:rsidR="00714D45" w:rsidRPr="00B758DD">
        <w:t xml:space="preserve"> </w:t>
      </w:r>
      <w:r>
        <w:t xml:space="preserve">des candidatures et une hausse de </w:t>
      </w:r>
      <w:r w:rsidR="00714D45" w:rsidRPr="00B758DD">
        <w:t>2</w:t>
      </w:r>
      <w:r>
        <w:t>,</w:t>
      </w:r>
      <w:r w:rsidR="00714D45" w:rsidRPr="00B758DD">
        <w:t>9</w:t>
      </w:r>
      <w:r w:rsidR="00D35491">
        <w:t> </w:t>
      </w:r>
      <w:r>
        <w:t>p. 100</w:t>
      </w:r>
      <w:r w:rsidR="00714D45" w:rsidRPr="00B758DD">
        <w:t xml:space="preserve"> (94) </w:t>
      </w:r>
      <w:r>
        <w:t xml:space="preserve">des </w:t>
      </w:r>
      <w:r w:rsidR="00725066">
        <w:t>processus annoncés</w:t>
      </w:r>
      <w:r>
        <w:t xml:space="preserve"> par rapport à </w:t>
      </w:r>
      <w:r w:rsidR="004E7A66">
        <w:t>l’exercice financier précédent.</w:t>
      </w:r>
    </w:p>
    <w:p w14:paraId="2BEB091D" w14:textId="45C2DBC6" w:rsidR="00E915C4" w:rsidRPr="00B758DD" w:rsidRDefault="00D8573B" w:rsidP="001D4808">
      <w:pPr>
        <w:pStyle w:val="ListParagraph"/>
        <w:numPr>
          <w:ilvl w:val="0"/>
          <w:numId w:val="34"/>
        </w:numPr>
      </w:pPr>
      <w:r>
        <w:t xml:space="preserve">Depuis </w:t>
      </w:r>
      <w:r w:rsidR="00E915C4" w:rsidRPr="00B758DD">
        <w:t xml:space="preserve">2012-2013, </w:t>
      </w:r>
      <w:r>
        <w:t>le nombre de candidatures et de processus de nomination externes annoncés a augmenté de 211</w:t>
      </w:r>
      <w:r w:rsidR="00D35491">
        <w:t> </w:t>
      </w:r>
      <w:r>
        <w:t>p. 100 (</w:t>
      </w:r>
      <w:r w:rsidR="00D033CB" w:rsidRPr="00B758DD">
        <w:t>582</w:t>
      </w:r>
      <w:r w:rsidR="00D35491">
        <w:t> </w:t>
      </w:r>
      <w:r w:rsidR="00D033CB" w:rsidRPr="00B758DD">
        <w:t xml:space="preserve">350) </w:t>
      </w:r>
      <w:r>
        <w:t xml:space="preserve">et de </w:t>
      </w:r>
      <w:r w:rsidR="00E915C4" w:rsidRPr="00B758DD">
        <w:t>171</w:t>
      </w:r>
      <w:r w:rsidR="00D35491">
        <w:t> </w:t>
      </w:r>
      <w:r>
        <w:t xml:space="preserve">p. 100 </w:t>
      </w:r>
      <w:r w:rsidR="00D033CB" w:rsidRPr="00B758DD">
        <w:t>(2</w:t>
      </w:r>
      <w:r w:rsidR="00D35491">
        <w:t> </w:t>
      </w:r>
      <w:r w:rsidR="00D033CB" w:rsidRPr="00B758DD">
        <w:t xml:space="preserve">120) </w:t>
      </w:r>
      <w:r w:rsidR="00E915C4" w:rsidRPr="00B758DD">
        <w:t>respective</w:t>
      </w:r>
      <w:r w:rsidR="004E7A66">
        <w:t>ment.</w:t>
      </w:r>
    </w:p>
    <w:p w14:paraId="109A3C55" w14:textId="52050661" w:rsidR="004A3B58" w:rsidRPr="00B758DD" w:rsidRDefault="00D8573B" w:rsidP="002C55D6">
      <w:pPr>
        <w:pStyle w:val="Heading3"/>
        <w:rPr>
          <w:lang w:val="fr-CA"/>
        </w:rPr>
      </w:pPr>
      <w:r>
        <w:rPr>
          <w:lang w:val="fr-CA"/>
        </w:rPr>
        <w:t>Postulants</w:t>
      </w:r>
      <w:r w:rsidR="005C0BEF">
        <w:rPr>
          <w:lang w:val="fr-CA"/>
        </w:rPr>
        <w:t>,</w:t>
      </w:r>
      <w:r>
        <w:rPr>
          <w:lang w:val="fr-CA"/>
        </w:rPr>
        <w:t xml:space="preserve"> selon le groupe visé par l’équité en matière d’emploi</w:t>
      </w:r>
    </w:p>
    <w:p w14:paraId="492481F0" w14:textId="541B8C8C" w:rsidR="00D033CB" w:rsidRPr="00B758DD" w:rsidRDefault="00D8573B" w:rsidP="003B32BC">
      <w:pPr>
        <w:pStyle w:val="ListParagraph"/>
        <w:numPr>
          <w:ilvl w:val="0"/>
          <w:numId w:val="35"/>
        </w:numPr>
        <w:spacing w:after="120"/>
        <w:contextualSpacing w:val="0"/>
      </w:pPr>
      <w:r>
        <w:t>E</w:t>
      </w:r>
      <w:r w:rsidR="001D4808" w:rsidRPr="00B758DD">
        <w:t>n 2019-2020,</w:t>
      </w:r>
      <w:r>
        <w:t xml:space="preserve"> la part des postulants </w:t>
      </w:r>
      <w:r w:rsidR="005C0BEF">
        <w:t xml:space="preserve">pour </w:t>
      </w:r>
      <w:r>
        <w:t>tous les groupes visés par l’équité en matière d’emploi a augmenté</w:t>
      </w:r>
      <w:r w:rsidR="00D033CB" w:rsidRPr="00B758DD">
        <w:t>.</w:t>
      </w:r>
    </w:p>
    <w:p w14:paraId="696EA24E" w14:textId="186B4BE6" w:rsidR="00AB0242" w:rsidRPr="00B758DD" w:rsidRDefault="00D8573B" w:rsidP="003B32BC">
      <w:pPr>
        <w:pStyle w:val="ListParagraph"/>
        <w:numPr>
          <w:ilvl w:val="1"/>
          <w:numId w:val="35"/>
        </w:numPr>
        <w:spacing w:after="120"/>
        <w:contextualSpacing w:val="0"/>
      </w:pPr>
      <w:r>
        <w:t xml:space="preserve">Les personnes handicapées ont </w:t>
      </w:r>
      <w:r w:rsidR="00487CEE">
        <w:t>représenté</w:t>
      </w:r>
      <w:r>
        <w:t xml:space="preserve"> 3,0</w:t>
      </w:r>
      <w:r w:rsidR="00D35491">
        <w:t> </w:t>
      </w:r>
      <w:r>
        <w:t>p. 100 des postulants aux processus de nomination externes annoncés, ce qui représente une hausse de 0,3 point de pourcentage par rapport à l’exercice précédent</w:t>
      </w:r>
      <w:r w:rsidR="00AB0242" w:rsidRPr="00B758DD">
        <w:t>.</w:t>
      </w:r>
    </w:p>
    <w:p w14:paraId="32B1F8FD" w14:textId="20136146" w:rsidR="00AB0242" w:rsidRPr="00B758DD" w:rsidRDefault="00D8573B" w:rsidP="003B32BC">
      <w:pPr>
        <w:pStyle w:val="ListParagraph"/>
        <w:numPr>
          <w:ilvl w:val="1"/>
          <w:numId w:val="35"/>
        </w:numPr>
        <w:spacing w:after="120"/>
        <w:contextualSpacing w:val="0"/>
      </w:pPr>
      <w:r>
        <w:t xml:space="preserve">Les Autochtones ont </w:t>
      </w:r>
      <w:r w:rsidR="00487CEE">
        <w:t>représenté</w:t>
      </w:r>
      <w:r>
        <w:t xml:space="preserve"> 3,2</w:t>
      </w:r>
      <w:r w:rsidR="00D35491">
        <w:t> </w:t>
      </w:r>
      <w:r>
        <w:t>p. 100 des postulants aux</w:t>
      </w:r>
      <w:r w:rsidR="00474F47">
        <w:t xml:space="preserve"> processus de nomination externes annoncés, ce qui représente une hausse de 0,2 point de pourcentage par </w:t>
      </w:r>
      <w:r w:rsidR="004E7A66">
        <w:t>rapport à l’exercice précédent.</w:t>
      </w:r>
    </w:p>
    <w:p w14:paraId="1B269992" w14:textId="44BD7ED8" w:rsidR="00AB0242" w:rsidRPr="00B758DD" w:rsidRDefault="00474F47" w:rsidP="003B32BC">
      <w:pPr>
        <w:pStyle w:val="ListParagraph"/>
        <w:numPr>
          <w:ilvl w:val="1"/>
          <w:numId w:val="35"/>
        </w:numPr>
        <w:spacing w:after="120"/>
        <w:contextualSpacing w:val="0"/>
      </w:pPr>
      <w:r>
        <w:t xml:space="preserve">Les membres de minorités visibles ont </w:t>
      </w:r>
      <w:r w:rsidR="00487CEE">
        <w:t>représenté</w:t>
      </w:r>
      <w:r>
        <w:t xml:space="preserve"> 24,3</w:t>
      </w:r>
      <w:r w:rsidR="00D35491">
        <w:t> </w:t>
      </w:r>
      <w:r>
        <w:t xml:space="preserve">p. 100 des postulants aux processus de nomination externes annoncés, ce qui représente une hausse de 1,0 point de pourcentage par </w:t>
      </w:r>
      <w:r w:rsidR="004E7A66">
        <w:t>rapport à l’exercice précédent.</w:t>
      </w:r>
    </w:p>
    <w:p w14:paraId="13E510D9" w14:textId="3B98AB39" w:rsidR="00AB0242" w:rsidRPr="00B758DD" w:rsidRDefault="00474F47" w:rsidP="003B32BC">
      <w:pPr>
        <w:pStyle w:val="ListParagraph"/>
        <w:numPr>
          <w:ilvl w:val="1"/>
          <w:numId w:val="35"/>
        </w:numPr>
        <w:spacing w:after="120"/>
        <w:ind w:left="1434" w:hanging="357"/>
        <w:contextualSpacing w:val="0"/>
      </w:pPr>
      <w:r>
        <w:t xml:space="preserve">Les femmes ont </w:t>
      </w:r>
      <w:r w:rsidR="00487CEE">
        <w:t>représenté</w:t>
      </w:r>
      <w:r>
        <w:t xml:space="preserve"> 55,3</w:t>
      </w:r>
      <w:r w:rsidR="00D35491">
        <w:t> </w:t>
      </w:r>
      <w:r>
        <w:t>p. 100 des postulants aux processus de nomination externes annoncés, ce qui représente une hausse de 0,3 point de pourcentage par rapport à l’exercice précédent</w:t>
      </w:r>
      <w:r w:rsidR="00AB0242" w:rsidRPr="00B758DD">
        <w:t>.</w:t>
      </w:r>
    </w:p>
    <w:p w14:paraId="2C10D36F" w14:textId="11CC2C90" w:rsidR="0093747F" w:rsidRPr="00B758DD" w:rsidRDefault="00474F47" w:rsidP="000539D7">
      <w:pPr>
        <w:pStyle w:val="ListParagraph"/>
        <w:numPr>
          <w:ilvl w:val="0"/>
          <w:numId w:val="35"/>
        </w:numPr>
        <w:spacing w:after="120"/>
        <w:contextualSpacing w:val="0"/>
      </w:pPr>
      <w:r>
        <w:lastRenderedPageBreak/>
        <w:t xml:space="preserve">Il s’agit des parts </w:t>
      </w:r>
      <w:r w:rsidR="005C0BEF">
        <w:t xml:space="preserve">des postulants </w:t>
      </w:r>
      <w:r>
        <w:t>les plus élevées pour les personnes handicapées, les membres de minorités visible</w:t>
      </w:r>
      <w:r w:rsidR="005C0BEF">
        <w:t>s</w:t>
      </w:r>
      <w:r>
        <w:t xml:space="preserve"> et les femmes au cours des cinq dernières années. La part des postulants autochtones a, en revanche, affiché une tendance à la baisse au cours de la </w:t>
      </w:r>
      <w:r w:rsidR="004E7A66">
        <w:t>même période.</w:t>
      </w:r>
    </w:p>
    <w:p w14:paraId="4AE35F1C" w14:textId="19BC4DFC" w:rsidR="0093747F" w:rsidRPr="00B758DD" w:rsidRDefault="00474F47" w:rsidP="000539D7">
      <w:pPr>
        <w:pStyle w:val="ListParagraph"/>
        <w:numPr>
          <w:ilvl w:val="0"/>
          <w:numId w:val="35"/>
        </w:numPr>
        <w:spacing w:after="120"/>
        <w:contextualSpacing w:val="0"/>
      </w:pPr>
      <w:r>
        <w:t xml:space="preserve">La part des postulants revenant aux femmes et aux membres de minorités visibles </w:t>
      </w:r>
      <w:r w:rsidR="00725066">
        <w:t xml:space="preserve">a été </w:t>
      </w:r>
      <w:r>
        <w:t>supérieure à l</w:t>
      </w:r>
      <w:r w:rsidR="005C0BEF">
        <w:t>a</w:t>
      </w:r>
      <w:r>
        <w:t xml:space="preserve"> disponibilité au sein de la population active </w:t>
      </w:r>
      <w:r w:rsidR="005C0BEF">
        <w:t xml:space="preserve">de ces deux groupes </w:t>
      </w:r>
      <w:r>
        <w:t>au cours des cinq dernières années</w:t>
      </w:r>
      <w:r w:rsidR="005C0BEF">
        <w:t>, se chiffrant à 5</w:t>
      </w:r>
      <w:r w:rsidR="00384D52" w:rsidRPr="00B758DD">
        <w:t>2</w:t>
      </w:r>
      <w:r>
        <w:t>,</w:t>
      </w:r>
      <w:r w:rsidR="00384D52" w:rsidRPr="00B758DD">
        <w:t>7</w:t>
      </w:r>
      <w:r w:rsidR="00D35491">
        <w:t> </w:t>
      </w:r>
      <w:r>
        <w:t>p. 100 et à 15,3</w:t>
      </w:r>
      <w:r w:rsidR="00D35491">
        <w:t> </w:t>
      </w:r>
      <w:r w:rsidR="004E7A66">
        <w:t>p. 100 respectivement.</w:t>
      </w:r>
    </w:p>
    <w:p w14:paraId="2715CEA8" w14:textId="28BE10D5" w:rsidR="0093747F" w:rsidRPr="00B758DD" w:rsidRDefault="00474F47" w:rsidP="000539D7">
      <w:pPr>
        <w:pStyle w:val="ListParagraph"/>
        <w:numPr>
          <w:ilvl w:val="0"/>
          <w:numId w:val="35"/>
        </w:numPr>
        <w:spacing w:after="120"/>
        <w:contextualSpacing w:val="0"/>
      </w:pPr>
      <w:r>
        <w:t>La part revenant aux Autochtone</w:t>
      </w:r>
      <w:r w:rsidR="00725066">
        <w:t xml:space="preserve">s et aux personnes handicapées a été </w:t>
      </w:r>
      <w:r>
        <w:t>inférieure à la disponibilité au sein de la population active de ces deux groupes</w:t>
      </w:r>
      <w:r w:rsidR="00725066">
        <w:t xml:space="preserve"> au cours des cinq dernières années</w:t>
      </w:r>
      <w:r w:rsidR="005C0BEF">
        <w:t xml:space="preserve">, se chiffrant à </w:t>
      </w:r>
      <w:r>
        <w:t>4,0</w:t>
      </w:r>
      <w:r w:rsidR="00D35491">
        <w:t> </w:t>
      </w:r>
      <w:r>
        <w:t>p. 100 et à 9,0</w:t>
      </w:r>
      <w:r w:rsidR="00D35491">
        <w:t> </w:t>
      </w:r>
      <w:r w:rsidR="004E7A66">
        <w:t>p. 100 respectivement.</w:t>
      </w:r>
    </w:p>
    <w:p w14:paraId="235E551C" w14:textId="52BA1CB3" w:rsidR="004A3B58" w:rsidRPr="00B758DD" w:rsidRDefault="00474F47" w:rsidP="000539D7">
      <w:pPr>
        <w:pStyle w:val="Heading3"/>
        <w:rPr>
          <w:lang w:val="fr-CA"/>
        </w:rPr>
      </w:pPr>
      <w:r>
        <w:rPr>
          <w:lang w:val="fr-CA"/>
        </w:rPr>
        <w:t>Embauches externes</w:t>
      </w:r>
    </w:p>
    <w:p w14:paraId="6D83F92A" w14:textId="7B8C3281" w:rsidR="001D4808" w:rsidRPr="00B758DD" w:rsidRDefault="00474F47" w:rsidP="003B32BC">
      <w:pPr>
        <w:pStyle w:val="ListParagraph"/>
        <w:numPr>
          <w:ilvl w:val="0"/>
          <w:numId w:val="36"/>
        </w:numPr>
        <w:spacing w:after="120"/>
        <w:contextualSpacing w:val="0"/>
      </w:pPr>
      <w:r>
        <w:t>En</w:t>
      </w:r>
      <w:r w:rsidR="001D4808" w:rsidRPr="00B758DD">
        <w:t xml:space="preserve"> 2019-2020,</w:t>
      </w:r>
      <w:r>
        <w:t xml:space="preserve"> les organisations assujetties à la </w:t>
      </w:r>
      <w:r>
        <w:rPr>
          <w:i/>
        </w:rPr>
        <w:t xml:space="preserve">Loi sur l’emploi dans la fonction publique </w:t>
      </w:r>
      <w:r>
        <w:t>ont enregistré 61</w:t>
      </w:r>
      <w:r w:rsidR="00D35491">
        <w:t> </w:t>
      </w:r>
      <w:r>
        <w:t>794 embauches externes</w:t>
      </w:r>
      <w:r w:rsidR="001D4808" w:rsidRPr="00B758DD">
        <w:t>.</w:t>
      </w:r>
    </w:p>
    <w:p w14:paraId="7AFABC69" w14:textId="5DDDDFCF" w:rsidR="001D4808" w:rsidRPr="00B758DD" w:rsidRDefault="00474F47" w:rsidP="003B32BC">
      <w:pPr>
        <w:pStyle w:val="ListParagraph"/>
        <w:numPr>
          <w:ilvl w:val="1"/>
          <w:numId w:val="36"/>
        </w:numPr>
        <w:spacing w:after="120"/>
        <w:contextualSpacing w:val="0"/>
      </w:pPr>
      <w:r>
        <w:t>Il s’agit d’une hausse de 3,5</w:t>
      </w:r>
      <w:r w:rsidR="00D35491">
        <w:t> </w:t>
      </w:r>
      <w:r>
        <w:t>p. 100 (2</w:t>
      </w:r>
      <w:r w:rsidR="00D35491">
        <w:t> </w:t>
      </w:r>
      <w:r>
        <w:t>077) par rapport à l’exercice financier</w:t>
      </w:r>
      <w:r w:rsidR="004E7A66">
        <w:t xml:space="preserve"> précédent.</w:t>
      </w:r>
    </w:p>
    <w:p w14:paraId="22797AFD" w14:textId="47462E6D" w:rsidR="0093747F" w:rsidRPr="00B758DD" w:rsidRDefault="00474F47" w:rsidP="003B32BC">
      <w:pPr>
        <w:pStyle w:val="ListParagraph"/>
        <w:numPr>
          <w:ilvl w:val="1"/>
          <w:numId w:val="36"/>
        </w:numPr>
        <w:spacing w:after="120"/>
        <w:contextualSpacing w:val="0"/>
      </w:pPr>
      <w:r>
        <w:t>Depuis</w:t>
      </w:r>
      <w:r w:rsidR="001D4808" w:rsidRPr="00B758DD">
        <w:t xml:space="preserve"> 201</w:t>
      </w:r>
      <w:r w:rsidR="0093747F" w:rsidRPr="00B758DD">
        <w:t>2</w:t>
      </w:r>
      <w:r w:rsidR="001D4808" w:rsidRPr="00B758DD">
        <w:t>-201</w:t>
      </w:r>
      <w:r w:rsidR="0093747F" w:rsidRPr="00B758DD">
        <w:t>3</w:t>
      </w:r>
      <w:r w:rsidR="001D4808" w:rsidRPr="00B758DD">
        <w:t xml:space="preserve">, </w:t>
      </w:r>
      <w:r>
        <w:t>le nombre d’embauches externes a augmenté de 101</w:t>
      </w:r>
      <w:r w:rsidR="00D35491">
        <w:t> </w:t>
      </w:r>
      <w:r>
        <w:t>p. 100 (31</w:t>
      </w:r>
      <w:r w:rsidR="00D35491">
        <w:t> </w:t>
      </w:r>
      <w:r>
        <w:t>091)</w:t>
      </w:r>
      <w:r w:rsidR="0093747F" w:rsidRPr="00B758DD">
        <w:t>.</w:t>
      </w:r>
    </w:p>
    <w:p w14:paraId="7386F0FB" w14:textId="2DFCDDD6" w:rsidR="001D4808" w:rsidRPr="00B758DD" w:rsidRDefault="00474F47" w:rsidP="003B32BC">
      <w:pPr>
        <w:pStyle w:val="ListParagraph"/>
        <w:numPr>
          <w:ilvl w:val="0"/>
          <w:numId w:val="36"/>
        </w:numPr>
        <w:spacing w:after="120"/>
        <w:contextualSpacing w:val="0"/>
      </w:pPr>
      <w:r>
        <w:t>E</w:t>
      </w:r>
      <w:r w:rsidR="001D4808" w:rsidRPr="00B758DD">
        <w:t xml:space="preserve">n 2019-2020, </w:t>
      </w:r>
      <w:r>
        <w:t>l</w:t>
      </w:r>
      <w:r w:rsidR="0088671E">
        <w:t>e nombre total d’</w:t>
      </w:r>
      <w:r>
        <w:t xml:space="preserve">embauches externes </w:t>
      </w:r>
      <w:r w:rsidR="00EF391C">
        <w:t>nommées pour une période indéterminée</w:t>
      </w:r>
      <w:r>
        <w:t xml:space="preserve"> </w:t>
      </w:r>
      <w:r w:rsidR="0088671E">
        <w:t>était de</w:t>
      </w:r>
      <w:r>
        <w:t xml:space="preserve"> </w:t>
      </w:r>
      <w:r w:rsidR="001D4808" w:rsidRPr="00B758DD">
        <w:t>11</w:t>
      </w:r>
      <w:r w:rsidR="00D35491">
        <w:t> </w:t>
      </w:r>
      <w:r w:rsidR="001D4808" w:rsidRPr="00B758DD">
        <w:t>360.</w:t>
      </w:r>
    </w:p>
    <w:p w14:paraId="1AD7D57B" w14:textId="609E97E7" w:rsidR="001D4808" w:rsidRPr="00B758DD" w:rsidRDefault="00474F47" w:rsidP="003B32BC">
      <w:pPr>
        <w:pStyle w:val="ListParagraph"/>
        <w:numPr>
          <w:ilvl w:val="1"/>
          <w:numId w:val="36"/>
        </w:numPr>
        <w:spacing w:after="120"/>
        <w:contextualSpacing w:val="0"/>
      </w:pPr>
      <w:r>
        <w:t>Il s’agit d’une hausse de 2,9</w:t>
      </w:r>
      <w:r w:rsidR="00D35491">
        <w:t> </w:t>
      </w:r>
      <w:r>
        <w:t>p. 100 (</w:t>
      </w:r>
      <w:r w:rsidR="001D4808" w:rsidRPr="00B758DD">
        <w:t>321)</w:t>
      </w:r>
      <w:r>
        <w:t xml:space="preserve"> par rapport à </w:t>
      </w:r>
      <w:r w:rsidR="004E7A66">
        <w:t>l’exercice financier précédent.</w:t>
      </w:r>
    </w:p>
    <w:p w14:paraId="04213B01" w14:textId="23F750C7" w:rsidR="0093747F" w:rsidRPr="00B758DD" w:rsidRDefault="00474F47" w:rsidP="003B32BC">
      <w:pPr>
        <w:pStyle w:val="ListParagraph"/>
        <w:numPr>
          <w:ilvl w:val="1"/>
          <w:numId w:val="36"/>
        </w:numPr>
        <w:spacing w:after="120"/>
        <w:contextualSpacing w:val="0"/>
      </w:pPr>
      <w:r>
        <w:t>Depuis</w:t>
      </w:r>
      <w:r w:rsidR="0093747F" w:rsidRPr="00B758DD">
        <w:t xml:space="preserve"> 2012-2013, </w:t>
      </w:r>
      <w:r>
        <w:t>l</w:t>
      </w:r>
      <w:r w:rsidR="0088671E">
        <w:t>e nombre d’</w:t>
      </w:r>
      <w:r>
        <w:t xml:space="preserve">embauches </w:t>
      </w:r>
      <w:r w:rsidR="008B2620">
        <w:t>nommé</w:t>
      </w:r>
      <w:r w:rsidR="00EF391C">
        <w:t>e</w:t>
      </w:r>
      <w:r w:rsidR="008B2620">
        <w:t xml:space="preserve">s </w:t>
      </w:r>
      <w:r w:rsidR="00EF391C">
        <w:t xml:space="preserve">pour une période indéterminée </w:t>
      </w:r>
      <w:r w:rsidR="0088671E">
        <w:t>a</w:t>
      </w:r>
      <w:r w:rsidR="008B2620">
        <w:t xml:space="preserve"> augmenté </w:t>
      </w:r>
      <w:r w:rsidR="00EF391C">
        <w:t xml:space="preserve">de </w:t>
      </w:r>
      <w:r w:rsidR="0093747F" w:rsidRPr="00B758DD">
        <w:t>474</w:t>
      </w:r>
      <w:r w:rsidR="00D35491">
        <w:t> </w:t>
      </w:r>
      <w:r w:rsidR="008B2620">
        <w:t>p. 100</w:t>
      </w:r>
      <w:r w:rsidR="0093747F" w:rsidRPr="00B758DD">
        <w:t xml:space="preserve"> (9</w:t>
      </w:r>
      <w:r w:rsidR="00D35491">
        <w:t> </w:t>
      </w:r>
      <w:r w:rsidR="0093747F" w:rsidRPr="00B758DD">
        <w:t>381).</w:t>
      </w:r>
    </w:p>
    <w:p w14:paraId="107B6311" w14:textId="7162A8EE" w:rsidR="001D4808" w:rsidRPr="00B758DD" w:rsidRDefault="008B2620" w:rsidP="003B32BC">
      <w:pPr>
        <w:pStyle w:val="ListParagraph"/>
        <w:numPr>
          <w:ilvl w:val="0"/>
          <w:numId w:val="36"/>
        </w:numPr>
        <w:spacing w:after="120"/>
        <w:contextualSpacing w:val="0"/>
      </w:pPr>
      <w:r>
        <w:t>En</w:t>
      </w:r>
      <w:r w:rsidR="001D4808" w:rsidRPr="00B758DD">
        <w:t xml:space="preserve"> 2019-2020, </w:t>
      </w:r>
      <w:r>
        <w:t>l</w:t>
      </w:r>
      <w:r w:rsidR="00D35491">
        <w:t>e</w:t>
      </w:r>
      <w:r w:rsidR="0088671E">
        <w:t xml:space="preserve"> nombre total d’</w:t>
      </w:r>
      <w:r>
        <w:t xml:space="preserve">embauches externes nommées </w:t>
      </w:r>
      <w:r w:rsidR="00EF391C">
        <w:t xml:space="preserve">pour une période déterminée </w:t>
      </w:r>
      <w:r w:rsidR="0088671E">
        <w:t>était de</w:t>
      </w:r>
      <w:r>
        <w:t xml:space="preserve"> </w:t>
      </w:r>
      <w:r w:rsidR="001D4808" w:rsidRPr="00B758DD">
        <w:t>14</w:t>
      </w:r>
      <w:r w:rsidR="00D35491">
        <w:t> </w:t>
      </w:r>
      <w:r w:rsidR="001D4808" w:rsidRPr="00B758DD">
        <w:t>836.</w:t>
      </w:r>
    </w:p>
    <w:p w14:paraId="68944D47" w14:textId="27197436" w:rsidR="001D4808" w:rsidRPr="00B758DD" w:rsidRDefault="008B2620" w:rsidP="003B32BC">
      <w:pPr>
        <w:pStyle w:val="ListParagraph"/>
        <w:numPr>
          <w:ilvl w:val="1"/>
          <w:numId w:val="36"/>
        </w:numPr>
        <w:spacing w:after="120"/>
        <w:contextualSpacing w:val="0"/>
      </w:pPr>
      <w:r>
        <w:t xml:space="preserve">Il s’agit d’une hausse de </w:t>
      </w:r>
      <w:r w:rsidR="001D4808" w:rsidRPr="00B758DD">
        <w:t>8</w:t>
      </w:r>
      <w:r>
        <w:t>,</w:t>
      </w:r>
      <w:r w:rsidR="001D4808" w:rsidRPr="00B758DD">
        <w:t>7</w:t>
      </w:r>
      <w:r w:rsidR="00D35491">
        <w:t> </w:t>
      </w:r>
      <w:r>
        <w:t xml:space="preserve">p. 100 </w:t>
      </w:r>
      <w:r w:rsidR="001D4808" w:rsidRPr="00B758DD">
        <w:t>(1</w:t>
      </w:r>
      <w:r w:rsidR="00D35491">
        <w:t> </w:t>
      </w:r>
      <w:r w:rsidR="001D4808" w:rsidRPr="00B758DD">
        <w:t xml:space="preserve">183) </w:t>
      </w:r>
      <w:r>
        <w:t xml:space="preserve">par rapport à </w:t>
      </w:r>
      <w:r w:rsidR="004E7A66">
        <w:t>l’exercice financier précédent.</w:t>
      </w:r>
    </w:p>
    <w:p w14:paraId="7661D6BF" w14:textId="54381A1C" w:rsidR="0093747F" w:rsidRPr="00B758DD" w:rsidRDefault="008B2620" w:rsidP="003B32BC">
      <w:pPr>
        <w:pStyle w:val="ListParagraph"/>
        <w:numPr>
          <w:ilvl w:val="1"/>
          <w:numId w:val="36"/>
        </w:numPr>
        <w:spacing w:after="120"/>
        <w:contextualSpacing w:val="0"/>
      </w:pPr>
      <w:r>
        <w:t xml:space="preserve">Depuis </w:t>
      </w:r>
      <w:r w:rsidR="0093747F" w:rsidRPr="00B758DD">
        <w:t xml:space="preserve">2012-2013, </w:t>
      </w:r>
      <w:r>
        <w:t xml:space="preserve">le nombre d’embauches nommées </w:t>
      </w:r>
      <w:r w:rsidR="00EF391C" w:rsidRPr="0088671E">
        <w:t>pour une période déterminée</w:t>
      </w:r>
      <w:r w:rsidR="00EF391C">
        <w:t xml:space="preserve"> </w:t>
      </w:r>
      <w:r>
        <w:t xml:space="preserve">a augmenté de </w:t>
      </w:r>
      <w:r w:rsidR="0093747F" w:rsidRPr="00B758DD">
        <w:t>208</w:t>
      </w:r>
      <w:r w:rsidR="00D35491">
        <w:t> </w:t>
      </w:r>
      <w:r>
        <w:t>p. 100</w:t>
      </w:r>
      <w:r w:rsidR="0093747F" w:rsidRPr="00B758DD">
        <w:t xml:space="preserve"> (10</w:t>
      </w:r>
      <w:r w:rsidR="00D35491">
        <w:t> </w:t>
      </w:r>
      <w:r w:rsidR="0093747F" w:rsidRPr="00B758DD">
        <w:t>032).</w:t>
      </w:r>
    </w:p>
    <w:p w14:paraId="5CE33B82" w14:textId="6E1FD7C5" w:rsidR="002C55D6" w:rsidRPr="00B758DD" w:rsidRDefault="008B2620" w:rsidP="002C55D6">
      <w:pPr>
        <w:pStyle w:val="Heading3"/>
        <w:rPr>
          <w:lang w:val="fr-CA"/>
        </w:rPr>
      </w:pPr>
      <w:r>
        <w:rPr>
          <w:lang w:val="fr-CA"/>
        </w:rPr>
        <w:lastRenderedPageBreak/>
        <w:t>Embauches externes, selon le groupe visé par l’équité en matière d’emploi</w:t>
      </w:r>
    </w:p>
    <w:p w14:paraId="601546ED" w14:textId="63F5AC1D" w:rsidR="0093747F" w:rsidRPr="00B758DD" w:rsidRDefault="00EF391C" w:rsidP="003B32BC">
      <w:pPr>
        <w:pStyle w:val="ListParagraph"/>
        <w:numPr>
          <w:ilvl w:val="0"/>
          <w:numId w:val="37"/>
        </w:numPr>
        <w:spacing w:after="120"/>
        <w:contextualSpacing w:val="0"/>
      </w:pPr>
      <w:r>
        <w:t>En 2018-2019, la part des embauches externes nommées pour une période indéterminée et une période détermin</w:t>
      </w:r>
      <w:r w:rsidR="00D35491">
        <w:t>é</w:t>
      </w:r>
      <w:r>
        <w:t>e d’au moins trois mois a augmenté pour tous les groupes visés par l’équité en matière d’emploi, à l’exception des femmes</w:t>
      </w:r>
      <w:r w:rsidR="006E331F" w:rsidRPr="00B758DD">
        <w:rPr>
          <w:rStyle w:val="FootnoteReference"/>
        </w:rPr>
        <w:footnoteReference w:id="1"/>
      </w:r>
      <w:r>
        <w:t>.</w:t>
      </w:r>
    </w:p>
    <w:p w14:paraId="260CC4DC" w14:textId="26F7D5C9" w:rsidR="00091252" w:rsidRPr="00B758DD" w:rsidRDefault="00EF391C" w:rsidP="003B32BC">
      <w:pPr>
        <w:pStyle w:val="ListParagraph"/>
        <w:numPr>
          <w:ilvl w:val="0"/>
          <w:numId w:val="37"/>
        </w:numPr>
        <w:spacing w:after="120"/>
        <w:contextualSpacing w:val="0"/>
      </w:pPr>
      <w:r>
        <w:t>En</w:t>
      </w:r>
      <w:r w:rsidR="0093747F" w:rsidRPr="00B758DD">
        <w:t xml:space="preserve"> 2018-2019</w:t>
      </w:r>
      <w:r w:rsidR="00D35491">
        <w:t>,</w:t>
      </w:r>
      <w:r w:rsidR="0093747F" w:rsidRPr="00B758DD">
        <w:t xml:space="preserve"> </w:t>
      </w:r>
      <w:r>
        <w:t>la part des activités d’embauche visant des nominations pour une période indéterminée et une période déterminée de plus de trois mois pour chaque groupe désigné était</w:t>
      </w:r>
      <w:r w:rsidR="00623CB2">
        <w:t xml:space="preserve"> de</w:t>
      </w:r>
    </w:p>
    <w:p w14:paraId="0B394CC0" w14:textId="0CD15777" w:rsidR="0093747F" w:rsidRPr="00B758DD" w:rsidRDefault="00091252" w:rsidP="003B32BC">
      <w:pPr>
        <w:pStyle w:val="ListParagraph"/>
        <w:numPr>
          <w:ilvl w:val="1"/>
          <w:numId w:val="37"/>
        </w:numPr>
        <w:spacing w:after="120"/>
        <w:contextualSpacing w:val="0"/>
      </w:pPr>
      <w:r w:rsidRPr="00B758DD">
        <w:t>3</w:t>
      </w:r>
      <w:r w:rsidR="00EF391C">
        <w:t>,</w:t>
      </w:r>
      <w:r w:rsidRPr="00B758DD">
        <w:t>7</w:t>
      </w:r>
      <w:r w:rsidR="00D35491">
        <w:t> </w:t>
      </w:r>
      <w:r w:rsidR="00EF391C">
        <w:t xml:space="preserve">p. 100 </w:t>
      </w:r>
      <w:r w:rsidRPr="00B758DD">
        <w:t xml:space="preserve">(864) </w:t>
      </w:r>
      <w:r w:rsidR="00EF391C">
        <w:t>pour les personnes handicapées, ce qui représente une hausse par rapport à la part de 3,5</w:t>
      </w:r>
      <w:r w:rsidR="00D35491">
        <w:t> </w:t>
      </w:r>
      <w:r w:rsidR="00EF391C">
        <w:t xml:space="preserve">p. 100 (347) </w:t>
      </w:r>
      <w:r w:rsidR="00623CB2">
        <w:t xml:space="preserve">enregistrée </w:t>
      </w:r>
      <w:r w:rsidR="00EF391C">
        <w:t xml:space="preserve">en </w:t>
      </w:r>
      <w:r w:rsidR="00CB1315" w:rsidRPr="00B758DD">
        <w:t>2014-2015.</w:t>
      </w:r>
    </w:p>
    <w:p w14:paraId="45502C27" w14:textId="561522BB" w:rsidR="00091252" w:rsidRPr="00B758DD" w:rsidRDefault="00091252" w:rsidP="003B32BC">
      <w:pPr>
        <w:pStyle w:val="ListParagraph"/>
        <w:numPr>
          <w:ilvl w:val="1"/>
          <w:numId w:val="37"/>
        </w:numPr>
        <w:spacing w:after="120"/>
        <w:contextualSpacing w:val="0"/>
      </w:pPr>
      <w:r w:rsidRPr="00B758DD">
        <w:t>4</w:t>
      </w:r>
      <w:r w:rsidR="00EF391C">
        <w:t>,</w:t>
      </w:r>
      <w:r w:rsidRPr="00B758DD">
        <w:t>1</w:t>
      </w:r>
      <w:r w:rsidR="00D35491">
        <w:t> </w:t>
      </w:r>
      <w:r w:rsidR="00EF391C">
        <w:t>p. 100</w:t>
      </w:r>
      <w:r w:rsidRPr="00B758DD">
        <w:t xml:space="preserve"> (962) </w:t>
      </w:r>
      <w:r w:rsidR="00EF391C">
        <w:t>pour les Autochtones, ce qui représente une hausse par rapport à la part de 3,8</w:t>
      </w:r>
      <w:r w:rsidR="00D35491">
        <w:t> </w:t>
      </w:r>
      <w:r w:rsidR="00EF391C">
        <w:t>p. 100</w:t>
      </w:r>
      <w:r w:rsidRPr="00B758DD">
        <w:t xml:space="preserve"> (385) </w:t>
      </w:r>
      <w:r w:rsidR="00623CB2">
        <w:t xml:space="preserve">enregistrée </w:t>
      </w:r>
      <w:r w:rsidR="00EF391C">
        <w:t>en</w:t>
      </w:r>
      <w:r w:rsidRPr="00B758DD">
        <w:t xml:space="preserve"> 2014-2015.</w:t>
      </w:r>
    </w:p>
    <w:p w14:paraId="4C413CE8" w14:textId="03E24A1C" w:rsidR="00091252" w:rsidRPr="00B758DD" w:rsidRDefault="00091252" w:rsidP="003B32BC">
      <w:pPr>
        <w:pStyle w:val="ListParagraph"/>
        <w:numPr>
          <w:ilvl w:val="1"/>
          <w:numId w:val="37"/>
        </w:numPr>
        <w:spacing w:after="120"/>
        <w:contextualSpacing w:val="0"/>
      </w:pPr>
      <w:r w:rsidRPr="00B758DD">
        <w:t>19</w:t>
      </w:r>
      <w:r w:rsidR="00EF391C">
        <w:t>,</w:t>
      </w:r>
      <w:r w:rsidRPr="00B758DD">
        <w:t>3</w:t>
      </w:r>
      <w:r w:rsidR="00D35491">
        <w:t> </w:t>
      </w:r>
      <w:r w:rsidR="00EF391C">
        <w:t>p. 100</w:t>
      </w:r>
      <w:r w:rsidRPr="00B758DD">
        <w:t xml:space="preserve"> (4</w:t>
      </w:r>
      <w:r w:rsidR="00D35491">
        <w:t> </w:t>
      </w:r>
      <w:r w:rsidRPr="00B758DD">
        <w:t>507)</w:t>
      </w:r>
      <w:r w:rsidR="00EF391C">
        <w:t xml:space="preserve"> pour les membres de minorités visibles, ce qui représente une hausse par rapport à la part de 1</w:t>
      </w:r>
      <w:r w:rsidRPr="00B758DD">
        <w:t>6</w:t>
      </w:r>
      <w:r w:rsidR="00EF391C">
        <w:t>,</w:t>
      </w:r>
      <w:r w:rsidRPr="00B758DD">
        <w:t>1</w:t>
      </w:r>
      <w:r w:rsidR="00D35491">
        <w:t> </w:t>
      </w:r>
      <w:r w:rsidR="00EF391C">
        <w:t>p. 100</w:t>
      </w:r>
      <w:r w:rsidRPr="00B758DD">
        <w:t xml:space="preserve"> (1</w:t>
      </w:r>
      <w:r w:rsidR="00D35491">
        <w:t> </w:t>
      </w:r>
      <w:r w:rsidRPr="00B758DD">
        <w:t xml:space="preserve">610) </w:t>
      </w:r>
      <w:r w:rsidR="00623CB2">
        <w:t xml:space="preserve">enregistrée </w:t>
      </w:r>
      <w:r w:rsidR="00EF391C">
        <w:t>en</w:t>
      </w:r>
      <w:r w:rsidRPr="00B758DD">
        <w:t xml:space="preserve"> 2014-2015.</w:t>
      </w:r>
    </w:p>
    <w:p w14:paraId="66C05DDA" w14:textId="1B41D669" w:rsidR="00091252" w:rsidRDefault="00091252" w:rsidP="003B32BC">
      <w:pPr>
        <w:pStyle w:val="ListParagraph"/>
        <w:numPr>
          <w:ilvl w:val="1"/>
          <w:numId w:val="37"/>
        </w:numPr>
        <w:spacing w:after="120"/>
        <w:contextualSpacing w:val="0"/>
      </w:pPr>
      <w:r w:rsidRPr="00B758DD">
        <w:t>56</w:t>
      </w:r>
      <w:r w:rsidR="00EF391C">
        <w:t>,</w:t>
      </w:r>
      <w:r w:rsidRPr="00B758DD">
        <w:t>5</w:t>
      </w:r>
      <w:r w:rsidR="00D35491">
        <w:t> </w:t>
      </w:r>
      <w:r w:rsidR="00EF391C">
        <w:t>p. 100</w:t>
      </w:r>
      <w:r w:rsidRPr="00B758DD">
        <w:t xml:space="preserve"> (13</w:t>
      </w:r>
      <w:r w:rsidR="00D35491">
        <w:t> </w:t>
      </w:r>
      <w:r w:rsidR="00EF391C">
        <w:t>176) pour les femmes, ce qui représente une baisse par rapport à la part de 56,6</w:t>
      </w:r>
      <w:r w:rsidR="00D35491">
        <w:t> </w:t>
      </w:r>
      <w:r w:rsidR="00EF391C">
        <w:t>p. 100 (</w:t>
      </w:r>
      <w:r w:rsidRPr="00B758DD">
        <w:t>5</w:t>
      </w:r>
      <w:r w:rsidR="00D35491">
        <w:t> </w:t>
      </w:r>
      <w:r w:rsidRPr="00B758DD">
        <w:t xml:space="preserve">665) </w:t>
      </w:r>
      <w:r w:rsidR="00623CB2">
        <w:t xml:space="preserve">enregistrée </w:t>
      </w:r>
      <w:r w:rsidR="00EF391C">
        <w:t xml:space="preserve">en </w:t>
      </w:r>
      <w:r w:rsidRPr="00B758DD">
        <w:t>2014-2015.</w:t>
      </w:r>
    </w:p>
    <w:p w14:paraId="39F05223" w14:textId="5592AD97" w:rsidR="00823802" w:rsidRPr="00B758DD" w:rsidRDefault="00EF391C" w:rsidP="003B32BC">
      <w:pPr>
        <w:pStyle w:val="ListParagraph"/>
        <w:numPr>
          <w:ilvl w:val="0"/>
          <w:numId w:val="35"/>
        </w:numPr>
        <w:spacing w:after="120"/>
        <w:contextualSpacing w:val="0"/>
      </w:pPr>
      <w:r>
        <w:t>La part des embauches externes</w:t>
      </w:r>
      <w:r w:rsidR="003B32BC">
        <w:t xml:space="preserve"> revenant aux</w:t>
      </w:r>
      <w:r>
        <w:t xml:space="preserve"> femmes et </w:t>
      </w:r>
      <w:r w:rsidR="003B32BC">
        <w:t>aux</w:t>
      </w:r>
      <w:r>
        <w:t xml:space="preserve"> membres de minorités visibles </w:t>
      </w:r>
      <w:r w:rsidR="00D35491">
        <w:t xml:space="preserve">a été </w:t>
      </w:r>
      <w:r>
        <w:t xml:space="preserve">supérieure à la disponibilité au sein de la population active de ces deux groupes au cours des cinq dernières années, se chiffrant à </w:t>
      </w:r>
      <w:r w:rsidR="00823802" w:rsidRPr="00B758DD">
        <w:t>52</w:t>
      </w:r>
      <w:r>
        <w:t>,</w:t>
      </w:r>
      <w:r w:rsidR="00384D52" w:rsidRPr="00B758DD">
        <w:t>7</w:t>
      </w:r>
      <w:r w:rsidR="00D35491">
        <w:t> </w:t>
      </w:r>
      <w:r>
        <w:t>p. 100 et à 15,3</w:t>
      </w:r>
      <w:r w:rsidR="00D35491">
        <w:t> </w:t>
      </w:r>
      <w:r>
        <w:t xml:space="preserve">p. 100 </w:t>
      </w:r>
      <w:r w:rsidR="00823802" w:rsidRPr="00B758DD">
        <w:t>respective</w:t>
      </w:r>
      <w:r>
        <w:t>ment</w:t>
      </w:r>
      <w:r w:rsidR="00823802" w:rsidRPr="00B758DD">
        <w:t>.</w:t>
      </w:r>
    </w:p>
    <w:p w14:paraId="59BC37CD" w14:textId="1656C43B" w:rsidR="006E331F" w:rsidRDefault="00D35491" w:rsidP="003B32BC">
      <w:pPr>
        <w:pStyle w:val="ListParagraph"/>
        <w:numPr>
          <w:ilvl w:val="1"/>
          <w:numId w:val="35"/>
        </w:numPr>
        <w:spacing w:after="120"/>
        <w:contextualSpacing w:val="0"/>
      </w:pPr>
      <w:r>
        <w:t xml:space="preserve">La part des embauches externes revenant aux </w:t>
      </w:r>
      <w:r w:rsidR="003B32BC">
        <w:t>Autochtones a été supérieure à leur disponibilité au sein de la population active de 4,0</w:t>
      </w:r>
      <w:r>
        <w:t> </w:t>
      </w:r>
      <w:r w:rsidR="003B32BC">
        <w:t xml:space="preserve">p. 100 </w:t>
      </w:r>
      <w:r>
        <w:t xml:space="preserve">pour </w:t>
      </w:r>
      <w:r w:rsidR="003B32BC">
        <w:t>chacu</w:t>
      </w:r>
      <w:r w:rsidR="004E7A66">
        <w:t>ne des quatre dernières années.</w:t>
      </w:r>
    </w:p>
    <w:p w14:paraId="538BE6D3" w14:textId="7C3E20B0" w:rsidR="00823802" w:rsidRPr="00B758DD" w:rsidRDefault="003B32BC" w:rsidP="00823802">
      <w:pPr>
        <w:pStyle w:val="ListParagraph"/>
        <w:numPr>
          <w:ilvl w:val="0"/>
          <w:numId w:val="35"/>
        </w:numPr>
      </w:pPr>
      <w:r>
        <w:t xml:space="preserve">La part des embauches externes revenant aux personnes handicapées est nettement inférieure à la disponibilité au sein de la population active </w:t>
      </w:r>
      <w:r w:rsidR="00D35491">
        <w:t xml:space="preserve">de 9,0 p. 100 </w:t>
      </w:r>
      <w:r>
        <w:t xml:space="preserve">de ce groupe en 2018-2019, ainsi qu’à </w:t>
      </w:r>
      <w:r w:rsidR="00D35491">
        <w:t>sa</w:t>
      </w:r>
      <w:r>
        <w:t xml:space="preserve"> disponibilité au sein de la population active de 4,4</w:t>
      </w:r>
      <w:r w:rsidR="00D35491">
        <w:t> </w:t>
      </w:r>
      <w:r>
        <w:t>p. 100 au cours des quatre exercices pré</w:t>
      </w:r>
      <w:r w:rsidR="004E7A66">
        <w:t>cédents.</w:t>
      </w:r>
    </w:p>
    <w:p w14:paraId="076B40BD" w14:textId="03F6E88A" w:rsidR="004A3B58" w:rsidRPr="00B758DD" w:rsidRDefault="00234D67" w:rsidP="00AE01FA">
      <w:pPr>
        <w:pStyle w:val="Heading2"/>
        <w:rPr>
          <w:lang w:val="fr-CA"/>
        </w:rPr>
      </w:pPr>
      <w:r w:rsidRPr="00B758DD">
        <w:rPr>
          <w:lang w:val="fr-CA"/>
        </w:rPr>
        <w:lastRenderedPageBreak/>
        <w:t>T</w:t>
      </w:r>
      <w:r w:rsidR="008B2620">
        <w:rPr>
          <w:lang w:val="fr-CA"/>
        </w:rPr>
        <w:t xml:space="preserve">endances des postes </w:t>
      </w:r>
      <w:r w:rsidRPr="00B758DD">
        <w:rPr>
          <w:lang w:val="fr-CA"/>
        </w:rPr>
        <w:t xml:space="preserve">EX-03 </w:t>
      </w:r>
      <w:r w:rsidR="008B2620">
        <w:rPr>
          <w:lang w:val="fr-CA"/>
        </w:rPr>
        <w:t>à</w:t>
      </w:r>
      <w:r w:rsidRPr="00B758DD">
        <w:rPr>
          <w:lang w:val="fr-CA"/>
        </w:rPr>
        <w:t xml:space="preserve"> EX-05</w:t>
      </w:r>
    </w:p>
    <w:p w14:paraId="5A84F6DF" w14:textId="4D8D0C26" w:rsidR="0038000D" w:rsidRPr="00B758DD" w:rsidRDefault="008B2620" w:rsidP="0038000D">
      <w:r>
        <w:t xml:space="preserve">La fonction publique fédérale doit continuer à </w:t>
      </w:r>
      <w:r w:rsidR="00623CB2">
        <w:t>élargir</w:t>
      </w:r>
      <w:r>
        <w:t xml:space="preserve"> sa connaissance des défis auxquels sont confrontés les groupes visés par l’équité en matière d’emploi, ainsi que des possibilités </w:t>
      </w:r>
      <w:r w:rsidR="009F641F">
        <w:t xml:space="preserve">présentées par un </w:t>
      </w:r>
      <w:r>
        <w:t xml:space="preserve">effectif diversifié. Cela l’oblige à approfondir </w:t>
      </w:r>
      <w:r w:rsidR="00370C6F">
        <w:t>sa connaissance des différences</w:t>
      </w:r>
      <w:r>
        <w:t xml:space="preserve"> </w:t>
      </w:r>
      <w:r w:rsidR="00370C6F">
        <w:t>à l’intérieur des</w:t>
      </w:r>
      <w:r>
        <w:t xml:space="preserve"> groupes et </w:t>
      </w:r>
      <w:r w:rsidR="00370C6F">
        <w:t xml:space="preserve">aussi </w:t>
      </w:r>
      <w:r>
        <w:t>des recoupements avec les facteurs de diversité au sein</w:t>
      </w:r>
      <w:r w:rsidR="004E7A66">
        <w:t xml:space="preserve"> de notre communauté de cadres.</w:t>
      </w:r>
    </w:p>
    <w:p w14:paraId="69154E8A" w14:textId="0E592FC6" w:rsidR="00B610A7" w:rsidRPr="00B758DD" w:rsidRDefault="004A3B58" w:rsidP="00234D67">
      <w:pPr>
        <w:pStyle w:val="Heading3"/>
        <w:rPr>
          <w:lang w:val="fr-CA"/>
        </w:rPr>
      </w:pPr>
      <w:r w:rsidRPr="00B758DD">
        <w:rPr>
          <w:lang w:val="fr-CA"/>
        </w:rPr>
        <w:t>E</w:t>
      </w:r>
      <w:r w:rsidR="008B2620">
        <w:rPr>
          <w:lang w:val="fr-CA"/>
        </w:rPr>
        <w:t>ffectif du groupe de la direction</w:t>
      </w:r>
    </w:p>
    <w:p w14:paraId="2204C263" w14:textId="29DC8519" w:rsidR="0064640B" w:rsidRPr="00B758DD" w:rsidRDefault="008B2620" w:rsidP="002C08D4">
      <w:r>
        <w:t xml:space="preserve">Les tendances de l’effectif dans les groupes </w:t>
      </w:r>
      <w:r w:rsidR="004D61C4" w:rsidRPr="00B758DD">
        <w:t xml:space="preserve">EX-03, EX-04 </w:t>
      </w:r>
      <w:r>
        <w:t>et</w:t>
      </w:r>
      <w:r w:rsidR="004D61C4" w:rsidRPr="00B758DD">
        <w:t xml:space="preserve"> EX-05 (</w:t>
      </w:r>
      <w:r>
        <w:t xml:space="preserve">cadres supérieurs) sont largement </w:t>
      </w:r>
      <w:r w:rsidR="009F641F">
        <w:t xml:space="preserve">alimentées par </w:t>
      </w:r>
      <w:r>
        <w:t xml:space="preserve">le groupe </w:t>
      </w:r>
      <w:r w:rsidR="002C08D4" w:rsidRPr="00B758DD">
        <w:t>EX-03</w:t>
      </w:r>
      <w:r>
        <w:t xml:space="preserve">, qui </w:t>
      </w:r>
      <w:r w:rsidR="009F641F">
        <w:t xml:space="preserve">pesait </w:t>
      </w:r>
      <w:r>
        <w:t>pour un peu moins de 75</w:t>
      </w:r>
      <w:r w:rsidR="00D35491">
        <w:t> </w:t>
      </w:r>
      <w:r>
        <w:t xml:space="preserve">p. 100 de ces cadres en 2018-2019. Parmi les cadres supérieurs, la représentation </w:t>
      </w:r>
      <w:r w:rsidR="00623CB2">
        <w:t xml:space="preserve">au sein </w:t>
      </w:r>
      <w:r>
        <w:t>de chaque groupe visé par l’équité en matière d’emploi est inférieure à la disponibilité au sein de la population active de l’effectif global</w:t>
      </w:r>
      <w:r w:rsidR="007B5C69">
        <w:t xml:space="preserve"> de cadres supérieurs. La représentation des cadres supérieurs est également inférieure à la représentation au sein des groupes de relève </w:t>
      </w:r>
      <w:r w:rsidR="00693FC0" w:rsidRPr="00B758DD">
        <w:t xml:space="preserve">EX-01 </w:t>
      </w:r>
      <w:r w:rsidR="007B5C69">
        <w:t>et</w:t>
      </w:r>
      <w:r w:rsidR="00693FC0" w:rsidRPr="00B758DD">
        <w:t xml:space="preserve"> EX-02</w:t>
      </w:r>
      <w:r w:rsidR="007B5C69">
        <w:t>, et ce pour tous les groupes</w:t>
      </w:r>
      <w:r w:rsidR="00693FC0" w:rsidRPr="00B758DD">
        <w:t xml:space="preserve"> </w:t>
      </w:r>
      <w:r w:rsidR="007B5C69">
        <w:t xml:space="preserve">visés par l’équité en matière d’emploi, à l’exception des personnes </w:t>
      </w:r>
      <w:r w:rsidR="009F641F">
        <w:t xml:space="preserve">handicapées. La représentation </w:t>
      </w:r>
      <w:r w:rsidR="00623CB2">
        <w:t xml:space="preserve">des groupes visés par </w:t>
      </w:r>
      <w:r w:rsidR="009F641F">
        <w:t>l’é</w:t>
      </w:r>
      <w:r w:rsidR="007B5C69">
        <w:t xml:space="preserve">quité en matière d’emploi </w:t>
      </w:r>
      <w:r w:rsidR="009F641F">
        <w:t xml:space="preserve">pour les </w:t>
      </w:r>
      <w:r w:rsidR="007B5C69">
        <w:t>cadres supérieurs a, toutefois, augmenté de façon générale au c</w:t>
      </w:r>
      <w:r w:rsidR="004E7A66">
        <w:t>ours des cinq dernières années.</w:t>
      </w:r>
    </w:p>
    <w:p w14:paraId="1A355BB5" w14:textId="4E39931D" w:rsidR="00532BCB" w:rsidRPr="00B758DD" w:rsidRDefault="007B5C69" w:rsidP="000539D7">
      <w:pPr>
        <w:pStyle w:val="ListParagraph"/>
        <w:numPr>
          <w:ilvl w:val="0"/>
          <w:numId w:val="31"/>
        </w:numPr>
        <w:spacing w:after="120"/>
        <w:ind w:hanging="357"/>
        <w:contextualSpacing w:val="0"/>
      </w:pPr>
      <w:r>
        <w:t>Le nombre de cadres supérieurs a augmenté, passant de 1</w:t>
      </w:r>
      <w:r w:rsidR="00D35491">
        <w:t> </w:t>
      </w:r>
      <w:r>
        <w:t>106 en 2014 à 1</w:t>
      </w:r>
      <w:r w:rsidR="00D35491">
        <w:t> </w:t>
      </w:r>
      <w:r>
        <w:t>287 en 2019; cette hausse est largement attribuable aux p</w:t>
      </w:r>
      <w:r w:rsidR="004E7A66">
        <w:t>romotions vers le groupe EX-03.</w:t>
      </w:r>
    </w:p>
    <w:p w14:paraId="21EF3847" w14:textId="487A67AB" w:rsidR="00C22FB6" w:rsidRPr="00B758DD" w:rsidRDefault="007B5C69" w:rsidP="000539D7">
      <w:pPr>
        <w:pStyle w:val="ListParagraph"/>
        <w:numPr>
          <w:ilvl w:val="1"/>
          <w:numId w:val="31"/>
        </w:numPr>
        <w:spacing w:after="120"/>
        <w:ind w:hanging="357"/>
        <w:contextualSpacing w:val="0"/>
      </w:pPr>
      <w:r>
        <w:t>Le 31</w:t>
      </w:r>
      <w:r w:rsidR="00D35491">
        <w:t> </w:t>
      </w:r>
      <w:r>
        <w:t xml:space="preserve">mars 2019, </w:t>
      </w:r>
      <w:r w:rsidR="00AE2F9F" w:rsidRPr="00B758DD">
        <w:t xml:space="preserve">957 </w:t>
      </w:r>
      <w:r>
        <w:t xml:space="preserve">cadres </w:t>
      </w:r>
      <w:r w:rsidR="00C22FB6" w:rsidRPr="00B758DD">
        <w:t xml:space="preserve">EX-03, </w:t>
      </w:r>
      <w:r w:rsidR="00AE2F9F" w:rsidRPr="00B758DD">
        <w:t xml:space="preserve">229 </w:t>
      </w:r>
      <w:r>
        <w:t xml:space="preserve">cadres </w:t>
      </w:r>
      <w:r w:rsidR="00C22FB6" w:rsidRPr="00B758DD">
        <w:t>EX-04</w:t>
      </w:r>
      <w:r>
        <w:t xml:space="preserve"> et</w:t>
      </w:r>
      <w:r w:rsidR="00C22FB6" w:rsidRPr="00B758DD">
        <w:t xml:space="preserve"> </w:t>
      </w:r>
      <w:r w:rsidR="00AE2F9F" w:rsidRPr="00B758DD">
        <w:t>101</w:t>
      </w:r>
      <w:r w:rsidR="00AE2F9F" w:rsidRPr="00B758DD">
        <w:rPr>
          <w:color w:val="auto"/>
        </w:rPr>
        <w:t xml:space="preserve"> </w:t>
      </w:r>
      <w:r>
        <w:rPr>
          <w:color w:val="auto"/>
        </w:rPr>
        <w:t xml:space="preserve">cadres </w:t>
      </w:r>
      <w:r w:rsidR="00C22FB6" w:rsidRPr="00B758DD">
        <w:t>EX-05</w:t>
      </w:r>
      <w:r>
        <w:t xml:space="preserve"> étaient assujettis à la </w:t>
      </w:r>
      <w:r>
        <w:rPr>
          <w:i/>
        </w:rPr>
        <w:t>Loi sur l’emploi dans la fonction publique</w:t>
      </w:r>
      <w:r w:rsidR="00C22FB6" w:rsidRPr="00B758DD">
        <w:t>.</w:t>
      </w:r>
    </w:p>
    <w:p w14:paraId="00E94DFD" w14:textId="17034F3D" w:rsidR="00905C8C" w:rsidRPr="00B758DD" w:rsidRDefault="00C4033B" w:rsidP="000539D7">
      <w:pPr>
        <w:pStyle w:val="ListParagraph"/>
        <w:numPr>
          <w:ilvl w:val="0"/>
          <w:numId w:val="31"/>
        </w:numPr>
        <w:spacing w:after="120"/>
        <w:ind w:hanging="357"/>
        <w:contextualSpacing w:val="0"/>
      </w:pPr>
      <w:r>
        <w:t xml:space="preserve">La représentation des groupes visés par l’équité en matière d’emploi est fortement </w:t>
      </w:r>
      <w:r w:rsidR="00C57E8E">
        <w:t xml:space="preserve">influencée par le groupe </w:t>
      </w:r>
      <w:r w:rsidR="00905C8C" w:rsidRPr="00B758DD">
        <w:t>EX-03</w:t>
      </w:r>
      <w:r w:rsidR="00C57E8E">
        <w:t xml:space="preserve">. En 2018-2019, les communautés </w:t>
      </w:r>
      <w:r w:rsidR="00905C8C" w:rsidRPr="00B758DD">
        <w:t xml:space="preserve">EX-04 </w:t>
      </w:r>
      <w:r w:rsidR="00C57E8E">
        <w:t>et</w:t>
      </w:r>
      <w:r w:rsidR="00905C8C" w:rsidRPr="00B758DD">
        <w:t xml:space="preserve"> EX-05</w:t>
      </w:r>
      <w:r w:rsidR="00C57E8E">
        <w:t xml:space="preserve"> </w:t>
      </w:r>
      <w:r w:rsidR="00623CB2">
        <w:t>comptaient</w:t>
      </w:r>
      <w:r w:rsidR="00C57E8E">
        <w:t xml:space="preserve"> 10 Autochtones, 16 personnes handicapées et 29</w:t>
      </w:r>
      <w:r w:rsidR="004E7A66">
        <w:t xml:space="preserve"> membres de minorités visibles.</w:t>
      </w:r>
    </w:p>
    <w:p w14:paraId="593921E0" w14:textId="07E5A4A7" w:rsidR="00C57E8E" w:rsidRDefault="00C57E8E" w:rsidP="000539D7">
      <w:pPr>
        <w:pStyle w:val="ListParagraph"/>
        <w:numPr>
          <w:ilvl w:val="1"/>
          <w:numId w:val="31"/>
        </w:numPr>
        <w:spacing w:after="120"/>
        <w:ind w:hanging="357"/>
        <w:contextualSpacing w:val="0"/>
      </w:pPr>
      <w:r>
        <w:t xml:space="preserve">La représentation des femmes </w:t>
      </w:r>
      <w:r w:rsidR="009F641F">
        <w:t xml:space="preserve">au sein des </w:t>
      </w:r>
      <w:r>
        <w:t>postes de cadres supérieurs s</w:t>
      </w:r>
      <w:r w:rsidR="009F641F">
        <w:t xml:space="preserve">e chiffrait </w:t>
      </w:r>
      <w:r>
        <w:t>à 43,4</w:t>
      </w:r>
      <w:r w:rsidR="00D35491">
        <w:t> </w:t>
      </w:r>
      <w:r>
        <w:t xml:space="preserve">p. 100 en 2018-2019, </w:t>
      </w:r>
      <w:r w:rsidR="009F641F">
        <w:t>ce qui e</w:t>
      </w:r>
      <w:r>
        <w:t>st inférieur à la disponibilité au sein de la population active des femmes</w:t>
      </w:r>
      <w:r w:rsidR="00D35491">
        <w:t xml:space="preserve"> qui sont</w:t>
      </w:r>
      <w:r>
        <w:t xml:space="preserve"> cadres (48</w:t>
      </w:r>
      <w:r w:rsidR="00D35491">
        <w:t> </w:t>
      </w:r>
      <w:r>
        <w:t>p. 100).</w:t>
      </w:r>
    </w:p>
    <w:p w14:paraId="11AE39AE" w14:textId="5DB78ABC" w:rsidR="00D812DD" w:rsidRPr="00B758DD" w:rsidRDefault="00C57E8E" w:rsidP="000539D7">
      <w:pPr>
        <w:pStyle w:val="ListParagraph"/>
        <w:numPr>
          <w:ilvl w:val="1"/>
          <w:numId w:val="31"/>
        </w:numPr>
        <w:spacing w:after="120"/>
        <w:ind w:hanging="357"/>
        <w:contextualSpacing w:val="0"/>
      </w:pPr>
      <w:r>
        <w:t xml:space="preserve">La représentation des personnes handicapées </w:t>
      </w:r>
      <w:r w:rsidR="009F641F">
        <w:t>au sein de</w:t>
      </w:r>
      <w:r w:rsidR="00623CB2">
        <w:t>s</w:t>
      </w:r>
      <w:r w:rsidR="009F641F">
        <w:t xml:space="preserve"> postes de cadres supérieurs</w:t>
      </w:r>
      <w:r>
        <w:t xml:space="preserve"> se chiffrait à 4,8</w:t>
      </w:r>
      <w:r w:rsidR="00D35491">
        <w:t> </w:t>
      </w:r>
      <w:r>
        <w:t xml:space="preserve">p. 100 en 2018-2019, ce qui est inférieur à la disponibilité au sein de la population active </w:t>
      </w:r>
      <w:r w:rsidR="009F641F">
        <w:t xml:space="preserve">des personnes handicapées </w:t>
      </w:r>
      <w:r w:rsidR="00DD5163">
        <w:t xml:space="preserve">qui sont </w:t>
      </w:r>
      <w:r>
        <w:t>cadres (5,3</w:t>
      </w:r>
      <w:r w:rsidR="00D35491">
        <w:t> </w:t>
      </w:r>
      <w:r>
        <w:t>p. 100)</w:t>
      </w:r>
      <w:r w:rsidR="00A777B6" w:rsidRPr="00B758DD">
        <w:t>.</w:t>
      </w:r>
    </w:p>
    <w:p w14:paraId="0379E25E" w14:textId="2806718E" w:rsidR="00D812DD" w:rsidRPr="00B758DD" w:rsidRDefault="00C57E8E" w:rsidP="000539D7">
      <w:pPr>
        <w:pStyle w:val="ListParagraph"/>
        <w:numPr>
          <w:ilvl w:val="1"/>
          <w:numId w:val="31"/>
        </w:numPr>
        <w:spacing w:after="120"/>
        <w:ind w:hanging="357"/>
        <w:contextualSpacing w:val="0"/>
      </w:pPr>
      <w:r>
        <w:lastRenderedPageBreak/>
        <w:t xml:space="preserve">La représentation des membres de minorités visibles </w:t>
      </w:r>
      <w:r w:rsidR="009F641F">
        <w:t xml:space="preserve">au sein des </w:t>
      </w:r>
      <w:r>
        <w:t>postes de cadres supérieurs se chiffrait à 9,7</w:t>
      </w:r>
      <w:r w:rsidR="00D35491">
        <w:t> </w:t>
      </w:r>
      <w:r>
        <w:t xml:space="preserve">p. 100 en 2018-2019, </w:t>
      </w:r>
      <w:r w:rsidR="009F641F">
        <w:t>c</w:t>
      </w:r>
      <w:r>
        <w:t xml:space="preserve">e qui est inférieur à la disponibilité au sein de la population active </w:t>
      </w:r>
      <w:r w:rsidR="009F641F">
        <w:t xml:space="preserve">des membres de minorités visibles qui sont </w:t>
      </w:r>
      <w:r>
        <w:t>cadres (10,6</w:t>
      </w:r>
      <w:r w:rsidR="00D35491">
        <w:t> </w:t>
      </w:r>
      <w:r w:rsidR="004E7A66">
        <w:t>p. 100).</w:t>
      </w:r>
    </w:p>
    <w:p w14:paraId="00A93473" w14:textId="49475A8D" w:rsidR="00893297" w:rsidRPr="00B758DD" w:rsidRDefault="00C57E8E" w:rsidP="000539D7">
      <w:pPr>
        <w:pStyle w:val="ListParagraph"/>
        <w:numPr>
          <w:ilvl w:val="1"/>
          <w:numId w:val="31"/>
        </w:numPr>
        <w:spacing w:after="120"/>
        <w:ind w:hanging="357"/>
        <w:contextualSpacing w:val="0"/>
      </w:pPr>
      <w:r>
        <w:t xml:space="preserve">La représentation des Autochtones </w:t>
      </w:r>
      <w:r w:rsidR="009F641F">
        <w:t>au sein des</w:t>
      </w:r>
      <w:r>
        <w:t xml:space="preserve"> postes de cadres supérieurs se chiffrait à 3,0</w:t>
      </w:r>
      <w:r w:rsidR="00D35491">
        <w:t> </w:t>
      </w:r>
      <w:r>
        <w:t xml:space="preserve">p. 100 en 2018-2019, ce qui est inférieur à la disponibilité au sein de la population active </w:t>
      </w:r>
      <w:r w:rsidR="00DD5163">
        <w:t xml:space="preserve">des Autochtones </w:t>
      </w:r>
      <w:r w:rsidR="00D35491">
        <w:t xml:space="preserve">qui sont </w:t>
      </w:r>
      <w:r w:rsidR="00DD5163">
        <w:t>cadres</w:t>
      </w:r>
      <w:r>
        <w:t xml:space="preserve"> (5,1</w:t>
      </w:r>
      <w:r w:rsidR="00D35491">
        <w:t> </w:t>
      </w:r>
      <w:r>
        <w:t>p. 100)</w:t>
      </w:r>
      <w:r w:rsidR="004403ED" w:rsidRPr="00B758DD">
        <w:t>.</w:t>
      </w:r>
    </w:p>
    <w:p w14:paraId="46B8C576" w14:textId="0301F300" w:rsidR="00BB2434" w:rsidRPr="00B758DD" w:rsidRDefault="00C57E8E" w:rsidP="000539D7">
      <w:pPr>
        <w:pStyle w:val="ListParagraph"/>
        <w:numPr>
          <w:ilvl w:val="0"/>
          <w:numId w:val="31"/>
        </w:numPr>
        <w:spacing w:after="120"/>
        <w:ind w:hanging="357"/>
        <w:contextualSpacing w:val="0"/>
      </w:pPr>
      <w:r>
        <w:t xml:space="preserve">Bien que la disponibilité au sein de la population active ne soit pas calculée pour les cadres supérieurs, si on utilise la disponibilité au sein de la population active </w:t>
      </w:r>
      <w:r w:rsidR="00DD5163">
        <w:t>du</w:t>
      </w:r>
      <w:r>
        <w:t xml:space="preserve"> groupe général de cadres, un écart se dégage dans la représentation des cadres supérieurs pour chaque groupe visé par l’équité en matière d’emploi. En 2018-2019, l’effectif de cadres supérieurs devait ajouter </w:t>
      </w:r>
      <w:r w:rsidR="00DD5163">
        <w:t>6</w:t>
      </w:r>
      <w:r>
        <w:t xml:space="preserve"> personnes handicapées, 27 Autochtones, 11 membres de minorités visibles </w:t>
      </w:r>
      <w:r w:rsidR="00D35491">
        <w:t>e</w:t>
      </w:r>
      <w:r>
        <w:t>t 56 femmes pour combl</w:t>
      </w:r>
      <w:r w:rsidR="004E7A66">
        <w:t>er cet écart de représentation.</w:t>
      </w:r>
    </w:p>
    <w:p w14:paraId="2EB793CA" w14:textId="725146DE" w:rsidR="00234CC3" w:rsidRPr="00B758DD" w:rsidRDefault="009E708D" w:rsidP="000539D7">
      <w:pPr>
        <w:pStyle w:val="ListParagraph"/>
        <w:numPr>
          <w:ilvl w:val="0"/>
          <w:numId w:val="31"/>
        </w:numPr>
        <w:spacing w:after="120"/>
        <w:ind w:hanging="357"/>
        <w:contextualSpacing w:val="0"/>
      </w:pPr>
      <w:r>
        <w:t xml:space="preserve">Bien que la représentation </w:t>
      </w:r>
      <w:r w:rsidR="00254EB3">
        <w:t xml:space="preserve">aux fins de </w:t>
      </w:r>
      <w:r>
        <w:t>l’équité en matière d’emploi pour les cadres supérieurs soit inférieure à l</w:t>
      </w:r>
      <w:r w:rsidR="00254EB3">
        <w:t xml:space="preserve">a </w:t>
      </w:r>
      <w:r>
        <w:t xml:space="preserve">disponibilité </w:t>
      </w:r>
      <w:r w:rsidR="00254EB3">
        <w:t xml:space="preserve">de ceux-ci </w:t>
      </w:r>
      <w:r>
        <w:t>au sein de la population active, elle affiche une tendance générale à la hausse depuis 2014.</w:t>
      </w:r>
    </w:p>
    <w:p w14:paraId="225FBBB8" w14:textId="77777777" w:rsidR="0061652B" w:rsidRDefault="00DC40B3" w:rsidP="0061652B">
      <w:pPr>
        <w:keepNext/>
        <w:ind w:left="360"/>
        <w:jc w:val="center"/>
      </w:pPr>
      <w:r w:rsidRPr="00B758DD">
        <w:rPr>
          <w:noProof/>
          <w:lang w:val="en-CA" w:eastAsia="en-CA"/>
        </w:rPr>
        <w:drawing>
          <wp:inline distT="0" distB="0" distL="0" distR="0" wp14:anchorId="19E7B186" wp14:editId="2FEE0AC3">
            <wp:extent cx="5943294" cy="3681093"/>
            <wp:effectExtent l="0" t="0" r="635" b="0"/>
            <wp:docPr id="3" name="Picture 3" descr="Quatre graphiques linéaires. Chaque graphique démontre la représentation d'un groupe d'équité en matière d'emploi pour les cadres supérieurs entre 2013-2014 et 2018-2019." title="Représentation sur le plan de l'équité en matière d'emploi pour les cadres supérie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presentatio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294" cy="3681093"/>
                    </a:xfrm>
                    <a:prstGeom prst="rect">
                      <a:avLst/>
                    </a:prstGeom>
                  </pic:spPr>
                </pic:pic>
              </a:graphicData>
            </a:graphic>
          </wp:inline>
        </w:drawing>
      </w:r>
    </w:p>
    <w:p w14:paraId="52406D84" w14:textId="39608BC6" w:rsidR="00597131" w:rsidRPr="0061652B" w:rsidRDefault="0061652B" w:rsidP="007A189D">
      <w:pPr>
        <w:pStyle w:val="Caption"/>
        <w:jc w:val="center"/>
      </w:pPr>
      <w:r>
        <w:t xml:space="preserve">Figure </w:t>
      </w:r>
      <w:r>
        <w:fldChar w:fldCharType="begin"/>
      </w:r>
      <w:r>
        <w:instrText xml:space="preserve"> SEQ Figure \* ARABIC </w:instrText>
      </w:r>
      <w:r>
        <w:fldChar w:fldCharType="separate"/>
      </w:r>
      <w:r>
        <w:rPr>
          <w:noProof/>
        </w:rPr>
        <w:t>1</w:t>
      </w:r>
      <w:r>
        <w:fldChar w:fldCharType="end"/>
      </w:r>
      <w:r w:rsidR="006E04F1">
        <w:t> </w:t>
      </w:r>
      <w:r>
        <w:t>: Représentation sur le plan de l'équité en matière d'emploi pour les cadres supérieurs</w:t>
      </w:r>
      <w:r w:rsidR="00597131" w:rsidRPr="0061652B">
        <w:br w:type="page"/>
      </w:r>
    </w:p>
    <w:p w14:paraId="07EF7A71" w14:textId="71CB2290" w:rsidR="0061652B" w:rsidRDefault="0061652B" w:rsidP="0061652B">
      <w:pPr>
        <w:pStyle w:val="Caption"/>
        <w:keepNext/>
        <w:jc w:val="center"/>
      </w:pPr>
      <w:r>
        <w:lastRenderedPageBreak/>
        <w:t xml:space="preserve">Table </w:t>
      </w:r>
      <w:r>
        <w:fldChar w:fldCharType="begin"/>
      </w:r>
      <w:r>
        <w:instrText xml:space="preserve"> SEQ Table \* ARABIC </w:instrText>
      </w:r>
      <w:r>
        <w:fldChar w:fldCharType="separate"/>
      </w:r>
      <w:r>
        <w:rPr>
          <w:noProof/>
        </w:rPr>
        <w:t>1</w:t>
      </w:r>
      <w:r>
        <w:fldChar w:fldCharType="end"/>
      </w:r>
      <w:r w:rsidR="006E04F1">
        <w:t> </w:t>
      </w:r>
      <w:r>
        <w:t xml:space="preserve">: </w:t>
      </w:r>
      <w:r w:rsidRPr="00B63C71">
        <w:t>Représentation sur le plan de l’équité en matière d’emploi pour les cadres supérieurs</w:t>
      </w:r>
    </w:p>
    <w:tbl>
      <w:tblPr>
        <w:tblStyle w:val="TableGrid"/>
        <w:tblW w:w="0" w:type="auto"/>
        <w:tblInd w:w="360" w:type="dxa"/>
        <w:tblLook w:val="04A0" w:firstRow="1" w:lastRow="0" w:firstColumn="1" w:lastColumn="0" w:noHBand="0" w:noVBand="1"/>
        <w:tblCaption w:val="Représentation sur le plan de l’équité en matière d’emploi pour les cadres supérieurs"/>
        <w:tblDescription w:val="Une table qui démontre la représentation d'un groupe d'équité en matière d'emploi pour les cadres supérieurs entre 2013-2014 et 2018-2019."/>
      </w:tblPr>
      <w:tblGrid>
        <w:gridCol w:w="1385"/>
        <w:gridCol w:w="1303"/>
        <w:gridCol w:w="1304"/>
        <w:gridCol w:w="1306"/>
        <w:gridCol w:w="1306"/>
        <w:gridCol w:w="1306"/>
        <w:gridCol w:w="1306"/>
      </w:tblGrid>
      <w:tr w:rsidR="00B266A6" w14:paraId="029B1429" w14:textId="77777777" w:rsidTr="0061652B">
        <w:trPr>
          <w:tblHeader/>
        </w:trPr>
        <w:tc>
          <w:tcPr>
            <w:tcW w:w="1385" w:type="dxa"/>
          </w:tcPr>
          <w:p w14:paraId="69730F68" w14:textId="616807EF" w:rsidR="00597131" w:rsidRPr="00461BE2" w:rsidRDefault="00597131" w:rsidP="006364E9">
            <w:pPr>
              <w:jc w:val="center"/>
            </w:pPr>
            <w:r w:rsidRPr="00461BE2">
              <w:t>Groupe</w:t>
            </w:r>
          </w:p>
        </w:tc>
        <w:tc>
          <w:tcPr>
            <w:tcW w:w="1303" w:type="dxa"/>
          </w:tcPr>
          <w:p w14:paraId="7E22FEF1" w14:textId="77777777" w:rsidR="00597131" w:rsidRPr="00461BE2" w:rsidRDefault="00597131" w:rsidP="006364E9">
            <w:pPr>
              <w:jc w:val="center"/>
            </w:pPr>
            <w:r w:rsidRPr="00461BE2">
              <w:t>2013-2014</w:t>
            </w:r>
          </w:p>
        </w:tc>
        <w:tc>
          <w:tcPr>
            <w:tcW w:w="1304" w:type="dxa"/>
          </w:tcPr>
          <w:p w14:paraId="1F9B4E8D" w14:textId="77777777" w:rsidR="00597131" w:rsidRPr="00461BE2" w:rsidRDefault="00597131" w:rsidP="006364E9">
            <w:pPr>
              <w:jc w:val="center"/>
            </w:pPr>
            <w:r w:rsidRPr="00461BE2">
              <w:t>2014-2015</w:t>
            </w:r>
          </w:p>
        </w:tc>
        <w:tc>
          <w:tcPr>
            <w:tcW w:w="1306" w:type="dxa"/>
          </w:tcPr>
          <w:p w14:paraId="24213963" w14:textId="77777777" w:rsidR="00597131" w:rsidRPr="00461BE2" w:rsidRDefault="00597131" w:rsidP="006364E9">
            <w:pPr>
              <w:jc w:val="center"/>
            </w:pPr>
            <w:r w:rsidRPr="00461BE2">
              <w:t>2015-2016</w:t>
            </w:r>
          </w:p>
        </w:tc>
        <w:tc>
          <w:tcPr>
            <w:tcW w:w="1306" w:type="dxa"/>
          </w:tcPr>
          <w:p w14:paraId="29A34D5A" w14:textId="77777777" w:rsidR="00597131" w:rsidRPr="00461BE2" w:rsidRDefault="00597131" w:rsidP="006364E9">
            <w:pPr>
              <w:jc w:val="center"/>
            </w:pPr>
            <w:r w:rsidRPr="00461BE2">
              <w:t>2016-2017</w:t>
            </w:r>
          </w:p>
        </w:tc>
        <w:tc>
          <w:tcPr>
            <w:tcW w:w="1306" w:type="dxa"/>
          </w:tcPr>
          <w:p w14:paraId="78DB4CFC" w14:textId="77777777" w:rsidR="00597131" w:rsidRPr="00461BE2" w:rsidRDefault="00597131" w:rsidP="006364E9">
            <w:pPr>
              <w:jc w:val="center"/>
            </w:pPr>
            <w:r w:rsidRPr="00461BE2">
              <w:t>2017-2018</w:t>
            </w:r>
          </w:p>
        </w:tc>
        <w:tc>
          <w:tcPr>
            <w:tcW w:w="1306" w:type="dxa"/>
          </w:tcPr>
          <w:p w14:paraId="102550D7" w14:textId="77777777" w:rsidR="00597131" w:rsidRPr="00461BE2" w:rsidRDefault="00597131" w:rsidP="006364E9">
            <w:pPr>
              <w:jc w:val="center"/>
            </w:pPr>
            <w:r w:rsidRPr="00461BE2">
              <w:t>2018-2019</w:t>
            </w:r>
          </w:p>
        </w:tc>
      </w:tr>
      <w:tr w:rsidR="00B266A6" w14:paraId="613E5F2B" w14:textId="77777777" w:rsidTr="0061652B">
        <w:tc>
          <w:tcPr>
            <w:tcW w:w="1385" w:type="dxa"/>
          </w:tcPr>
          <w:p w14:paraId="12612A63" w14:textId="0EF92077" w:rsidR="00597131" w:rsidRPr="00461BE2" w:rsidRDefault="00597131" w:rsidP="00597131">
            <w:r w:rsidRPr="00461BE2">
              <w:t>Peuples autochtones</w:t>
            </w:r>
          </w:p>
        </w:tc>
        <w:tc>
          <w:tcPr>
            <w:tcW w:w="1303" w:type="dxa"/>
          </w:tcPr>
          <w:p w14:paraId="34A3C201" w14:textId="1B6AF48E" w:rsidR="00597131" w:rsidRPr="00461BE2" w:rsidRDefault="00597131" w:rsidP="006364E9">
            <w:pPr>
              <w:jc w:val="right"/>
            </w:pPr>
            <w:r w:rsidRPr="00461BE2">
              <w:t>2</w:t>
            </w:r>
            <w:r w:rsidR="00B266A6" w:rsidRPr="00461BE2">
              <w:t>,</w:t>
            </w:r>
            <w:r w:rsidRPr="00461BE2">
              <w:t>4%</w:t>
            </w:r>
          </w:p>
        </w:tc>
        <w:tc>
          <w:tcPr>
            <w:tcW w:w="1304" w:type="dxa"/>
          </w:tcPr>
          <w:p w14:paraId="09566706" w14:textId="46A979EB" w:rsidR="00597131" w:rsidRPr="00461BE2" w:rsidRDefault="00B266A6" w:rsidP="006364E9">
            <w:pPr>
              <w:jc w:val="right"/>
            </w:pPr>
            <w:r w:rsidRPr="00461BE2">
              <w:t>2,</w:t>
            </w:r>
            <w:r w:rsidR="00597131" w:rsidRPr="00461BE2">
              <w:t>4%</w:t>
            </w:r>
          </w:p>
        </w:tc>
        <w:tc>
          <w:tcPr>
            <w:tcW w:w="1306" w:type="dxa"/>
          </w:tcPr>
          <w:p w14:paraId="52BB0FAB" w14:textId="7AA4A323" w:rsidR="00597131" w:rsidRPr="00461BE2" w:rsidRDefault="00597131" w:rsidP="006364E9">
            <w:pPr>
              <w:jc w:val="right"/>
            </w:pPr>
            <w:r w:rsidRPr="00461BE2">
              <w:t>2</w:t>
            </w:r>
            <w:r w:rsidR="00B266A6" w:rsidRPr="00461BE2">
              <w:t>,</w:t>
            </w:r>
            <w:r w:rsidRPr="00461BE2">
              <w:t>6%</w:t>
            </w:r>
          </w:p>
        </w:tc>
        <w:tc>
          <w:tcPr>
            <w:tcW w:w="1306" w:type="dxa"/>
          </w:tcPr>
          <w:p w14:paraId="6D54FFB1" w14:textId="3F12D1B4" w:rsidR="00597131" w:rsidRPr="00461BE2" w:rsidRDefault="00B266A6" w:rsidP="006364E9">
            <w:pPr>
              <w:jc w:val="right"/>
            </w:pPr>
            <w:r w:rsidRPr="00461BE2">
              <w:t>2,</w:t>
            </w:r>
            <w:r w:rsidR="00597131" w:rsidRPr="00461BE2">
              <w:t>9%</w:t>
            </w:r>
          </w:p>
        </w:tc>
        <w:tc>
          <w:tcPr>
            <w:tcW w:w="1306" w:type="dxa"/>
          </w:tcPr>
          <w:p w14:paraId="70E20AB4" w14:textId="46D4BA1F" w:rsidR="00597131" w:rsidRPr="00461BE2" w:rsidRDefault="00B266A6" w:rsidP="006364E9">
            <w:pPr>
              <w:jc w:val="right"/>
            </w:pPr>
            <w:r w:rsidRPr="00461BE2">
              <w:t>2,</w:t>
            </w:r>
            <w:r w:rsidR="00597131" w:rsidRPr="00461BE2">
              <w:t>8%</w:t>
            </w:r>
          </w:p>
        </w:tc>
        <w:tc>
          <w:tcPr>
            <w:tcW w:w="1306" w:type="dxa"/>
          </w:tcPr>
          <w:p w14:paraId="2AC1A0B1" w14:textId="6D7402BC" w:rsidR="00597131" w:rsidRPr="00461BE2" w:rsidRDefault="00B266A6" w:rsidP="006364E9">
            <w:pPr>
              <w:jc w:val="right"/>
            </w:pPr>
            <w:r w:rsidRPr="00461BE2">
              <w:t>3,</w:t>
            </w:r>
            <w:r w:rsidR="00597131" w:rsidRPr="00461BE2">
              <w:t>0%</w:t>
            </w:r>
          </w:p>
        </w:tc>
      </w:tr>
      <w:tr w:rsidR="00B266A6" w14:paraId="5B50C405" w14:textId="77777777" w:rsidTr="0061652B">
        <w:tc>
          <w:tcPr>
            <w:tcW w:w="1385" w:type="dxa"/>
          </w:tcPr>
          <w:p w14:paraId="30D5EFA8" w14:textId="25E69CBC" w:rsidR="00597131" w:rsidRPr="00461BE2" w:rsidRDefault="00597131" w:rsidP="00597131">
            <w:r w:rsidRPr="00461BE2">
              <w:t>Personnes en situation de handicap</w:t>
            </w:r>
          </w:p>
        </w:tc>
        <w:tc>
          <w:tcPr>
            <w:tcW w:w="1303" w:type="dxa"/>
          </w:tcPr>
          <w:p w14:paraId="1A57BD40" w14:textId="5B31FF27" w:rsidR="00597131" w:rsidRPr="00461BE2" w:rsidRDefault="00597131" w:rsidP="006364E9">
            <w:pPr>
              <w:jc w:val="right"/>
            </w:pPr>
            <w:r w:rsidRPr="00461BE2">
              <w:t>4</w:t>
            </w:r>
            <w:r w:rsidR="00B266A6" w:rsidRPr="00461BE2">
              <w:t>,</w:t>
            </w:r>
            <w:r w:rsidRPr="00461BE2">
              <w:t>3%</w:t>
            </w:r>
          </w:p>
        </w:tc>
        <w:tc>
          <w:tcPr>
            <w:tcW w:w="1304" w:type="dxa"/>
          </w:tcPr>
          <w:p w14:paraId="33040316" w14:textId="51DEA1CE" w:rsidR="00597131" w:rsidRPr="00461BE2" w:rsidRDefault="00B266A6" w:rsidP="006364E9">
            <w:pPr>
              <w:jc w:val="right"/>
            </w:pPr>
            <w:r w:rsidRPr="00461BE2">
              <w:t>4,</w:t>
            </w:r>
            <w:r w:rsidR="00597131" w:rsidRPr="00461BE2">
              <w:t>9%</w:t>
            </w:r>
          </w:p>
        </w:tc>
        <w:tc>
          <w:tcPr>
            <w:tcW w:w="1306" w:type="dxa"/>
          </w:tcPr>
          <w:p w14:paraId="3BF73DBB" w14:textId="31886615" w:rsidR="00597131" w:rsidRPr="00461BE2" w:rsidRDefault="00B266A6" w:rsidP="006364E9">
            <w:pPr>
              <w:jc w:val="right"/>
            </w:pPr>
            <w:r w:rsidRPr="00461BE2">
              <w:t>4,</w:t>
            </w:r>
            <w:r w:rsidR="00597131" w:rsidRPr="00461BE2">
              <w:t>4%</w:t>
            </w:r>
          </w:p>
        </w:tc>
        <w:tc>
          <w:tcPr>
            <w:tcW w:w="1306" w:type="dxa"/>
          </w:tcPr>
          <w:p w14:paraId="17080780" w14:textId="10E55575" w:rsidR="00597131" w:rsidRPr="00461BE2" w:rsidRDefault="00B266A6" w:rsidP="00B266A6">
            <w:pPr>
              <w:jc w:val="right"/>
            </w:pPr>
            <w:r w:rsidRPr="00461BE2">
              <w:t>4,</w:t>
            </w:r>
            <w:r w:rsidR="00597131" w:rsidRPr="00461BE2">
              <w:t>1%</w:t>
            </w:r>
          </w:p>
        </w:tc>
        <w:tc>
          <w:tcPr>
            <w:tcW w:w="1306" w:type="dxa"/>
          </w:tcPr>
          <w:p w14:paraId="2A1487CD" w14:textId="5919F027" w:rsidR="00597131" w:rsidRPr="00461BE2" w:rsidRDefault="00597131" w:rsidP="006364E9">
            <w:pPr>
              <w:jc w:val="right"/>
            </w:pPr>
            <w:r w:rsidRPr="00461BE2">
              <w:t>4</w:t>
            </w:r>
            <w:r w:rsidR="00B266A6" w:rsidRPr="00461BE2">
              <w:t>,</w:t>
            </w:r>
            <w:r w:rsidRPr="00461BE2">
              <w:t>6%</w:t>
            </w:r>
          </w:p>
        </w:tc>
        <w:tc>
          <w:tcPr>
            <w:tcW w:w="1306" w:type="dxa"/>
          </w:tcPr>
          <w:p w14:paraId="70AA9631" w14:textId="2A5598C7" w:rsidR="00597131" w:rsidRPr="00461BE2" w:rsidRDefault="00B266A6" w:rsidP="006364E9">
            <w:pPr>
              <w:jc w:val="right"/>
            </w:pPr>
            <w:r w:rsidRPr="00461BE2">
              <w:t>4,</w:t>
            </w:r>
            <w:r w:rsidR="00597131" w:rsidRPr="00461BE2">
              <w:t>8%</w:t>
            </w:r>
          </w:p>
        </w:tc>
      </w:tr>
      <w:tr w:rsidR="00B266A6" w14:paraId="09C37080" w14:textId="77777777" w:rsidTr="0061652B">
        <w:tc>
          <w:tcPr>
            <w:tcW w:w="1385" w:type="dxa"/>
          </w:tcPr>
          <w:p w14:paraId="447CD526" w14:textId="715CE2B5" w:rsidR="00597131" w:rsidRPr="00461BE2" w:rsidRDefault="00597131" w:rsidP="00597131">
            <w:r w:rsidRPr="00461BE2">
              <w:t>Membres de minorités visibles</w:t>
            </w:r>
          </w:p>
        </w:tc>
        <w:tc>
          <w:tcPr>
            <w:tcW w:w="1303" w:type="dxa"/>
          </w:tcPr>
          <w:p w14:paraId="0409EAC6" w14:textId="00A47809" w:rsidR="00597131" w:rsidRPr="00461BE2" w:rsidRDefault="00597131" w:rsidP="006364E9">
            <w:pPr>
              <w:jc w:val="right"/>
            </w:pPr>
            <w:r w:rsidRPr="00461BE2">
              <w:t>7</w:t>
            </w:r>
            <w:r w:rsidR="00B266A6" w:rsidRPr="00461BE2">
              <w:t>,</w:t>
            </w:r>
            <w:r w:rsidRPr="00461BE2">
              <w:t>2%</w:t>
            </w:r>
          </w:p>
        </w:tc>
        <w:tc>
          <w:tcPr>
            <w:tcW w:w="1304" w:type="dxa"/>
          </w:tcPr>
          <w:p w14:paraId="0B806ADA" w14:textId="5CE62AD0" w:rsidR="00597131" w:rsidRPr="00461BE2" w:rsidRDefault="00B266A6" w:rsidP="006364E9">
            <w:pPr>
              <w:jc w:val="right"/>
            </w:pPr>
            <w:r w:rsidRPr="00461BE2">
              <w:t>8,</w:t>
            </w:r>
            <w:r w:rsidR="00597131" w:rsidRPr="00461BE2">
              <w:t>0%</w:t>
            </w:r>
          </w:p>
        </w:tc>
        <w:tc>
          <w:tcPr>
            <w:tcW w:w="1306" w:type="dxa"/>
          </w:tcPr>
          <w:p w14:paraId="588FD428" w14:textId="76ACEDC7" w:rsidR="00597131" w:rsidRPr="00461BE2" w:rsidRDefault="00B266A6" w:rsidP="00B266A6">
            <w:pPr>
              <w:jc w:val="right"/>
            </w:pPr>
            <w:r w:rsidRPr="00461BE2">
              <w:t>8,</w:t>
            </w:r>
            <w:r w:rsidR="00597131" w:rsidRPr="00461BE2">
              <w:t>1%</w:t>
            </w:r>
          </w:p>
        </w:tc>
        <w:tc>
          <w:tcPr>
            <w:tcW w:w="1306" w:type="dxa"/>
          </w:tcPr>
          <w:p w14:paraId="20CAEDC2" w14:textId="1A449D13" w:rsidR="00597131" w:rsidRPr="00461BE2" w:rsidRDefault="00597131" w:rsidP="006364E9">
            <w:pPr>
              <w:jc w:val="right"/>
            </w:pPr>
            <w:r w:rsidRPr="00461BE2">
              <w:t>8</w:t>
            </w:r>
            <w:r w:rsidR="00B266A6" w:rsidRPr="00461BE2">
              <w:t>,</w:t>
            </w:r>
            <w:r w:rsidRPr="00461BE2">
              <w:t>6%</w:t>
            </w:r>
          </w:p>
        </w:tc>
        <w:tc>
          <w:tcPr>
            <w:tcW w:w="1306" w:type="dxa"/>
          </w:tcPr>
          <w:p w14:paraId="240FDC2F" w14:textId="7E4D451A" w:rsidR="00597131" w:rsidRPr="00461BE2" w:rsidRDefault="00B266A6" w:rsidP="006364E9">
            <w:pPr>
              <w:jc w:val="right"/>
            </w:pPr>
            <w:r w:rsidRPr="00461BE2">
              <w:t>9,</w:t>
            </w:r>
            <w:r w:rsidR="00597131" w:rsidRPr="00461BE2">
              <w:t>2%</w:t>
            </w:r>
          </w:p>
        </w:tc>
        <w:tc>
          <w:tcPr>
            <w:tcW w:w="1306" w:type="dxa"/>
          </w:tcPr>
          <w:p w14:paraId="0F7EAD1A" w14:textId="40A7FC2F" w:rsidR="00597131" w:rsidRPr="00461BE2" w:rsidRDefault="00B266A6" w:rsidP="006364E9">
            <w:pPr>
              <w:jc w:val="right"/>
            </w:pPr>
            <w:r w:rsidRPr="00461BE2">
              <w:t>9,</w:t>
            </w:r>
            <w:r w:rsidR="00597131" w:rsidRPr="00461BE2">
              <w:t>7%</w:t>
            </w:r>
          </w:p>
        </w:tc>
      </w:tr>
      <w:tr w:rsidR="00B266A6" w14:paraId="5A3B7BB0" w14:textId="77777777" w:rsidTr="0061652B">
        <w:tc>
          <w:tcPr>
            <w:tcW w:w="1385" w:type="dxa"/>
          </w:tcPr>
          <w:p w14:paraId="29BF9EDD" w14:textId="3F658009" w:rsidR="00597131" w:rsidRPr="00461BE2" w:rsidRDefault="00597131" w:rsidP="00597131">
            <w:r w:rsidRPr="00461BE2">
              <w:t>Femmes</w:t>
            </w:r>
          </w:p>
        </w:tc>
        <w:tc>
          <w:tcPr>
            <w:tcW w:w="1303" w:type="dxa"/>
          </w:tcPr>
          <w:p w14:paraId="373E5F40" w14:textId="3BADAAB3" w:rsidR="00597131" w:rsidRPr="00461BE2" w:rsidRDefault="00597131" w:rsidP="006364E9">
            <w:pPr>
              <w:jc w:val="right"/>
            </w:pPr>
            <w:r w:rsidRPr="00461BE2">
              <w:t>4</w:t>
            </w:r>
            <w:r w:rsidR="00B266A6" w:rsidRPr="00461BE2">
              <w:t>1,</w:t>
            </w:r>
            <w:r w:rsidRPr="00461BE2">
              <w:t>5%</w:t>
            </w:r>
          </w:p>
        </w:tc>
        <w:tc>
          <w:tcPr>
            <w:tcW w:w="1304" w:type="dxa"/>
          </w:tcPr>
          <w:p w14:paraId="6ED8E15B" w14:textId="488C51D3" w:rsidR="00597131" w:rsidRPr="00461BE2" w:rsidRDefault="00B266A6" w:rsidP="006364E9">
            <w:pPr>
              <w:jc w:val="right"/>
            </w:pPr>
            <w:r w:rsidRPr="00461BE2">
              <w:t>41,</w:t>
            </w:r>
            <w:r w:rsidR="00597131" w:rsidRPr="00461BE2">
              <w:t>7%</w:t>
            </w:r>
          </w:p>
        </w:tc>
        <w:tc>
          <w:tcPr>
            <w:tcW w:w="1306" w:type="dxa"/>
          </w:tcPr>
          <w:p w14:paraId="114A485D" w14:textId="02390DE0" w:rsidR="00597131" w:rsidRPr="00461BE2" w:rsidRDefault="00B266A6" w:rsidP="006364E9">
            <w:pPr>
              <w:jc w:val="right"/>
            </w:pPr>
            <w:r w:rsidRPr="00461BE2">
              <w:t>42,</w:t>
            </w:r>
            <w:r w:rsidR="00597131" w:rsidRPr="00461BE2">
              <w:t>4%</w:t>
            </w:r>
          </w:p>
        </w:tc>
        <w:tc>
          <w:tcPr>
            <w:tcW w:w="1306" w:type="dxa"/>
          </w:tcPr>
          <w:p w14:paraId="69C6C544" w14:textId="730B1A5A" w:rsidR="00597131" w:rsidRPr="00461BE2" w:rsidRDefault="00B266A6" w:rsidP="006364E9">
            <w:pPr>
              <w:jc w:val="right"/>
            </w:pPr>
            <w:r w:rsidRPr="00461BE2">
              <w:t>42,</w:t>
            </w:r>
            <w:r w:rsidR="00597131" w:rsidRPr="00461BE2">
              <w:t>7%</w:t>
            </w:r>
          </w:p>
        </w:tc>
        <w:tc>
          <w:tcPr>
            <w:tcW w:w="1306" w:type="dxa"/>
          </w:tcPr>
          <w:p w14:paraId="098AA55D" w14:textId="4C64A25F" w:rsidR="00597131" w:rsidRPr="00461BE2" w:rsidRDefault="00B266A6" w:rsidP="006364E9">
            <w:pPr>
              <w:jc w:val="right"/>
            </w:pPr>
            <w:r w:rsidRPr="00461BE2">
              <w:t>43,</w:t>
            </w:r>
            <w:r w:rsidR="00597131" w:rsidRPr="00461BE2">
              <w:t>0%</w:t>
            </w:r>
          </w:p>
        </w:tc>
        <w:tc>
          <w:tcPr>
            <w:tcW w:w="1306" w:type="dxa"/>
          </w:tcPr>
          <w:p w14:paraId="26F6843A" w14:textId="713A3168" w:rsidR="00597131" w:rsidRPr="00461BE2" w:rsidRDefault="00B266A6" w:rsidP="006364E9">
            <w:pPr>
              <w:jc w:val="right"/>
            </w:pPr>
            <w:r w:rsidRPr="00461BE2">
              <w:t>43,</w:t>
            </w:r>
            <w:r w:rsidR="00597131" w:rsidRPr="00461BE2">
              <w:t>4%</w:t>
            </w:r>
          </w:p>
        </w:tc>
      </w:tr>
    </w:tbl>
    <w:p w14:paraId="1C7CB59C" w14:textId="2BAFEDF0" w:rsidR="005008CC" w:rsidRPr="00B758DD" w:rsidRDefault="009E708D" w:rsidP="007A189D">
      <w:pPr>
        <w:pStyle w:val="Heading3"/>
        <w:spacing w:before="320"/>
        <w:rPr>
          <w:lang w:val="fr-CA"/>
        </w:rPr>
      </w:pPr>
      <w:r>
        <w:rPr>
          <w:rStyle w:val="Heading3Char"/>
          <w:lang w:val="fr-CA"/>
        </w:rPr>
        <w:t>Représentation au sein des groupes de relève des cadres supérieurs</w:t>
      </w:r>
    </w:p>
    <w:p w14:paraId="32BC3A67" w14:textId="6B70A9AA" w:rsidR="005008CC" w:rsidRPr="00B758DD" w:rsidRDefault="00220B5D" w:rsidP="003B32BC">
      <w:pPr>
        <w:spacing w:after="120"/>
      </w:pPr>
      <w:r>
        <w:t xml:space="preserve">Vu que la majorité des mouvements vers </w:t>
      </w:r>
      <w:r w:rsidR="00254EB3">
        <w:t>l</w:t>
      </w:r>
      <w:r>
        <w:t xml:space="preserve">es postes de cadres supérieurs implique des fonctionnaires existants, on a évalué les caractéristiques démographiques des groupes </w:t>
      </w:r>
      <w:r w:rsidR="005008CC" w:rsidRPr="00B758DD">
        <w:t xml:space="preserve">EX-01 </w:t>
      </w:r>
      <w:r>
        <w:t>et</w:t>
      </w:r>
      <w:r w:rsidR="005008CC" w:rsidRPr="00B758DD">
        <w:t xml:space="preserve"> EX-02. </w:t>
      </w:r>
      <w:r>
        <w:t xml:space="preserve">Ces groupes de relève traditionnels ont tendance à être plus jeunes et plus représentatifs que les groupes </w:t>
      </w:r>
      <w:r w:rsidR="005008CC" w:rsidRPr="00B758DD">
        <w:t xml:space="preserve">EX-03 </w:t>
      </w:r>
      <w:r>
        <w:t>à</w:t>
      </w:r>
      <w:r w:rsidR="005008CC" w:rsidRPr="00B758DD">
        <w:t xml:space="preserve"> EX-05 </w:t>
      </w:r>
      <w:r w:rsidR="004E7A66">
        <w:t>même.</w:t>
      </w:r>
    </w:p>
    <w:p w14:paraId="24275023" w14:textId="4B616BE0" w:rsidR="004D61C4" w:rsidRPr="00B758DD" w:rsidRDefault="00220B5D" w:rsidP="003B32BC">
      <w:pPr>
        <w:pStyle w:val="ListParagraph"/>
        <w:numPr>
          <w:ilvl w:val="0"/>
          <w:numId w:val="31"/>
        </w:numPr>
        <w:spacing w:after="120"/>
        <w:contextualSpacing w:val="0"/>
      </w:pPr>
      <w:r>
        <w:t xml:space="preserve">Les principaux groupes de relève pour les postes </w:t>
      </w:r>
      <w:r w:rsidR="004D61C4" w:rsidRPr="00B758DD">
        <w:t xml:space="preserve">EX-03, EX-04 </w:t>
      </w:r>
      <w:r>
        <w:t>et</w:t>
      </w:r>
      <w:r w:rsidR="004D61C4" w:rsidRPr="00B758DD">
        <w:t xml:space="preserve"> EX-05</w:t>
      </w:r>
      <w:r>
        <w:t xml:space="preserve"> sont les cadres existants du groupe E</w:t>
      </w:r>
      <w:r w:rsidR="004E7A66">
        <w:t>X-02 et les candidats externes.</w:t>
      </w:r>
    </w:p>
    <w:p w14:paraId="133A1CF1" w14:textId="4FC00C9C" w:rsidR="004D61C4" w:rsidRPr="00B758DD" w:rsidRDefault="00220B5D" w:rsidP="003B32BC">
      <w:pPr>
        <w:pStyle w:val="ListParagraph"/>
        <w:numPr>
          <w:ilvl w:val="1"/>
          <w:numId w:val="31"/>
        </w:numPr>
        <w:spacing w:after="120"/>
        <w:contextualSpacing w:val="0"/>
      </w:pPr>
      <w:r>
        <w:t xml:space="preserve">Depuis 2014, plus de trois quarts des EX-03 nouvellement nommés </w:t>
      </w:r>
      <w:r w:rsidR="00254EB3">
        <w:t>sont venus</w:t>
      </w:r>
      <w:r>
        <w:t xml:space="preserve"> d’un poste EX-02. Environ 11</w:t>
      </w:r>
      <w:r w:rsidR="00D35491">
        <w:t> </w:t>
      </w:r>
      <w:r>
        <w:t xml:space="preserve">p. 100 </w:t>
      </w:r>
      <w:r w:rsidR="00254EB3">
        <w:t>sont venus</w:t>
      </w:r>
      <w:r>
        <w:t xml:space="preserve"> d’un poste EX-01 et moins de 7</w:t>
      </w:r>
      <w:r w:rsidR="00D35491">
        <w:t> </w:t>
      </w:r>
      <w:r>
        <w:t xml:space="preserve">p. 100 ont été embauchés </w:t>
      </w:r>
      <w:r w:rsidR="004E7A66">
        <w:t>de l’extérieur du gouvernement.</w:t>
      </w:r>
    </w:p>
    <w:p w14:paraId="0A68D60B" w14:textId="77777777" w:rsidR="0061652B" w:rsidRDefault="002F0BC3" w:rsidP="0061652B">
      <w:pPr>
        <w:keepNext/>
        <w:jc w:val="center"/>
      </w:pPr>
      <w:r w:rsidRPr="00B758DD">
        <w:rPr>
          <w:i/>
          <w:noProof/>
          <w:lang w:val="en-CA" w:eastAsia="en-CA"/>
        </w:rPr>
        <w:lastRenderedPageBreak/>
        <w:drawing>
          <wp:inline distT="0" distB="0" distL="0" distR="0" wp14:anchorId="5B8FB51B" wp14:editId="015601B0">
            <wp:extent cx="5943295" cy="3681094"/>
            <wp:effectExtent l="0" t="0" r="635" b="0"/>
            <wp:docPr id="5" name="Picture 5" descr="Un diagramme à barres empilées. Les barres empilées démontrent le groupe de relève pour le groupe EX-03 entre 2013-2014 et 2018-2019. Il y a quatre barres empilées : EX-01, EX-02, embauches externes et autres classifications." title="Groupes de relève pour le groupe EX-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eed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295" cy="3681094"/>
                    </a:xfrm>
                    <a:prstGeom prst="rect">
                      <a:avLst/>
                    </a:prstGeom>
                  </pic:spPr>
                </pic:pic>
              </a:graphicData>
            </a:graphic>
          </wp:inline>
        </w:drawing>
      </w:r>
    </w:p>
    <w:p w14:paraId="5BE5C731" w14:textId="19CA17E8" w:rsidR="0061652B" w:rsidRDefault="0061652B" w:rsidP="007A189D">
      <w:pPr>
        <w:pStyle w:val="Caption"/>
        <w:jc w:val="center"/>
      </w:pPr>
      <w:r>
        <w:t xml:space="preserve">Figure </w:t>
      </w:r>
      <w:r>
        <w:fldChar w:fldCharType="begin"/>
      </w:r>
      <w:r>
        <w:instrText xml:space="preserve"> SEQ Figure \* ARABIC </w:instrText>
      </w:r>
      <w:r>
        <w:fldChar w:fldCharType="separate"/>
      </w:r>
      <w:r>
        <w:rPr>
          <w:noProof/>
        </w:rPr>
        <w:t>2</w:t>
      </w:r>
      <w:r>
        <w:fldChar w:fldCharType="end"/>
      </w:r>
      <w:r w:rsidR="006E04F1">
        <w:t>  </w:t>
      </w:r>
      <w:r>
        <w:t xml:space="preserve">: </w:t>
      </w:r>
      <w:r w:rsidRPr="000C1819">
        <w:t>Groupes de relève pour le groupe EX-03</w:t>
      </w:r>
    </w:p>
    <w:p w14:paraId="126AAE7F" w14:textId="2E31C912" w:rsidR="0061652B" w:rsidRDefault="0061652B" w:rsidP="007A189D">
      <w:pPr>
        <w:pStyle w:val="Caption"/>
        <w:keepNext/>
        <w:spacing w:before="320"/>
        <w:jc w:val="center"/>
      </w:pPr>
      <w:r>
        <w:t xml:space="preserve">Table </w:t>
      </w:r>
      <w:r>
        <w:fldChar w:fldCharType="begin"/>
      </w:r>
      <w:r>
        <w:instrText xml:space="preserve"> SEQ Table \* ARABIC </w:instrText>
      </w:r>
      <w:r>
        <w:fldChar w:fldCharType="separate"/>
      </w:r>
      <w:r>
        <w:rPr>
          <w:noProof/>
        </w:rPr>
        <w:t>2</w:t>
      </w:r>
      <w:r>
        <w:fldChar w:fldCharType="end"/>
      </w:r>
      <w:r w:rsidR="006E04F1">
        <w:t> </w:t>
      </w:r>
      <w:r>
        <w:t xml:space="preserve">: </w:t>
      </w:r>
      <w:r w:rsidRPr="009461BA">
        <w:t>Groupes de relève pour le groupe EX-03</w:t>
      </w:r>
    </w:p>
    <w:tbl>
      <w:tblPr>
        <w:tblStyle w:val="TableGrid"/>
        <w:tblW w:w="0" w:type="auto"/>
        <w:tblLook w:val="04A0" w:firstRow="1" w:lastRow="0" w:firstColumn="1" w:lastColumn="0" w:noHBand="0" w:noVBand="1"/>
        <w:tblCaption w:val="Groupes de relève pour le groupe EX-03"/>
        <w:tblDescription w:val="Une table qui démontre les groupes de relève pour le groupe EX-03 entre 2013-2014 et 2018-2019. Il y a quatre groupes : EX-01, EX-02, embauches externes et autres classifications."/>
      </w:tblPr>
      <w:tblGrid>
        <w:gridCol w:w="1483"/>
        <w:gridCol w:w="1335"/>
        <w:gridCol w:w="1336"/>
        <w:gridCol w:w="1336"/>
        <w:gridCol w:w="1336"/>
        <w:gridCol w:w="1336"/>
        <w:gridCol w:w="1336"/>
      </w:tblGrid>
      <w:tr w:rsidR="00094376" w14:paraId="76C2DC02" w14:textId="77777777" w:rsidTr="0061652B">
        <w:trPr>
          <w:tblHeader/>
        </w:trPr>
        <w:tc>
          <w:tcPr>
            <w:tcW w:w="1483" w:type="dxa"/>
          </w:tcPr>
          <w:p w14:paraId="0A29F633" w14:textId="35397756" w:rsidR="00094376" w:rsidRPr="00461BE2" w:rsidRDefault="00094376" w:rsidP="00094376">
            <w:pPr>
              <w:jc w:val="center"/>
            </w:pPr>
            <w:r w:rsidRPr="00461BE2">
              <w:t>Groupe de relève</w:t>
            </w:r>
          </w:p>
        </w:tc>
        <w:tc>
          <w:tcPr>
            <w:tcW w:w="1335" w:type="dxa"/>
          </w:tcPr>
          <w:p w14:paraId="06D6AD04" w14:textId="77777777" w:rsidR="00094376" w:rsidRPr="00461BE2" w:rsidRDefault="00094376" w:rsidP="006364E9">
            <w:pPr>
              <w:jc w:val="center"/>
            </w:pPr>
            <w:r w:rsidRPr="00461BE2">
              <w:t>2013-2014</w:t>
            </w:r>
          </w:p>
        </w:tc>
        <w:tc>
          <w:tcPr>
            <w:tcW w:w="1336" w:type="dxa"/>
          </w:tcPr>
          <w:p w14:paraId="74B8258D" w14:textId="77777777" w:rsidR="00094376" w:rsidRPr="00461BE2" w:rsidRDefault="00094376" w:rsidP="006364E9">
            <w:pPr>
              <w:jc w:val="center"/>
            </w:pPr>
            <w:r w:rsidRPr="00461BE2">
              <w:t>2014-2015</w:t>
            </w:r>
          </w:p>
        </w:tc>
        <w:tc>
          <w:tcPr>
            <w:tcW w:w="1336" w:type="dxa"/>
          </w:tcPr>
          <w:p w14:paraId="57858DC7" w14:textId="77777777" w:rsidR="00094376" w:rsidRPr="00461BE2" w:rsidRDefault="00094376" w:rsidP="006364E9">
            <w:pPr>
              <w:jc w:val="center"/>
            </w:pPr>
            <w:r w:rsidRPr="00461BE2">
              <w:t>2015-2016</w:t>
            </w:r>
          </w:p>
        </w:tc>
        <w:tc>
          <w:tcPr>
            <w:tcW w:w="1336" w:type="dxa"/>
          </w:tcPr>
          <w:p w14:paraId="399CF95D" w14:textId="77777777" w:rsidR="00094376" w:rsidRPr="00461BE2" w:rsidRDefault="00094376" w:rsidP="006364E9">
            <w:pPr>
              <w:jc w:val="center"/>
            </w:pPr>
            <w:r w:rsidRPr="00461BE2">
              <w:t>2016-2017</w:t>
            </w:r>
          </w:p>
        </w:tc>
        <w:tc>
          <w:tcPr>
            <w:tcW w:w="1336" w:type="dxa"/>
          </w:tcPr>
          <w:p w14:paraId="5617381B" w14:textId="77777777" w:rsidR="00094376" w:rsidRPr="00461BE2" w:rsidRDefault="00094376" w:rsidP="006364E9">
            <w:pPr>
              <w:jc w:val="center"/>
            </w:pPr>
            <w:r w:rsidRPr="00461BE2">
              <w:t>2017-2018</w:t>
            </w:r>
          </w:p>
        </w:tc>
        <w:tc>
          <w:tcPr>
            <w:tcW w:w="1336" w:type="dxa"/>
          </w:tcPr>
          <w:p w14:paraId="53D03D0C" w14:textId="77777777" w:rsidR="00094376" w:rsidRPr="00461BE2" w:rsidRDefault="00094376" w:rsidP="006364E9">
            <w:pPr>
              <w:jc w:val="center"/>
            </w:pPr>
            <w:r w:rsidRPr="00461BE2">
              <w:t>2018-2019</w:t>
            </w:r>
          </w:p>
        </w:tc>
      </w:tr>
      <w:tr w:rsidR="00094376" w14:paraId="743F5B14" w14:textId="77777777" w:rsidTr="0061652B">
        <w:tc>
          <w:tcPr>
            <w:tcW w:w="1483" w:type="dxa"/>
          </w:tcPr>
          <w:p w14:paraId="2C7F3316" w14:textId="77777777" w:rsidR="00094376" w:rsidRPr="00461BE2" w:rsidRDefault="00094376" w:rsidP="006364E9">
            <w:r w:rsidRPr="00461BE2">
              <w:t>EX-01</w:t>
            </w:r>
          </w:p>
        </w:tc>
        <w:tc>
          <w:tcPr>
            <w:tcW w:w="1335" w:type="dxa"/>
          </w:tcPr>
          <w:p w14:paraId="26D79E4C" w14:textId="77777777" w:rsidR="00094376" w:rsidRPr="00461BE2" w:rsidRDefault="00094376" w:rsidP="006364E9">
            <w:pPr>
              <w:jc w:val="right"/>
            </w:pPr>
            <w:r w:rsidRPr="00461BE2">
              <w:t>18</w:t>
            </w:r>
          </w:p>
        </w:tc>
        <w:tc>
          <w:tcPr>
            <w:tcW w:w="1336" w:type="dxa"/>
          </w:tcPr>
          <w:p w14:paraId="38E09224" w14:textId="77777777" w:rsidR="00094376" w:rsidRPr="00461BE2" w:rsidRDefault="00094376" w:rsidP="006364E9">
            <w:pPr>
              <w:jc w:val="right"/>
            </w:pPr>
            <w:r w:rsidRPr="00461BE2">
              <w:t>15</w:t>
            </w:r>
          </w:p>
        </w:tc>
        <w:tc>
          <w:tcPr>
            <w:tcW w:w="1336" w:type="dxa"/>
          </w:tcPr>
          <w:p w14:paraId="1A534253" w14:textId="77777777" w:rsidR="00094376" w:rsidRPr="00461BE2" w:rsidRDefault="00094376" w:rsidP="006364E9">
            <w:pPr>
              <w:jc w:val="right"/>
            </w:pPr>
            <w:r w:rsidRPr="00461BE2">
              <w:t>18</w:t>
            </w:r>
          </w:p>
        </w:tc>
        <w:tc>
          <w:tcPr>
            <w:tcW w:w="1336" w:type="dxa"/>
          </w:tcPr>
          <w:p w14:paraId="07243C6D" w14:textId="77777777" w:rsidR="00094376" w:rsidRPr="00461BE2" w:rsidRDefault="00094376" w:rsidP="006364E9">
            <w:pPr>
              <w:jc w:val="right"/>
            </w:pPr>
            <w:r w:rsidRPr="00461BE2">
              <w:t>22</w:t>
            </w:r>
          </w:p>
        </w:tc>
        <w:tc>
          <w:tcPr>
            <w:tcW w:w="1336" w:type="dxa"/>
          </w:tcPr>
          <w:p w14:paraId="142EE603" w14:textId="77777777" w:rsidR="00094376" w:rsidRPr="00461BE2" w:rsidRDefault="00094376" w:rsidP="006364E9">
            <w:pPr>
              <w:jc w:val="right"/>
            </w:pPr>
            <w:r w:rsidRPr="00461BE2">
              <w:t>19</w:t>
            </w:r>
          </w:p>
        </w:tc>
        <w:tc>
          <w:tcPr>
            <w:tcW w:w="1336" w:type="dxa"/>
          </w:tcPr>
          <w:p w14:paraId="663AAE58" w14:textId="77777777" w:rsidR="00094376" w:rsidRPr="00461BE2" w:rsidRDefault="00094376" w:rsidP="006364E9">
            <w:pPr>
              <w:jc w:val="right"/>
            </w:pPr>
            <w:r w:rsidRPr="00461BE2">
              <w:t>14</w:t>
            </w:r>
          </w:p>
        </w:tc>
      </w:tr>
      <w:tr w:rsidR="00094376" w14:paraId="6119BA7A" w14:textId="77777777" w:rsidTr="0061652B">
        <w:tc>
          <w:tcPr>
            <w:tcW w:w="1483" w:type="dxa"/>
          </w:tcPr>
          <w:p w14:paraId="3D960ACC" w14:textId="77777777" w:rsidR="00094376" w:rsidRPr="00461BE2" w:rsidRDefault="00094376" w:rsidP="006364E9">
            <w:r w:rsidRPr="00461BE2">
              <w:t>EX-02</w:t>
            </w:r>
          </w:p>
        </w:tc>
        <w:tc>
          <w:tcPr>
            <w:tcW w:w="1335" w:type="dxa"/>
          </w:tcPr>
          <w:p w14:paraId="402909C1" w14:textId="77777777" w:rsidR="00094376" w:rsidRPr="00461BE2" w:rsidRDefault="00094376" w:rsidP="006364E9">
            <w:pPr>
              <w:jc w:val="right"/>
            </w:pPr>
            <w:r w:rsidRPr="00461BE2">
              <w:t>69</w:t>
            </w:r>
          </w:p>
        </w:tc>
        <w:tc>
          <w:tcPr>
            <w:tcW w:w="1336" w:type="dxa"/>
          </w:tcPr>
          <w:p w14:paraId="0167FC32" w14:textId="77777777" w:rsidR="00094376" w:rsidRPr="00461BE2" w:rsidRDefault="00094376" w:rsidP="006364E9">
            <w:pPr>
              <w:jc w:val="right"/>
            </w:pPr>
            <w:r w:rsidRPr="00461BE2">
              <w:t>107</w:t>
            </w:r>
          </w:p>
        </w:tc>
        <w:tc>
          <w:tcPr>
            <w:tcW w:w="1336" w:type="dxa"/>
          </w:tcPr>
          <w:p w14:paraId="0D42BDCB" w14:textId="77777777" w:rsidR="00094376" w:rsidRPr="00461BE2" w:rsidRDefault="00094376" w:rsidP="006364E9">
            <w:pPr>
              <w:jc w:val="right"/>
            </w:pPr>
            <w:r w:rsidRPr="00461BE2">
              <w:t>91</w:t>
            </w:r>
          </w:p>
        </w:tc>
        <w:tc>
          <w:tcPr>
            <w:tcW w:w="1336" w:type="dxa"/>
          </w:tcPr>
          <w:p w14:paraId="5477CDFE" w14:textId="77777777" w:rsidR="00094376" w:rsidRPr="00461BE2" w:rsidRDefault="00094376" w:rsidP="006364E9">
            <w:pPr>
              <w:jc w:val="right"/>
            </w:pPr>
            <w:r w:rsidRPr="00461BE2">
              <w:t>109</w:t>
            </w:r>
          </w:p>
        </w:tc>
        <w:tc>
          <w:tcPr>
            <w:tcW w:w="1336" w:type="dxa"/>
          </w:tcPr>
          <w:p w14:paraId="132665ED" w14:textId="77777777" w:rsidR="00094376" w:rsidRPr="00461BE2" w:rsidRDefault="00094376" w:rsidP="006364E9">
            <w:pPr>
              <w:jc w:val="right"/>
            </w:pPr>
            <w:r w:rsidRPr="00461BE2">
              <w:t>157</w:t>
            </w:r>
          </w:p>
        </w:tc>
        <w:tc>
          <w:tcPr>
            <w:tcW w:w="1336" w:type="dxa"/>
          </w:tcPr>
          <w:p w14:paraId="4320EC65" w14:textId="77777777" w:rsidR="00094376" w:rsidRPr="00461BE2" w:rsidRDefault="00094376" w:rsidP="006364E9">
            <w:pPr>
              <w:jc w:val="right"/>
            </w:pPr>
            <w:r w:rsidRPr="00461BE2">
              <w:t>138</w:t>
            </w:r>
          </w:p>
        </w:tc>
      </w:tr>
      <w:tr w:rsidR="00094376" w14:paraId="4D5F74A7" w14:textId="77777777" w:rsidTr="0061652B">
        <w:tc>
          <w:tcPr>
            <w:tcW w:w="1483" w:type="dxa"/>
          </w:tcPr>
          <w:p w14:paraId="3313C7B7" w14:textId="681E424F" w:rsidR="00094376" w:rsidRPr="00461BE2" w:rsidRDefault="00094376" w:rsidP="00094376">
            <w:r w:rsidRPr="00461BE2">
              <w:t>Embauches externes</w:t>
            </w:r>
          </w:p>
        </w:tc>
        <w:tc>
          <w:tcPr>
            <w:tcW w:w="1335" w:type="dxa"/>
          </w:tcPr>
          <w:p w14:paraId="18E198D1" w14:textId="77777777" w:rsidR="00094376" w:rsidRPr="00461BE2" w:rsidRDefault="00094376" w:rsidP="006364E9">
            <w:pPr>
              <w:jc w:val="right"/>
            </w:pPr>
            <w:r w:rsidRPr="00461BE2">
              <w:t>8</w:t>
            </w:r>
          </w:p>
        </w:tc>
        <w:tc>
          <w:tcPr>
            <w:tcW w:w="1336" w:type="dxa"/>
          </w:tcPr>
          <w:p w14:paraId="21B03B88" w14:textId="77777777" w:rsidR="00094376" w:rsidRPr="00461BE2" w:rsidRDefault="00094376" w:rsidP="006364E9">
            <w:pPr>
              <w:jc w:val="right"/>
            </w:pPr>
            <w:r w:rsidRPr="00461BE2">
              <w:t>7</w:t>
            </w:r>
          </w:p>
        </w:tc>
        <w:tc>
          <w:tcPr>
            <w:tcW w:w="1336" w:type="dxa"/>
          </w:tcPr>
          <w:p w14:paraId="00E88D54" w14:textId="77777777" w:rsidR="00094376" w:rsidRPr="00461BE2" w:rsidRDefault="00094376" w:rsidP="006364E9">
            <w:pPr>
              <w:jc w:val="right"/>
            </w:pPr>
            <w:r w:rsidRPr="00461BE2">
              <w:t>9</w:t>
            </w:r>
          </w:p>
        </w:tc>
        <w:tc>
          <w:tcPr>
            <w:tcW w:w="1336" w:type="dxa"/>
          </w:tcPr>
          <w:p w14:paraId="7482767A" w14:textId="77777777" w:rsidR="00094376" w:rsidRPr="00461BE2" w:rsidRDefault="00094376" w:rsidP="006364E9">
            <w:pPr>
              <w:jc w:val="right"/>
            </w:pPr>
            <w:r w:rsidRPr="00461BE2">
              <w:t>11</w:t>
            </w:r>
          </w:p>
        </w:tc>
        <w:tc>
          <w:tcPr>
            <w:tcW w:w="1336" w:type="dxa"/>
          </w:tcPr>
          <w:p w14:paraId="4C08118B" w14:textId="77777777" w:rsidR="00094376" w:rsidRPr="00461BE2" w:rsidRDefault="00094376" w:rsidP="006364E9">
            <w:pPr>
              <w:jc w:val="right"/>
            </w:pPr>
            <w:r w:rsidRPr="00461BE2">
              <w:t>13</w:t>
            </w:r>
          </w:p>
        </w:tc>
        <w:tc>
          <w:tcPr>
            <w:tcW w:w="1336" w:type="dxa"/>
          </w:tcPr>
          <w:p w14:paraId="6C95E42D" w14:textId="77777777" w:rsidR="00094376" w:rsidRPr="00461BE2" w:rsidRDefault="00094376" w:rsidP="006364E9">
            <w:pPr>
              <w:jc w:val="right"/>
            </w:pPr>
            <w:r w:rsidRPr="00461BE2">
              <w:t>12</w:t>
            </w:r>
          </w:p>
        </w:tc>
      </w:tr>
      <w:tr w:rsidR="00094376" w14:paraId="4807BDC4" w14:textId="77777777" w:rsidTr="0061652B">
        <w:tc>
          <w:tcPr>
            <w:tcW w:w="1483" w:type="dxa"/>
          </w:tcPr>
          <w:p w14:paraId="620B107E" w14:textId="68C76C68" w:rsidR="00094376" w:rsidRPr="00461BE2" w:rsidRDefault="00094376" w:rsidP="006364E9">
            <w:r w:rsidRPr="00461BE2">
              <w:t>Autres classifications</w:t>
            </w:r>
          </w:p>
        </w:tc>
        <w:tc>
          <w:tcPr>
            <w:tcW w:w="1335" w:type="dxa"/>
          </w:tcPr>
          <w:p w14:paraId="5D84AC34" w14:textId="77777777" w:rsidR="00094376" w:rsidRPr="00461BE2" w:rsidRDefault="00094376" w:rsidP="006364E9">
            <w:pPr>
              <w:jc w:val="right"/>
            </w:pPr>
            <w:r w:rsidRPr="00461BE2">
              <w:t>3</w:t>
            </w:r>
          </w:p>
        </w:tc>
        <w:tc>
          <w:tcPr>
            <w:tcW w:w="1336" w:type="dxa"/>
          </w:tcPr>
          <w:p w14:paraId="45CF3F73" w14:textId="77777777" w:rsidR="00094376" w:rsidRPr="00461BE2" w:rsidRDefault="00094376" w:rsidP="006364E9">
            <w:pPr>
              <w:jc w:val="right"/>
            </w:pPr>
            <w:r w:rsidRPr="00461BE2">
              <w:t>5</w:t>
            </w:r>
          </w:p>
        </w:tc>
        <w:tc>
          <w:tcPr>
            <w:tcW w:w="1336" w:type="dxa"/>
          </w:tcPr>
          <w:p w14:paraId="3AC20295" w14:textId="77777777" w:rsidR="00094376" w:rsidRPr="00461BE2" w:rsidRDefault="00094376" w:rsidP="006364E9">
            <w:pPr>
              <w:jc w:val="right"/>
            </w:pPr>
            <w:r w:rsidRPr="00461BE2">
              <w:t>11</w:t>
            </w:r>
          </w:p>
        </w:tc>
        <w:tc>
          <w:tcPr>
            <w:tcW w:w="1336" w:type="dxa"/>
          </w:tcPr>
          <w:p w14:paraId="3FE9E5DF" w14:textId="77777777" w:rsidR="00094376" w:rsidRPr="00461BE2" w:rsidRDefault="00094376" w:rsidP="006364E9">
            <w:pPr>
              <w:jc w:val="right"/>
            </w:pPr>
            <w:r w:rsidRPr="00461BE2">
              <w:t>8</w:t>
            </w:r>
          </w:p>
        </w:tc>
        <w:tc>
          <w:tcPr>
            <w:tcW w:w="1336" w:type="dxa"/>
          </w:tcPr>
          <w:p w14:paraId="0B246A64" w14:textId="77777777" w:rsidR="00094376" w:rsidRPr="00461BE2" w:rsidRDefault="00094376" w:rsidP="006364E9">
            <w:pPr>
              <w:jc w:val="right"/>
            </w:pPr>
            <w:r w:rsidRPr="00461BE2">
              <w:t>6</w:t>
            </w:r>
          </w:p>
        </w:tc>
        <w:tc>
          <w:tcPr>
            <w:tcW w:w="1336" w:type="dxa"/>
          </w:tcPr>
          <w:p w14:paraId="0F1231A8" w14:textId="77777777" w:rsidR="00094376" w:rsidRPr="00461BE2" w:rsidRDefault="00094376" w:rsidP="006364E9">
            <w:pPr>
              <w:jc w:val="right"/>
            </w:pPr>
            <w:r w:rsidRPr="00461BE2">
              <w:t>7</w:t>
            </w:r>
          </w:p>
        </w:tc>
      </w:tr>
    </w:tbl>
    <w:p w14:paraId="7A2A8241" w14:textId="798E2E3F" w:rsidR="003860EB" w:rsidRPr="00B758DD" w:rsidRDefault="00C4033B" w:rsidP="007A189D">
      <w:pPr>
        <w:pStyle w:val="ListParagraph"/>
        <w:numPr>
          <w:ilvl w:val="0"/>
          <w:numId w:val="31"/>
        </w:numPr>
        <w:spacing w:before="320"/>
        <w:ind w:left="714" w:hanging="357"/>
      </w:pPr>
      <w:r>
        <w:t>En</w:t>
      </w:r>
      <w:r w:rsidR="00D1354A">
        <w:t xml:space="preserve"> 2018-2019, la représentation </w:t>
      </w:r>
      <w:r w:rsidR="00254EB3">
        <w:t xml:space="preserve">des groupes visés par </w:t>
      </w:r>
      <w:r w:rsidR="00D1354A">
        <w:t>l’équité en matière d’emploi au sein du groupe EX-02 était supérieure à celle au sein des groupes EX-03 à EX-05, à l’exception des personnes handicapées (</w:t>
      </w:r>
      <w:r w:rsidR="004D61C4" w:rsidRPr="00B758DD">
        <w:t>4</w:t>
      </w:r>
      <w:r w:rsidR="00D1354A">
        <w:t>,</w:t>
      </w:r>
      <w:r w:rsidR="004D61C4" w:rsidRPr="00B758DD">
        <w:t>8</w:t>
      </w:r>
      <w:r w:rsidR="00D35491">
        <w:t> </w:t>
      </w:r>
      <w:r w:rsidR="00D1354A">
        <w:t xml:space="preserve">p. 100 dans les groupes </w:t>
      </w:r>
      <w:r w:rsidR="004D61C4" w:rsidRPr="00B758DD">
        <w:t xml:space="preserve">EX-03 </w:t>
      </w:r>
      <w:r w:rsidR="00D1354A">
        <w:t>à</w:t>
      </w:r>
      <w:r w:rsidR="004D61C4" w:rsidRPr="00B758DD">
        <w:t xml:space="preserve"> EX-05; 4</w:t>
      </w:r>
      <w:r w:rsidR="00D1354A">
        <w:t>,</w:t>
      </w:r>
      <w:r w:rsidR="004D61C4" w:rsidRPr="00B758DD">
        <w:t>3</w:t>
      </w:r>
      <w:r w:rsidR="00D35491">
        <w:t> </w:t>
      </w:r>
      <w:r w:rsidR="00D1354A">
        <w:t>p. 100 dans le groupe de relève EX-02</w:t>
      </w:r>
      <w:r w:rsidR="004D61C4" w:rsidRPr="00B758DD">
        <w:t>).</w:t>
      </w:r>
    </w:p>
    <w:p w14:paraId="5D8DF870" w14:textId="12A8A5ED" w:rsidR="00532BCB" w:rsidRPr="00B758DD" w:rsidRDefault="00C4033B" w:rsidP="00234D67">
      <w:pPr>
        <w:pStyle w:val="Heading3"/>
        <w:rPr>
          <w:lang w:val="fr-CA"/>
        </w:rPr>
      </w:pPr>
      <w:r>
        <w:rPr>
          <w:lang w:val="fr-CA"/>
        </w:rPr>
        <w:lastRenderedPageBreak/>
        <w:t>Dotation</w:t>
      </w:r>
    </w:p>
    <w:p w14:paraId="323686DE" w14:textId="3165BE74" w:rsidR="00823F7C" w:rsidRPr="00B758DD" w:rsidRDefault="009E708D" w:rsidP="003B32BC">
      <w:pPr>
        <w:spacing w:after="120"/>
      </w:pPr>
      <w:r>
        <w:t>Les activités de dotation</w:t>
      </w:r>
      <w:r w:rsidR="00DD5163">
        <w:t xml:space="preserve"> visant les postes EX-03 à EX-05, </w:t>
      </w:r>
      <w:r w:rsidR="00D1354A">
        <w:t>lesquelles comprennent les embauches de l’extérieur de la fonction publique et les promotions internes, ont augmenté au cours des dernières années et ont pris une avance</w:t>
      </w:r>
      <w:r w:rsidR="004E7A66">
        <w:t xml:space="preserve"> sur les départs de ces postes.</w:t>
      </w:r>
    </w:p>
    <w:p w14:paraId="7C0AA0B4" w14:textId="19C78F7B" w:rsidR="003860EB" w:rsidRPr="00B758DD" w:rsidRDefault="00D1354A" w:rsidP="003B32BC">
      <w:pPr>
        <w:pStyle w:val="ListParagraph"/>
        <w:numPr>
          <w:ilvl w:val="0"/>
          <w:numId w:val="32"/>
        </w:numPr>
        <w:spacing w:after="120"/>
        <w:contextualSpacing w:val="0"/>
      </w:pPr>
      <w:r>
        <w:t>Les activités de dotation annuelles visant les nominations aux postes de cadres supérieurs ont augmenté et sont passées de 151 e</w:t>
      </w:r>
      <w:r w:rsidR="004E7A66">
        <w:t>n 2013-2014 à 239 en 2018-2019.</w:t>
      </w:r>
    </w:p>
    <w:p w14:paraId="1EFDDC07" w14:textId="57AAD7D3" w:rsidR="00511B03" w:rsidRPr="00B758DD" w:rsidRDefault="00D1354A" w:rsidP="003B32BC">
      <w:pPr>
        <w:pStyle w:val="ListParagraph"/>
        <w:numPr>
          <w:ilvl w:val="0"/>
          <w:numId w:val="32"/>
        </w:numPr>
        <w:spacing w:after="120"/>
        <w:contextualSpacing w:val="0"/>
      </w:pPr>
      <w:r>
        <w:t xml:space="preserve">La majorité des cadres des groupes </w:t>
      </w:r>
      <w:r w:rsidR="00BC2EA5" w:rsidRPr="00B758DD">
        <w:t xml:space="preserve">EX-03, EX-04 </w:t>
      </w:r>
      <w:r>
        <w:t>et</w:t>
      </w:r>
      <w:r w:rsidR="00BC2EA5" w:rsidRPr="00B758DD">
        <w:t xml:space="preserve"> EX-05 </w:t>
      </w:r>
      <w:r>
        <w:t xml:space="preserve">intègrent ces groupes </w:t>
      </w:r>
      <w:r w:rsidR="00DD5163">
        <w:t>en raison d’u</w:t>
      </w:r>
      <w:r>
        <w:t xml:space="preserve">ne promotion. En </w:t>
      </w:r>
      <w:r w:rsidR="00EF1B8F" w:rsidRPr="00B758DD">
        <w:t xml:space="preserve">2018-2019, </w:t>
      </w:r>
      <w:r w:rsidR="00BC2EA5" w:rsidRPr="00B758DD">
        <w:t>13</w:t>
      </w:r>
      <w:r w:rsidR="00D35491">
        <w:t> </w:t>
      </w:r>
      <w:r>
        <w:t>p. 100 des activités de do</w:t>
      </w:r>
      <w:r w:rsidR="00254EB3">
        <w:t>tation visant l</w:t>
      </w:r>
      <w:r>
        <w:t xml:space="preserve">es postes </w:t>
      </w:r>
      <w:r w:rsidR="00C155B8" w:rsidRPr="00B758DD">
        <w:t xml:space="preserve">EX-03 </w:t>
      </w:r>
      <w:r>
        <w:t xml:space="preserve">à </w:t>
      </w:r>
      <w:r w:rsidR="00C155B8" w:rsidRPr="00B758DD">
        <w:t xml:space="preserve">EX-05 </w:t>
      </w:r>
      <w:r w:rsidR="00254EB3">
        <w:t xml:space="preserve">impliquaient </w:t>
      </w:r>
      <w:r>
        <w:t>des personnes de l’extérieur de la fonction publique, tandis que 87</w:t>
      </w:r>
      <w:r w:rsidR="00D35491">
        <w:t> </w:t>
      </w:r>
      <w:r>
        <w:t>p. 100 des activités découlaient de promotio</w:t>
      </w:r>
      <w:r w:rsidR="004E7A66">
        <w:t>ns de fonctionnaires existants.</w:t>
      </w:r>
    </w:p>
    <w:p w14:paraId="4650A659" w14:textId="1A50D8B8" w:rsidR="007C0004" w:rsidRPr="00B758DD" w:rsidRDefault="00D1354A" w:rsidP="003B32BC">
      <w:pPr>
        <w:pStyle w:val="ListParagraph"/>
        <w:numPr>
          <w:ilvl w:val="1"/>
          <w:numId w:val="32"/>
        </w:numPr>
        <w:spacing w:after="120"/>
        <w:contextualSpacing w:val="0"/>
      </w:pPr>
      <w:r>
        <w:t xml:space="preserve">Vu le nombre restreint de postes </w:t>
      </w:r>
      <w:r w:rsidR="00ED57FE" w:rsidRPr="00B758DD">
        <w:t xml:space="preserve">EX-04 </w:t>
      </w:r>
      <w:r>
        <w:t>et</w:t>
      </w:r>
      <w:r w:rsidR="00ED57FE" w:rsidRPr="00B758DD">
        <w:t xml:space="preserve"> EX-05</w:t>
      </w:r>
      <w:r>
        <w:t>, plus de 65</w:t>
      </w:r>
      <w:r w:rsidR="00D35491">
        <w:t> </w:t>
      </w:r>
      <w:r>
        <w:t>p. 100 des mouvements impliquant une nomination à un poste de cadre supérieur ont visé les nominations vers le groupe EX-03. En 2018-2019, 71,5</w:t>
      </w:r>
      <w:r w:rsidR="00D35491">
        <w:t> </w:t>
      </w:r>
      <w:r>
        <w:t>p. 100 des nouveaux cadres supérieurs ont été nommés à des postes dans le groupe EX-03.</w:t>
      </w:r>
    </w:p>
    <w:p w14:paraId="64495707" w14:textId="74200CFE" w:rsidR="002809FA" w:rsidRPr="00B758DD" w:rsidRDefault="00D1354A" w:rsidP="003B32BC">
      <w:pPr>
        <w:pStyle w:val="ListParagraph"/>
        <w:numPr>
          <w:ilvl w:val="0"/>
          <w:numId w:val="33"/>
        </w:numPr>
        <w:spacing w:after="120"/>
        <w:contextualSpacing w:val="0"/>
      </w:pPr>
      <w:r>
        <w:t xml:space="preserve">La représentation aux fins de l’équité en matière d’emploi des mesures de dotation visant les nominations aux postes de cadres supérieurs a fluctué au cours des dernières années, mais affiche une tendance à la hausse, et ce </w:t>
      </w:r>
      <w:r w:rsidR="004E7A66">
        <w:t>pour tous les groupes.</w:t>
      </w:r>
    </w:p>
    <w:p w14:paraId="02460DA2" w14:textId="032B79FB" w:rsidR="0024006E" w:rsidRPr="00B758DD" w:rsidRDefault="00D1354A" w:rsidP="003B32BC">
      <w:pPr>
        <w:pStyle w:val="ListParagraph"/>
        <w:numPr>
          <w:ilvl w:val="1"/>
          <w:numId w:val="32"/>
        </w:numPr>
        <w:spacing w:after="120"/>
        <w:contextualSpacing w:val="0"/>
      </w:pPr>
      <w:r>
        <w:t xml:space="preserve">Au cours des cinq dernières années, </w:t>
      </w:r>
      <w:r w:rsidR="00DD5163">
        <w:t>entre</w:t>
      </w:r>
      <w:r w:rsidR="00220B5D">
        <w:t xml:space="preserve"> 5 </w:t>
      </w:r>
      <w:r w:rsidR="00DD5163">
        <w:t xml:space="preserve">et </w:t>
      </w:r>
      <w:r w:rsidR="00220B5D">
        <w:t>11 personnes handicapées ont été nouvellement nommées tous les ans à des postes de cadres supérieurs</w:t>
      </w:r>
      <w:r w:rsidR="009A00C8" w:rsidRPr="00B758DD">
        <w:t>.</w:t>
      </w:r>
      <w:r w:rsidR="00D55836" w:rsidRPr="00B758DD">
        <w:t xml:space="preserve"> </w:t>
      </w:r>
      <w:r w:rsidR="00220B5D">
        <w:t>E</w:t>
      </w:r>
      <w:r w:rsidR="00D55836" w:rsidRPr="00B758DD">
        <w:t xml:space="preserve">n 2018-2019, </w:t>
      </w:r>
      <w:r w:rsidR="00220B5D">
        <w:t xml:space="preserve">la part des mesures de dotation visant des cadres supérieurs </w:t>
      </w:r>
      <w:r w:rsidR="00254EB3">
        <w:t xml:space="preserve">revenant à ce groupe </w:t>
      </w:r>
      <w:r w:rsidR="00220B5D">
        <w:t>s</w:t>
      </w:r>
      <w:r w:rsidR="00DD5163">
        <w:t xml:space="preserve">e chiffrait </w:t>
      </w:r>
      <w:r w:rsidR="00220B5D">
        <w:t>à 4,6</w:t>
      </w:r>
      <w:r w:rsidR="00D35491">
        <w:t> </w:t>
      </w:r>
      <w:r w:rsidR="00220B5D">
        <w:t>p. 100 (11)</w:t>
      </w:r>
      <w:r w:rsidR="00D55836" w:rsidRPr="00B758DD">
        <w:t>.</w:t>
      </w:r>
    </w:p>
    <w:p w14:paraId="28546E28" w14:textId="529E80BB" w:rsidR="0024006E" w:rsidRPr="00B758DD" w:rsidRDefault="00220B5D" w:rsidP="003B32BC">
      <w:pPr>
        <w:pStyle w:val="ListParagraph"/>
        <w:numPr>
          <w:ilvl w:val="1"/>
          <w:numId w:val="32"/>
        </w:numPr>
        <w:spacing w:after="120"/>
        <w:contextualSpacing w:val="0"/>
      </w:pPr>
      <w:r>
        <w:t>Au cou</w:t>
      </w:r>
      <w:r w:rsidR="00DD5163">
        <w:t>rs des cinq dernières années, entre</w:t>
      </w:r>
      <w:r>
        <w:t xml:space="preserve"> 2 </w:t>
      </w:r>
      <w:r w:rsidR="00DD5163">
        <w:t>et</w:t>
      </w:r>
      <w:r>
        <w:t xml:space="preserve"> 12 Autochtones ont été nouvellement nommés tous les ans à des postes de cadres supérieurs</w:t>
      </w:r>
      <w:r w:rsidRPr="00B758DD">
        <w:t xml:space="preserve">. </w:t>
      </w:r>
      <w:r>
        <w:t>E</w:t>
      </w:r>
      <w:r w:rsidRPr="00B758DD">
        <w:t xml:space="preserve">n 2018-2019, </w:t>
      </w:r>
      <w:r>
        <w:t xml:space="preserve">la part des mesures de dotation visant des cadres supérieurs </w:t>
      </w:r>
      <w:r w:rsidR="00254EB3">
        <w:t xml:space="preserve">revenant à ce groupe </w:t>
      </w:r>
      <w:r>
        <w:t>s</w:t>
      </w:r>
      <w:r w:rsidR="00DD5163">
        <w:t xml:space="preserve">e chiffrait </w:t>
      </w:r>
      <w:r>
        <w:t>à 3,8</w:t>
      </w:r>
      <w:r w:rsidR="00D35491">
        <w:t> </w:t>
      </w:r>
      <w:r>
        <w:t>p. 100 (9)</w:t>
      </w:r>
      <w:r w:rsidRPr="00B758DD">
        <w:t>.</w:t>
      </w:r>
    </w:p>
    <w:p w14:paraId="4CF45629" w14:textId="6C46C9A7" w:rsidR="0024006E" w:rsidRPr="00B758DD" w:rsidRDefault="00220B5D" w:rsidP="003B32BC">
      <w:pPr>
        <w:pStyle w:val="ListParagraph"/>
        <w:numPr>
          <w:ilvl w:val="1"/>
          <w:numId w:val="32"/>
        </w:numPr>
        <w:spacing w:after="120"/>
        <w:contextualSpacing w:val="0"/>
      </w:pPr>
      <w:r>
        <w:t xml:space="preserve">Au cours des cinq dernières années, </w:t>
      </w:r>
      <w:r w:rsidR="00DD5163">
        <w:t>entre</w:t>
      </w:r>
      <w:r>
        <w:t xml:space="preserve"> 10</w:t>
      </w:r>
      <w:r w:rsidR="00DD5163">
        <w:t xml:space="preserve"> et</w:t>
      </w:r>
      <w:r>
        <w:t xml:space="preserve"> 27 membres de minorités visibles ont été nouvellement nommés tous les ans à des postes de cadres supérieurs</w:t>
      </w:r>
      <w:r w:rsidRPr="00B758DD">
        <w:t xml:space="preserve">. </w:t>
      </w:r>
      <w:r>
        <w:t>E</w:t>
      </w:r>
      <w:r w:rsidRPr="00B758DD">
        <w:t xml:space="preserve">n 2018-2019, </w:t>
      </w:r>
      <w:r>
        <w:t xml:space="preserve">la part des mesures de dotation visant des cadres supérieurs </w:t>
      </w:r>
      <w:r w:rsidR="00254EB3">
        <w:t xml:space="preserve">revenant à ce groupe </w:t>
      </w:r>
      <w:r>
        <w:t>s</w:t>
      </w:r>
      <w:r w:rsidR="00DD5163">
        <w:t xml:space="preserve">e chiffrait </w:t>
      </w:r>
      <w:r>
        <w:t>à 11,3</w:t>
      </w:r>
      <w:r w:rsidR="00D35491">
        <w:t> </w:t>
      </w:r>
      <w:r>
        <w:t>p. 100 (27)</w:t>
      </w:r>
      <w:r w:rsidRPr="00B758DD">
        <w:t>.</w:t>
      </w:r>
    </w:p>
    <w:p w14:paraId="3BA2EF46" w14:textId="0EE57B92" w:rsidR="0024006E" w:rsidRPr="00B758DD" w:rsidRDefault="00220B5D" w:rsidP="003B32BC">
      <w:pPr>
        <w:pStyle w:val="ListParagraph"/>
        <w:numPr>
          <w:ilvl w:val="1"/>
          <w:numId w:val="32"/>
        </w:numPr>
        <w:spacing w:after="120"/>
        <w:contextualSpacing w:val="0"/>
      </w:pPr>
      <w:r>
        <w:t xml:space="preserve">Au cours des cinq dernières années, </w:t>
      </w:r>
      <w:r w:rsidR="00254EB3">
        <w:t>entre</w:t>
      </w:r>
      <w:r>
        <w:t xml:space="preserve"> 65 </w:t>
      </w:r>
      <w:r w:rsidR="00254EB3">
        <w:t xml:space="preserve">et </w:t>
      </w:r>
      <w:r>
        <w:t>144 femmes ont été nouvellement nommées tous les ans à des postes de cadres supérieurs</w:t>
      </w:r>
      <w:r w:rsidRPr="00B758DD">
        <w:t xml:space="preserve">. </w:t>
      </w:r>
      <w:r>
        <w:t>E</w:t>
      </w:r>
      <w:r w:rsidRPr="00B758DD">
        <w:t xml:space="preserve">n 2018-2019, </w:t>
      </w:r>
      <w:r>
        <w:t xml:space="preserve">la part des mesures de dotation visant des cadres supérieurs </w:t>
      </w:r>
      <w:r w:rsidR="00254EB3">
        <w:t xml:space="preserve">revenant à ce groupe </w:t>
      </w:r>
      <w:r>
        <w:t>s</w:t>
      </w:r>
      <w:r w:rsidR="00DD5163">
        <w:t xml:space="preserve">e chiffrait </w:t>
      </w:r>
      <w:r>
        <w:t>à 48,7</w:t>
      </w:r>
      <w:r w:rsidR="00D35491">
        <w:t> </w:t>
      </w:r>
      <w:r>
        <w:t>p. 100 (116)</w:t>
      </w:r>
      <w:r w:rsidRPr="00B758DD">
        <w:t>.</w:t>
      </w:r>
    </w:p>
    <w:p w14:paraId="59B26E63" w14:textId="77777777" w:rsidR="0061652B" w:rsidRDefault="00257CF2" w:rsidP="0061652B">
      <w:pPr>
        <w:keepNext/>
        <w:jc w:val="center"/>
      </w:pPr>
      <w:r w:rsidRPr="00B758DD">
        <w:rPr>
          <w:noProof/>
          <w:lang w:val="en-CA" w:eastAsia="en-CA"/>
        </w:rPr>
        <w:lastRenderedPageBreak/>
        <w:drawing>
          <wp:inline distT="0" distB="0" distL="0" distR="0" wp14:anchorId="4CA753B9" wp14:editId="2A5DFEA2">
            <wp:extent cx="5478870" cy="3393443"/>
            <wp:effectExtent l="0" t="0" r="7620" b="0"/>
            <wp:docPr id="2" name="Picture 2" descr="Un graphique linéaire qui démontre le nombre d'embauches externes et promotions visant les cadres supérieurs entre 2013-2014 et 2018-2019. Chaque ligne représente un groupe d'équité en matière d'emploi." title="Embauche de l'extérieur de la fonction publique et promotions internes visant les cadres supérie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ruitmen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78870" cy="3393443"/>
                    </a:xfrm>
                    <a:prstGeom prst="rect">
                      <a:avLst/>
                    </a:prstGeom>
                  </pic:spPr>
                </pic:pic>
              </a:graphicData>
            </a:graphic>
          </wp:inline>
        </w:drawing>
      </w:r>
    </w:p>
    <w:p w14:paraId="7E59F042" w14:textId="7E9964EE" w:rsidR="0061652B" w:rsidRPr="00094376" w:rsidRDefault="0061652B" w:rsidP="007A189D">
      <w:pPr>
        <w:pStyle w:val="Caption"/>
        <w:jc w:val="center"/>
      </w:pPr>
      <w:r>
        <w:t xml:space="preserve">Figure </w:t>
      </w:r>
      <w:r>
        <w:fldChar w:fldCharType="begin"/>
      </w:r>
      <w:r>
        <w:instrText xml:space="preserve"> SEQ Figure \* ARABIC </w:instrText>
      </w:r>
      <w:r>
        <w:fldChar w:fldCharType="separate"/>
      </w:r>
      <w:r>
        <w:rPr>
          <w:noProof/>
        </w:rPr>
        <w:t>3</w:t>
      </w:r>
      <w:r>
        <w:fldChar w:fldCharType="end"/>
      </w:r>
      <w:r w:rsidR="006E04F1">
        <w:t> </w:t>
      </w:r>
      <w:r>
        <w:t xml:space="preserve">: </w:t>
      </w:r>
      <w:r w:rsidRPr="00535384">
        <w:t>Embauches de l’extérieur de la fonction publique et promotions internes visant les cadres supérieurs</w:t>
      </w:r>
    </w:p>
    <w:p w14:paraId="611077E9" w14:textId="4D3432BD" w:rsidR="0061652B" w:rsidRDefault="0061652B" w:rsidP="007A189D">
      <w:pPr>
        <w:pStyle w:val="Caption"/>
        <w:keepNext/>
        <w:spacing w:before="320"/>
        <w:jc w:val="center"/>
      </w:pPr>
      <w:r>
        <w:t xml:space="preserve">Table </w:t>
      </w:r>
      <w:r>
        <w:fldChar w:fldCharType="begin"/>
      </w:r>
      <w:r>
        <w:instrText xml:space="preserve"> SEQ Table \* ARABIC </w:instrText>
      </w:r>
      <w:r>
        <w:fldChar w:fldCharType="separate"/>
      </w:r>
      <w:r>
        <w:rPr>
          <w:noProof/>
        </w:rPr>
        <w:t>3</w:t>
      </w:r>
      <w:r>
        <w:fldChar w:fldCharType="end"/>
      </w:r>
      <w:r w:rsidR="006E04F1">
        <w:t> </w:t>
      </w:r>
      <w:r>
        <w:t xml:space="preserve">: </w:t>
      </w:r>
      <w:r w:rsidRPr="003E0DA1">
        <w:t>Embauches de l’extérieur de la fonction publique et promotions internes visant les cadres supérieurs</w:t>
      </w:r>
    </w:p>
    <w:tbl>
      <w:tblPr>
        <w:tblStyle w:val="TableGrid"/>
        <w:tblW w:w="0" w:type="auto"/>
        <w:tblLook w:val="04A0" w:firstRow="1" w:lastRow="0" w:firstColumn="1" w:lastColumn="0" w:noHBand="0" w:noVBand="1"/>
        <w:tblCaption w:val="Embauches de l’extérieur de la fonction publique et promotions internes visant les cadres supérieurs"/>
        <w:tblDescription w:val="Une table qui démontre le nombre d'embauches externes et promotions visant les cadres supérieurs de chaque groupe d'équité en matière d'emploi entre 2013-2014 et 2018-2019."/>
      </w:tblPr>
      <w:tblGrid>
        <w:gridCol w:w="1384"/>
        <w:gridCol w:w="1335"/>
        <w:gridCol w:w="1336"/>
        <w:gridCol w:w="1336"/>
        <w:gridCol w:w="1336"/>
        <w:gridCol w:w="1336"/>
        <w:gridCol w:w="1336"/>
      </w:tblGrid>
      <w:tr w:rsidR="00094376" w14:paraId="5D8CA37A" w14:textId="77777777" w:rsidTr="0061652B">
        <w:trPr>
          <w:tblHeader/>
        </w:trPr>
        <w:tc>
          <w:tcPr>
            <w:tcW w:w="1384" w:type="dxa"/>
          </w:tcPr>
          <w:p w14:paraId="4696D014" w14:textId="6696D8CD" w:rsidR="00094376" w:rsidRPr="00461BE2" w:rsidRDefault="00094376" w:rsidP="006364E9">
            <w:pPr>
              <w:jc w:val="center"/>
            </w:pPr>
            <w:r w:rsidRPr="00461BE2">
              <w:t>Groupe</w:t>
            </w:r>
          </w:p>
        </w:tc>
        <w:tc>
          <w:tcPr>
            <w:tcW w:w="1335" w:type="dxa"/>
          </w:tcPr>
          <w:p w14:paraId="22B95D45" w14:textId="77777777" w:rsidR="00094376" w:rsidRPr="00461BE2" w:rsidRDefault="00094376" w:rsidP="006364E9">
            <w:pPr>
              <w:jc w:val="center"/>
            </w:pPr>
            <w:r w:rsidRPr="00461BE2">
              <w:t>2013-2014</w:t>
            </w:r>
          </w:p>
        </w:tc>
        <w:tc>
          <w:tcPr>
            <w:tcW w:w="1336" w:type="dxa"/>
          </w:tcPr>
          <w:p w14:paraId="3C3BD6EA" w14:textId="77777777" w:rsidR="00094376" w:rsidRPr="00461BE2" w:rsidRDefault="00094376" w:rsidP="006364E9">
            <w:pPr>
              <w:jc w:val="center"/>
            </w:pPr>
            <w:r w:rsidRPr="00461BE2">
              <w:t>2014-2015</w:t>
            </w:r>
          </w:p>
        </w:tc>
        <w:tc>
          <w:tcPr>
            <w:tcW w:w="1336" w:type="dxa"/>
          </w:tcPr>
          <w:p w14:paraId="5EB0A759" w14:textId="77777777" w:rsidR="00094376" w:rsidRPr="00461BE2" w:rsidRDefault="00094376" w:rsidP="006364E9">
            <w:pPr>
              <w:jc w:val="center"/>
            </w:pPr>
            <w:r w:rsidRPr="00461BE2">
              <w:t>2015-2016</w:t>
            </w:r>
          </w:p>
        </w:tc>
        <w:tc>
          <w:tcPr>
            <w:tcW w:w="1336" w:type="dxa"/>
          </w:tcPr>
          <w:p w14:paraId="3A10E117" w14:textId="77777777" w:rsidR="00094376" w:rsidRPr="00461BE2" w:rsidRDefault="00094376" w:rsidP="006364E9">
            <w:pPr>
              <w:jc w:val="center"/>
            </w:pPr>
            <w:r w:rsidRPr="00461BE2">
              <w:t>2016-2017</w:t>
            </w:r>
          </w:p>
        </w:tc>
        <w:tc>
          <w:tcPr>
            <w:tcW w:w="1336" w:type="dxa"/>
          </w:tcPr>
          <w:p w14:paraId="34980E71" w14:textId="77777777" w:rsidR="00094376" w:rsidRPr="00461BE2" w:rsidRDefault="00094376" w:rsidP="006364E9">
            <w:pPr>
              <w:jc w:val="center"/>
            </w:pPr>
            <w:r w:rsidRPr="00461BE2">
              <w:t>2017-2018</w:t>
            </w:r>
          </w:p>
        </w:tc>
        <w:tc>
          <w:tcPr>
            <w:tcW w:w="1336" w:type="dxa"/>
          </w:tcPr>
          <w:p w14:paraId="486ECBC8" w14:textId="77777777" w:rsidR="00094376" w:rsidRPr="00461BE2" w:rsidRDefault="00094376" w:rsidP="006364E9">
            <w:pPr>
              <w:jc w:val="center"/>
            </w:pPr>
            <w:r w:rsidRPr="00461BE2">
              <w:t>2018-2019</w:t>
            </w:r>
          </w:p>
        </w:tc>
      </w:tr>
      <w:tr w:rsidR="00094376" w14:paraId="7DC74740" w14:textId="77777777" w:rsidTr="0061652B">
        <w:tc>
          <w:tcPr>
            <w:tcW w:w="1384" w:type="dxa"/>
          </w:tcPr>
          <w:p w14:paraId="776867C4" w14:textId="4C37C4E5" w:rsidR="00094376" w:rsidRPr="00461BE2" w:rsidRDefault="00094376" w:rsidP="006364E9">
            <w:r w:rsidRPr="00461BE2">
              <w:t>Peuples autochtones</w:t>
            </w:r>
          </w:p>
        </w:tc>
        <w:tc>
          <w:tcPr>
            <w:tcW w:w="1335" w:type="dxa"/>
          </w:tcPr>
          <w:p w14:paraId="7B61D258" w14:textId="77777777" w:rsidR="00094376" w:rsidRPr="00461BE2" w:rsidRDefault="00094376" w:rsidP="006364E9">
            <w:pPr>
              <w:jc w:val="right"/>
            </w:pPr>
            <w:r w:rsidRPr="00461BE2">
              <w:t>2</w:t>
            </w:r>
          </w:p>
        </w:tc>
        <w:tc>
          <w:tcPr>
            <w:tcW w:w="1336" w:type="dxa"/>
          </w:tcPr>
          <w:p w14:paraId="72CF7BD1" w14:textId="77777777" w:rsidR="00094376" w:rsidRPr="00461BE2" w:rsidRDefault="00094376" w:rsidP="006364E9">
            <w:pPr>
              <w:jc w:val="right"/>
            </w:pPr>
            <w:r w:rsidRPr="00461BE2">
              <w:t>6</w:t>
            </w:r>
          </w:p>
        </w:tc>
        <w:tc>
          <w:tcPr>
            <w:tcW w:w="1336" w:type="dxa"/>
          </w:tcPr>
          <w:p w14:paraId="1CCDF8E3" w14:textId="77777777" w:rsidR="00094376" w:rsidRPr="00461BE2" w:rsidRDefault="00094376" w:rsidP="006364E9">
            <w:pPr>
              <w:jc w:val="right"/>
            </w:pPr>
            <w:r w:rsidRPr="00461BE2">
              <w:t>3</w:t>
            </w:r>
          </w:p>
        </w:tc>
        <w:tc>
          <w:tcPr>
            <w:tcW w:w="1336" w:type="dxa"/>
          </w:tcPr>
          <w:p w14:paraId="24D1EEF6" w14:textId="77777777" w:rsidR="00094376" w:rsidRPr="00461BE2" w:rsidRDefault="00094376" w:rsidP="006364E9">
            <w:pPr>
              <w:jc w:val="right"/>
            </w:pPr>
            <w:r w:rsidRPr="00461BE2">
              <w:t>10</w:t>
            </w:r>
          </w:p>
        </w:tc>
        <w:tc>
          <w:tcPr>
            <w:tcW w:w="1336" w:type="dxa"/>
          </w:tcPr>
          <w:p w14:paraId="24C92CAF" w14:textId="77777777" w:rsidR="00094376" w:rsidRPr="00461BE2" w:rsidRDefault="00094376" w:rsidP="006364E9">
            <w:pPr>
              <w:jc w:val="right"/>
            </w:pPr>
            <w:r w:rsidRPr="00461BE2">
              <w:t>12</w:t>
            </w:r>
          </w:p>
        </w:tc>
        <w:tc>
          <w:tcPr>
            <w:tcW w:w="1336" w:type="dxa"/>
          </w:tcPr>
          <w:p w14:paraId="54C3FCD5" w14:textId="77777777" w:rsidR="00094376" w:rsidRPr="00461BE2" w:rsidRDefault="00094376" w:rsidP="006364E9">
            <w:pPr>
              <w:jc w:val="right"/>
            </w:pPr>
            <w:r w:rsidRPr="00461BE2">
              <w:t>9</w:t>
            </w:r>
          </w:p>
        </w:tc>
      </w:tr>
      <w:tr w:rsidR="00094376" w14:paraId="0DEE9ADF" w14:textId="77777777" w:rsidTr="0061652B">
        <w:tc>
          <w:tcPr>
            <w:tcW w:w="1384" w:type="dxa"/>
          </w:tcPr>
          <w:p w14:paraId="61055437" w14:textId="220187BC" w:rsidR="00094376" w:rsidRPr="00461BE2" w:rsidRDefault="00094376" w:rsidP="00094376">
            <w:r w:rsidRPr="00461BE2">
              <w:t>Personnes en situation de handicap</w:t>
            </w:r>
          </w:p>
        </w:tc>
        <w:tc>
          <w:tcPr>
            <w:tcW w:w="1335" w:type="dxa"/>
          </w:tcPr>
          <w:p w14:paraId="247CA676" w14:textId="77777777" w:rsidR="00094376" w:rsidRPr="00461BE2" w:rsidRDefault="00094376" w:rsidP="006364E9">
            <w:pPr>
              <w:jc w:val="right"/>
            </w:pPr>
            <w:r w:rsidRPr="00461BE2">
              <w:t>9</w:t>
            </w:r>
          </w:p>
        </w:tc>
        <w:tc>
          <w:tcPr>
            <w:tcW w:w="1336" w:type="dxa"/>
          </w:tcPr>
          <w:p w14:paraId="5D0AC698" w14:textId="77777777" w:rsidR="00094376" w:rsidRPr="00461BE2" w:rsidRDefault="00094376" w:rsidP="006364E9">
            <w:pPr>
              <w:jc w:val="right"/>
            </w:pPr>
            <w:r w:rsidRPr="00461BE2">
              <w:t>15</w:t>
            </w:r>
          </w:p>
        </w:tc>
        <w:tc>
          <w:tcPr>
            <w:tcW w:w="1336" w:type="dxa"/>
          </w:tcPr>
          <w:p w14:paraId="0171AB3C" w14:textId="77777777" w:rsidR="00094376" w:rsidRPr="00461BE2" w:rsidRDefault="00094376" w:rsidP="006364E9">
            <w:pPr>
              <w:jc w:val="right"/>
            </w:pPr>
            <w:r w:rsidRPr="00461BE2">
              <w:t>5</w:t>
            </w:r>
          </w:p>
        </w:tc>
        <w:tc>
          <w:tcPr>
            <w:tcW w:w="1336" w:type="dxa"/>
          </w:tcPr>
          <w:p w14:paraId="00C2D380" w14:textId="77777777" w:rsidR="00094376" w:rsidRPr="00461BE2" w:rsidRDefault="00094376" w:rsidP="006364E9">
            <w:pPr>
              <w:jc w:val="right"/>
            </w:pPr>
            <w:r w:rsidRPr="00461BE2">
              <w:t>10</w:t>
            </w:r>
          </w:p>
        </w:tc>
        <w:tc>
          <w:tcPr>
            <w:tcW w:w="1336" w:type="dxa"/>
          </w:tcPr>
          <w:p w14:paraId="4D38798B" w14:textId="77777777" w:rsidR="00094376" w:rsidRPr="00461BE2" w:rsidRDefault="00094376" w:rsidP="006364E9">
            <w:pPr>
              <w:jc w:val="right"/>
            </w:pPr>
            <w:r w:rsidRPr="00461BE2">
              <w:t>10</w:t>
            </w:r>
          </w:p>
        </w:tc>
        <w:tc>
          <w:tcPr>
            <w:tcW w:w="1336" w:type="dxa"/>
          </w:tcPr>
          <w:p w14:paraId="0A9B96A3" w14:textId="77777777" w:rsidR="00094376" w:rsidRPr="00461BE2" w:rsidRDefault="00094376" w:rsidP="006364E9">
            <w:pPr>
              <w:jc w:val="right"/>
            </w:pPr>
            <w:r w:rsidRPr="00461BE2">
              <w:t>11</w:t>
            </w:r>
          </w:p>
        </w:tc>
      </w:tr>
      <w:tr w:rsidR="00094376" w14:paraId="354F8BF1" w14:textId="77777777" w:rsidTr="0061652B">
        <w:tc>
          <w:tcPr>
            <w:tcW w:w="1384" w:type="dxa"/>
          </w:tcPr>
          <w:p w14:paraId="15B82492" w14:textId="7EC8B5CB" w:rsidR="00094376" w:rsidRPr="00461BE2" w:rsidRDefault="00094376" w:rsidP="00094376">
            <w:r w:rsidRPr="00461BE2">
              <w:t>Membres de minorités visibles</w:t>
            </w:r>
          </w:p>
        </w:tc>
        <w:tc>
          <w:tcPr>
            <w:tcW w:w="1335" w:type="dxa"/>
          </w:tcPr>
          <w:p w14:paraId="545FBA6C" w14:textId="77777777" w:rsidR="00094376" w:rsidRPr="00461BE2" w:rsidRDefault="00094376" w:rsidP="006364E9">
            <w:pPr>
              <w:jc w:val="right"/>
            </w:pPr>
            <w:r w:rsidRPr="00461BE2">
              <w:t>10</w:t>
            </w:r>
          </w:p>
        </w:tc>
        <w:tc>
          <w:tcPr>
            <w:tcW w:w="1336" w:type="dxa"/>
          </w:tcPr>
          <w:p w14:paraId="777FA2B7" w14:textId="77777777" w:rsidR="00094376" w:rsidRPr="00461BE2" w:rsidRDefault="00094376" w:rsidP="006364E9">
            <w:pPr>
              <w:jc w:val="right"/>
            </w:pPr>
            <w:r w:rsidRPr="00461BE2">
              <w:t>20</w:t>
            </w:r>
          </w:p>
        </w:tc>
        <w:tc>
          <w:tcPr>
            <w:tcW w:w="1336" w:type="dxa"/>
          </w:tcPr>
          <w:p w14:paraId="76922C61" w14:textId="77777777" w:rsidR="00094376" w:rsidRPr="00461BE2" w:rsidRDefault="00094376" w:rsidP="006364E9">
            <w:pPr>
              <w:jc w:val="right"/>
            </w:pPr>
            <w:r w:rsidRPr="00461BE2">
              <w:t>15</w:t>
            </w:r>
          </w:p>
        </w:tc>
        <w:tc>
          <w:tcPr>
            <w:tcW w:w="1336" w:type="dxa"/>
          </w:tcPr>
          <w:p w14:paraId="60BD86A3" w14:textId="77777777" w:rsidR="00094376" w:rsidRPr="00461BE2" w:rsidRDefault="00094376" w:rsidP="006364E9">
            <w:pPr>
              <w:jc w:val="right"/>
            </w:pPr>
            <w:r w:rsidRPr="00461BE2">
              <w:t>21</w:t>
            </w:r>
          </w:p>
        </w:tc>
        <w:tc>
          <w:tcPr>
            <w:tcW w:w="1336" w:type="dxa"/>
          </w:tcPr>
          <w:p w14:paraId="61E30FBA" w14:textId="77777777" w:rsidR="00094376" w:rsidRPr="00461BE2" w:rsidRDefault="00094376" w:rsidP="006364E9">
            <w:pPr>
              <w:jc w:val="right"/>
            </w:pPr>
            <w:r w:rsidRPr="00461BE2">
              <w:t>25</w:t>
            </w:r>
          </w:p>
        </w:tc>
        <w:tc>
          <w:tcPr>
            <w:tcW w:w="1336" w:type="dxa"/>
          </w:tcPr>
          <w:p w14:paraId="5EDF3DB7" w14:textId="77777777" w:rsidR="00094376" w:rsidRPr="00461BE2" w:rsidRDefault="00094376" w:rsidP="006364E9">
            <w:pPr>
              <w:jc w:val="right"/>
            </w:pPr>
            <w:r w:rsidRPr="00461BE2">
              <w:t>27</w:t>
            </w:r>
          </w:p>
        </w:tc>
      </w:tr>
      <w:tr w:rsidR="00094376" w14:paraId="7A5A2DF7" w14:textId="77777777" w:rsidTr="0061652B">
        <w:tc>
          <w:tcPr>
            <w:tcW w:w="1384" w:type="dxa"/>
          </w:tcPr>
          <w:p w14:paraId="47B87D0F" w14:textId="25A3A731" w:rsidR="00094376" w:rsidRPr="00461BE2" w:rsidRDefault="00094376" w:rsidP="006364E9">
            <w:r w:rsidRPr="00461BE2">
              <w:t>Femmes</w:t>
            </w:r>
          </w:p>
        </w:tc>
        <w:tc>
          <w:tcPr>
            <w:tcW w:w="1335" w:type="dxa"/>
          </w:tcPr>
          <w:p w14:paraId="0BA2807E" w14:textId="77777777" w:rsidR="00094376" w:rsidRPr="00461BE2" w:rsidRDefault="00094376" w:rsidP="006364E9">
            <w:pPr>
              <w:jc w:val="right"/>
            </w:pPr>
            <w:r w:rsidRPr="00461BE2">
              <w:t>65</w:t>
            </w:r>
          </w:p>
        </w:tc>
        <w:tc>
          <w:tcPr>
            <w:tcW w:w="1336" w:type="dxa"/>
          </w:tcPr>
          <w:p w14:paraId="742825A8" w14:textId="77777777" w:rsidR="00094376" w:rsidRPr="00461BE2" w:rsidRDefault="00094376" w:rsidP="006364E9">
            <w:pPr>
              <w:jc w:val="right"/>
            </w:pPr>
            <w:r w:rsidRPr="00461BE2">
              <w:t>90</w:t>
            </w:r>
          </w:p>
        </w:tc>
        <w:tc>
          <w:tcPr>
            <w:tcW w:w="1336" w:type="dxa"/>
          </w:tcPr>
          <w:p w14:paraId="43398D9A" w14:textId="77777777" w:rsidR="00094376" w:rsidRPr="00461BE2" w:rsidRDefault="00094376" w:rsidP="006364E9">
            <w:pPr>
              <w:jc w:val="right"/>
            </w:pPr>
            <w:r w:rsidRPr="00461BE2">
              <w:t>81</w:t>
            </w:r>
          </w:p>
        </w:tc>
        <w:tc>
          <w:tcPr>
            <w:tcW w:w="1336" w:type="dxa"/>
          </w:tcPr>
          <w:p w14:paraId="11FA1242" w14:textId="77777777" w:rsidR="00094376" w:rsidRPr="00461BE2" w:rsidRDefault="00094376" w:rsidP="006364E9">
            <w:pPr>
              <w:jc w:val="right"/>
            </w:pPr>
            <w:r w:rsidRPr="00461BE2">
              <w:t>96</w:t>
            </w:r>
          </w:p>
        </w:tc>
        <w:tc>
          <w:tcPr>
            <w:tcW w:w="1336" w:type="dxa"/>
          </w:tcPr>
          <w:p w14:paraId="419B2220" w14:textId="77777777" w:rsidR="00094376" w:rsidRPr="00461BE2" w:rsidRDefault="00094376" w:rsidP="006364E9">
            <w:pPr>
              <w:jc w:val="right"/>
            </w:pPr>
            <w:r w:rsidRPr="00461BE2">
              <w:t>144</w:t>
            </w:r>
          </w:p>
        </w:tc>
        <w:tc>
          <w:tcPr>
            <w:tcW w:w="1336" w:type="dxa"/>
          </w:tcPr>
          <w:p w14:paraId="77790FA5" w14:textId="77777777" w:rsidR="00094376" w:rsidRPr="00461BE2" w:rsidRDefault="00094376" w:rsidP="006364E9">
            <w:pPr>
              <w:jc w:val="right"/>
            </w:pPr>
            <w:r w:rsidRPr="00461BE2">
              <w:t>116</w:t>
            </w:r>
          </w:p>
        </w:tc>
      </w:tr>
    </w:tbl>
    <w:p w14:paraId="78BFA17A" w14:textId="77777777" w:rsidR="0061652B" w:rsidRDefault="0061652B">
      <w:pPr>
        <w:keepLines w:val="0"/>
      </w:pPr>
      <w:r>
        <w:br w:type="page"/>
      </w:r>
    </w:p>
    <w:p w14:paraId="2DB08977" w14:textId="300E5D72" w:rsidR="00532BCB" w:rsidRPr="00B758DD" w:rsidRDefault="00532BCB" w:rsidP="00234D67">
      <w:pPr>
        <w:pStyle w:val="Heading3"/>
        <w:rPr>
          <w:lang w:val="fr-CA"/>
        </w:rPr>
      </w:pPr>
      <w:r w:rsidRPr="00B758DD">
        <w:rPr>
          <w:lang w:val="fr-CA"/>
        </w:rPr>
        <w:lastRenderedPageBreak/>
        <w:t>D</w:t>
      </w:r>
      <w:r w:rsidR="009E708D">
        <w:rPr>
          <w:lang w:val="fr-CA"/>
        </w:rPr>
        <w:t>éparts</w:t>
      </w:r>
    </w:p>
    <w:p w14:paraId="6DA535FF" w14:textId="5A032239" w:rsidR="0082345F" w:rsidRPr="00B758DD" w:rsidRDefault="009E708D" w:rsidP="003B32BC">
      <w:pPr>
        <w:spacing w:after="120"/>
      </w:pPr>
      <w:r>
        <w:t>L</w:t>
      </w:r>
      <w:r w:rsidR="00DD5163">
        <w:t xml:space="preserve">e nombre de </w:t>
      </w:r>
      <w:r>
        <w:t xml:space="preserve">départs des postes </w:t>
      </w:r>
      <w:r w:rsidR="0082345F" w:rsidRPr="00B758DD">
        <w:t xml:space="preserve">EX-03 </w:t>
      </w:r>
      <w:r>
        <w:t>à</w:t>
      </w:r>
      <w:r w:rsidR="0082345F" w:rsidRPr="00B758DD">
        <w:t xml:space="preserve"> EX-05 </w:t>
      </w:r>
      <w:r w:rsidR="00DD5163">
        <w:t>est</w:t>
      </w:r>
      <w:r>
        <w:t xml:space="preserve"> généralement inférieur au volume du recrutement, ce qui concourt à la hausse de la représentation des groupes visés par l’équité en matière d’emploi au sein de ces groupes de cadres au cours des cinq dernières années. Quelques données probantes donnent à penser que les cadres supérieurs quittent la fonction publique plus tar</w:t>
      </w:r>
      <w:r w:rsidR="004E7A66">
        <w:t>d que les exercices précédents.</w:t>
      </w:r>
    </w:p>
    <w:p w14:paraId="3438B3AF" w14:textId="7AD8A0CF" w:rsidR="00433586" w:rsidRPr="00B758DD" w:rsidRDefault="009E708D" w:rsidP="003B32BC">
      <w:pPr>
        <w:pStyle w:val="ListParagraph"/>
        <w:numPr>
          <w:ilvl w:val="0"/>
          <w:numId w:val="32"/>
        </w:numPr>
        <w:spacing w:after="120"/>
        <w:contextualSpacing w:val="0"/>
      </w:pPr>
      <w:r>
        <w:t>Le nombre total de départs de</w:t>
      </w:r>
      <w:r w:rsidR="00DD5163">
        <w:t>s</w:t>
      </w:r>
      <w:r>
        <w:t xml:space="preserve"> postes de cadres supérieurs a diminué légèrement, passant de 154 en 2013-2014 à </w:t>
      </w:r>
      <w:r w:rsidR="00DD5163">
        <w:t>1</w:t>
      </w:r>
      <w:r w:rsidR="004E7A66">
        <w:t>11 en 2018-2019.</w:t>
      </w:r>
    </w:p>
    <w:p w14:paraId="38065A1A" w14:textId="469D4043" w:rsidR="002C08D4" w:rsidRPr="00B758DD" w:rsidRDefault="009E708D" w:rsidP="003B32BC">
      <w:pPr>
        <w:pStyle w:val="ListParagraph"/>
        <w:numPr>
          <w:ilvl w:val="0"/>
          <w:numId w:val="32"/>
        </w:numPr>
        <w:spacing w:after="120"/>
        <w:contextualSpacing w:val="0"/>
      </w:pPr>
      <w:r>
        <w:t xml:space="preserve">La majorité des départs des postes </w:t>
      </w:r>
      <w:r w:rsidR="002C08D4" w:rsidRPr="00B758DD">
        <w:t xml:space="preserve">EX-03, EX-04 </w:t>
      </w:r>
      <w:r>
        <w:t>et</w:t>
      </w:r>
      <w:r w:rsidR="002C08D4" w:rsidRPr="00B758DD">
        <w:t xml:space="preserve"> EX-05</w:t>
      </w:r>
      <w:r>
        <w:t xml:space="preserve"> </w:t>
      </w:r>
      <w:r w:rsidR="00C1076C">
        <w:t>est</w:t>
      </w:r>
      <w:r w:rsidR="00DD5163">
        <w:t xml:space="preserve"> attribuable à la retraite. </w:t>
      </w:r>
      <w:r>
        <w:t>En 2018-2019, près de 65</w:t>
      </w:r>
      <w:r w:rsidR="00D35491">
        <w:t> </w:t>
      </w:r>
      <w:r>
        <w:t>p. 100 des départs ont été classé</w:t>
      </w:r>
      <w:r w:rsidR="00D35491">
        <w:t>s</w:t>
      </w:r>
      <w:r w:rsidR="004E7A66">
        <w:t xml:space="preserve"> comme des retraites.</w:t>
      </w:r>
    </w:p>
    <w:p w14:paraId="545CEFA5" w14:textId="750B1113" w:rsidR="005148B7" w:rsidRPr="00B758DD" w:rsidRDefault="009E708D" w:rsidP="003B32BC">
      <w:pPr>
        <w:pStyle w:val="ListParagraph"/>
        <w:numPr>
          <w:ilvl w:val="1"/>
          <w:numId w:val="32"/>
        </w:numPr>
        <w:spacing w:after="120"/>
        <w:contextualSpacing w:val="0"/>
      </w:pPr>
      <w:r>
        <w:t>La majorité de ces départs vise les postes EX-03, en raison de la part plus importante des postes de cadres supérieurs revenant à ce groupe.</w:t>
      </w:r>
    </w:p>
    <w:p w14:paraId="19BAA7F5" w14:textId="23893331" w:rsidR="003B32BC" w:rsidRDefault="009E708D" w:rsidP="0011271F">
      <w:pPr>
        <w:pStyle w:val="ListParagraph"/>
        <w:keepLines w:val="0"/>
        <w:numPr>
          <w:ilvl w:val="0"/>
          <w:numId w:val="32"/>
        </w:numPr>
        <w:spacing w:after="120"/>
        <w:contextualSpacing w:val="0"/>
      </w:pPr>
      <w:r>
        <w:t>Au sein de tous les groupes visés par l’équité en matière d’emploi en 2018-2019, le nombre de cadres supérieurs nouvellement nommés a dépassé le nombre de départs. Le tableau ci-dessous illustre la différence entre les arrivées et les départs pour les cadres supérieurs :</w:t>
      </w:r>
    </w:p>
    <w:p w14:paraId="5537A126" w14:textId="6062666E" w:rsidR="0061652B" w:rsidRDefault="0061652B" w:rsidP="007A189D">
      <w:pPr>
        <w:pStyle w:val="Caption"/>
        <w:keepNext/>
        <w:spacing w:before="320"/>
        <w:jc w:val="center"/>
      </w:pPr>
      <w:r>
        <w:t xml:space="preserve">Table </w:t>
      </w:r>
      <w:r>
        <w:fldChar w:fldCharType="begin"/>
      </w:r>
      <w:r>
        <w:instrText xml:space="preserve"> SEQ Table \* ARABIC </w:instrText>
      </w:r>
      <w:r>
        <w:fldChar w:fldCharType="separate"/>
      </w:r>
      <w:r>
        <w:rPr>
          <w:noProof/>
        </w:rPr>
        <w:t>4</w:t>
      </w:r>
      <w:r>
        <w:fldChar w:fldCharType="end"/>
      </w:r>
      <w:r w:rsidR="006E04F1">
        <w:t> </w:t>
      </w:r>
      <w:r>
        <w:t xml:space="preserve">: </w:t>
      </w:r>
      <w:r w:rsidRPr="001E400D">
        <w:t>Représentation au sein des groupes EX-03 à EX-05, 2018-2019</w:t>
      </w:r>
    </w:p>
    <w:tbl>
      <w:tblPr>
        <w:tblStyle w:val="TableGrid"/>
        <w:tblW w:w="10632" w:type="dxa"/>
        <w:tblInd w:w="-431" w:type="dxa"/>
        <w:tblLayout w:type="fixed"/>
        <w:tblLook w:val="04A0" w:firstRow="1" w:lastRow="0" w:firstColumn="1" w:lastColumn="0" w:noHBand="0" w:noVBand="1"/>
        <w:tblCaption w:val="Représentation au sein des groupes EX-03 à EX-05, 2018-2019"/>
        <w:tblDescription w:val="Une table qui démontre pour chaque groupe visé par l'équité en matière d'emploi les arrivées totales, les arrivées qui n'étaient pas dans les groupes EX-03 à EX-05, les départs, la représentation au sein de l'effectif, la disponibilité au sein de la population active pour tous les groupes EX, et l'écart entre la représentation et la disponibilité au sein de la population active."/>
      </w:tblPr>
      <w:tblGrid>
        <w:gridCol w:w="1518"/>
        <w:gridCol w:w="1519"/>
        <w:gridCol w:w="1519"/>
        <w:gridCol w:w="1383"/>
        <w:gridCol w:w="1655"/>
        <w:gridCol w:w="1519"/>
        <w:gridCol w:w="1519"/>
      </w:tblGrid>
      <w:tr w:rsidR="00E45D96" w:rsidRPr="00B758DD" w14:paraId="78852BA0" w14:textId="77777777" w:rsidTr="00884EBA">
        <w:trPr>
          <w:tblHeader/>
        </w:trPr>
        <w:tc>
          <w:tcPr>
            <w:tcW w:w="1518" w:type="dxa"/>
          </w:tcPr>
          <w:p w14:paraId="192787D5" w14:textId="34647C07" w:rsidR="0029141D" w:rsidRPr="00BF3C79" w:rsidRDefault="00E45D96" w:rsidP="00E45D96">
            <w:r w:rsidRPr="00BF3C79">
              <w:t>Groupe visé p</w:t>
            </w:r>
            <w:r w:rsidR="006D7949">
              <w:t>ar l’équité en matière d’emploi</w:t>
            </w:r>
          </w:p>
        </w:tc>
        <w:tc>
          <w:tcPr>
            <w:tcW w:w="1519" w:type="dxa"/>
          </w:tcPr>
          <w:p w14:paraId="1C92AAC2" w14:textId="52170761" w:rsidR="0029141D" w:rsidRPr="00BF3C79" w:rsidRDefault="00E45D96" w:rsidP="00E45D96">
            <w:r w:rsidRPr="00BF3C79">
              <w:t>Arrivées</w:t>
            </w:r>
            <w:r w:rsidR="006C5201" w:rsidRPr="00BF3C79">
              <w:t xml:space="preserve"> (promotions</w:t>
            </w:r>
            <w:r w:rsidR="006E04F1">
              <w:t xml:space="preserve"> </w:t>
            </w:r>
            <w:r w:rsidR="006C5201" w:rsidRPr="00BF3C79">
              <w:t xml:space="preserve">+ </w:t>
            </w:r>
            <w:r w:rsidRPr="00BF3C79">
              <w:t>nouvelles embauches</w:t>
            </w:r>
            <w:r w:rsidR="00B40FAB" w:rsidRPr="00BF3C79">
              <w:t>)</w:t>
            </w:r>
          </w:p>
        </w:tc>
        <w:tc>
          <w:tcPr>
            <w:tcW w:w="1519" w:type="dxa"/>
          </w:tcPr>
          <w:p w14:paraId="518763D5" w14:textId="19F1120A" w:rsidR="0029141D" w:rsidRPr="00BF3C79" w:rsidRDefault="00E45D96" w:rsidP="00332EEA">
            <w:r w:rsidRPr="00BF3C79">
              <w:t xml:space="preserve">Arrivées </w:t>
            </w:r>
            <w:r w:rsidR="00254EB3" w:rsidRPr="00BF3C79">
              <w:t>(</w:t>
            </w:r>
            <w:r w:rsidRPr="00BF3C79">
              <w:t xml:space="preserve">qui </w:t>
            </w:r>
            <w:r w:rsidR="00332EEA" w:rsidRPr="00BF3C79">
              <w:t>n</w:t>
            </w:r>
            <w:r w:rsidRPr="00BF3C79">
              <w:t xml:space="preserve">’étaient pas </w:t>
            </w:r>
            <w:r w:rsidR="00332EEA" w:rsidRPr="00BF3C79">
              <w:t>d</w:t>
            </w:r>
            <w:r w:rsidR="00C1076C" w:rsidRPr="00BF3C79">
              <w:t xml:space="preserve">ans les </w:t>
            </w:r>
            <w:r w:rsidRPr="00BF3C79">
              <w:t>groupes EX-03 à EX-0</w:t>
            </w:r>
            <w:r w:rsidR="006D7949">
              <w:t>5</w:t>
            </w:r>
            <w:r w:rsidR="006E04F1">
              <w:t>)</w:t>
            </w:r>
          </w:p>
        </w:tc>
        <w:tc>
          <w:tcPr>
            <w:tcW w:w="1383" w:type="dxa"/>
          </w:tcPr>
          <w:p w14:paraId="41AD86AE" w14:textId="7EE3111E" w:rsidR="00B40FAB" w:rsidRPr="00BF3C79" w:rsidRDefault="00E45D96" w:rsidP="00E45D96">
            <w:r w:rsidRPr="00BF3C79">
              <w:t>Départs</w:t>
            </w:r>
            <w:r w:rsidR="0029141D" w:rsidRPr="00BF3C79">
              <w:t xml:space="preserve"> (ret</w:t>
            </w:r>
            <w:r w:rsidRPr="00BF3C79">
              <w:t xml:space="preserve">raites </w:t>
            </w:r>
            <w:r w:rsidR="006C5201" w:rsidRPr="00BF3C79">
              <w:t>+</w:t>
            </w:r>
            <w:r w:rsidR="0029141D" w:rsidRPr="00BF3C79">
              <w:t xml:space="preserve"> </w:t>
            </w:r>
            <w:r w:rsidRPr="00BF3C79">
              <w:t>autres départs</w:t>
            </w:r>
            <w:r w:rsidR="0029141D" w:rsidRPr="00BF3C79">
              <w:t>)</w:t>
            </w:r>
          </w:p>
        </w:tc>
        <w:tc>
          <w:tcPr>
            <w:tcW w:w="1655" w:type="dxa"/>
          </w:tcPr>
          <w:p w14:paraId="1B75052E" w14:textId="76C83F81" w:rsidR="0029141D" w:rsidRPr="00BF3C79" w:rsidRDefault="00E45D96" w:rsidP="00E45D96">
            <w:r w:rsidRPr="00BF3C79">
              <w:t>Représentation au sein de l’effectif</w:t>
            </w:r>
          </w:p>
        </w:tc>
        <w:tc>
          <w:tcPr>
            <w:tcW w:w="1519" w:type="dxa"/>
          </w:tcPr>
          <w:p w14:paraId="64D2674F" w14:textId="35B6643B" w:rsidR="0029141D" w:rsidRPr="00BF3C79" w:rsidRDefault="00E45D96" w:rsidP="00332EEA">
            <w:r w:rsidRPr="00BF3C79">
              <w:t>Disponibilité a</w:t>
            </w:r>
            <w:r w:rsidR="00332EEA" w:rsidRPr="00BF3C79">
              <w:t>u sein de la population active pour</w:t>
            </w:r>
            <w:r w:rsidRPr="00BF3C79">
              <w:t xml:space="preserve"> tous les </w:t>
            </w:r>
            <w:r w:rsidR="00C1076C" w:rsidRPr="00BF3C79">
              <w:t>groupes EX</w:t>
            </w:r>
          </w:p>
        </w:tc>
        <w:tc>
          <w:tcPr>
            <w:tcW w:w="1519" w:type="dxa"/>
          </w:tcPr>
          <w:p w14:paraId="76D22FEA" w14:textId="7933B5FE" w:rsidR="0029141D" w:rsidRPr="00BF3C79" w:rsidRDefault="00E45D96" w:rsidP="00E45D96">
            <w:r w:rsidRPr="00BF3C79">
              <w:t>Écart</w:t>
            </w:r>
          </w:p>
        </w:tc>
      </w:tr>
      <w:tr w:rsidR="00E45D96" w:rsidRPr="00B758DD" w14:paraId="604112D8" w14:textId="77777777" w:rsidTr="00332EEA">
        <w:tc>
          <w:tcPr>
            <w:tcW w:w="1518" w:type="dxa"/>
          </w:tcPr>
          <w:p w14:paraId="27E790A3" w14:textId="47F85B5E" w:rsidR="0029141D" w:rsidRPr="00BF3C79" w:rsidRDefault="0029141D" w:rsidP="00E45D96">
            <w:r w:rsidRPr="00BF3C79">
              <w:t>Person</w:t>
            </w:r>
            <w:r w:rsidR="00E45D96" w:rsidRPr="00BF3C79">
              <w:t>nes handicapées</w:t>
            </w:r>
          </w:p>
        </w:tc>
        <w:tc>
          <w:tcPr>
            <w:tcW w:w="1519" w:type="dxa"/>
          </w:tcPr>
          <w:p w14:paraId="79A48C43" w14:textId="4BD0B260" w:rsidR="0029141D" w:rsidRPr="00BF3C79" w:rsidRDefault="0029141D" w:rsidP="001E5AEE">
            <w:pPr>
              <w:jc w:val="right"/>
            </w:pPr>
            <w:r w:rsidRPr="00BF3C79">
              <w:t>11</w:t>
            </w:r>
          </w:p>
        </w:tc>
        <w:tc>
          <w:tcPr>
            <w:tcW w:w="1519" w:type="dxa"/>
          </w:tcPr>
          <w:p w14:paraId="739E8627" w14:textId="415161B0" w:rsidR="0029141D" w:rsidRPr="00BF3C79" w:rsidRDefault="009542FA" w:rsidP="001E5AEE">
            <w:pPr>
              <w:jc w:val="right"/>
            </w:pPr>
            <w:r w:rsidRPr="00BF3C79">
              <w:t>9</w:t>
            </w:r>
          </w:p>
        </w:tc>
        <w:tc>
          <w:tcPr>
            <w:tcW w:w="1383" w:type="dxa"/>
          </w:tcPr>
          <w:p w14:paraId="38A5D862" w14:textId="520DB9D2" w:rsidR="0029141D" w:rsidRPr="00BF3C79" w:rsidRDefault="0029141D" w:rsidP="001E5AEE">
            <w:pPr>
              <w:jc w:val="right"/>
            </w:pPr>
            <w:r w:rsidRPr="00BF3C79">
              <w:t>3</w:t>
            </w:r>
          </w:p>
        </w:tc>
        <w:tc>
          <w:tcPr>
            <w:tcW w:w="1655" w:type="dxa"/>
          </w:tcPr>
          <w:p w14:paraId="352E74A0" w14:textId="77777777" w:rsidR="00332EEA" w:rsidRPr="00BF3C79" w:rsidRDefault="0029141D" w:rsidP="00E45D96">
            <w:r w:rsidRPr="00BF3C79">
              <w:t>4</w:t>
            </w:r>
            <w:r w:rsidR="00E45D96" w:rsidRPr="00BF3C79">
              <w:t>,</w:t>
            </w:r>
            <w:r w:rsidRPr="00BF3C79">
              <w:t>8</w:t>
            </w:r>
            <w:r w:rsidR="00D35491" w:rsidRPr="00BF3C79">
              <w:t> </w:t>
            </w:r>
            <w:r w:rsidRPr="00BF3C79">
              <w:t xml:space="preserve">% </w:t>
            </w:r>
          </w:p>
          <w:p w14:paraId="080F2B38" w14:textId="523CF3EB" w:rsidR="0029141D" w:rsidRPr="00BF3C79" w:rsidRDefault="0029141D" w:rsidP="00E45D96">
            <w:r w:rsidRPr="00BF3C79">
              <w:t xml:space="preserve">(62 </w:t>
            </w:r>
            <w:r w:rsidR="00E45D96" w:rsidRPr="00BF3C79">
              <w:t>cadres</w:t>
            </w:r>
            <w:r w:rsidRPr="00BF3C79">
              <w:t>)</w:t>
            </w:r>
          </w:p>
        </w:tc>
        <w:tc>
          <w:tcPr>
            <w:tcW w:w="1519" w:type="dxa"/>
          </w:tcPr>
          <w:p w14:paraId="1A09C16B" w14:textId="595A63DB" w:rsidR="0029141D" w:rsidRPr="00BF3C79" w:rsidRDefault="0029141D" w:rsidP="001E5AEE">
            <w:pPr>
              <w:jc w:val="right"/>
            </w:pPr>
            <w:r w:rsidRPr="00BF3C79">
              <w:t>5</w:t>
            </w:r>
            <w:r w:rsidR="00D35491" w:rsidRPr="00BF3C79">
              <w:t>,</w:t>
            </w:r>
            <w:r w:rsidRPr="00BF3C79">
              <w:t>3</w:t>
            </w:r>
            <w:r w:rsidR="00D35491" w:rsidRPr="00BF3C79">
              <w:t> </w:t>
            </w:r>
            <w:r w:rsidRPr="00BF3C79">
              <w:t>%</w:t>
            </w:r>
          </w:p>
        </w:tc>
        <w:tc>
          <w:tcPr>
            <w:tcW w:w="1519" w:type="dxa"/>
          </w:tcPr>
          <w:p w14:paraId="034DF1C7" w14:textId="16AF7359" w:rsidR="0029141D" w:rsidRPr="00BF3C79" w:rsidRDefault="005239CE" w:rsidP="00E45D96">
            <w:r w:rsidRPr="00BF3C79">
              <w:t xml:space="preserve">6 </w:t>
            </w:r>
            <w:r w:rsidR="00E45D96" w:rsidRPr="00BF3C79">
              <w:t>cadres supérieurs</w:t>
            </w:r>
          </w:p>
        </w:tc>
      </w:tr>
      <w:tr w:rsidR="00E45D96" w:rsidRPr="00B758DD" w14:paraId="61436BC4" w14:textId="77777777" w:rsidTr="00332EEA">
        <w:tc>
          <w:tcPr>
            <w:tcW w:w="1518" w:type="dxa"/>
          </w:tcPr>
          <w:p w14:paraId="3B7CC11D" w14:textId="3B24D5C0" w:rsidR="0029141D" w:rsidRPr="00BF3C79" w:rsidRDefault="00E45D96" w:rsidP="00E45D96">
            <w:r w:rsidRPr="00BF3C79">
              <w:t>Autochtones</w:t>
            </w:r>
          </w:p>
        </w:tc>
        <w:tc>
          <w:tcPr>
            <w:tcW w:w="1519" w:type="dxa"/>
          </w:tcPr>
          <w:p w14:paraId="3C093B72" w14:textId="2C50BAEF" w:rsidR="0029141D" w:rsidRPr="00BF3C79" w:rsidRDefault="0029141D" w:rsidP="001E5AEE">
            <w:pPr>
              <w:jc w:val="right"/>
            </w:pPr>
            <w:r w:rsidRPr="00BF3C79">
              <w:t>9</w:t>
            </w:r>
          </w:p>
        </w:tc>
        <w:tc>
          <w:tcPr>
            <w:tcW w:w="1519" w:type="dxa"/>
          </w:tcPr>
          <w:p w14:paraId="041BA249" w14:textId="61D48722" w:rsidR="0029141D" w:rsidRPr="00BF3C79" w:rsidRDefault="006C5201" w:rsidP="001E5AEE">
            <w:pPr>
              <w:jc w:val="right"/>
            </w:pPr>
            <w:r w:rsidRPr="00BF3C79">
              <w:t>8</w:t>
            </w:r>
          </w:p>
        </w:tc>
        <w:tc>
          <w:tcPr>
            <w:tcW w:w="1383" w:type="dxa"/>
          </w:tcPr>
          <w:p w14:paraId="493A49F3" w14:textId="238D7058" w:rsidR="0029141D" w:rsidRPr="00BF3C79" w:rsidRDefault="0029141D" w:rsidP="001E5AEE">
            <w:pPr>
              <w:jc w:val="right"/>
            </w:pPr>
            <w:r w:rsidRPr="00BF3C79">
              <w:t>2</w:t>
            </w:r>
          </w:p>
        </w:tc>
        <w:tc>
          <w:tcPr>
            <w:tcW w:w="1655" w:type="dxa"/>
          </w:tcPr>
          <w:p w14:paraId="07665764" w14:textId="77777777" w:rsidR="00332EEA" w:rsidRPr="00BF3C79" w:rsidRDefault="00E45D96" w:rsidP="00E45D96">
            <w:r w:rsidRPr="00BF3C79">
              <w:t>3,</w:t>
            </w:r>
            <w:r w:rsidR="0029141D" w:rsidRPr="00BF3C79">
              <w:t>0</w:t>
            </w:r>
            <w:r w:rsidR="00D35491" w:rsidRPr="00BF3C79">
              <w:t> </w:t>
            </w:r>
            <w:r w:rsidR="0029141D" w:rsidRPr="00BF3C79">
              <w:t xml:space="preserve">% </w:t>
            </w:r>
          </w:p>
          <w:p w14:paraId="2C6F046A" w14:textId="7C3342B5" w:rsidR="0029141D" w:rsidRPr="00BF3C79" w:rsidRDefault="0029141D" w:rsidP="00E45D96">
            <w:r w:rsidRPr="00BF3C79">
              <w:t xml:space="preserve">(39 </w:t>
            </w:r>
            <w:r w:rsidR="00E45D96" w:rsidRPr="00BF3C79">
              <w:t>cadres</w:t>
            </w:r>
            <w:r w:rsidRPr="00BF3C79">
              <w:t>)</w:t>
            </w:r>
          </w:p>
        </w:tc>
        <w:tc>
          <w:tcPr>
            <w:tcW w:w="1519" w:type="dxa"/>
          </w:tcPr>
          <w:p w14:paraId="4733728A" w14:textId="011E6080" w:rsidR="0029141D" w:rsidRPr="00BF3C79" w:rsidRDefault="0029141D" w:rsidP="001E5AEE">
            <w:pPr>
              <w:jc w:val="right"/>
            </w:pPr>
            <w:r w:rsidRPr="00BF3C79">
              <w:t>5</w:t>
            </w:r>
            <w:r w:rsidR="00D35491" w:rsidRPr="00BF3C79">
              <w:t>,</w:t>
            </w:r>
            <w:r w:rsidRPr="00BF3C79">
              <w:t>1</w:t>
            </w:r>
            <w:r w:rsidR="00D35491" w:rsidRPr="00BF3C79">
              <w:t> </w:t>
            </w:r>
            <w:r w:rsidRPr="00BF3C79">
              <w:t>%</w:t>
            </w:r>
          </w:p>
        </w:tc>
        <w:tc>
          <w:tcPr>
            <w:tcW w:w="1519" w:type="dxa"/>
          </w:tcPr>
          <w:p w14:paraId="1BBDF3EC" w14:textId="5C6FC468" w:rsidR="0029141D" w:rsidRPr="00BF3C79" w:rsidRDefault="005239CE" w:rsidP="004E06B6">
            <w:r w:rsidRPr="00BF3C79">
              <w:t xml:space="preserve">27 </w:t>
            </w:r>
            <w:r w:rsidR="00E45D96" w:rsidRPr="00BF3C79">
              <w:t>cadres supérieurs</w:t>
            </w:r>
          </w:p>
        </w:tc>
      </w:tr>
      <w:tr w:rsidR="00E45D96" w:rsidRPr="00B758DD" w14:paraId="4E78E349" w14:textId="77777777" w:rsidTr="00332EEA">
        <w:tc>
          <w:tcPr>
            <w:tcW w:w="1518" w:type="dxa"/>
          </w:tcPr>
          <w:p w14:paraId="728A1F88" w14:textId="5BE0F772" w:rsidR="0029141D" w:rsidRPr="00BF3C79" w:rsidRDefault="00E45D96" w:rsidP="00E45D96">
            <w:r w:rsidRPr="00BF3C79">
              <w:t>Membres de minorités visibles</w:t>
            </w:r>
          </w:p>
        </w:tc>
        <w:tc>
          <w:tcPr>
            <w:tcW w:w="1519" w:type="dxa"/>
          </w:tcPr>
          <w:p w14:paraId="37E8A2BC" w14:textId="6D23362D" w:rsidR="0029141D" w:rsidRPr="00BF3C79" w:rsidRDefault="0029141D" w:rsidP="001E5AEE">
            <w:pPr>
              <w:jc w:val="right"/>
            </w:pPr>
            <w:r w:rsidRPr="00BF3C79">
              <w:t>27</w:t>
            </w:r>
          </w:p>
        </w:tc>
        <w:tc>
          <w:tcPr>
            <w:tcW w:w="1519" w:type="dxa"/>
          </w:tcPr>
          <w:p w14:paraId="71DA61BB" w14:textId="09342D05" w:rsidR="0029141D" w:rsidRPr="00BF3C79" w:rsidRDefault="009542FA" w:rsidP="001E5AEE">
            <w:pPr>
              <w:jc w:val="right"/>
            </w:pPr>
            <w:r w:rsidRPr="00BF3C79">
              <w:t>24</w:t>
            </w:r>
          </w:p>
        </w:tc>
        <w:tc>
          <w:tcPr>
            <w:tcW w:w="1383" w:type="dxa"/>
          </w:tcPr>
          <w:p w14:paraId="72B7E9B9" w14:textId="332D747B" w:rsidR="0029141D" w:rsidRPr="00BF3C79" w:rsidRDefault="0029141D" w:rsidP="001E5AEE">
            <w:pPr>
              <w:jc w:val="right"/>
            </w:pPr>
            <w:r w:rsidRPr="00BF3C79">
              <w:t>4</w:t>
            </w:r>
          </w:p>
        </w:tc>
        <w:tc>
          <w:tcPr>
            <w:tcW w:w="1655" w:type="dxa"/>
          </w:tcPr>
          <w:p w14:paraId="55932079" w14:textId="77777777" w:rsidR="00332EEA" w:rsidRPr="00BF3C79" w:rsidRDefault="00E45D96" w:rsidP="00E45D96">
            <w:r w:rsidRPr="00BF3C79">
              <w:t>9,</w:t>
            </w:r>
            <w:r w:rsidR="0029141D" w:rsidRPr="00BF3C79">
              <w:t>7</w:t>
            </w:r>
            <w:r w:rsidR="00D35491" w:rsidRPr="00BF3C79">
              <w:t> </w:t>
            </w:r>
            <w:r w:rsidR="0029141D" w:rsidRPr="00BF3C79">
              <w:t xml:space="preserve">% </w:t>
            </w:r>
          </w:p>
          <w:p w14:paraId="0B62F119" w14:textId="1E4125F5" w:rsidR="0029141D" w:rsidRPr="00BF3C79" w:rsidRDefault="0029141D" w:rsidP="00E45D96">
            <w:r w:rsidRPr="00BF3C79">
              <w:t xml:space="preserve">(125 </w:t>
            </w:r>
            <w:r w:rsidR="00E45D96" w:rsidRPr="00BF3C79">
              <w:t>cadres</w:t>
            </w:r>
            <w:r w:rsidR="00B36FCE">
              <w:t>)</w:t>
            </w:r>
          </w:p>
        </w:tc>
        <w:tc>
          <w:tcPr>
            <w:tcW w:w="1519" w:type="dxa"/>
          </w:tcPr>
          <w:p w14:paraId="34FF5183" w14:textId="1D8D7504" w:rsidR="0029141D" w:rsidRPr="00BF3C79" w:rsidRDefault="0029141D" w:rsidP="001E5AEE">
            <w:pPr>
              <w:jc w:val="right"/>
            </w:pPr>
            <w:r w:rsidRPr="00BF3C79">
              <w:t>10</w:t>
            </w:r>
            <w:r w:rsidR="00D35491" w:rsidRPr="00BF3C79">
              <w:t>,</w:t>
            </w:r>
            <w:r w:rsidRPr="00BF3C79">
              <w:t>6</w:t>
            </w:r>
            <w:r w:rsidR="00D35491" w:rsidRPr="00BF3C79">
              <w:t> </w:t>
            </w:r>
            <w:r w:rsidRPr="00BF3C79">
              <w:t>%</w:t>
            </w:r>
          </w:p>
        </w:tc>
        <w:tc>
          <w:tcPr>
            <w:tcW w:w="1519" w:type="dxa"/>
          </w:tcPr>
          <w:p w14:paraId="41E6CDFB" w14:textId="02CF17C4" w:rsidR="0029141D" w:rsidRPr="00BF3C79" w:rsidRDefault="005239CE" w:rsidP="004E06B6">
            <w:r w:rsidRPr="00BF3C79">
              <w:t xml:space="preserve">11 </w:t>
            </w:r>
            <w:r w:rsidR="00E45D96" w:rsidRPr="00BF3C79">
              <w:t>cadres supérieurs</w:t>
            </w:r>
          </w:p>
        </w:tc>
      </w:tr>
      <w:tr w:rsidR="00E45D96" w:rsidRPr="00B758DD" w14:paraId="3C84E2F9" w14:textId="77777777" w:rsidTr="00332EEA">
        <w:tc>
          <w:tcPr>
            <w:tcW w:w="1518" w:type="dxa"/>
          </w:tcPr>
          <w:p w14:paraId="0EB43DD7" w14:textId="0D0B8228" w:rsidR="0029141D" w:rsidRPr="00BF3C79" w:rsidRDefault="00E45D96" w:rsidP="00E45D96">
            <w:r w:rsidRPr="00BF3C79">
              <w:t>Femmes</w:t>
            </w:r>
          </w:p>
        </w:tc>
        <w:tc>
          <w:tcPr>
            <w:tcW w:w="1519" w:type="dxa"/>
          </w:tcPr>
          <w:p w14:paraId="33B51E2C" w14:textId="1754B09C" w:rsidR="0029141D" w:rsidRPr="00BF3C79" w:rsidRDefault="0029141D" w:rsidP="001E5AEE">
            <w:pPr>
              <w:jc w:val="right"/>
            </w:pPr>
            <w:r w:rsidRPr="00BF3C79">
              <w:t>116</w:t>
            </w:r>
          </w:p>
        </w:tc>
        <w:tc>
          <w:tcPr>
            <w:tcW w:w="1519" w:type="dxa"/>
          </w:tcPr>
          <w:p w14:paraId="0AD11FFC" w14:textId="0ABAB63A" w:rsidR="0029141D" w:rsidRPr="00BF3C79" w:rsidRDefault="006C5201" w:rsidP="001E5AEE">
            <w:pPr>
              <w:jc w:val="right"/>
            </w:pPr>
            <w:r w:rsidRPr="00BF3C79">
              <w:t>90</w:t>
            </w:r>
          </w:p>
        </w:tc>
        <w:tc>
          <w:tcPr>
            <w:tcW w:w="1383" w:type="dxa"/>
          </w:tcPr>
          <w:p w14:paraId="4653593F" w14:textId="61E434F9" w:rsidR="0029141D" w:rsidRPr="00BF3C79" w:rsidRDefault="0029141D" w:rsidP="001E5AEE">
            <w:pPr>
              <w:jc w:val="right"/>
            </w:pPr>
            <w:r w:rsidRPr="00BF3C79">
              <w:t>53</w:t>
            </w:r>
          </w:p>
        </w:tc>
        <w:tc>
          <w:tcPr>
            <w:tcW w:w="1655" w:type="dxa"/>
          </w:tcPr>
          <w:p w14:paraId="4136CBBA" w14:textId="77777777" w:rsidR="00332EEA" w:rsidRPr="00BF3C79" w:rsidRDefault="00E45D96" w:rsidP="00E45D96">
            <w:r w:rsidRPr="00BF3C79">
              <w:t>43,</w:t>
            </w:r>
            <w:r w:rsidR="0029141D" w:rsidRPr="00BF3C79">
              <w:t>4</w:t>
            </w:r>
            <w:r w:rsidR="00D35491" w:rsidRPr="00BF3C79">
              <w:t> </w:t>
            </w:r>
            <w:r w:rsidR="0029141D" w:rsidRPr="00BF3C79">
              <w:t xml:space="preserve">% </w:t>
            </w:r>
          </w:p>
          <w:p w14:paraId="2BA6EE01" w14:textId="6E326706" w:rsidR="0029141D" w:rsidRPr="00BF3C79" w:rsidRDefault="0029141D" w:rsidP="00E45D96">
            <w:r w:rsidRPr="00BF3C79">
              <w:t xml:space="preserve">(559 </w:t>
            </w:r>
            <w:r w:rsidR="00E45D96" w:rsidRPr="00BF3C79">
              <w:t>cadres</w:t>
            </w:r>
            <w:r w:rsidRPr="00BF3C79">
              <w:t>)</w:t>
            </w:r>
          </w:p>
        </w:tc>
        <w:tc>
          <w:tcPr>
            <w:tcW w:w="1519" w:type="dxa"/>
          </w:tcPr>
          <w:p w14:paraId="69C22476" w14:textId="7900CCDF" w:rsidR="0029141D" w:rsidRPr="00BF3C79" w:rsidRDefault="0029141D" w:rsidP="001E5AEE">
            <w:pPr>
              <w:jc w:val="right"/>
            </w:pPr>
            <w:r w:rsidRPr="00BF3C79">
              <w:t>48</w:t>
            </w:r>
            <w:r w:rsidR="00D35491" w:rsidRPr="00BF3C79">
              <w:t> </w:t>
            </w:r>
            <w:r w:rsidRPr="00BF3C79">
              <w:t>%</w:t>
            </w:r>
          </w:p>
        </w:tc>
        <w:tc>
          <w:tcPr>
            <w:tcW w:w="1519" w:type="dxa"/>
          </w:tcPr>
          <w:p w14:paraId="57FDBE93" w14:textId="7853AD88" w:rsidR="0029141D" w:rsidRPr="00BF3C79" w:rsidRDefault="001E3691" w:rsidP="004E06B6">
            <w:r w:rsidRPr="00BF3C79">
              <w:t xml:space="preserve">59 </w:t>
            </w:r>
            <w:r w:rsidR="00E45D96" w:rsidRPr="00BF3C79">
              <w:t>cadres supérieurs</w:t>
            </w:r>
          </w:p>
        </w:tc>
      </w:tr>
    </w:tbl>
    <w:p w14:paraId="727E1337" w14:textId="2F012775" w:rsidR="00B05209" w:rsidRPr="00B758DD" w:rsidRDefault="00B05209" w:rsidP="009B69D5">
      <w:bookmarkStart w:id="1" w:name="_GoBack"/>
      <w:bookmarkEnd w:id="0"/>
      <w:bookmarkEnd w:id="1"/>
    </w:p>
    <w:sectPr w:rsidR="00B05209" w:rsidRPr="00B758DD" w:rsidSect="00141A0F">
      <w:footerReference w:type="even" r:id="rId11"/>
      <w:footerReference w:type="default" r:id="rId12"/>
      <w:headerReference w:type="first" r:id="rId13"/>
      <w:footerReference w:type="first" r:id="rId14"/>
      <w:pgSz w:w="12240" w:h="15840"/>
      <w:pgMar w:top="1560" w:right="1440" w:bottom="1985" w:left="1440" w:header="709" w:footer="79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99D187" w14:textId="77777777" w:rsidR="00464ED6" w:rsidRDefault="00464ED6" w:rsidP="00A2240C">
      <w:r>
        <w:separator/>
      </w:r>
    </w:p>
  </w:endnote>
  <w:endnote w:type="continuationSeparator" w:id="0">
    <w:p w14:paraId="163EE796" w14:textId="77777777" w:rsidR="00464ED6" w:rsidRDefault="00464ED6" w:rsidP="00A22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860177"/>
      <w:docPartObj>
        <w:docPartGallery w:val="Page Numbers (Bottom of Page)"/>
        <w:docPartUnique/>
      </w:docPartObj>
    </w:sdtPr>
    <w:sdtEndPr>
      <w:rPr>
        <w:noProof/>
      </w:rPr>
    </w:sdtEndPr>
    <w:sdtContent>
      <w:p w14:paraId="436F0133" w14:textId="77777777" w:rsidR="00220B5D" w:rsidRDefault="00220B5D" w:rsidP="00A2240C">
        <w:pPr>
          <w:pStyle w:val="Footer"/>
          <w:rPr>
            <w:noProof/>
          </w:rPr>
        </w:pPr>
        <w:r>
          <w:rPr>
            <w:noProof/>
            <w:lang w:val="en-CA" w:eastAsia="en-CA"/>
          </w:rPr>
          <w:drawing>
            <wp:anchor distT="0" distB="0" distL="114300" distR="114300" simplePos="0" relativeHeight="251657728" behindDoc="1" locked="0" layoutInCell="1" allowOverlap="1" wp14:anchorId="5F8C380C" wp14:editId="3BBE489B">
              <wp:simplePos x="0" y="0"/>
              <wp:positionH relativeFrom="column">
                <wp:posOffset>-886460</wp:posOffset>
              </wp:positionH>
              <wp:positionV relativeFrom="paragraph">
                <wp:posOffset>219075</wp:posOffset>
              </wp:positionV>
              <wp:extent cx="7829550" cy="651510"/>
              <wp:effectExtent l="0" t="0" r="0" b="0"/>
              <wp:wrapNone/>
              <wp:docPr id="527" name="Picture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Word-Inside-colorbars.png"/>
                      <pic:cNvPicPr/>
                    </pic:nvPicPr>
                    <pic:blipFill>
                      <a:blip r:embed="rId1">
                        <a:extLst>
                          <a:ext uri="{28A0092B-C50C-407E-A947-70E740481C1C}">
                            <a14:useLocalDpi xmlns:a14="http://schemas.microsoft.com/office/drawing/2010/main" val="0"/>
                          </a:ext>
                        </a:extLst>
                      </a:blip>
                      <a:stretch>
                        <a:fillRect/>
                      </a:stretch>
                    </pic:blipFill>
                    <pic:spPr>
                      <a:xfrm>
                        <a:off x="0" y="0"/>
                        <a:ext cx="7829550" cy="651510"/>
                      </a:xfrm>
                      <a:prstGeom prst="rect">
                        <a:avLst/>
                      </a:prstGeom>
                      <a:noFill/>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p w14:paraId="148DCE2F" w14:textId="77777777" w:rsidR="00220B5D" w:rsidRDefault="007A189D" w:rsidP="00A2240C">
        <w:pPr>
          <w:pStyle w:val="Footer"/>
        </w:pPr>
      </w:p>
    </w:sdtContent>
  </w:sdt>
  <w:p w14:paraId="1F2B8D95" w14:textId="77777777" w:rsidR="00220B5D" w:rsidRDefault="00220B5D" w:rsidP="00A224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F137F" w14:textId="21C12640" w:rsidR="00220B5D" w:rsidRPr="00474F47" w:rsidRDefault="00220B5D" w:rsidP="00A2240C">
    <w:pPr>
      <w:pStyle w:val="Footer"/>
    </w:pPr>
    <w:r w:rsidRPr="00474F47">
      <w:rPr>
        <w:noProof/>
        <w:lang w:val="en-CA" w:eastAsia="en-CA"/>
      </w:rPr>
      <w:drawing>
        <wp:anchor distT="0" distB="0" distL="114300" distR="114300" simplePos="0" relativeHeight="251658752" behindDoc="1" locked="0" layoutInCell="1" allowOverlap="1" wp14:anchorId="6F60B1DA" wp14:editId="0DF42CCA">
          <wp:simplePos x="0" y="0"/>
          <wp:positionH relativeFrom="column">
            <wp:posOffset>-967563</wp:posOffset>
          </wp:positionH>
          <wp:positionV relativeFrom="page">
            <wp:posOffset>9388549</wp:posOffset>
          </wp:positionV>
          <wp:extent cx="7830000" cy="643620"/>
          <wp:effectExtent l="0" t="0" r="0" b="4445"/>
          <wp:wrapNone/>
          <wp:docPr id="528" name="Picture 52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Word-Inside-colorbars.png"/>
                  <pic:cNvPicPr/>
                </pic:nvPicPr>
                <pic:blipFill>
                  <a:blip r:embed="rId1">
                    <a:extLst>
                      <a:ext uri="{28A0092B-C50C-407E-A947-70E740481C1C}">
                        <a14:useLocalDpi xmlns:a14="http://schemas.microsoft.com/office/drawing/2010/main" val="0"/>
                      </a:ext>
                    </a:extLst>
                  </a:blip>
                  <a:stretch>
                    <a:fillRect/>
                  </a:stretch>
                </pic:blipFill>
                <pic:spPr>
                  <a:xfrm>
                    <a:off x="0" y="0"/>
                    <a:ext cx="7830000" cy="643620"/>
                  </a:xfrm>
                  <a:prstGeom prst="rect">
                    <a:avLst/>
                  </a:prstGeom>
                </pic:spPr>
              </pic:pic>
            </a:graphicData>
          </a:graphic>
          <wp14:sizeRelH relativeFrom="margin">
            <wp14:pctWidth>0</wp14:pctWidth>
          </wp14:sizeRelH>
          <wp14:sizeRelV relativeFrom="margin">
            <wp14:pctHeight>0</wp14:pctHeight>
          </wp14:sizeRelV>
        </wp:anchor>
      </w:drawing>
    </w:r>
    <w:r w:rsidRPr="00474F47">
      <w:fldChar w:fldCharType="begin"/>
    </w:r>
    <w:r w:rsidRPr="00474F47">
      <w:instrText xml:space="preserve"> PAGE   \* MERGEFORMAT </w:instrText>
    </w:r>
    <w:r w:rsidRPr="00474F47">
      <w:fldChar w:fldCharType="separate"/>
    </w:r>
    <w:r w:rsidR="007A189D">
      <w:rPr>
        <w:noProof/>
      </w:rPr>
      <w:t>10</w:t>
    </w:r>
    <w:r w:rsidRPr="00474F47">
      <w:rPr>
        <w:noProof/>
      </w:rPr>
      <w:fldChar w:fldCharType="end"/>
    </w:r>
    <w:r w:rsidRPr="00474F47">
      <w:rPr>
        <w:noProof/>
      </w:rPr>
      <w:t xml:space="preserve"> – </w:t>
    </w:r>
    <w:r w:rsidRPr="00474F47">
      <w:t xml:space="preserve">Commission de la </w:t>
    </w:r>
    <w:r>
      <w:t>fo</w:t>
    </w:r>
    <w:r w:rsidR="00141A0F">
      <w:t>nction publique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DC4E" w14:textId="354DC9E0" w:rsidR="00220B5D" w:rsidRPr="00D30581" w:rsidRDefault="00D30581" w:rsidP="00D30581">
    <w:pPr>
      <w:rPr>
        <w:color w:val="auto"/>
      </w:rPr>
    </w:pPr>
    <w:r>
      <w:rPr>
        <w:color w:val="auto"/>
      </w:rPr>
      <w:t xml:space="preserve">Dernière révision : 19 novembre 2020 </w:t>
    </w:r>
    <w:r w:rsidRPr="003F6522">
      <w:rPr>
        <w:color w:val="auto"/>
      </w:rPr>
      <w:t xml:space="preserve">/ </w:t>
    </w:r>
    <w:proofErr w:type="spellStart"/>
    <w:r>
      <w:rPr>
        <w:color w:val="auto"/>
      </w:rPr>
      <w:t>GCd</w:t>
    </w:r>
    <w:r w:rsidRPr="003F6522">
      <w:rPr>
        <w:color w:val="auto"/>
      </w:rPr>
      <w:t>ocs</w:t>
    </w:r>
    <w:proofErr w:type="spellEnd"/>
    <w:r w:rsidRPr="003F6522">
      <w:rPr>
        <w:color w:val="auto"/>
      </w:rPr>
      <w:t xml:space="preserve"> </w:t>
    </w:r>
    <w:r>
      <w:rPr>
        <w:color w:val="auto"/>
      </w:rPr>
      <w:t>n</w:t>
    </w:r>
    <w:r w:rsidRPr="00B758DD">
      <w:rPr>
        <w:color w:val="auto"/>
        <w:vertAlign w:val="superscript"/>
      </w:rPr>
      <w:t>o</w:t>
    </w:r>
    <w:r w:rsidRPr="003F6522">
      <w:rPr>
        <w:color w:val="auto"/>
      </w:rPr>
      <w:t xml:space="preserve"> </w:t>
    </w:r>
    <w:r w:rsidRPr="005273F0">
      <w:t>10927981</w:t>
    </w:r>
    <w:r w:rsidR="00220B5D">
      <w:rPr>
        <w:noProof/>
        <w:lang w:val="en-CA" w:eastAsia="en-CA"/>
      </w:rPr>
      <w:drawing>
        <wp:anchor distT="0" distB="0" distL="114300" distR="114300" simplePos="0" relativeHeight="251656704" behindDoc="1" locked="0" layoutInCell="1" allowOverlap="1" wp14:anchorId="7E12F07E" wp14:editId="6AF7091F">
          <wp:simplePos x="0" y="0"/>
          <wp:positionH relativeFrom="column">
            <wp:posOffset>-892175</wp:posOffset>
          </wp:positionH>
          <wp:positionV relativeFrom="page">
            <wp:posOffset>5787228</wp:posOffset>
          </wp:positionV>
          <wp:extent cx="7800212" cy="3891600"/>
          <wp:effectExtent l="0" t="0" r="0" b="0"/>
          <wp:wrapNone/>
          <wp:docPr id="530" name="Picture 53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Footer-colobars.png"/>
                  <pic:cNvPicPr/>
                </pic:nvPicPr>
                <pic:blipFill>
                  <a:blip r:embed="rId1">
                    <a:extLst>
                      <a:ext uri="{28A0092B-C50C-407E-A947-70E740481C1C}">
                        <a14:useLocalDpi xmlns:a14="http://schemas.microsoft.com/office/drawing/2010/main" val="0"/>
                      </a:ext>
                    </a:extLst>
                  </a:blip>
                  <a:stretch>
                    <a:fillRect/>
                  </a:stretch>
                </pic:blipFill>
                <pic:spPr>
                  <a:xfrm>
                    <a:off x="0" y="0"/>
                    <a:ext cx="7800212" cy="389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9BC8C1" w14:textId="77777777" w:rsidR="00464ED6" w:rsidRDefault="00464ED6" w:rsidP="00A2240C">
      <w:r>
        <w:separator/>
      </w:r>
    </w:p>
  </w:footnote>
  <w:footnote w:type="continuationSeparator" w:id="0">
    <w:p w14:paraId="32D0AF9E" w14:textId="77777777" w:rsidR="00464ED6" w:rsidRDefault="00464ED6" w:rsidP="00A2240C">
      <w:r>
        <w:continuationSeparator/>
      </w:r>
    </w:p>
  </w:footnote>
  <w:footnote w:id="1">
    <w:p w14:paraId="320520AE" w14:textId="1B5D72F3" w:rsidR="00220B5D" w:rsidRPr="003B32BC" w:rsidRDefault="00220B5D">
      <w:pPr>
        <w:pStyle w:val="FootnoteText"/>
      </w:pPr>
      <w:r w:rsidRPr="003B32BC">
        <w:rPr>
          <w:rStyle w:val="FootnoteReference"/>
        </w:rPr>
        <w:footnoteRef/>
      </w:r>
      <w:r w:rsidRPr="003B32BC">
        <w:t xml:space="preserve"> </w:t>
      </w:r>
      <w:r w:rsidR="003B32BC" w:rsidRPr="003B32BC">
        <w:t>Les données relati</w:t>
      </w:r>
      <w:r w:rsidR="003B32BC">
        <w:t xml:space="preserve">ves à l’équité en matière d’emploi pour les embauches externes se basent sur les renseignements concernant l’auto-identification recueillis par le Secrétariat du Conseil du Trésor et renfermés dans la Banque de données sur l’équité en matière d’emploi (BDEE). </w:t>
      </w:r>
      <w:r w:rsidR="009F641F">
        <w:t>Les données les plus récentes de la BDEE vont jusqu’au 31</w:t>
      </w:r>
      <w:r w:rsidR="00D35491">
        <w:t> </w:t>
      </w:r>
      <w:r w:rsidR="004E7A66">
        <w:t>mars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0C3F2" w14:textId="77777777" w:rsidR="00220B5D" w:rsidRDefault="00220B5D" w:rsidP="00A2240C">
    <w:pPr>
      <w:pStyle w:val="Header"/>
    </w:pPr>
    <w:r>
      <w:rPr>
        <w:noProof/>
        <w:lang w:val="en-CA" w:eastAsia="en-CA"/>
      </w:rPr>
      <w:drawing>
        <wp:inline distT="0" distB="0" distL="0" distR="0" wp14:anchorId="23321AE5" wp14:editId="6B6709FC">
          <wp:extent cx="4510800" cy="267086"/>
          <wp:effectExtent l="0" t="0" r="0" b="0"/>
          <wp:docPr id="529" name="Picture 52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Word-Sign-FR.png"/>
                  <pic:cNvPicPr/>
                </pic:nvPicPr>
                <pic:blipFill>
                  <a:blip r:embed="rId1">
                    <a:extLst>
                      <a:ext uri="{28A0092B-C50C-407E-A947-70E740481C1C}">
                        <a14:useLocalDpi xmlns:a14="http://schemas.microsoft.com/office/drawing/2010/main" val="0"/>
                      </a:ext>
                    </a:extLst>
                  </a:blip>
                  <a:stretch>
                    <a:fillRect/>
                  </a:stretch>
                </pic:blipFill>
                <pic:spPr>
                  <a:xfrm>
                    <a:off x="0" y="0"/>
                    <a:ext cx="4510800" cy="26708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7BC8"/>
    <w:multiLevelType w:val="hybridMultilevel"/>
    <w:tmpl w:val="E612047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954AED"/>
    <w:multiLevelType w:val="hybridMultilevel"/>
    <w:tmpl w:val="5984916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A6B4E9D"/>
    <w:multiLevelType w:val="hybridMultilevel"/>
    <w:tmpl w:val="5F2A66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D2E5D72"/>
    <w:multiLevelType w:val="hybridMultilevel"/>
    <w:tmpl w:val="5C6055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E951543"/>
    <w:multiLevelType w:val="hybridMultilevel"/>
    <w:tmpl w:val="DA126D3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13B4851"/>
    <w:multiLevelType w:val="hybridMultilevel"/>
    <w:tmpl w:val="41C6BAE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1BBF182C"/>
    <w:multiLevelType w:val="hybridMultilevel"/>
    <w:tmpl w:val="43CE8EF0"/>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BE710FF"/>
    <w:multiLevelType w:val="hybridMultilevel"/>
    <w:tmpl w:val="6F5211AC"/>
    <w:lvl w:ilvl="0" w:tplc="309E786C">
      <w:start w:val="1"/>
      <w:numFmt w:val="decimal"/>
      <w:pStyle w:val="Numberedlist"/>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C2C6BF6"/>
    <w:multiLevelType w:val="hybridMultilevel"/>
    <w:tmpl w:val="56FA14D2"/>
    <w:lvl w:ilvl="0" w:tplc="3FAE77F8">
      <w:numFmt w:val="bullet"/>
      <w:pStyle w:val="ListParagraph"/>
      <w:lvlText w:val="•"/>
      <w:lvlJc w:val="left"/>
      <w:pPr>
        <w:ind w:left="720" w:hanging="360"/>
      </w:pPr>
      <w:rPr>
        <w:rFonts w:ascii="Segoe UI Semilight" w:eastAsiaTheme="minorHAnsi" w:hAnsi="Segoe UI Semilight" w:cs="Segoe UI Semi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CC7262C"/>
    <w:multiLevelType w:val="hybridMultilevel"/>
    <w:tmpl w:val="474216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0" w15:restartNumberingAfterBreak="0">
    <w:nsid w:val="1E5F4C31"/>
    <w:multiLevelType w:val="hybridMultilevel"/>
    <w:tmpl w:val="51E634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F0A7214"/>
    <w:multiLevelType w:val="hybridMultilevel"/>
    <w:tmpl w:val="7B40D1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FE30748"/>
    <w:multiLevelType w:val="hybridMultilevel"/>
    <w:tmpl w:val="FDF6665A"/>
    <w:lvl w:ilvl="0" w:tplc="10090001">
      <w:start w:val="1"/>
      <w:numFmt w:val="bullet"/>
      <w:lvlText w:val=""/>
      <w:lvlJc w:val="left"/>
      <w:pPr>
        <w:ind w:left="787" w:hanging="360"/>
      </w:pPr>
      <w:rPr>
        <w:rFonts w:ascii="Symbol" w:hAnsi="Symbol" w:hint="default"/>
      </w:rPr>
    </w:lvl>
    <w:lvl w:ilvl="1" w:tplc="10090003" w:tentative="1">
      <w:start w:val="1"/>
      <w:numFmt w:val="bullet"/>
      <w:lvlText w:val="o"/>
      <w:lvlJc w:val="left"/>
      <w:pPr>
        <w:ind w:left="1507" w:hanging="360"/>
      </w:pPr>
      <w:rPr>
        <w:rFonts w:ascii="Courier New" w:hAnsi="Courier New" w:cs="Courier New" w:hint="default"/>
      </w:rPr>
    </w:lvl>
    <w:lvl w:ilvl="2" w:tplc="10090005" w:tentative="1">
      <w:start w:val="1"/>
      <w:numFmt w:val="bullet"/>
      <w:lvlText w:val=""/>
      <w:lvlJc w:val="left"/>
      <w:pPr>
        <w:ind w:left="2227" w:hanging="360"/>
      </w:pPr>
      <w:rPr>
        <w:rFonts w:ascii="Wingdings" w:hAnsi="Wingdings" w:hint="default"/>
      </w:rPr>
    </w:lvl>
    <w:lvl w:ilvl="3" w:tplc="10090001" w:tentative="1">
      <w:start w:val="1"/>
      <w:numFmt w:val="bullet"/>
      <w:lvlText w:val=""/>
      <w:lvlJc w:val="left"/>
      <w:pPr>
        <w:ind w:left="2947" w:hanging="360"/>
      </w:pPr>
      <w:rPr>
        <w:rFonts w:ascii="Symbol" w:hAnsi="Symbol" w:hint="default"/>
      </w:rPr>
    </w:lvl>
    <w:lvl w:ilvl="4" w:tplc="10090003" w:tentative="1">
      <w:start w:val="1"/>
      <w:numFmt w:val="bullet"/>
      <w:lvlText w:val="o"/>
      <w:lvlJc w:val="left"/>
      <w:pPr>
        <w:ind w:left="3667" w:hanging="360"/>
      </w:pPr>
      <w:rPr>
        <w:rFonts w:ascii="Courier New" w:hAnsi="Courier New" w:cs="Courier New" w:hint="default"/>
      </w:rPr>
    </w:lvl>
    <w:lvl w:ilvl="5" w:tplc="10090005" w:tentative="1">
      <w:start w:val="1"/>
      <w:numFmt w:val="bullet"/>
      <w:lvlText w:val=""/>
      <w:lvlJc w:val="left"/>
      <w:pPr>
        <w:ind w:left="4387" w:hanging="360"/>
      </w:pPr>
      <w:rPr>
        <w:rFonts w:ascii="Wingdings" w:hAnsi="Wingdings" w:hint="default"/>
      </w:rPr>
    </w:lvl>
    <w:lvl w:ilvl="6" w:tplc="10090001" w:tentative="1">
      <w:start w:val="1"/>
      <w:numFmt w:val="bullet"/>
      <w:lvlText w:val=""/>
      <w:lvlJc w:val="left"/>
      <w:pPr>
        <w:ind w:left="5107" w:hanging="360"/>
      </w:pPr>
      <w:rPr>
        <w:rFonts w:ascii="Symbol" w:hAnsi="Symbol" w:hint="default"/>
      </w:rPr>
    </w:lvl>
    <w:lvl w:ilvl="7" w:tplc="10090003" w:tentative="1">
      <w:start w:val="1"/>
      <w:numFmt w:val="bullet"/>
      <w:lvlText w:val="o"/>
      <w:lvlJc w:val="left"/>
      <w:pPr>
        <w:ind w:left="5827" w:hanging="360"/>
      </w:pPr>
      <w:rPr>
        <w:rFonts w:ascii="Courier New" w:hAnsi="Courier New" w:cs="Courier New" w:hint="default"/>
      </w:rPr>
    </w:lvl>
    <w:lvl w:ilvl="8" w:tplc="10090005" w:tentative="1">
      <w:start w:val="1"/>
      <w:numFmt w:val="bullet"/>
      <w:lvlText w:val=""/>
      <w:lvlJc w:val="left"/>
      <w:pPr>
        <w:ind w:left="6547" w:hanging="360"/>
      </w:pPr>
      <w:rPr>
        <w:rFonts w:ascii="Wingdings" w:hAnsi="Wingdings" w:hint="default"/>
      </w:rPr>
    </w:lvl>
  </w:abstractNum>
  <w:abstractNum w:abstractNumId="13" w15:restartNumberingAfterBreak="0">
    <w:nsid w:val="2216618F"/>
    <w:multiLevelType w:val="hybridMultilevel"/>
    <w:tmpl w:val="F7ECDE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235C3C24"/>
    <w:multiLevelType w:val="hybridMultilevel"/>
    <w:tmpl w:val="C24A0D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29A43739"/>
    <w:multiLevelType w:val="hybridMultilevel"/>
    <w:tmpl w:val="6424540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2BAE6E6B"/>
    <w:multiLevelType w:val="hybridMultilevel"/>
    <w:tmpl w:val="8EDAC92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2FAA3B5D"/>
    <w:multiLevelType w:val="multilevel"/>
    <w:tmpl w:val="553EBA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2970022"/>
    <w:multiLevelType w:val="multilevel"/>
    <w:tmpl w:val="553EBA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5CA4DF5"/>
    <w:multiLevelType w:val="hybridMultilevel"/>
    <w:tmpl w:val="94AE415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36B16CBA"/>
    <w:multiLevelType w:val="multilevel"/>
    <w:tmpl w:val="553EBA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372B1FF8"/>
    <w:multiLevelType w:val="hybridMultilevel"/>
    <w:tmpl w:val="412E13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793546F"/>
    <w:multiLevelType w:val="hybridMultilevel"/>
    <w:tmpl w:val="DF986AF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37E80328"/>
    <w:multiLevelType w:val="hybridMultilevel"/>
    <w:tmpl w:val="833C0B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B9E5BA4"/>
    <w:multiLevelType w:val="hybridMultilevel"/>
    <w:tmpl w:val="DAD604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F0A1E1E"/>
    <w:multiLevelType w:val="hybridMultilevel"/>
    <w:tmpl w:val="2040BF8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15:restartNumberingAfterBreak="0">
    <w:nsid w:val="3F7402F4"/>
    <w:multiLevelType w:val="hybridMultilevel"/>
    <w:tmpl w:val="F7CCE1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8E53FD7"/>
    <w:multiLevelType w:val="hybridMultilevel"/>
    <w:tmpl w:val="CEF067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BCE637B"/>
    <w:multiLevelType w:val="multilevel"/>
    <w:tmpl w:val="553EBA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4F040BDF"/>
    <w:multiLevelType w:val="hybridMultilevel"/>
    <w:tmpl w:val="F74A6A6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FDF698C"/>
    <w:multiLevelType w:val="hybridMultilevel"/>
    <w:tmpl w:val="FAE4B4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DB52E4E"/>
    <w:multiLevelType w:val="hybridMultilevel"/>
    <w:tmpl w:val="36A4A09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2" w15:restartNumberingAfterBreak="0">
    <w:nsid w:val="619272B9"/>
    <w:multiLevelType w:val="hybridMultilevel"/>
    <w:tmpl w:val="F176F9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FCD56DB"/>
    <w:multiLevelType w:val="hybridMultilevel"/>
    <w:tmpl w:val="7D56AB58"/>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4" w15:restartNumberingAfterBreak="0">
    <w:nsid w:val="74424816"/>
    <w:multiLevelType w:val="multilevel"/>
    <w:tmpl w:val="553EBA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768220E4"/>
    <w:multiLevelType w:val="hybridMultilevel"/>
    <w:tmpl w:val="31A27F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7C952C39"/>
    <w:multiLevelType w:val="hybridMultilevel"/>
    <w:tmpl w:val="A1DADA8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1"/>
  </w:num>
  <w:num w:numId="2">
    <w:abstractNumId w:val="8"/>
  </w:num>
  <w:num w:numId="3">
    <w:abstractNumId w:val="7"/>
  </w:num>
  <w:num w:numId="4">
    <w:abstractNumId w:val="27"/>
  </w:num>
  <w:num w:numId="5">
    <w:abstractNumId w:val="15"/>
  </w:num>
  <w:num w:numId="6">
    <w:abstractNumId w:val="33"/>
  </w:num>
  <w:num w:numId="7">
    <w:abstractNumId w:val="4"/>
  </w:num>
  <w:num w:numId="8">
    <w:abstractNumId w:val="5"/>
  </w:num>
  <w:num w:numId="9">
    <w:abstractNumId w:val="2"/>
  </w:num>
  <w:num w:numId="10">
    <w:abstractNumId w:val="18"/>
  </w:num>
  <w:num w:numId="11">
    <w:abstractNumId w:val="34"/>
  </w:num>
  <w:num w:numId="12">
    <w:abstractNumId w:val="28"/>
  </w:num>
  <w:num w:numId="13">
    <w:abstractNumId w:val="20"/>
  </w:num>
  <w:num w:numId="14">
    <w:abstractNumId w:val="17"/>
  </w:num>
  <w:num w:numId="15">
    <w:abstractNumId w:val="14"/>
  </w:num>
  <w:num w:numId="16">
    <w:abstractNumId w:val="35"/>
  </w:num>
  <w:num w:numId="17">
    <w:abstractNumId w:val="22"/>
  </w:num>
  <w:num w:numId="18">
    <w:abstractNumId w:val="32"/>
  </w:num>
  <w:num w:numId="19">
    <w:abstractNumId w:val="6"/>
  </w:num>
  <w:num w:numId="20">
    <w:abstractNumId w:val="19"/>
  </w:num>
  <w:num w:numId="21">
    <w:abstractNumId w:val="24"/>
  </w:num>
  <w:num w:numId="22">
    <w:abstractNumId w:val="9"/>
  </w:num>
  <w:num w:numId="23">
    <w:abstractNumId w:val="13"/>
  </w:num>
  <w:num w:numId="24">
    <w:abstractNumId w:val="12"/>
  </w:num>
  <w:num w:numId="25">
    <w:abstractNumId w:val="31"/>
  </w:num>
  <w:num w:numId="26">
    <w:abstractNumId w:val="25"/>
  </w:num>
  <w:num w:numId="27">
    <w:abstractNumId w:val="16"/>
  </w:num>
  <w:num w:numId="28">
    <w:abstractNumId w:val="0"/>
  </w:num>
  <w:num w:numId="29">
    <w:abstractNumId w:val="26"/>
  </w:num>
  <w:num w:numId="30">
    <w:abstractNumId w:val="3"/>
  </w:num>
  <w:num w:numId="31">
    <w:abstractNumId w:val="1"/>
  </w:num>
  <w:num w:numId="32">
    <w:abstractNumId w:val="29"/>
  </w:num>
  <w:num w:numId="33">
    <w:abstractNumId w:val="11"/>
  </w:num>
  <w:num w:numId="34">
    <w:abstractNumId w:val="10"/>
  </w:num>
  <w:num w:numId="35">
    <w:abstractNumId w:val="23"/>
  </w:num>
  <w:num w:numId="36">
    <w:abstractNumId w:val="30"/>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411"/>
    <w:rsid w:val="000046AD"/>
    <w:rsid w:val="00005B71"/>
    <w:rsid w:val="00011FB4"/>
    <w:rsid w:val="0001777C"/>
    <w:rsid w:val="00035642"/>
    <w:rsid w:val="00037567"/>
    <w:rsid w:val="0003764E"/>
    <w:rsid w:val="00041F5A"/>
    <w:rsid w:val="00043FE5"/>
    <w:rsid w:val="00044C18"/>
    <w:rsid w:val="00044DED"/>
    <w:rsid w:val="000539D7"/>
    <w:rsid w:val="000539F9"/>
    <w:rsid w:val="00055211"/>
    <w:rsid w:val="000566CC"/>
    <w:rsid w:val="0006067E"/>
    <w:rsid w:val="00067BCD"/>
    <w:rsid w:val="00073906"/>
    <w:rsid w:val="00073AF1"/>
    <w:rsid w:val="00074FA0"/>
    <w:rsid w:val="00076B17"/>
    <w:rsid w:val="000841D5"/>
    <w:rsid w:val="00085DF6"/>
    <w:rsid w:val="00091252"/>
    <w:rsid w:val="00094376"/>
    <w:rsid w:val="0009708E"/>
    <w:rsid w:val="000A22F8"/>
    <w:rsid w:val="000A6750"/>
    <w:rsid w:val="000A7BE7"/>
    <w:rsid w:val="000B5C78"/>
    <w:rsid w:val="000B7D89"/>
    <w:rsid w:val="000C19EC"/>
    <w:rsid w:val="000C2874"/>
    <w:rsid w:val="000D35A9"/>
    <w:rsid w:val="000F1D33"/>
    <w:rsid w:val="000F2629"/>
    <w:rsid w:val="000F4F85"/>
    <w:rsid w:val="000F712D"/>
    <w:rsid w:val="00100959"/>
    <w:rsid w:val="00101BAA"/>
    <w:rsid w:val="001037ED"/>
    <w:rsid w:val="0010662E"/>
    <w:rsid w:val="0011271F"/>
    <w:rsid w:val="00113A92"/>
    <w:rsid w:val="00114459"/>
    <w:rsid w:val="0011577E"/>
    <w:rsid w:val="001167AF"/>
    <w:rsid w:val="0012558F"/>
    <w:rsid w:val="0013187A"/>
    <w:rsid w:val="00141A0F"/>
    <w:rsid w:val="00143EF4"/>
    <w:rsid w:val="00144747"/>
    <w:rsid w:val="001452B1"/>
    <w:rsid w:val="00154B3C"/>
    <w:rsid w:val="001578F2"/>
    <w:rsid w:val="001703E1"/>
    <w:rsid w:val="00171A52"/>
    <w:rsid w:val="00182827"/>
    <w:rsid w:val="00186646"/>
    <w:rsid w:val="00190490"/>
    <w:rsid w:val="0019378E"/>
    <w:rsid w:val="00193A10"/>
    <w:rsid w:val="0019410D"/>
    <w:rsid w:val="001955DE"/>
    <w:rsid w:val="00196C49"/>
    <w:rsid w:val="001A1A7A"/>
    <w:rsid w:val="001B6202"/>
    <w:rsid w:val="001B66D3"/>
    <w:rsid w:val="001C0C8F"/>
    <w:rsid w:val="001C1DA9"/>
    <w:rsid w:val="001C4301"/>
    <w:rsid w:val="001D15E1"/>
    <w:rsid w:val="001D4808"/>
    <w:rsid w:val="001E3691"/>
    <w:rsid w:val="001E53A9"/>
    <w:rsid w:val="001E5AEE"/>
    <w:rsid w:val="002029F1"/>
    <w:rsid w:val="002045DF"/>
    <w:rsid w:val="002056B7"/>
    <w:rsid w:val="00207732"/>
    <w:rsid w:val="002116E1"/>
    <w:rsid w:val="00212B04"/>
    <w:rsid w:val="002170AB"/>
    <w:rsid w:val="00217531"/>
    <w:rsid w:val="00220B5D"/>
    <w:rsid w:val="00222D81"/>
    <w:rsid w:val="0022373C"/>
    <w:rsid w:val="00223FF2"/>
    <w:rsid w:val="00227A72"/>
    <w:rsid w:val="0023379D"/>
    <w:rsid w:val="002349C3"/>
    <w:rsid w:val="00234C55"/>
    <w:rsid w:val="00234CC3"/>
    <w:rsid w:val="00234D67"/>
    <w:rsid w:val="00237B91"/>
    <w:rsid w:val="0024006E"/>
    <w:rsid w:val="00240664"/>
    <w:rsid w:val="00243374"/>
    <w:rsid w:val="00247D7B"/>
    <w:rsid w:val="00254D39"/>
    <w:rsid w:val="00254EB3"/>
    <w:rsid w:val="00254ECB"/>
    <w:rsid w:val="002566BA"/>
    <w:rsid w:val="00257CF2"/>
    <w:rsid w:val="0026150F"/>
    <w:rsid w:val="0026183E"/>
    <w:rsid w:val="0026195F"/>
    <w:rsid w:val="0026497D"/>
    <w:rsid w:val="00265FF1"/>
    <w:rsid w:val="00266411"/>
    <w:rsid w:val="002669DD"/>
    <w:rsid w:val="00267BAB"/>
    <w:rsid w:val="002769F1"/>
    <w:rsid w:val="002809FA"/>
    <w:rsid w:val="0029141D"/>
    <w:rsid w:val="002A0213"/>
    <w:rsid w:val="002A0257"/>
    <w:rsid w:val="002A1BD4"/>
    <w:rsid w:val="002A7785"/>
    <w:rsid w:val="002B0264"/>
    <w:rsid w:val="002C08D4"/>
    <w:rsid w:val="002C1376"/>
    <w:rsid w:val="002C55D6"/>
    <w:rsid w:val="002C7FDA"/>
    <w:rsid w:val="002D0D08"/>
    <w:rsid w:val="002D0E0E"/>
    <w:rsid w:val="002D228F"/>
    <w:rsid w:val="002D6960"/>
    <w:rsid w:val="002E0490"/>
    <w:rsid w:val="002E50F6"/>
    <w:rsid w:val="002F0BC3"/>
    <w:rsid w:val="002F0DBB"/>
    <w:rsid w:val="002F12C8"/>
    <w:rsid w:val="002F1E1A"/>
    <w:rsid w:val="002F5281"/>
    <w:rsid w:val="00301027"/>
    <w:rsid w:val="00310DF1"/>
    <w:rsid w:val="00313348"/>
    <w:rsid w:val="00321FDE"/>
    <w:rsid w:val="003231AA"/>
    <w:rsid w:val="003235B4"/>
    <w:rsid w:val="00332C01"/>
    <w:rsid w:val="00332EEA"/>
    <w:rsid w:val="0033537A"/>
    <w:rsid w:val="00335854"/>
    <w:rsid w:val="003408D3"/>
    <w:rsid w:val="00350CE8"/>
    <w:rsid w:val="00360856"/>
    <w:rsid w:val="003618EC"/>
    <w:rsid w:val="00370C6F"/>
    <w:rsid w:val="003761CB"/>
    <w:rsid w:val="00377B7A"/>
    <w:rsid w:val="0038000D"/>
    <w:rsid w:val="003802AD"/>
    <w:rsid w:val="00384BE6"/>
    <w:rsid w:val="00384D52"/>
    <w:rsid w:val="003860EB"/>
    <w:rsid w:val="0038614A"/>
    <w:rsid w:val="003869B6"/>
    <w:rsid w:val="00395AE6"/>
    <w:rsid w:val="0039690A"/>
    <w:rsid w:val="003A77AC"/>
    <w:rsid w:val="003B15F2"/>
    <w:rsid w:val="003B227A"/>
    <w:rsid w:val="003B32BC"/>
    <w:rsid w:val="003C0C34"/>
    <w:rsid w:val="003C1CFF"/>
    <w:rsid w:val="003C6D70"/>
    <w:rsid w:val="003C7C07"/>
    <w:rsid w:val="003E6617"/>
    <w:rsid w:val="003F1EFF"/>
    <w:rsid w:val="003F1F30"/>
    <w:rsid w:val="003F2AF9"/>
    <w:rsid w:val="003F6522"/>
    <w:rsid w:val="003F65BF"/>
    <w:rsid w:val="003F7F8A"/>
    <w:rsid w:val="00401BCB"/>
    <w:rsid w:val="0040269A"/>
    <w:rsid w:val="00403DCD"/>
    <w:rsid w:val="00415275"/>
    <w:rsid w:val="00415499"/>
    <w:rsid w:val="004217DE"/>
    <w:rsid w:val="0042441B"/>
    <w:rsid w:val="00427E24"/>
    <w:rsid w:val="004320EB"/>
    <w:rsid w:val="00433586"/>
    <w:rsid w:val="00435AB2"/>
    <w:rsid w:val="00435E41"/>
    <w:rsid w:val="004403ED"/>
    <w:rsid w:val="004420C1"/>
    <w:rsid w:val="00445E7B"/>
    <w:rsid w:val="00455836"/>
    <w:rsid w:val="00461A95"/>
    <w:rsid w:val="00461BE2"/>
    <w:rsid w:val="00464ED6"/>
    <w:rsid w:val="004650F0"/>
    <w:rsid w:val="00465642"/>
    <w:rsid w:val="004702B8"/>
    <w:rsid w:val="0047199D"/>
    <w:rsid w:val="004731F2"/>
    <w:rsid w:val="0047361A"/>
    <w:rsid w:val="00474F47"/>
    <w:rsid w:val="00482529"/>
    <w:rsid w:val="00483764"/>
    <w:rsid w:val="00487CEE"/>
    <w:rsid w:val="00492220"/>
    <w:rsid w:val="00494B99"/>
    <w:rsid w:val="00495D53"/>
    <w:rsid w:val="00495EB6"/>
    <w:rsid w:val="004A3B58"/>
    <w:rsid w:val="004A586B"/>
    <w:rsid w:val="004A6A70"/>
    <w:rsid w:val="004B27EE"/>
    <w:rsid w:val="004B4648"/>
    <w:rsid w:val="004D13EB"/>
    <w:rsid w:val="004D1A17"/>
    <w:rsid w:val="004D61C4"/>
    <w:rsid w:val="004E06B6"/>
    <w:rsid w:val="004E6EB8"/>
    <w:rsid w:val="004E7A66"/>
    <w:rsid w:val="004E7B6B"/>
    <w:rsid w:val="004F26B1"/>
    <w:rsid w:val="004F34FF"/>
    <w:rsid w:val="005008CC"/>
    <w:rsid w:val="00502350"/>
    <w:rsid w:val="00505B79"/>
    <w:rsid w:val="00510BC7"/>
    <w:rsid w:val="00511B03"/>
    <w:rsid w:val="005148B7"/>
    <w:rsid w:val="00516EF0"/>
    <w:rsid w:val="005239CE"/>
    <w:rsid w:val="00524F35"/>
    <w:rsid w:val="0052668E"/>
    <w:rsid w:val="005273F0"/>
    <w:rsid w:val="00530A1F"/>
    <w:rsid w:val="00532560"/>
    <w:rsid w:val="00532BA9"/>
    <w:rsid w:val="00532BCB"/>
    <w:rsid w:val="005355E2"/>
    <w:rsid w:val="00535C4F"/>
    <w:rsid w:val="00536904"/>
    <w:rsid w:val="0053783D"/>
    <w:rsid w:val="00551F96"/>
    <w:rsid w:val="00561049"/>
    <w:rsid w:val="00561F04"/>
    <w:rsid w:val="00562211"/>
    <w:rsid w:val="00563956"/>
    <w:rsid w:val="00563D9E"/>
    <w:rsid w:val="00564610"/>
    <w:rsid w:val="00566092"/>
    <w:rsid w:val="005667D2"/>
    <w:rsid w:val="005729DA"/>
    <w:rsid w:val="005734ED"/>
    <w:rsid w:val="0057552A"/>
    <w:rsid w:val="00580972"/>
    <w:rsid w:val="00580A4D"/>
    <w:rsid w:val="00582374"/>
    <w:rsid w:val="0058460E"/>
    <w:rsid w:val="00585250"/>
    <w:rsid w:val="0059104E"/>
    <w:rsid w:val="005914D9"/>
    <w:rsid w:val="00596B8D"/>
    <w:rsid w:val="00597131"/>
    <w:rsid w:val="005A0842"/>
    <w:rsid w:val="005A1F0C"/>
    <w:rsid w:val="005A2D6A"/>
    <w:rsid w:val="005A3465"/>
    <w:rsid w:val="005A7E6D"/>
    <w:rsid w:val="005B32FF"/>
    <w:rsid w:val="005B3839"/>
    <w:rsid w:val="005B637D"/>
    <w:rsid w:val="005C0BEF"/>
    <w:rsid w:val="005C2ED0"/>
    <w:rsid w:val="005C5002"/>
    <w:rsid w:val="005C7AFF"/>
    <w:rsid w:val="005D47CE"/>
    <w:rsid w:val="005D7A62"/>
    <w:rsid w:val="005E1636"/>
    <w:rsid w:val="005E33BF"/>
    <w:rsid w:val="005E4D17"/>
    <w:rsid w:val="005F4D94"/>
    <w:rsid w:val="005F6E9E"/>
    <w:rsid w:val="005F7F63"/>
    <w:rsid w:val="00602718"/>
    <w:rsid w:val="006071D3"/>
    <w:rsid w:val="00613963"/>
    <w:rsid w:val="00614133"/>
    <w:rsid w:val="0061652B"/>
    <w:rsid w:val="00617C67"/>
    <w:rsid w:val="00620A06"/>
    <w:rsid w:val="00621664"/>
    <w:rsid w:val="00621A55"/>
    <w:rsid w:val="00623CB2"/>
    <w:rsid w:val="006263CB"/>
    <w:rsid w:val="006278C1"/>
    <w:rsid w:val="00633964"/>
    <w:rsid w:val="006353B8"/>
    <w:rsid w:val="00635737"/>
    <w:rsid w:val="006361A0"/>
    <w:rsid w:val="00637B82"/>
    <w:rsid w:val="00642202"/>
    <w:rsid w:val="00643277"/>
    <w:rsid w:val="0064486C"/>
    <w:rsid w:val="0064640B"/>
    <w:rsid w:val="00646A04"/>
    <w:rsid w:val="00652638"/>
    <w:rsid w:val="00655846"/>
    <w:rsid w:val="00655AC5"/>
    <w:rsid w:val="00664049"/>
    <w:rsid w:val="00665D35"/>
    <w:rsid w:val="00671078"/>
    <w:rsid w:val="00684FF4"/>
    <w:rsid w:val="00686B7E"/>
    <w:rsid w:val="0068742D"/>
    <w:rsid w:val="006926B2"/>
    <w:rsid w:val="00693FC0"/>
    <w:rsid w:val="0069469D"/>
    <w:rsid w:val="006A5688"/>
    <w:rsid w:val="006A5786"/>
    <w:rsid w:val="006A5EA7"/>
    <w:rsid w:val="006C4059"/>
    <w:rsid w:val="006C5201"/>
    <w:rsid w:val="006C56A4"/>
    <w:rsid w:val="006C652D"/>
    <w:rsid w:val="006D0E60"/>
    <w:rsid w:val="006D1EA1"/>
    <w:rsid w:val="006D72B7"/>
    <w:rsid w:val="006D7949"/>
    <w:rsid w:val="006E04F1"/>
    <w:rsid w:val="006E05F7"/>
    <w:rsid w:val="006E21A3"/>
    <w:rsid w:val="006E331F"/>
    <w:rsid w:val="006E51E1"/>
    <w:rsid w:val="006E5BBD"/>
    <w:rsid w:val="006E7C30"/>
    <w:rsid w:val="006F1B05"/>
    <w:rsid w:val="006F550C"/>
    <w:rsid w:val="006F5820"/>
    <w:rsid w:val="007109A8"/>
    <w:rsid w:val="0071351E"/>
    <w:rsid w:val="00714D45"/>
    <w:rsid w:val="0072068A"/>
    <w:rsid w:val="00725066"/>
    <w:rsid w:val="007273F1"/>
    <w:rsid w:val="007358D3"/>
    <w:rsid w:val="007374E6"/>
    <w:rsid w:val="00743E10"/>
    <w:rsid w:val="00744D22"/>
    <w:rsid w:val="007463E3"/>
    <w:rsid w:val="00753758"/>
    <w:rsid w:val="007556F7"/>
    <w:rsid w:val="007558FC"/>
    <w:rsid w:val="007563A2"/>
    <w:rsid w:val="00756722"/>
    <w:rsid w:val="007620E1"/>
    <w:rsid w:val="00764ABA"/>
    <w:rsid w:val="00766634"/>
    <w:rsid w:val="00772303"/>
    <w:rsid w:val="00772C4B"/>
    <w:rsid w:val="00775CF0"/>
    <w:rsid w:val="00781132"/>
    <w:rsid w:val="007817A2"/>
    <w:rsid w:val="00781E61"/>
    <w:rsid w:val="00783724"/>
    <w:rsid w:val="00787BD3"/>
    <w:rsid w:val="00796578"/>
    <w:rsid w:val="00796C93"/>
    <w:rsid w:val="007973FE"/>
    <w:rsid w:val="007A0D7E"/>
    <w:rsid w:val="007A189D"/>
    <w:rsid w:val="007A1CA2"/>
    <w:rsid w:val="007A1F06"/>
    <w:rsid w:val="007A5149"/>
    <w:rsid w:val="007B0A63"/>
    <w:rsid w:val="007B2B6E"/>
    <w:rsid w:val="007B3EA3"/>
    <w:rsid w:val="007B5C69"/>
    <w:rsid w:val="007C0004"/>
    <w:rsid w:val="007C3013"/>
    <w:rsid w:val="007C60BF"/>
    <w:rsid w:val="007C674F"/>
    <w:rsid w:val="007C71FF"/>
    <w:rsid w:val="007D1B2A"/>
    <w:rsid w:val="007E5403"/>
    <w:rsid w:val="007F19DB"/>
    <w:rsid w:val="007F6893"/>
    <w:rsid w:val="00802F0C"/>
    <w:rsid w:val="008060EB"/>
    <w:rsid w:val="00812A5B"/>
    <w:rsid w:val="00813D63"/>
    <w:rsid w:val="008168A9"/>
    <w:rsid w:val="0082015A"/>
    <w:rsid w:val="0082138A"/>
    <w:rsid w:val="0082345F"/>
    <w:rsid w:val="00823802"/>
    <w:rsid w:val="0082385E"/>
    <w:rsid w:val="00823F7C"/>
    <w:rsid w:val="00824BC7"/>
    <w:rsid w:val="00826F04"/>
    <w:rsid w:val="00827750"/>
    <w:rsid w:val="008316C7"/>
    <w:rsid w:val="00834A39"/>
    <w:rsid w:val="008371AA"/>
    <w:rsid w:val="00837D32"/>
    <w:rsid w:val="008416CE"/>
    <w:rsid w:val="0084477C"/>
    <w:rsid w:val="00862791"/>
    <w:rsid w:val="00864358"/>
    <w:rsid w:val="00864BAE"/>
    <w:rsid w:val="00864EC9"/>
    <w:rsid w:val="00866947"/>
    <w:rsid w:val="00867DE7"/>
    <w:rsid w:val="00873089"/>
    <w:rsid w:val="008766BB"/>
    <w:rsid w:val="00876D6D"/>
    <w:rsid w:val="00881D39"/>
    <w:rsid w:val="00883537"/>
    <w:rsid w:val="00884EBA"/>
    <w:rsid w:val="0088671E"/>
    <w:rsid w:val="00891B92"/>
    <w:rsid w:val="00892A50"/>
    <w:rsid w:val="00893297"/>
    <w:rsid w:val="008B2620"/>
    <w:rsid w:val="008B29BB"/>
    <w:rsid w:val="008C20BE"/>
    <w:rsid w:val="008C3C4D"/>
    <w:rsid w:val="008C5582"/>
    <w:rsid w:val="008D4B99"/>
    <w:rsid w:val="008E3691"/>
    <w:rsid w:val="008E480A"/>
    <w:rsid w:val="008E5B1F"/>
    <w:rsid w:val="008E6393"/>
    <w:rsid w:val="008F4D6A"/>
    <w:rsid w:val="008F6445"/>
    <w:rsid w:val="00900333"/>
    <w:rsid w:val="00900793"/>
    <w:rsid w:val="00903E29"/>
    <w:rsid w:val="00905C8C"/>
    <w:rsid w:val="00914FB9"/>
    <w:rsid w:val="00925104"/>
    <w:rsid w:val="0093747F"/>
    <w:rsid w:val="00940883"/>
    <w:rsid w:val="0094321C"/>
    <w:rsid w:val="009465EC"/>
    <w:rsid w:val="009526C1"/>
    <w:rsid w:val="00953EFD"/>
    <w:rsid w:val="009542FA"/>
    <w:rsid w:val="00955B66"/>
    <w:rsid w:val="00957253"/>
    <w:rsid w:val="00961174"/>
    <w:rsid w:val="00971D55"/>
    <w:rsid w:val="0097363B"/>
    <w:rsid w:val="009747D4"/>
    <w:rsid w:val="0098087A"/>
    <w:rsid w:val="009851C1"/>
    <w:rsid w:val="00985FD0"/>
    <w:rsid w:val="009860BA"/>
    <w:rsid w:val="00987986"/>
    <w:rsid w:val="00990BE6"/>
    <w:rsid w:val="00992A5A"/>
    <w:rsid w:val="00993CFB"/>
    <w:rsid w:val="00996A08"/>
    <w:rsid w:val="009A00C8"/>
    <w:rsid w:val="009A0EAC"/>
    <w:rsid w:val="009A128B"/>
    <w:rsid w:val="009A1DAD"/>
    <w:rsid w:val="009B00D5"/>
    <w:rsid w:val="009B2A9F"/>
    <w:rsid w:val="009B454F"/>
    <w:rsid w:val="009B5A90"/>
    <w:rsid w:val="009B69D5"/>
    <w:rsid w:val="009B739E"/>
    <w:rsid w:val="009C3907"/>
    <w:rsid w:val="009C3AE7"/>
    <w:rsid w:val="009C5B8A"/>
    <w:rsid w:val="009D12C7"/>
    <w:rsid w:val="009D3273"/>
    <w:rsid w:val="009E31B7"/>
    <w:rsid w:val="009E3635"/>
    <w:rsid w:val="009E4A05"/>
    <w:rsid w:val="009E5C2F"/>
    <w:rsid w:val="009E6002"/>
    <w:rsid w:val="009E708D"/>
    <w:rsid w:val="009F221E"/>
    <w:rsid w:val="009F2F97"/>
    <w:rsid w:val="009F3F70"/>
    <w:rsid w:val="009F5D4B"/>
    <w:rsid w:val="009F641F"/>
    <w:rsid w:val="00A01B06"/>
    <w:rsid w:val="00A052EC"/>
    <w:rsid w:val="00A12C7B"/>
    <w:rsid w:val="00A148E7"/>
    <w:rsid w:val="00A15A2D"/>
    <w:rsid w:val="00A21F59"/>
    <w:rsid w:val="00A2240C"/>
    <w:rsid w:val="00A2266C"/>
    <w:rsid w:val="00A312DD"/>
    <w:rsid w:val="00A35C69"/>
    <w:rsid w:val="00A374B9"/>
    <w:rsid w:val="00A46273"/>
    <w:rsid w:val="00A50AAA"/>
    <w:rsid w:val="00A53A3C"/>
    <w:rsid w:val="00A734E9"/>
    <w:rsid w:val="00A75D22"/>
    <w:rsid w:val="00A777B6"/>
    <w:rsid w:val="00A85416"/>
    <w:rsid w:val="00A85961"/>
    <w:rsid w:val="00A8620E"/>
    <w:rsid w:val="00A9098A"/>
    <w:rsid w:val="00A95EC8"/>
    <w:rsid w:val="00AA31F8"/>
    <w:rsid w:val="00AA4C83"/>
    <w:rsid w:val="00AA5D0A"/>
    <w:rsid w:val="00AA72E8"/>
    <w:rsid w:val="00AB0242"/>
    <w:rsid w:val="00AB1765"/>
    <w:rsid w:val="00AB447A"/>
    <w:rsid w:val="00AB46D8"/>
    <w:rsid w:val="00AC2CFA"/>
    <w:rsid w:val="00AC30A0"/>
    <w:rsid w:val="00AC67BF"/>
    <w:rsid w:val="00AD1E70"/>
    <w:rsid w:val="00AD3C64"/>
    <w:rsid w:val="00AD657C"/>
    <w:rsid w:val="00AE01FA"/>
    <w:rsid w:val="00AE2F9F"/>
    <w:rsid w:val="00AE79D0"/>
    <w:rsid w:val="00AF05A7"/>
    <w:rsid w:val="00AF539A"/>
    <w:rsid w:val="00B03D8B"/>
    <w:rsid w:val="00B05209"/>
    <w:rsid w:val="00B066F4"/>
    <w:rsid w:val="00B104C1"/>
    <w:rsid w:val="00B1297D"/>
    <w:rsid w:val="00B14541"/>
    <w:rsid w:val="00B15AD6"/>
    <w:rsid w:val="00B16899"/>
    <w:rsid w:val="00B168CA"/>
    <w:rsid w:val="00B22F6A"/>
    <w:rsid w:val="00B26341"/>
    <w:rsid w:val="00B266A6"/>
    <w:rsid w:val="00B31A12"/>
    <w:rsid w:val="00B33ABB"/>
    <w:rsid w:val="00B354FF"/>
    <w:rsid w:val="00B36FCE"/>
    <w:rsid w:val="00B402D0"/>
    <w:rsid w:val="00B40FAB"/>
    <w:rsid w:val="00B428FE"/>
    <w:rsid w:val="00B44CE7"/>
    <w:rsid w:val="00B45CF8"/>
    <w:rsid w:val="00B46EAA"/>
    <w:rsid w:val="00B471F5"/>
    <w:rsid w:val="00B50854"/>
    <w:rsid w:val="00B51997"/>
    <w:rsid w:val="00B60974"/>
    <w:rsid w:val="00B610A7"/>
    <w:rsid w:val="00B6370C"/>
    <w:rsid w:val="00B6481C"/>
    <w:rsid w:val="00B64F09"/>
    <w:rsid w:val="00B739E1"/>
    <w:rsid w:val="00B758DD"/>
    <w:rsid w:val="00B96BF4"/>
    <w:rsid w:val="00BA2FA9"/>
    <w:rsid w:val="00BA43F6"/>
    <w:rsid w:val="00BA47E3"/>
    <w:rsid w:val="00BA53C9"/>
    <w:rsid w:val="00BA60A1"/>
    <w:rsid w:val="00BA6D49"/>
    <w:rsid w:val="00BA7A58"/>
    <w:rsid w:val="00BB06B6"/>
    <w:rsid w:val="00BB2434"/>
    <w:rsid w:val="00BB765C"/>
    <w:rsid w:val="00BB7BDF"/>
    <w:rsid w:val="00BC2EA5"/>
    <w:rsid w:val="00BC67C9"/>
    <w:rsid w:val="00BC7998"/>
    <w:rsid w:val="00BC7B6C"/>
    <w:rsid w:val="00BD2EFB"/>
    <w:rsid w:val="00BD5F70"/>
    <w:rsid w:val="00BD651C"/>
    <w:rsid w:val="00BE1F2B"/>
    <w:rsid w:val="00BF1D70"/>
    <w:rsid w:val="00BF3C79"/>
    <w:rsid w:val="00BF4FD1"/>
    <w:rsid w:val="00C047CB"/>
    <w:rsid w:val="00C05F7B"/>
    <w:rsid w:val="00C1076C"/>
    <w:rsid w:val="00C148C4"/>
    <w:rsid w:val="00C155B8"/>
    <w:rsid w:val="00C1601B"/>
    <w:rsid w:val="00C2121D"/>
    <w:rsid w:val="00C22655"/>
    <w:rsid w:val="00C22FB6"/>
    <w:rsid w:val="00C4033B"/>
    <w:rsid w:val="00C40D92"/>
    <w:rsid w:val="00C42F94"/>
    <w:rsid w:val="00C47041"/>
    <w:rsid w:val="00C54E56"/>
    <w:rsid w:val="00C55F79"/>
    <w:rsid w:val="00C5766A"/>
    <w:rsid w:val="00C57E8E"/>
    <w:rsid w:val="00C6297C"/>
    <w:rsid w:val="00C63E90"/>
    <w:rsid w:val="00C71C65"/>
    <w:rsid w:val="00C722A6"/>
    <w:rsid w:val="00C8190F"/>
    <w:rsid w:val="00C835D2"/>
    <w:rsid w:val="00C84CD3"/>
    <w:rsid w:val="00C87B20"/>
    <w:rsid w:val="00C9075F"/>
    <w:rsid w:val="00C92BCC"/>
    <w:rsid w:val="00C94F8F"/>
    <w:rsid w:val="00C96159"/>
    <w:rsid w:val="00C961E2"/>
    <w:rsid w:val="00C96994"/>
    <w:rsid w:val="00CA3E60"/>
    <w:rsid w:val="00CA40A5"/>
    <w:rsid w:val="00CB0ADE"/>
    <w:rsid w:val="00CB1315"/>
    <w:rsid w:val="00CB63BC"/>
    <w:rsid w:val="00CD40C3"/>
    <w:rsid w:val="00CE26CF"/>
    <w:rsid w:val="00CE5FF6"/>
    <w:rsid w:val="00CE6BAE"/>
    <w:rsid w:val="00CF749B"/>
    <w:rsid w:val="00D01D9D"/>
    <w:rsid w:val="00D033CB"/>
    <w:rsid w:val="00D07661"/>
    <w:rsid w:val="00D130D8"/>
    <w:rsid w:val="00D1354A"/>
    <w:rsid w:val="00D23796"/>
    <w:rsid w:val="00D24DD4"/>
    <w:rsid w:val="00D26C3B"/>
    <w:rsid w:val="00D30581"/>
    <w:rsid w:val="00D30CBD"/>
    <w:rsid w:val="00D35491"/>
    <w:rsid w:val="00D35FED"/>
    <w:rsid w:val="00D468E3"/>
    <w:rsid w:val="00D55836"/>
    <w:rsid w:val="00D57D04"/>
    <w:rsid w:val="00D62B1A"/>
    <w:rsid w:val="00D67DC1"/>
    <w:rsid w:val="00D743B4"/>
    <w:rsid w:val="00D771A4"/>
    <w:rsid w:val="00D7786F"/>
    <w:rsid w:val="00D812DD"/>
    <w:rsid w:val="00D8270D"/>
    <w:rsid w:val="00D8573B"/>
    <w:rsid w:val="00DA4872"/>
    <w:rsid w:val="00DA6BBD"/>
    <w:rsid w:val="00DA7D57"/>
    <w:rsid w:val="00DB46B9"/>
    <w:rsid w:val="00DC0204"/>
    <w:rsid w:val="00DC2DA8"/>
    <w:rsid w:val="00DC40B3"/>
    <w:rsid w:val="00DC4DC9"/>
    <w:rsid w:val="00DC5A3B"/>
    <w:rsid w:val="00DC6735"/>
    <w:rsid w:val="00DD5163"/>
    <w:rsid w:val="00DD52B1"/>
    <w:rsid w:val="00DE07EB"/>
    <w:rsid w:val="00DE1574"/>
    <w:rsid w:val="00DE226C"/>
    <w:rsid w:val="00DE26F3"/>
    <w:rsid w:val="00DE2D3A"/>
    <w:rsid w:val="00DF11C6"/>
    <w:rsid w:val="00DF1AAB"/>
    <w:rsid w:val="00DF535B"/>
    <w:rsid w:val="00DF6BC6"/>
    <w:rsid w:val="00DF7C22"/>
    <w:rsid w:val="00E001A6"/>
    <w:rsid w:val="00E03A88"/>
    <w:rsid w:val="00E0570D"/>
    <w:rsid w:val="00E06E64"/>
    <w:rsid w:val="00E133FE"/>
    <w:rsid w:val="00E21BEF"/>
    <w:rsid w:val="00E222FE"/>
    <w:rsid w:val="00E33F8E"/>
    <w:rsid w:val="00E348F4"/>
    <w:rsid w:val="00E353C6"/>
    <w:rsid w:val="00E4359F"/>
    <w:rsid w:val="00E45D96"/>
    <w:rsid w:val="00E46C29"/>
    <w:rsid w:val="00E530E8"/>
    <w:rsid w:val="00E53134"/>
    <w:rsid w:val="00E6124E"/>
    <w:rsid w:val="00E67559"/>
    <w:rsid w:val="00E67D65"/>
    <w:rsid w:val="00E70FF1"/>
    <w:rsid w:val="00E87569"/>
    <w:rsid w:val="00E915C4"/>
    <w:rsid w:val="00E926DF"/>
    <w:rsid w:val="00E943A5"/>
    <w:rsid w:val="00E94AC0"/>
    <w:rsid w:val="00EA48EE"/>
    <w:rsid w:val="00EB6C58"/>
    <w:rsid w:val="00EC495E"/>
    <w:rsid w:val="00EC4D71"/>
    <w:rsid w:val="00EC6606"/>
    <w:rsid w:val="00ED4646"/>
    <w:rsid w:val="00ED57FE"/>
    <w:rsid w:val="00ED6AD2"/>
    <w:rsid w:val="00ED7787"/>
    <w:rsid w:val="00ED7E43"/>
    <w:rsid w:val="00EE67B0"/>
    <w:rsid w:val="00EF13DD"/>
    <w:rsid w:val="00EF1B8F"/>
    <w:rsid w:val="00EF34FF"/>
    <w:rsid w:val="00EF391C"/>
    <w:rsid w:val="00EF5A32"/>
    <w:rsid w:val="00EF78D9"/>
    <w:rsid w:val="00F009A7"/>
    <w:rsid w:val="00F02814"/>
    <w:rsid w:val="00F02E86"/>
    <w:rsid w:val="00F03EF2"/>
    <w:rsid w:val="00F04361"/>
    <w:rsid w:val="00F0548B"/>
    <w:rsid w:val="00F0639E"/>
    <w:rsid w:val="00F140EF"/>
    <w:rsid w:val="00F23AE8"/>
    <w:rsid w:val="00F25FCA"/>
    <w:rsid w:val="00F37FA1"/>
    <w:rsid w:val="00F45379"/>
    <w:rsid w:val="00F463F0"/>
    <w:rsid w:val="00F46DBC"/>
    <w:rsid w:val="00F54A43"/>
    <w:rsid w:val="00F55A17"/>
    <w:rsid w:val="00F56BA9"/>
    <w:rsid w:val="00F57023"/>
    <w:rsid w:val="00F656BA"/>
    <w:rsid w:val="00F65B1E"/>
    <w:rsid w:val="00F672FD"/>
    <w:rsid w:val="00F74A03"/>
    <w:rsid w:val="00F81B96"/>
    <w:rsid w:val="00F84010"/>
    <w:rsid w:val="00F90E50"/>
    <w:rsid w:val="00F930AF"/>
    <w:rsid w:val="00F93EC9"/>
    <w:rsid w:val="00F96988"/>
    <w:rsid w:val="00F96A16"/>
    <w:rsid w:val="00F96EB4"/>
    <w:rsid w:val="00FA0CAA"/>
    <w:rsid w:val="00FA19A7"/>
    <w:rsid w:val="00FA2B44"/>
    <w:rsid w:val="00FA696C"/>
    <w:rsid w:val="00FB569E"/>
    <w:rsid w:val="00FC00C1"/>
    <w:rsid w:val="00FC638F"/>
    <w:rsid w:val="00FC65B5"/>
    <w:rsid w:val="00FD0C6B"/>
    <w:rsid w:val="00FD2C69"/>
    <w:rsid w:val="00FD3DAD"/>
    <w:rsid w:val="00FD6B93"/>
    <w:rsid w:val="00FD6F56"/>
    <w:rsid w:val="00FE4CE1"/>
    <w:rsid w:val="00FF7025"/>
    <w:rsid w:val="00FF70FE"/>
    <w:rsid w:val="00FF73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835BBE"/>
  <w15:docId w15:val="{46270668-2A26-4985-B045-97338DAF3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40C"/>
    <w:pPr>
      <w:keepLines/>
    </w:pPr>
    <w:rPr>
      <w:color w:val="54575A" w:themeColor="text1"/>
      <w:lang w:val="fr-CA"/>
    </w:rPr>
  </w:style>
  <w:style w:type="paragraph" w:styleId="Heading1">
    <w:name w:val="heading 1"/>
    <w:basedOn w:val="Normal"/>
    <w:next w:val="Normal"/>
    <w:link w:val="Heading1Char"/>
    <w:uiPriority w:val="9"/>
    <w:qFormat/>
    <w:rsid w:val="00143EF4"/>
    <w:pPr>
      <w:keepNext/>
      <w:spacing w:before="240" w:after="240"/>
      <w:outlineLvl w:val="0"/>
    </w:pPr>
    <w:rPr>
      <w:rFonts w:asciiTheme="majorHAnsi" w:eastAsiaTheme="majorEastAsia" w:hAnsiTheme="majorHAnsi" w:cstheme="majorBidi"/>
      <w:sz w:val="48"/>
      <w:szCs w:val="48"/>
    </w:rPr>
  </w:style>
  <w:style w:type="paragraph" w:styleId="Heading2">
    <w:name w:val="heading 2"/>
    <w:basedOn w:val="Normal"/>
    <w:next w:val="Normal"/>
    <w:link w:val="Heading2Char"/>
    <w:uiPriority w:val="9"/>
    <w:unhideWhenUsed/>
    <w:qFormat/>
    <w:rsid w:val="00143EF4"/>
    <w:pPr>
      <w:keepNext/>
      <w:spacing w:before="40" w:after="240"/>
      <w:outlineLvl w:val="1"/>
    </w:pPr>
    <w:rPr>
      <w:rFonts w:ascii="Segoe UI" w:eastAsiaTheme="majorEastAsia" w:hAnsi="Segoe UI" w:cs="Segoe UI"/>
      <w:b/>
      <w:color w:val="5B315E" w:themeColor="accent2"/>
      <w:sz w:val="32"/>
      <w:szCs w:val="32"/>
      <w:lang w:val="en-CA"/>
    </w:rPr>
  </w:style>
  <w:style w:type="paragraph" w:styleId="Heading3">
    <w:name w:val="heading 3"/>
    <w:basedOn w:val="Normal"/>
    <w:next w:val="Normal"/>
    <w:link w:val="Heading3Char"/>
    <w:uiPriority w:val="9"/>
    <w:unhideWhenUsed/>
    <w:qFormat/>
    <w:rsid w:val="00143EF4"/>
    <w:pPr>
      <w:keepNext/>
      <w:spacing w:before="40" w:after="120"/>
      <w:outlineLvl w:val="2"/>
    </w:pPr>
    <w:rPr>
      <w:rFonts w:ascii="Segoe UI Semibold" w:eastAsiaTheme="majorEastAsia" w:hAnsi="Segoe UI Semibold" w:cs="Segoe UI Semibold"/>
      <w:sz w:val="24"/>
      <w:szCs w:val="24"/>
      <w:lang w:val="en-CA"/>
    </w:rPr>
  </w:style>
  <w:style w:type="paragraph" w:styleId="Heading4">
    <w:name w:val="heading 4"/>
    <w:basedOn w:val="Normal"/>
    <w:next w:val="Normal"/>
    <w:link w:val="Heading4Char"/>
    <w:uiPriority w:val="9"/>
    <w:unhideWhenUsed/>
    <w:qFormat/>
    <w:rsid w:val="00222D81"/>
    <w:pPr>
      <w:keepNext/>
      <w:spacing w:before="40" w:after="0"/>
      <w:outlineLvl w:val="3"/>
    </w:pPr>
    <w:rPr>
      <w:rFonts w:asciiTheme="majorHAnsi" w:eastAsiaTheme="majorEastAsia" w:hAnsiTheme="majorHAnsi" w:cstheme="majorBidi"/>
      <w:iCs/>
      <w:color w:val="54575A" w:themeColor="text2"/>
    </w:rPr>
  </w:style>
  <w:style w:type="paragraph" w:styleId="Heading5">
    <w:name w:val="heading 5"/>
    <w:basedOn w:val="Normal"/>
    <w:next w:val="Normal"/>
    <w:link w:val="Heading5Char"/>
    <w:uiPriority w:val="9"/>
    <w:unhideWhenUsed/>
    <w:qFormat/>
    <w:rsid w:val="00C92BCC"/>
    <w:pPr>
      <w:keepNext/>
      <w:spacing w:before="40" w:after="0"/>
      <w:outlineLvl w:val="4"/>
    </w:pPr>
    <w:rPr>
      <w:rFonts w:asciiTheme="majorHAnsi" w:eastAsiaTheme="majorEastAsia" w:hAnsiTheme="majorHAnsi" w:cstheme="majorBidi"/>
      <w:color w:val="9F004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6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62E"/>
  </w:style>
  <w:style w:type="paragraph" w:styleId="Footer">
    <w:name w:val="footer"/>
    <w:basedOn w:val="Normal"/>
    <w:link w:val="FooterChar"/>
    <w:uiPriority w:val="99"/>
    <w:unhideWhenUsed/>
    <w:rsid w:val="003F1F30"/>
    <w:pPr>
      <w:tabs>
        <w:tab w:val="center" w:pos="4680"/>
        <w:tab w:val="right" w:pos="9360"/>
      </w:tabs>
      <w:spacing w:after="0" w:line="240" w:lineRule="auto"/>
    </w:pPr>
    <w:rPr>
      <w:sz w:val="18"/>
    </w:rPr>
  </w:style>
  <w:style w:type="character" w:customStyle="1" w:styleId="FooterChar">
    <w:name w:val="Footer Char"/>
    <w:basedOn w:val="DefaultParagraphFont"/>
    <w:link w:val="Footer"/>
    <w:uiPriority w:val="99"/>
    <w:rsid w:val="003F1F30"/>
    <w:rPr>
      <w:sz w:val="18"/>
    </w:rPr>
  </w:style>
  <w:style w:type="paragraph" w:styleId="Title">
    <w:name w:val="Title"/>
    <w:basedOn w:val="Normal"/>
    <w:next w:val="Normal"/>
    <w:link w:val="TitleChar"/>
    <w:autoRedefine/>
    <w:uiPriority w:val="10"/>
    <w:qFormat/>
    <w:rsid w:val="00F03EF2"/>
    <w:pPr>
      <w:spacing w:before="1200" w:after="0" w:line="1200" w:lineRule="exact"/>
      <w:contextualSpacing/>
    </w:pPr>
    <w:rPr>
      <w:rFonts w:ascii="Segoe UI Light" w:eastAsiaTheme="majorEastAsia" w:hAnsi="Segoe UI Light" w:cs="Segoe UI Light"/>
      <w:b/>
      <w:spacing w:val="-10"/>
      <w:kern w:val="28"/>
      <w:sz w:val="72"/>
      <w:szCs w:val="72"/>
      <w:lang w:val="en-CA"/>
    </w:rPr>
  </w:style>
  <w:style w:type="character" w:customStyle="1" w:styleId="TitleChar">
    <w:name w:val="Title Char"/>
    <w:basedOn w:val="DefaultParagraphFont"/>
    <w:link w:val="Title"/>
    <w:uiPriority w:val="10"/>
    <w:rsid w:val="00F03EF2"/>
    <w:rPr>
      <w:rFonts w:ascii="Segoe UI Light" w:eastAsiaTheme="majorEastAsia" w:hAnsi="Segoe UI Light" w:cs="Segoe UI Light"/>
      <w:b/>
      <w:color w:val="54575A" w:themeColor="text1"/>
      <w:spacing w:val="-10"/>
      <w:kern w:val="28"/>
      <w:sz w:val="72"/>
      <w:szCs w:val="72"/>
    </w:rPr>
  </w:style>
  <w:style w:type="paragraph" w:styleId="Subtitle">
    <w:name w:val="Subtitle"/>
    <w:basedOn w:val="Normal"/>
    <w:next w:val="Normal"/>
    <w:link w:val="SubtitleChar"/>
    <w:uiPriority w:val="11"/>
    <w:qFormat/>
    <w:rsid w:val="00743E10"/>
    <w:rPr>
      <w:rFonts w:ascii="Segoe UI Light" w:hAnsi="Segoe UI Light" w:cs="Segoe UI Light"/>
      <w:sz w:val="36"/>
      <w:szCs w:val="36"/>
    </w:rPr>
  </w:style>
  <w:style w:type="character" w:customStyle="1" w:styleId="SubtitleChar">
    <w:name w:val="Subtitle Char"/>
    <w:basedOn w:val="DefaultParagraphFont"/>
    <w:link w:val="Subtitle"/>
    <w:uiPriority w:val="11"/>
    <w:rsid w:val="00743E10"/>
    <w:rPr>
      <w:rFonts w:ascii="Segoe UI Light" w:hAnsi="Segoe UI Light" w:cs="Segoe UI Light"/>
      <w:color w:val="54575A" w:themeColor="text1"/>
      <w:sz w:val="36"/>
      <w:szCs w:val="36"/>
      <w:lang w:val="fr-CA"/>
    </w:rPr>
  </w:style>
  <w:style w:type="character" w:customStyle="1" w:styleId="Heading1Char">
    <w:name w:val="Heading 1 Char"/>
    <w:basedOn w:val="DefaultParagraphFont"/>
    <w:link w:val="Heading1"/>
    <w:uiPriority w:val="9"/>
    <w:rsid w:val="00143EF4"/>
    <w:rPr>
      <w:rFonts w:asciiTheme="majorHAnsi" w:eastAsiaTheme="majorEastAsia" w:hAnsiTheme="majorHAnsi" w:cstheme="majorBidi"/>
      <w:color w:val="54575A" w:themeColor="text1"/>
      <w:sz w:val="48"/>
      <w:szCs w:val="48"/>
      <w:lang w:val="fr-CA"/>
    </w:rPr>
  </w:style>
  <w:style w:type="character" w:customStyle="1" w:styleId="Heading2Char">
    <w:name w:val="Heading 2 Char"/>
    <w:basedOn w:val="DefaultParagraphFont"/>
    <w:link w:val="Heading2"/>
    <w:uiPriority w:val="9"/>
    <w:rsid w:val="00143EF4"/>
    <w:rPr>
      <w:rFonts w:ascii="Segoe UI" w:eastAsiaTheme="majorEastAsia" w:hAnsi="Segoe UI" w:cs="Segoe UI"/>
      <w:b/>
      <w:color w:val="5B315E" w:themeColor="accent2"/>
      <w:sz w:val="32"/>
      <w:szCs w:val="32"/>
    </w:rPr>
  </w:style>
  <w:style w:type="character" w:customStyle="1" w:styleId="Heading3Char">
    <w:name w:val="Heading 3 Char"/>
    <w:basedOn w:val="DefaultParagraphFont"/>
    <w:link w:val="Heading3"/>
    <w:uiPriority w:val="9"/>
    <w:rsid w:val="00143EF4"/>
    <w:rPr>
      <w:rFonts w:ascii="Segoe UI Semibold" w:eastAsiaTheme="majorEastAsia" w:hAnsi="Segoe UI Semibold" w:cs="Segoe UI Semibold"/>
      <w:color w:val="54575A" w:themeColor="text1"/>
      <w:sz w:val="24"/>
      <w:szCs w:val="24"/>
    </w:rPr>
  </w:style>
  <w:style w:type="paragraph" w:styleId="ListParagraph">
    <w:name w:val="List Paragraph"/>
    <w:basedOn w:val="Normal"/>
    <w:uiPriority w:val="34"/>
    <w:qFormat/>
    <w:rsid w:val="006C652D"/>
    <w:pPr>
      <w:numPr>
        <w:numId w:val="2"/>
      </w:numPr>
      <w:spacing w:after="320"/>
      <w:contextualSpacing/>
    </w:pPr>
  </w:style>
  <w:style w:type="character" w:customStyle="1" w:styleId="Heading4Char">
    <w:name w:val="Heading 4 Char"/>
    <w:basedOn w:val="DefaultParagraphFont"/>
    <w:link w:val="Heading4"/>
    <w:uiPriority w:val="9"/>
    <w:rsid w:val="00222D81"/>
    <w:rPr>
      <w:rFonts w:asciiTheme="majorHAnsi" w:eastAsiaTheme="majorEastAsia" w:hAnsiTheme="majorHAnsi" w:cstheme="majorBidi"/>
      <w:iCs/>
      <w:color w:val="54575A" w:themeColor="text2"/>
    </w:rPr>
  </w:style>
  <w:style w:type="paragraph" w:styleId="BalloonText">
    <w:name w:val="Balloon Text"/>
    <w:basedOn w:val="Normal"/>
    <w:link w:val="BalloonTextChar"/>
    <w:uiPriority w:val="99"/>
    <w:semiHidden/>
    <w:unhideWhenUsed/>
    <w:rsid w:val="003C0C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C34"/>
    <w:rPr>
      <w:rFonts w:ascii="Segoe UI" w:hAnsi="Segoe UI" w:cs="Segoe UI"/>
      <w:sz w:val="18"/>
      <w:szCs w:val="18"/>
    </w:rPr>
  </w:style>
  <w:style w:type="paragraph" w:customStyle="1" w:styleId="Numberedlist">
    <w:name w:val="Numbered list"/>
    <w:basedOn w:val="ListParagraph"/>
    <w:qFormat/>
    <w:rsid w:val="003C0C34"/>
    <w:pPr>
      <w:numPr>
        <w:numId w:val="3"/>
      </w:numPr>
    </w:pPr>
  </w:style>
  <w:style w:type="table" w:styleId="TableGrid">
    <w:name w:val="Table Grid"/>
    <w:basedOn w:val="TableNormal"/>
    <w:uiPriority w:val="39"/>
    <w:rsid w:val="00985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Heading2"/>
    <w:qFormat/>
    <w:rsid w:val="00985FD0"/>
    <w:rPr>
      <w:rFonts w:ascii="Segoe UI Semibold" w:hAnsi="Segoe UI Semibold"/>
      <w:b w:val="0"/>
      <w:color w:val="54575A" w:themeColor="text1"/>
    </w:rPr>
  </w:style>
  <w:style w:type="paragraph" w:customStyle="1" w:styleId="ColumnTitle">
    <w:name w:val="Column Title"/>
    <w:basedOn w:val="Normal"/>
    <w:qFormat/>
    <w:rsid w:val="002669DD"/>
    <w:pPr>
      <w:spacing w:after="0" w:line="240" w:lineRule="auto"/>
    </w:pPr>
    <w:rPr>
      <w:rFonts w:ascii="Segoe UI Semibold" w:hAnsi="Segoe UI Semibold" w:cs="Segoe UI Semibold"/>
      <w:color w:val="F2F2F2" w:themeColor="background2"/>
      <w:sz w:val="24"/>
      <w:szCs w:val="24"/>
    </w:rPr>
  </w:style>
  <w:style w:type="paragraph" w:customStyle="1" w:styleId="DataText">
    <w:name w:val="Data Text"/>
    <w:basedOn w:val="Normal"/>
    <w:qFormat/>
    <w:rsid w:val="002669DD"/>
    <w:pPr>
      <w:spacing w:after="0" w:line="240" w:lineRule="auto"/>
    </w:pPr>
  </w:style>
  <w:style w:type="paragraph" w:customStyle="1" w:styleId="Heading3forBox">
    <w:name w:val="Heading 3 for Box"/>
    <w:basedOn w:val="Normal"/>
    <w:qFormat/>
    <w:rsid w:val="00BC7998"/>
    <w:rPr>
      <w:rFonts w:ascii="Segoe UI Semibold" w:eastAsiaTheme="majorEastAsia" w:hAnsi="Segoe UI Semibold" w:cs="Segoe UI Semibold"/>
      <w:color w:val="FFFFFF" w:themeColor="background1"/>
      <w:sz w:val="24"/>
      <w:szCs w:val="24"/>
    </w:rPr>
  </w:style>
  <w:style w:type="paragraph" w:customStyle="1" w:styleId="NormalWhiteforBox">
    <w:name w:val="Normal White for Box"/>
    <w:basedOn w:val="Normal"/>
    <w:qFormat/>
    <w:rsid w:val="00BC7998"/>
  </w:style>
  <w:style w:type="paragraph" w:styleId="FootnoteText">
    <w:name w:val="footnote text"/>
    <w:basedOn w:val="Normal"/>
    <w:link w:val="FootnoteTextChar"/>
    <w:uiPriority w:val="99"/>
    <w:unhideWhenUsed/>
    <w:rsid w:val="00F45379"/>
    <w:pPr>
      <w:spacing w:after="0" w:line="240" w:lineRule="auto"/>
    </w:pPr>
    <w:rPr>
      <w:sz w:val="20"/>
      <w:szCs w:val="20"/>
    </w:rPr>
  </w:style>
  <w:style w:type="character" w:customStyle="1" w:styleId="FootnoteTextChar">
    <w:name w:val="Footnote Text Char"/>
    <w:basedOn w:val="DefaultParagraphFont"/>
    <w:link w:val="FootnoteText"/>
    <w:uiPriority w:val="99"/>
    <w:rsid w:val="00F45379"/>
    <w:rPr>
      <w:sz w:val="20"/>
      <w:szCs w:val="20"/>
    </w:rPr>
  </w:style>
  <w:style w:type="character" w:styleId="FootnoteReference">
    <w:name w:val="footnote reference"/>
    <w:basedOn w:val="DefaultParagraphFont"/>
    <w:uiPriority w:val="99"/>
    <w:semiHidden/>
    <w:unhideWhenUsed/>
    <w:rsid w:val="00F45379"/>
    <w:rPr>
      <w:vertAlign w:val="superscript"/>
    </w:rPr>
  </w:style>
  <w:style w:type="character" w:customStyle="1" w:styleId="Heading5Char">
    <w:name w:val="Heading 5 Char"/>
    <w:basedOn w:val="DefaultParagraphFont"/>
    <w:link w:val="Heading5"/>
    <w:uiPriority w:val="9"/>
    <w:rsid w:val="00C92BCC"/>
    <w:rPr>
      <w:rFonts w:asciiTheme="majorHAnsi" w:eastAsiaTheme="majorEastAsia" w:hAnsiTheme="majorHAnsi" w:cstheme="majorBidi"/>
      <w:color w:val="9F0040" w:themeColor="accent1" w:themeShade="BF"/>
    </w:rPr>
  </w:style>
  <w:style w:type="paragraph" w:styleId="TOCHeading">
    <w:name w:val="TOC Heading"/>
    <w:basedOn w:val="Heading1"/>
    <w:next w:val="Normal"/>
    <w:uiPriority w:val="39"/>
    <w:unhideWhenUsed/>
    <w:qFormat/>
    <w:rsid w:val="00F46DBC"/>
    <w:pPr>
      <w:outlineLvl w:val="9"/>
    </w:pPr>
    <w:rPr>
      <w:color w:val="9F0040" w:themeColor="accent1" w:themeShade="BF"/>
      <w:sz w:val="32"/>
      <w:szCs w:val="32"/>
      <w:lang w:val="en-US"/>
    </w:rPr>
  </w:style>
  <w:style w:type="paragraph" w:styleId="TOC1">
    <w:name w:val="toc 1"/>
    <w:basedOn w:val="Normal"/>
    <w:next w:val="Normal"/>
    <w:autoRedefine/>
    <w:uiPriority w:val="39"/>
    <w:unhideWhenUsed/>
    <w:rsid w:val="00483764"/>
    <w:pPr>
      <w:spacing w:after="100"/>
    </w:pPr>
  </w:style>
  <w:style w:type="paragraph" w:styleId="TOC2">
    <w:name w:val="toc 2"/>
    <w:basedOn w:val="Normal"/>
    <w:next w:val="Normal"/>
    <w:autoRedefine/>
    <w:uiPriority w:val="39"/>
    <w:unhideWhenUsed/>
    <w:rsid w:val="00483764"/>
    <w:pPr>
      <w:spacing w:after="100"/>
      <w:ind w:left="220"/>
    </w:pPr>
  </w:style>
  <w:style w:type="character" w:styleId="Hyperlink">
    <w:name w:val="Hyperlink"/>
    <w:basedOn w:val="DefaultParagraphFont"/>
    <w:uiPriority w:val="99"/>
    <w:unhideWhenUsed/>
    <w:rsid w:val="00483764"/>
    <w:rPr>
      <w:color w:val="0099A8" w:themeColor="hyperlink"/>
      <w:u w:val="single"/>
    </w:rPr>
  </w:style>
  <w:style w:type="paragraph" w:styleId="TOC3">
    <w:name w:val="toc 3"/>
    <w:basedOn w:val="Normal"/>
    <w:next w:val="Normal"/>
    <w:autoRedefine/>
    <w:uiPriority w:val="39"/>
    <w:unhideWhenUsed/>
    <w:rsid w:val="00495EB6"/>
    <w:pPr>
      <w:spacing w:after="100"/>
      <w:ind w:left="440"/>
    </w:pPr>
  </w:style>
  <w:style w:type="character" w:styleId="CommentReference">
    <w:name w:val="annotation reference"/>
    <w:basedOn w:val="DefaultParagraphFont"/>
    <w:uiPriority w:val="99"/>
    <w:semiHidden/>
    <w:unhideWhenUsed/>
    <w:rsid w:val="0026150F"/>
    <w:rPr>
      <w:sz w:val="16"/>
      <w:szCs w:val="16"/>
    </w:rPr>
  </w:style>
  <w:style w:type="paragraph" w:styleId="CommentText">
    <w:name w:val="annotation text"/>
    <w:basedOn w:val="Normal"/>
    <w:link w:val="CommentTextChar"/>
    <w:uiPriority w:val="99"/>
    <w:semiHidden/>
    <w:unhideWhenUsed/>
    <w:rsid w:val="0026150F"/>
    <w:pPr>
      <w:spacing w:line="240" w:lineRule="auto"/>
    </w:pPr>
    <w:rPr>
      <w:sz w:val="20"/>
      <w:szCs w:val="20"/>
    </w:rPr>
  </w:style>
  <w:style w:type="character" w:customStyle="1" w:styleId="CommentTextChar">
    <w:name w:val="Comment Text Char"/>
    <w:basedOn w:val="DefaultParagraphFont"/>
    <w:link w:val="CommentText"/>
    <w:uiPriority w:val="99"/>
    <w:semiHidden/>
    <w:rsid w:val="0026150F"/>
    <w:rPr>
      <w:color w:val="54575A" w:themeColor="text1"/>
      <w:sz w:val="20"/>
      <w:szCs w:val="20"/>
      <w:lang w:val="fr-CA"/>
    </w:rPr>
  </w:style>
  <w:style w:type="paragraph" w:styleId="CommentSubject">
    <w:name w:val="annotation subject"/>
    <w:basedOn w:val="CommentText"/>
    <w:next w:val="CommentText"/>
    <w:link w:val="CommentSubjectChar"/>
    <w:uiPriority w:val="99"/>
    <w:semiHidden/>
    <w:unhideWhenUsed/>
    <w:rsid w:val="0026150F"/>
    <w:rPr>
      <w:b/>
      <w:bCs/>
    </w:rPr>
  </w:style>
  <w:style w:type="character" w:customStyle="1" w:styleId="CommentSubjectChar">
    <w:name w:val="Comment Subject Char"/>
    <w:basedOn w:val="CommentTextChar"/>
    <w:link w:val="CommentSubject"/>
    <w:uiPriority w:val="99"/>
    <w:semiHidden/>
    <w:rsid w:val="0026150F"/>
    <w:rPr>
      <w:b/>
      <w:bCs/>
      <w:color w:val="54575A" w:themeColor="text1"/>
      <w:sz w:val="20"/>
      <w:szCs w:val="20"/>
      <w:lang w:val="fr-CA"/>
    </w:rPr>
  </w:style>
  <w:style w:type="table" w:customStyle="1" w:styleId="PlainTable11">
    <w:name w:val="Plain Table 11"/>
    <w:basedOn w:val="TableNormal"/>
    <w:uiPriority w:val="41"/>
    <w:rsid w:val="00A01B0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AB46D8"/>
    <w:rPr>
      <w:color w:val="A5A5A5" w:themeColor="followedHyperlink"/>
      <w:u w:val="single"/>
    </w:rPr>
  </w:style>
  <w:style w:type="paragraph" w:styleId="Revision">
    <w:name w:val="Revision"/>
    <w:hidden/>
    <w:uiPriority w:val="99"/>
    <w:semiHidden/>
    <w:rsid w:val="00D62B1A"/>
    <w:pPr>
      <w:spacing w:after="0" w:line="240" w:lineRule="auto"/>
    </w:pPr>
    <w:rPr>
      <w:color w:val="54575A" w:themeColor="text1"/>
      <w:lang w:val="fr-CA"/>
    </w:rPr>
  </w:style>
  <w:style w:type="paragraph" w:styleId="Caption">
    <w:name w:val="caption"/>
    <w:basedOn w:val="Normal"/>
    <w:next w:val="Normal"/>
    <w:uiPriority w:val="35"/>
    <w:unhideWhenUsed/>
    <w:qFormat/>
    <w:rsid w:val="0061652B"/>
    <w:pPr>
      <w:spacing w:after="200" w:line="240" w:lineRule="auto"/>
    </w:pPr>
    <w:rPr>
      <w:i/>
      <w:iCs/>
      <w:color w:val="54575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75801">
      <w:bodyDiv w:val="1"/>
      <w:marLeft w:val="0"/>
      <w:marRight w:val="0"/>
      <w:marTop w:val="0"/>
      <w:marBottom w:val="0"/>
      <w:divBdr>
        <w:top w:val="none" w:sz="0" w:space="0" w:color="auto"/>
        <w:left w:val="none" w:sz="0" w:space="0" w:color="auto"/>
        <w:bottom w:val="none" w:sz="0" w:space="0" w:color="auto"/>
        <w:right w:val="none" w:sz="0" w:space="0" w:color="auto"/>
      </w:divBdr>
    </w:div>
    <w:div w:id="1124469295">
      <w:bodyDiv w:val="1"/>
      <w:marLeft w:val="0"/>
      <w:marRight w:val="0"/>
      <w:marTop w:val="0"/>
      <w:marBottom w:val="0"/>
      <w:divBdr>
        <w:top w:val="none" w:sz="0" w:space="0" w:color="auto"/>
        <w:left w:val="none" w:sz="0" w:space="0" w:color="auto"/>
        <w:bottom w:val="none" w:sz="0" w:space="0" w:color="auto"/>
        <w:right w:val="none" w:sz="0" w:space="0" w:color="auto"/>
      </w:divBdr>
    </w:div>
    <w:div w:id="1672489012">
      <w:bodyDiv w:val="1"/>
      <w:marLeft w:val="0"/>
      <w:marRight w:val="0"/>
      <w:marTop w:val="0"/>
      <w:marBottom w:val="0"/>
      <w:divBdr>
        <w:top w:val="none" w:sz="0" w:space="0" w:color="auto"/>
        <w:left w:val="none" w:sz="0" w:space="0" w:color="auto"/>
        <w:bottom w:val="none" w:sz="0" w:space="0" w:color="auto"/>
        <w:right w:val="none" w:sz="0" w:space="0" w:color="auto"/>
      </w:divBdr>
    </w:div>
    <w:div w:id="205215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SC-CFP\Templates\Rapport-CFP2019.dotx" TargetMode="External"/></Relationships>
</file>

<file path=word/theme/theme1.xml><?xml version="1.0" encoding="utf-8"?>
<a:theme xmlns:a="http://schemas.openxmlformats.org/drawingml/2006/main" name="Office Theme">
  <a:themeElements>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0099A8"/>
      </a:hlink>
      <a:folHlink>
        <a:srgbClr val="A5A5A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A8132-1A21-48A0-BE00-675D9110C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Rapport-CFP2019.dotx</Template>
  <TotalTime>43</TotalTime>
  <Pages>11</Pages>
  <Words>2398</Words>
  <Characters>13673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CFP-PSC</Company>
  <LinksUpToDate>false</LinksUpToDate>
  <CharactersWithSpaces>16039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dbarbaga</dc:creator>
  <cp:lastModifiedBy>Daniel Spracklin</cp:lastModifiedBy>
  <cp:revision>30</cp:revision>
  <cp:lastPrinted>2019-07-11T17:58:00Z</cp:lastPrinted>
  <dcterms:created xsi:type="dcterms:W3CDTF">2020-09-22T13:47:00Z</dcterms:created>
  <dcterms:modified xsi:type="dcterms:W3CDTF">2020-11-27T16:46:00Z</dcterms:modified>
</cp:coreProperties>
</file>