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EF" w:rsidRPr="00143EF4" w:rsidRDefault="000C19EC" w:rsidP="00F03EF2">
      <w:pPr>
        <w:pStyle w:val="Title"/>
      </w:pPr>
      <w:r>
        <w:t>Public Service Commission</w:t>
      </w:r>
    </w:p>
    <w:p w:rsidR="00646A04" w:rsidRPr="00445DA8" w:rsidRDefault="00DE6E19" w:rsidP="00A2240C">
      <w:pPr>
        <w:rPr>
          <w:rFonts w:ascii="Segoe UI" w:eastAsiaTheme="majorEastAsia" w:hAnsi="Segoe UI" w:cs="Segoe UI"/>
          <w:b/>
          <w:color w:val="5B315E" w:themeColor="accent2"/>
          <w:sz w:val="32"/>
          <w:szCs w:val="32"/>
          <w:lang w:val="en-CA"/>
        </w:rPr>
      </w:pPr>
      <w:r w:rsidRPr="00445DA8">
        <w:rPr>
          <w:b/>
          <w:sz w:val="36"/>
          <w:lang w:val="en-CA"/>
        </w:rPr>
        <w:t>Federal public servants participating in jobs open to the public</w:t>
      </w:r>
      <w:r w:rsidR="00646A04" w:rsidRPr="00445DA8">
        <w:rPr>
          <w:rFonts w:ascii="Segoe UI" w:eastAsiaTheme="majorEastAsia" w:hAnsi="Segoe UI" w:cs="Segoe UI"/>
          <w:b/>
          <w:color w:val="5B315E" w:themeColor="accent2"/>
          <w:sz w:val="32"/>
          <w:szCs w:val="32"/>
          <w:lang w:val="en-CA"/>
        </w:rPr>
        <w:br w:type="page"/>
      </w:r>
    </w:p>
    <w:p w:rsidR="00B610A7" w:rsidRPr="00AE01FA" w:rsidRDefault="00DE6E19" w:rsidP="00AE01FA">
      <w:pPr>
        <w:pStyle w:val="Heading2"/>
      </w:pPr>
      <w:bookmarkStart w:id="0" w:name="_Toc46902826"/>
      <w:r w:rsidRPr="00DE6E19">
        <w:lastRenderedPageBreak/>
        <w:t>Federal public servants participating in jobs open to the public</w:t>
      </w:r>
    </w:p>
    <w:p w:rsidR="00171A52" w:rsidRDefault="00B610A7" w:rsidP="005D79E0">
      <w:pPr>
        <w:pStyle w:val="ListParagraph"/>
        <w:numPr>
          <w:ilvl w:val="0"/>
          <w:numId w:val="28"/>
        </w:numPr>
        <w:rPr>
          <w:lang w:val="en-CA"/>
        </w:rPr>
      </w:pPr>
      <w:r w:rsidRPr="00171A52">
        <w:rPr>
          <w:lang w:val="en-CA"/>
        </w:rPr>
        <w:t xml:space="preserve">Most </w:t>
      </w:r>
      <w:r w:rsidR="005B734F">
        <w:rPr>
          <w:lang w:val="en-CA"/>
        </w:rPr>
        <w:t xml:space="preserve">applicants </w:t>
      </w:r>
      <w:r w:rsidRPr="00171A52">
        <w:rPr>
          <w:lang w:val="en-CA"/>
        </w:rPr>
        <w:t>to</w:t>
      </w:r>
      <w:r w:rsidR="005D79E0">
        <w:rPr>
          <w:lang w:val="en-CA"/>
        </w:rPr>
        <w:t xml:space="preserve"> </w:t>
      </w:r>
      <w:r w:rsidR="005D79E0" w:rsidRPr="005D79E0">
        <w:rPr>
          <w:lang w:val="en-CA"/>
        </w:rPr>
        <w:t>federal public service job</w:t>
      </w:r>
      <w:r w:rsidR="005F1C32">
        <w:rPr>
          <w:lang w:val="en-CA"/>
        </w:rPr>
        <w:t>s</w:t>
      </w:r>
      <w:r w:rsidR="005D79E0" w:rsidRPr="005D79E0">
        <w:rPr>
          <w:lang w:val="en-CA"/>
        </w:rPr>
        <w:t xml:space="preserve"> advertise</w:t>
      </w:r>
      <w:r w:rsidR="005B734F">
        <w:rPr>
          <w:lang w:val="en-CA"/>
        </w:rPr>
        <w:t>d</w:t>
      </w:r>
      <w:r w:rsidR="00C84CD3" w:rsidRPr="00465642">
        <w:rPr>
          <w:lang w:val="en-CA"/>
        </w:rPr>
        <w:t xml:space="preserve"> to the public</w:t>
      </w:r>
      <w:r w:rsidR="00C84CD3">
        <w:rPr>
          <w:lang w:val="en-CA"/>
        </w:rPr>
        <w:t xml:space="preserve"> </w:t>
      </w:r>
      <w:r w:rsidR="00564610">
        <w:rPr>
          <w:lang w:val="en-CA"/>
        </w:rPr>
        <w:t xml:space="preserve">are </w:t>
      </w:r>
      <w:r w:rsidR="005D79E0">
        <w:rPr>
          <w:lang w:val="en-CA"/>
        </w:rPr>
        <w:t>from outside</w:t>
      </w:r>
      <w:r w:rsidR="00564610">
        <w:rPr>
          <w:lang w:val="en-CA"/>
        </w:rPr>
        <w:t xml:space="preserve"> the federal government (“external candidates”).</w:t>
      </w:r>
    </w:p>
    <w:p w:rsidR="00171A52" w:rsidRDefault="00171A52" w:rsidP="00171A52">
      <w:pPr>
        <w:pStyle w:val="ListParagraph"/>
        <w:numPr>
          <w:ilvl w:val="1"/>
          <w:numId w:val="28"/>
        </w:numPr>
        <w:rPr>
          <w:lang w:val="en-CA"/>
        </w:rPr>
      </w:pPr>
      <w:r w:rsidRPr="00171A52">
        <w:rPr>
          <w:lang w:val="en-CA"/>
        </w:rPr>
        <w:t>Since 2016-2017, only 15</w:t>
      </w:r>
      <w:r w:rsidR="00B610A7" w:rsidRPr="00171A52">
        <w:rPr>
          <w:lang w:val="en-CA"/>
        </w:rPr>
        <w:t xml:space="preserve"> to </w:t>
      </w:r>
      <w:r w:rsidRPr="00171A52">
        <w:rPr>
          <w:lang w:val="en-CA"/>
        </w:rPr>
        <w:t>18</w:t>
      </w:r>
      <w:r w:rsidR="00B610A7" w:rsidRPr="00171A52">
        <w:rPr>
          <w:lang w:val="en-CA"/>
        </w:rPr>
        <w:t xml:space="preserve"> percent of </w:t>
      </w:r>
      <w:r w:rsidRPr="00171A52">
        <w:rPr>
          <w:lang w:val="en-CA"/>
        </w:rPr>
        <w:t>applicants</w:t>
      </w:r>
      <w:r w:rsidR="00B610A7" w:rsidRPr="00171A52">
        <w:rPr>
          <w:lang w:val="en-CA"/>
        </w:rPr>
        <w:t xml:space="preserve"> to </w:t>
      </w:r>
      <w:r w:rsidR="00C84CD3" w:rsidRPr="00465642">
        <w:rPr>
          <w:lang w:val="en-CA"/>
        </w:rPr>
        <w:t>jobs open to the public</w:t>
      </w:r>
      <w:r w:rsidR="00C84CD3">
        <w:rPr>
          <w:lang w:val="en-CA"/>
        </w:rPr>
        <w:t xml:space="preserve"> </w:t>
      </w:r>
      <w:r w:rsidR="00B610A7" w:rsidRPr="00171A52">
        <w:rPr>
          <w:lang w:val="en-CA"/>
        </w:rPr>
        <w:t xml:space="preserve">were </w:t>
      </w:r>
      <w:r w:rsidR="00B428FE">
        <w:rPr>
          <w:lang w:val="en-CA"/>
        </w:rPr>
        <w:t>federal</w:t>
      </w:r>
      <w:r w:rsidRPr="00171A52">
        <w:rPr>
          <w:lang w:val="en-CA"/>
        </w:rPr>
        <w:t xml:space="preserve"> public servants (“internal candidates”)</w:t>
      </w:r>
      <w:r w:rsidR="00B610A7" w:rsidRPr="00171A52">
        <w:rPr>
          <w:lang w:val="en-CA"/>
        </w:rPr>
        <w:t>.</w:t>
      </w:r>
    </w:p>
    <w:p w:rsidR="00171A52" w:rsidRDefault="00B610A7" w:rsidP="00171A52">
      <w:pPr>
        <w:pStyle w:val="ListParagraph"/>
        <w:numPr>
          <w:ilvl w:val="0"/>
          <w:numId w:val="28"/>
        </w:numPr>
        <w:rPr>
          <w:lang w:val="en-CA"/>
        </w:rPr>
      </w:pPr>
      <w:r w:rsidRPr="00171A52">
        <w:rPr>
          <w:lang w:val="en-CA"/>
        </w:rPr>
        <w:t xml:space="preserve">However, </w:t>
      </w:r>
      <w:r w:rsidR="008237FF">
        <w:rPr>
          <w:lang w:val="en-CA"/>
        </w:rPr>
        <w:t>internal candidates</w:t>
      </w:r>
      <w:r w:rsidRPr="00171A52">
        <w:rPr>
          <w:lang w:val="en-CA"/>
        </w:rPr>
        <w:t xml:space="preserve"> make u</w:t>
      </w:r>
      <w:r w:rsidR="00171A52">
        <w:rPr>
          <w:lang w:val="en-CA"/>
        </w:rPr>
        <w:t>p a much larger share of hires.</w:t>
      </w:r>
    </w:p>
    <w:p w:rsidR="00171A52" w:rsidRDefault="00B610A7" w:rsidP="00171A52">
      <w:pPr>
        <w:pStyle w:val="ListParagraph"/>
        <w:numPr>
          <w:ilvl w:val="1"/>
          <w:numId w:val="28"/>
        </w:numPr>
        <w:rPr>
          <w:lang w:val="en-CA"/>
        </w:rPr>
      </w:pPr>
      <w:r w:rsidRPr="00171A52">
        <w:rPr>
          <w:lang w:val="en-CA"/>
        </w:rPr>
        <w:t>In 2018-2019, 39</w:t>
      </w:r>
      <w:r w:rsidR="00756722" w:rsidRPr="00171A52">
        <w:rPr>
          <w:lang w:val="en-CA"/>
        </w:rPr>
        <w:t xml:space="preserve"> percent</w:t>
      </w:r>
      <w:r w:rsidRPr="00171A52">
        <w:rPr>
          <w:lang w:val="en-CA"/>
        </w:rPr>
        <w:t xml:space="preserve"> of all </w:t>
      </w:r>
      <w:r w:rsidR="005B734F">
        <w:rPr>
          <w:lang w:val="en-CA"/>
        </w:rPr>
        <w:t>appointments</w:t>
      </w:r>
      <w:r w:rsidR="00781E61" w:rsidRPr="00171A52">
        <w:rPr>
          <w:lang w:val="en-CA"/>
        </w:rPr>
        <w:t xml:space="preserve"> </w:t>
      </w:r>
      <w:r w:rsidR="005B734F">
        <w:rPr>
          <w:lang w:val="en-CA"/>
        </w:rPr>
        <w:t>stemming</w:t>
      </w:r>
      <w:r w:rsidR="005B734F" w:rsidRPr="00171A52">
        <w:rPr>
          <w:lang w:val="en-CA"/>
        </w:rPr>
        <w:t xml:space="preserve"> </w:t>
      </w:r>
      <w:r w:rsidRPr="00171A52">
        <w:rPr>
          <w:lang w:val="en-CA"/>
        </w:rPr>
        <w:t xml:space="preserve">from </w:t>
      </w:r>
      <w:r w:rsidR="00C84CD3" w:rsidRPr="00121330">
        <w:rPr>
          <w:lang w:val="en-CA"/>
        </w:rPr>
        <w:t xml:space="preserve">jobs </w:t>
      </w:r>
      <w:r w:rsidR="005B734F">
        <w:rPr>
          <w:lang w:val="en-CA"/>
        </w:rPr>
        <w:t xml:space="preserve">advertised </w:t>
      </w:r>
      <w:r w:rsidR="00C84CD3" w:rsidRPr="00121330">
        <w:rPr>
          <w:lang w:val="en-CA"/>
        </w:rPr>
        <w:t>to the public</w:t>
      </w:r>
      <w:r w:rsidR="00781E61" w:rsidRPr="00171A52">
        <w:rPr>
          <w:lang w:val="en-CA"/>
        </w:rPr>
        <w:t xml:space="preserve"> </w:t>
      </w:r>
      <w:r w:rsidR="005B734F">
        <w:rPr>
          <w:lang w:val="en-CA"/>
        </w:rPr>
        <w:t>resulted in the appointment of an internal candidate</w:t>
      </w:r>
      <w:r w:rsidR="00171A52">
        <w:rPr>
          <w:lang w:val="en-CA"/>
        </w:rPr>
        <w:t>.</w:t>
      </w:r>
    </w:p>
    <w:bookmarkEnd w:id="0"/>
    <w:p w:rsidR="005D2F58" w:rsidRDefault="00992A5A" w:rsidP="005D2F58">
      <w:pPr>
        <w:keepNext/>
        <w:keepLines w:val="0"/>
        <w:jc w:val="center"/>
      </w:pPr>
      <w:r>
        <w:rPr>
          <w:noProof/>
          <w:lang w:val="en-CA" w:eastAsia="en-CA"/>
        </w:rPr>
        <w:drawing>
          <wp:inline distT="0" distB="0" distL="0" distR="0" wp14:anchorId="6B3EAC3A" wp14:editId="48024F1D">
            <wp:extent cx="5943292" cy="3681093"/>
            <wp:effectExtent l="0" t="0" r="635" b="0"/>
            <wp:docPr id="10" name="Picture 10" descr="A line chart. The chart shows the share of all applicants and appointments who were existing federal public servants for all fiscal years between 2016-2017 and 2018-2019. " title="Federal public servants applying to and appointed from jobs open to the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1_in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292" cy="3681093"/>
                    </a:xfrm>
                    <a:prstGeom prst="rect">
                      <a:avLst/>
                    </a:prstGeom>
                  </pic:spPr>
                </pic:pic>
              </a:graphicData>
            </a:graphic>
          </wp:inline>
        </w:drawing>
      </w:r>
    </w:p>
    <w:p w:rsidR="005D2F58" w:rsidRDefault="005D2F58" w:rsidP="00CC4107">
      <w:pPr>
        <w:pStyle w:val="Caption"/>
        <w:jc w:val="center"/>
        <w:rPr>
          <w:i w:val="0"/>
          <w:iCs w:val="0"/>
          <w:lang w:val="en-CA"/>
        </w:rPr>
      </w:pPr>
      <w:r w:rsidRPr="005D2F58">
        <w:rPr>
          <w:lang w:val="en-CA"/>
        </w:rPr>
        <w:t xml:space="preserve">Figure </w:t>
      </w:r>
      <w:r>
        <w:fldChar w:fldCharType="begin"/>
      </w:r>
      <w:r w:rsidRPr="005D2F58">
        <w:rPr>
          <w:lang w:val="en-CA"/>
        </w:rPr>
        <w:instrText xml:space="preserve"> SEQ Figure \* ARABIC </w:instrText>
      </w:r>
      <w:r>
        <w:fldChar w:fldCharType="separate"/>
      </w:r>
      <w:r>
        <w:rPr>
          <w:noProof/>
          <w:lang w:val="en-CA"/>
        </w:rPr>
        <w:t>1</w:t>
      </w:r>
      <w:r>
        <w:fldChar w:fldCharType="end"/>
      </w:r>
      <w:r w:rsidRPr="005D2F58">
        <w:rPr>
          <w:lang w:val="en-CA"/>
        </w:rPr>
        <w:t>: Federal public servants applying to and appointed from jobs open to the public</w:t>
      </w:r>
      <w:r>
        <w:rPr>
          <w:lang w:val="en-CA"/>
        </w:rPr>
        <w:br w:type="page"/>
      </w:r>
    </w:p>
    <w:p w:rsidR="005D2F58" w:rsidRPr="005D2F58" w:rsidRDefault="005D2F58" w:rsidP="005D2F58">
      <w:pPr>
        <w:pStyle w:val="Caption"/>
        <w:keepNext/>
        <w:jc w:val="center"/>
        <w:rPr>
          <w:lang w:val="en-CA"/>
        </w:rPr>
      </w:pPr>
      <w:r w:rsidRPr="005D2F58">
        <w:rPr>
          <w:lang w:val="en-CA"/>
        </w:rPr>
        <w:lastRenderedPageBreak/>
        <w:t xml:space="preserve">Table </w:t>
      </w:r>
      <w:r>
        <w:fldChar w:fldCharType="begin"/>
      </w:r>
      <w:r w:rsidRPr="005D2F58">
        <w:rPr>
          <w:lang w:val="en-CA"/>
        </w:rPr>
        <w:instrText xml:space="preserve"> SEQ Table \* ARABIC </w:instrText>
      </w:r>
      <w:r>
        <w:fldChar w:fldCharType="separate"/>
      </w:r>
      <w:r>
        <w:rPr>
          <w:noProof/>
          <w:lang w:val="en-CA"/>
        </w:rPr>
        <w:t>1</w:t>
      </w:r>
      <w:r>
        <w:fldChar w:fldCharType="end"/>
      </w:r>
      <w:r w:rsidRPr="005D2F58">
        <w:rPr>
          <w:lang w:val="en-CA"/>
        </w:rPr>
        <w:t>: Federal public servants applying to and appointed from jobs open to the public</w:t>
      </w:r>
    </w:p>
    <w:tbl>
      <w:tblPr>
        <w:tblStyle w:val="TableGrid"/>
        <w:tblW w:w="0" w:type="auto"/>
        <w:tblLook w:val="04A0" w:firstRow="1" w:lastRow="0" w:firstColumn="1" w:lastColumn="0" w:noHBand="0" w:noVBand="1"/>
        <w:tblCaption w:val="Federal public servants applying to and appointed from jobs open to the public"/>
        <w:tblDescription w:val="A table showing the share of applicants who are federal public servants and the share of hires who are federal public servants. Data are provided for each fiscal year between 2016-2017 and 2018-2019."/>
      </w:tblPr>
      <w:tblGrid>
        <w:gridCol w:w="3116"/>
        <w:gridCol w:w="3117"/>
        <w:gridCol w:w="3117"/>
      </w:tblGrid>
      <w:tr w:rsidR="00140E49" w:rsidRPr="007800D4" w:rsidTr="00140E49">
        <w:trPr>
          <w:tblHeader/>
        </w:trPr>
        <w:tc>
          <w:tcPr>
            <w:tcW w:w="3116" w:type="dxa"/>
          </w:tcPr>
          <w:p w:rsidR="00140E49" w:rsidRPr="005828ED" w:rsidRDefault="00140E49" w:rsidP="006C4AF7">
            <w:pPr>
              <w:keepLines w:val="0"/>
              <w:jc w:val="center"/>
              <w:rPr>
                <w:lang w:val="en-CA"/>
              </w:rPr>
            </w:pPr>
            <w:r w:rsidRPr="005828ED">
              <w:rPr>
                <w:lang w:val="en-CA"/>
              </w:rPr>
              <w:t>Fiscal year</w:t>
            </w:r>
          </w:p>
        </w:tc>
        <w:tc>
          <w:tcPr>
            <w:tcW w:w="3117" w:type="dxa"/>
          </w:tcPr>
          <w:p w:rsidR="00140E49" w:rsidRPr="005828ED" w:rsidRDefault="00140E49" w:rsidP="006C4AF7">
            <w:pPr>
              <w:keepLines w:val="0"/>
              <w:jc w:val="center"/>
              <w:rPr>
                <w:lang w:val="en-CA"/>
              </w:rPr>
            </w:pPr>
            <w:r w:rsidRPr="005828ED">
              <w:rPr>
                <w:lang w:val="en-CA"/>
              </w:rPr>
              <w:t>Share of applicants who are federal public servants</w:t>
            </w:r>
          </w:p>
        </w:tc>
        <w:tc>
          <w:tcPr>
            <w:tcW w:w="3117" w:type="dxa"/>
          </w:tcPr>
          <w:p w:rsidR="00140E49" w:rsidRPr="005828ED" w:rsidRDefault="00140E49" w:rsidP="006C4AF7">
            <w:pPr>
              <w:keepLines w:val="0"/>
              <w:jc w:val="center"/>
              <w:rPr>
                <w:lang w:val="en-CA"/>
              </w:rPr>
            </w:pPr>
            <w:r w:rsidRPr="005828ED">
              <w:rPr>
                <w:lang w:val="en-CA"/>
              </w:rPr>
              <w:t>Share of hires who are federal public servants</w:t>
            </w:r>
          </w:p>
        </w:tc>
      </w:tr>
      <w:tr w:rsidR="00140E49" w:rsidRPr="00140E49" w:rsidTr="00140E49">
        <w:tc>
          <w:tcPr>
            <w:tcW w:w="3116" w:type="dxa"/>
          </w:tcPr>
          <w:p w:rsidR="00140E49" w:rsidRPr="005828ED" w:rsidRDefault="00140E49">
            <w:pPr>
              <w:keepLines w:val="0"/>
              <w:rPr>
                <w:lang w:val="en-CA"/>
              </w:rPr>
            </w:pPr>
            <w:r w:rsidRPr="005828ED">
              <w:rPr>
                <w:lang w:val="en-CA"/>
              </w:rPr>
              <w:t>2016-2017</w:t>
            </w:r>
          </w:p>
        </w:tc>
        <w:tc>
          <w:tcPr>
            <w:tcW w:w="3117" w:type="dxa"/>
          </w:tcPr>
          <w:p w:rsidR="00140E49" w:rsidRPr="005828ED" w:rsidRDefault="00140E49" w:rsidP="004F4695">
            <w:pPr>
              <w:keepLines w:val="0"/>
              <w:jc w:val="right"/>
              <w:rPr>
                <w:lang w:val="en-CA"/>
              </w:rPr>
            </w:pPr>
            <w:r w:rsidRPr="005828ED">
              <w:rPr>
                <w:lang w:val="en-CA"/>
              </w:rPr>
              <w:t>17.5%</w:t>
            </w:r>
          </w:p>
        </w:tc>
        <w:tc>
          <w:tcPr>
            <w:tcW w:w="3117" w:type="dxa"/>
          </w:tcPr>
          <w:p w:rsidR="00140E49" w:rsidRPr="005828ED" w:rsidRDefault="00140E49" w:rsidP="004F4695">
            <w:pPr>
              <w:keepLines w:val="0"/>
              <w:jc w:val="right"/>
              <w:rPr>
                <w:lang w:val="en-CA"/>
              </w:rPr>
            </w:pPr>
            <w:r w:rsidRPr="005828ED">
              <w:rPr>
                <w:lang w:val="en-CA"/>
              </w:rPr>
              <w:t>37.0%</w:t>
            </w:r>
          </w:p>
        </w:tc>
      </w:tr>
      <w:tr w:rsidR="00140E49" w:rsidRPr="00140E49" w:rsidTr="00140E49">
        <w:tc>
          <w:tcPr>
            <w:tcW w:w="3116" w:type="dxa"/>
          </w:tcPr>
          <w:p w:rsidR="00140E49" w:rsidRPr="005828ED" w:rsidRDefault="00140E49">
            <w:pPr>
              <w:keepLines w:val="0"/>
              <w:rPr>
                <w:lang w:val="en-CA"/>
              </w:rPr>
            </w:pPr>
            <w:r w:rsidRPr="005828ED">
              <w:rPr>
                <w:lang w:val="en-CA"/>
              </w:rPr>
              <w:t>2017-2018</w:t>
            </w:r>
          </w:p>
        </w:tc>
        <w:tc>
          <w:tcPr>
            <w:tcW w:w="3117" w:type="dxa"/>
          </w:tcPr>
          <w:p w:rsidR="00140E49" w:rsidRPr="005828ED" w:rsidRDefault="00140E49" w:rsidP="004F4695">
            <w:pPr>
              <w:keepLines w:val="0"/>
              <w:jc w:val="right"/>
              <w:rPr>
                <w:lang w:val="en-CA"/>
              </w:rPr>
            </w:pPr>
            <w:r w:rsidRPr="005828ED">
              <w:rPr>
                <w:lang w:val="en-CA"/>
              </w:rPr>
              <w:t>18.2%</w:t>
            </w:r>
          </w:p>
        </w:tc>
        <w:tc>
          <w:tcPr>
            <w:tcW w:w="3117" w:type="dxa"/>
          </w:tcPr>
          <w:p w:rsidR="00140E49" w:rsidRPr="005828ED" w:rsidRDefault="00140E49" w:rsidP="004F4695">
            <w:pPr>
              <w:keepLines w:val="0"/>
              <w:jc w:val="right"/>
              <w:rPr>
                <w:lang w:val="en-CA"/>
              </w:rPr>
            </w:pPr>
            <w:r w:rsidRPr="005828ED">
              <w:rPr>
                <w:lang w:val="en-CA"/>
              </w:rPr>
              <w:t>37.9%</w:t>
            </w:r>
          </w:p>
        </w:tc>
      </w:tr>
      <w:tr w:rsidR="00140E49" w:rsidRPr="00140E49" w:rsidTr="00140E49">
        <w:tc>
          <w:tcPr>
            <w:tcW w:w="3116" w:type="dxa"/>
          </w:tcPr>
          <w:p w:rsidR="00140E49" w:rsidRPr="005828ED" w:rsidRDefault="00140E49">
            <w:pPr>
              <w:keepLines w:val="0"/>
              <w:rPr>
                <w:lang w:val="en-CA"/>
              </w:rPr>
            </w:pPr>
            <w:r w:rsidRPr="005828ED">
              <w:rPr>
                <w:lang w:val="en-CA"/>
              </w:rPr>
              <w:t>2018-2019</w:t>
            </w:r>
          </w:p>
        </w:tc>
        <w:tc>
          <w:tcPr>
            <w:tcW w:w="3117" w:type="dxa"/>
          </w:tcPr>
          <w:p w:rsidR="00140E49" w:rsidRPr="005828ED" w:rsidRDefault="00140E49" w:rsidP="004F4695">
            <w:pPr>
              <w:keepLines w:val="0"/>
              <w:jc w:val="right"/>
              <w:rPr>
                <w:lang w:val="en-CA"/>
              </w:rPr>
            </w:pPr>
            <w:r w:rsidRPr="005828ED">
              <w:rPr>
                <w:lang w:val="en-CA"/>
              </w:rPr>
              <w:t>15.1%</w:t>
            </w:r>
          </w:p>
        </w:tc>
        <w:tc>
          <w:tcPr>
            <w:tcW w:w="3117" w:type="dxa"/>
          </w:tcPr>
          <w:p w:rsidR="00140E49" w:rsidRPr="005828ED" w:rsidRDefault="00140E49" w:rsidP="004F4695">
            <w:pPr>
              <w:keepLines w:val="0"/>
              <w:jc w:val="right"/>
              <w:rPr>
                <w:lang w:val="en-CA"/>
              </w:rPr>
            </w:pPr>
            <w:r w:rsidRPr="005828ED">
              <w:rPr>
                <w:lang w:val="en-CA"/>
              </w:rPr>
              <w:t>38.9%</w:t>
            </w:r>
          </w:p>
        </w:tc>
      </w:tr>
    </w:tbl>
    <w:p w:rsidR="00992A5A" w:rsidRDefault="005722DF" w:rsidP="00CC4107">
      <w:pPr>
        <w:pStyle w:val="Heading2"/>
        <w:spacing w:before="320"/>
      </w:pPr>
      <w:r>
        <w:t>R</w:t>
      </w:r>
      <w:r w:rsidR="00171A52">
        <w:t xml:space="preserve">epresentation of </w:t>
      </w:r>
      <w:r w:rsidR="00B428FE">
        <w:t>federal</w:t>
      </w:r>
      <w:r w:rsidR="00171A52">
        <w:t xml:space="preserve"> public servants and</w:t>
      </w:r>
      <w:r w:rsidR="00E67559">
        <w:t xml:space="preserve"> of those applying from</w:t>
      </w:r>
      <w:r w:rsidR="00171A52">
        <w:t xml:space="preserve"> outside </w:t>
      </w:r>
      <w:r w:rsidR="00E67559">
        <w:t>government</w:t>
      </w:r>
    </w:p>
    <w:p w:rsidR="00971D55" w:rsidRDefault="005B734F" w:rsidP="0058460E">
      <w:pPr>
        <w:pStyle w:val="ListParagraph"/>
        <w:numPr>
          <w:ilvl w:val="0"/>
          <w:numId w:val="29"/>
        </w:numPr>
        <w:rPr>
          <w:lang w:val="en-CA"/>
        </w:rPr>
      </w:pPr>
      <w:r>
        <w:rPr>
          <w:lang w:val="en-CA"/>
        </w:rPr>
        <w:t>Across</w:t>
      </w:r>
      <w:r w:rsidRPr="0058460E">
        <w:rPr>
          <w:lang w:val="en-CA"/>
        </w:rPr>
        <w:t xml:space="preserve"> </w:t>
      </w:r>
      <w:r w:rsidR="00ED4646" w:rsidRPr="0058460E">
        <w:rPr>
          <w:lang w:val="en-CA"/>
        </w:rPr>
        <w:t xml:space="preserve">all four employment equity groups, the representation </w:t>
      </w:r>
      <w:r>
        <w:rPr>
          <w:lang w:val="en-CA"/>
        </w:rPr>
        <w:t>amongst</w:t>
      </w:r>
      <w:r w:rsidR="00ED4646" w:rsidRPr="0058460E">
        <w:rPr>
          <w:lang w:val="en-CA"/>
        </w:rPr>
        <w:t xml:space="preserve"> </w:t>
      </w:r>
      <w:r w:rsidR="00FF7386" w:rsidRPr="0058460E">
        <w:rPr>
          <w:lang w:val="en-CA"/>
        </w:rPr>
        <w:t xml:space="preserve">internal candidates who apply to </w:t>
      </w:r>
      <w:r>
        <w:rPr>
          <w:lang w:val="en-CA"/>
        </w:rPr>
        <w:t>or</w:t>
      </w:r>
      <w:r w:rsidRPr="0058460E">
        <w:rPr>
          <w:lang w:val="en-CA"/>
        </w:rPr>
        <w:t xml:space="preserve"> </w:t>
      </w:r>
      <w:r w:rsidR="00FF7386" w:rsidRPr="0058460E">
        <w:rPr>
          <w:lang w:val="en-CA"/>
        </w:rPr>
        <w:t>are appointed from</w:t>
      </w:r>
      <w:r w:rsidR="00971D55" w:rsidRPr="0058460E">
        <w:rPr>
          <w:lang w:val="en-CA"/>
        </w:rPr>
        <w:t xml:space="preserve"> </w:t>
      </w:r>
      <w:r w:rsidR="00C84CD3" w:rsidRPr="00121330">
        <w:rPr>
          <w:lang w:val="en-CA"/>
        </w:rPr>
        <w:t xml:space="preserve">jobs </w:t>
      </w:r>
      <w:r>
        <w:rPr>
          <w:lang w:val="en-CA"/>
        </w:rPr>
        <w:t xml:space="preserve">advertised </w:t>
      </w:r>
      <w:r w:rsidR="00C84CD3" w:rsidRPr="00121330">
        <w:rPr>
          <w:lang w:val="en-CA"/>
        </w:rPr>
        <w:t>to the public</w:t>
      </w:r>
      <w:r w:rsidR="00ED4646" w:rsidRPr="0058460E">
        <w:rPr>
          <w:lang w:val="en-CA"/>
        </w:rPr>
        <w:t xml:space="preserve"> is higher than the</w:t>
      </w:r>
      <w:r>
        <w:rPr>
          <w:lang w:val="en-CA"/>
        </w:rPr>
        <w:t>ir</w:t>
      </w:r>
      <w:r w:rsidR="00ED4646" w:rsidRPr="0058460E">
        <w:rPr>
          <w:lang w:val="en-CA"/>
        </w:rPr>
        <w:t xml:space="preserve"> representation </w:t>
      </w:r>
      <w:r>
        <w:rPr>
          <w:lang w:val="en-CA"/>
        </w:rPr>
        <w:t xml:space="preserve">amongst </w:t>
      </w:r>
      <w:r w:rsidR="00FF7386" w:rsidRPr="0058460E">
        <w:rPr>
          <w:lang w:val="en-CA"/>
        </w:rPr>
        <w:t>external candidates.</w:t>
      </w:r>
    </w:p>
    <w:p w:rsidR="0071600E" w:rsidRPr="005D2F58" w:rsidRDefault="005B734F" w:rsidP="005D2F58">
      <w:pPr>
        <w:pStyle w:val="ListParagraph"/>
        <w:numPr>
          <w:ilvl w:val="0"/>
          <w:numId w:val="29"/>
        </w:numPr>
        <w:rPr>
          <w:lang w:val="en-CA"/>
        </w:rPr>
      </w:pPr>
      <w:r>
        <w:rPr>
          <w:lang w:val="en-CA"/>
        </w:rPr>
        <w:t>W</w:t>
      </w:r>
      <w:r w:rsidR="005D2DDC">
        <w:rPr>
          <w:lang w:val="en-CA"/>
        </w:rPr>
        <w:t xml:space="preserve">ith the exception of persons with disabilities, </w:t>
      </w:r>
      <w:r>
        <w:rPr>
          <w:lang w:val="en-CA"/>
        </w:rPr>
        <w:t xml:space="preserve">the representation of employment equity groups </w:t>
      </w:r>
      <w:r w:rsidR="00325A42">
        <w:rPr>
          <w:lang w:val="en-CA"/>
        </w:rPr>
        <w:t xml:space="preserve">in jobs advertised to the public </w:t>
      </w:r>
      <w:r w:rsidR="005D2DDC">
        <w:rPr>
          <w:lang w:val="en-CA"/>
        </w:rPr>
        <w:t xml:space="preserve">is above their </w:t>
      </w:r>
      <w:r>
        <w:rPr>
          <w:lang w:val="en-CA"/>
        </w:rPr>
        <w:t xml:space="preserve">respective </w:t>
      </w:r>
      <w:r w:rsidR="005D2DDC">
        <w:rPr>
          <w:lang w:val="en-CA"/>
        </w:rPr>
        <w:t>workforce availability for both internal and external candidates.</w:t>
      </w:r>
    </w:p>
    <w:p w:rsidR="005D2F58" w:rsidRDefault="0071600E" w:rsidP="005D2F58">
      <w:pPr>
        <w:pStyle w:val="ListParagraph"/>
        <w:keepNext/>
        <w:numPr>
          <w:ilvl w:val="0"/>
          <w:numId w:val="0"/>
        </w:numPr>
        <w:ind w:left="720"/>
        <w:jc w:val="center"/>
      </w:pPr>
      <w:r>
        <w:rPr>
          <w:noProof/>
          <w:lang w:val="en-CA" w:eastAsia="en-CA"/>
        </w:rPr>
        <w:lastRenderedPageBreak/>
        <w:drawing>
          <wp:inline distT="0" distB="0" distL="0" distR="0" wp14:anchorId="41BA802D" wp14:editId="2D0EB124">
            <wp:extent cx="4085999" cy="5107499"/>
            <wp:effectExtent l="0" t="0" r="0" b="0"/>
            <wp:docPr id="12" name="Picture 12" descr="Eight line charts. Each line chart shows one of the employment equity groups and the representation of applicants and appointments who were either internal or external candidates. Each chart covers the fiscal years between 2016-2017 and 2018-2019. Each chart also shows the group’s workforce availability benchmark." title="Employment equity representation for federal public servants applying to and appointed from jobs open to the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2_intext_e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5999" cy="5107499"/>
                    </a:xfrm>
                    <a:prstGeom prst="rect">
                      <a:avLst/>
                    </a:prstGeom>
                  </pic:spPr>
                </pic:pic>
              </a:graphicData>
            </a:graphic>
          </wp:inline>
        </w:drawing>
      </w:r>
    </w:p>
    <w:p w:rsidR="009A28CE" w:rsidRPr="00CC4107" w:rsidRDefault="005D2F58" w:rsidP="00CC4107">
      <w:pPr>
        <w:pStyle w:val="Caption"/>
        <w:jc w:val="center"/>
        <w:rPr>
          <w:lang w:val="en-CA"/>
        </w:rPr>
      </w:pPr>
      <w:r w:rsidRPr="005D2F58">
        <w:rPr>
          <w:lang w:val="en-CA"/>
        </w:rPr>
        <w:t xml:space="preserve">Figure </w:t>
      </w:r>
      <w:r>
        <w:fldChar w:fldCharType="begin"/>
      </w:r>
      <w:r w:rsidRPr="005D2F58">
        <w:rPr>
          <w:lang w:val="en-CA"/>
        </w:rPr>
        <w:instrText xml:space="preserve"> SEQ Figure \* ARABIC </w:instrText>
      </w:r>
      <w:r>
        <w:fldChar w:fldCharType="separate"/>
      </w:r>
      <w:r w:rsidRPr="005D2F58">
        <w:rPr>
          <w:noProof/>
          <w:lang w:val="en-CA"/>
        </w:rPr>
        <w:t>2</w:t>
      </w:r>
      <w:r>
        <w:fldChar w:fldCharType="end"/>
      </w:r>
      <w:r w:rsidRPr="005D2F58">
        <w:rPr>
          <w:lang w:val="en-CA"/>
        </w:rPr>
        <w:t>: Employment equity representation for federal public servants applying to and appointed from jobs open to the public</w:t>
      </w:r>
      <w:r w:rsidR="00CB0E35" w:rsidRPr="00CC4107">
        <w:rPr>
          <w:lang w:val="en-CA"/>
        </w:rPr>
        <w:br w:type="page"/>
      </w:r>
    </w:p>
    <w:p w:rsidR="005D2F58" w:rsidRPr="005D2F58" w:rsidRDefault="005D2F58" w:rsidP="005D2F58">
      <w:pPr>
        <w:pStyle w:val="Caption"/>
        <w:keepNext/>
        <w:jc w:val="center"/>
        <w:rPr>
          <w:lang w:val="en-CA"/>
        </w:rPr>
      </w:pPr>
      <w:r w:rsidRPr="005D2F58">
        <w:rPr>
          <w:lang w:val="en-CA"/>
        </w:rPr>
        <w:lastRenderedPageBreak/>
        <w:t xml:space="preserve">Table </w:t>
      </w:r>
      <w:r>
        <w:fldChar w:fldCharType="begin"/>
      </w:r>
      <w:r w:rsidRPr="005D2F58">
        <w:rPr>
          <w:lang w:val="en-CA"/>
        </w:rPr>
        <w:instrText xml:space="preserve"> SEQ Table \* ARABIC </w:instrText>
      </w:r>
      <w:r>
        <w:fldChar w:fldCharType="separate"/>
      </w:r>
      <w:r>
        <w:rPr>
          <w:noProof/>
          <w:lang w:val="en-CA"/>
        </w:rPr>
        <w:t>2</w:t>
      </w:r>
      <w:r>
        <w:fldChar w:fldCharType="end"/>
      </w:r>
      <w:r w:rsidRPr="005D2F58">
        <w:rPr>
          <w:lang w:val="en-CA"/>
        </w:rPr>
        <w:t>: Employment equity representation for external candidates – Indigenous peoples</w:t>
      </w:r>
    </w:p>
    <w:tbl>
      <w:tblPr>
        <w:tblStyle w:val="TableGrid"/>
        <w:tblW w:w="0" w:type="auto"/>
        <w:tblLook w:val="04A0" w:firstRow="1" w:lastRow="0" w:firstColumn="1" w:lastColumn="0" w:noHBand="0" w:noVBand="1"/>
        <w:tblCaption w:val="Employment equity representation for external candidates - Indigenous peoples"/>
        <w:tblDescription w:val="A table showing the employment equity representation of applicants and appointments."/>
      </w:tblPr>
      <w:tblGrid>
        <w:gridCol w:w="2337"/>
        <w:gridCol w:w="2337"/>
        <w:gridCol w:w="2338"/>
        <w:gridCol w:w="2338"/>
      </w:tblGrid>
      <w:tr w:rsidR="009A28CE" w:rsidTr="009A28CE">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9A28CE">
        <w:tc>
          <w:tcPr>
            <w:tcW w:w="2337" w:type="dxa"/>
          </w:tcPr>
          <w:p w:rsidR="009A28CE" w:rsidRDefault="009A28CE" w:rsidP="00CB0E35">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3.1%</w:t>
            </w:r>
          </w:p>
        </w:tc>
        <w:tc>
          <w:tcPr>
            <w:tcW w:w="2338" w:type="dxa"/>
          </w:tcPr>
          <w:p w:rsidR="009A28CE" w:rsidRDefault="00CC2467" w:rsidP="004F4695">
            <w:pPr>
              <w:keepLines w:val="0"/>
              <w:jc w:val="right"/>
              <w:rPr>
                <w:lang w:val="en-CA"/>
              </w:rPr>
            </w:pPr>
            <w:r>
              <w:rPr>
                <w:lang w:val="en-CA"/>
              </w:rPr>
              <w:t>3.0%</w:t>
            </w:r>
          </w:p>
        </w:tc>
        <w:tc>
          <w:tcPr>
            <w:tcW w:w="2338" w:type="dxa"/>
          </w:tcPr>
          <w:p w:rsidR="009A28CE" w:rsidRDefault="00CC2467" w:rsidP="004F4695">
            <w:pPr>
              <w:keepLines w:val="0"/>
              <w:jc w:val="right"/>
              <w:rPr>
                <w:lang w:val="en-CA"/>
              </w:rPr>
            </w:pPr>
            <w:r>
              <w:rPr>
                <w:lang w:val="en-CA"/>
              </w:rPr>
              <w:t>2.8%</w:t>
            </w:r>
          </w:p>
        </w:tc>
      </w:tr>
      <w:tr w:rsidR="009A28CE" w:rsidTr="009A28CE">
        <w:tc>
          <w:tcPr>
            <w:tcW w:w="2337" w:type="dxa"/>
          </w:tcPr>
          <w:p w:rsidR="009A28CE" w:rsidRDefault="009A28CE" w:rsidP="00CB0E35">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4.5%</w:t>
            </w:r>
          </w:p>
        </w:tc>
        <w:tc>
          <w:tcPr>
            <w:tcW w:w="2338" w:type="dxa"/>
          </w:tcPr>
          <w:p w:rsidR="009A28CE" w:rsidRDefault="00CC2467" w:rsidP="004F4695">
            <w:pPr>
              <w:keepLines w:val="0"/>
              <w:jc w:val="right"/>
              <w:rPr>
                <w:lang w:val="en-CA"/>
              </w:rPr>
            </w:pPr>
            <w:r>
              <w:rPr>
                <w:lang w:val="en-CA"/>
              </w:rPr>
              <w:t>4.1%</w:t>
            </w:r>
          </w:p>
        </w:tc>
        <w:tc>
          <w:tcPr>
            <w:tcW w:w="2338" w:type="dxa"/>
          </w:tcPr>
          <w:p w:rsidR="009A28CE" w:rsidRDefault="00CC2467" w:rsidP="004F4695">
            <w:pPr>
              <w:keepLines w:val="0"/>
              <w:jc w:val="right"/>
              <w:rPr>
                <w:lang w:val="en-CA"/>
              </w:rPr>
            </w:pPr>
            <w:r>
              <w:rPr>
                <w:lang w:val="en-CA"/>
              </w:rPr>
              <w:t>4.5%</w:t>
            </w:r>
          </w:p>
        </w:tc>
      </w:tr>
    </w:tbl>
    <w:p w:rsidR="005D2F58" w:rsidRPr="005D2F58" w:rsidRDefault="005D2F58" w:rsidP="00CC4107">
      <w:pPr>
        <w:pStyle w:val="Caption"/>
        <w:keepNext/>
        <w:spacing w:before="400"/>
        <w:jc w:val="center"/>
        <w:rPr>
          <w:lang w:val="en-CA"/>
        </w:rPr>
      </w:pPr>
      <w:r w:rsidRPr="005D2F58">
        <w:rPr>
          <w:lang w:val="en-CA"/>
        </w:rPr>
        <w:t xml:space="preserve">Table </w:t>
      </w:r>
      <w:r>
        <w:fldChar w:fldCharType="begin"/>
      </w:r>
      <w:r w:rsidRPr="005D2F58">
        <w:rPr>
          <w:lang w:val="en-CA"/>
        </w:rPr>
        <w:instrText xml:space="preserve"> SEQ Table \* ARABIC </w:instrText>
      </w:r>
      <w:r>
        <w:fldChar w:fldCharType="separate"/>
      </w:r>
      <w:r>
        <w:rPr>
          <w:noProof/>
          <w:lang w:val="en-CA"/>
        </w:rPr>
        <w:t>3</w:t>
      </w:r>
      <w:r>
        <w:fldChar w:fldCharType="end"/>
      </w:r>
      <w:r w:rsidRPr="005D2F58">
        <w:rPr>
          <w:lang w:val="en-CA"/>
        </w:rPr>
        <w:t>: Employment equity representation for internal candidates – Indigenous peoples</w:t>
      </w:r>
    </w:p>
    <w:tbl>
      <w:tblPr>
        <w:tblStyle w:val="TableGrid"/>
        <w:tblW w:w="0" w:type="auto"/>
        <w:tblLook w:val="04A0" w:firstRow="1" w:lastRow="0" w:firstColumn="1" w:lastColumn="0" w:noHBand="0" w:noVBand="1"/>
        <w:tblCaption w:val="Employment equity representation for internal candidates - Indigenous peoples"/>
        <w:tblDescription w:val="A table showing the employment equity representation of applicants and appointments."/>
      </w:tblPr>
      <w:tblGrid>
        <w:gridCol w:w="2337"/>
        <w:gridCol w:w="2337"/>
        <w:gridCol w:w="2338"/>
        <w:gridCol w:w="2338"/>
      </w:tblGrid>
      <w:tr w:rsidR="009A28CE" w:rsidTr="0077112C">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77112C">
        <w:tc>
          <w:tcPr>
            <w:tcW w:w="2337" w:type="dxa"/>
          </w:tcPr>
          <w:p w:rsidR="009A28CE" w:rsidRDefault="009A28CE" w:rsidP="0077112C">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4.5%</w:t>
            </w:r>
          </w:p>
        </w:tc>
        <w:tc>
          <w:tcPr>
            <w:tcW w:w="2338" w:type="dxa"/>
          </w:tcPr>
          <w:p w:rsidR="009A28CE" w:rsidRDefault="00CC2467" w:rsidP="004F4695">
            <w:pPr>
              <w:keepLines w:val="0"/>
              <w:jc w:val="right"/>
              <w:rPr>
                <w:lang w:val="en-CA"/>
              </w:rPr>
            </w:pPr>
            <w:r>
              <w:rPr>
                <w:lang w:val="en-CA"/>
              </w:rPr>
              <w:t>4.3%</w:t>
            </w:r>
          </w:p>
        </w:tc>
        <w:tc>
          <w:tcPr>
            <w:tcW w:w="2338" w:type="dxa"/>
          </w:tcPr>
          <w:p w:rsidR="009A28CE" w:rsidRDefault="00CC2467" w:rsidP="004F4695">
            <w:pPr>
              <w:keepLines w:val="0"/>
              <w:jc w:val="right"/>
              <w:rPr>
                <w:lang w:val="en-CA"/>
              </w:rPr>
            </w:pPr>
            <w:r>
              <w:rPr>
                <w:lang w:val="en-CA"/>
              </w:rPr>
              <w:t>4.6%</w:t>
            </w:r>
          </w:p>
        </w:tc>
      </w:tr>
      <w:tr w:rsidR="009A28CE" w:rsidTr="0077112C">
        <w:tc>
          <w:tcPr>
            <w:tcW w:w="2337" w:type="dxa"/>
          </w:tcPr>
          <w:p w:rsidR="009A28CE" w:rsidRDefault="009A28CE" w:rsidP="0077112C">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5.5%</w:t>
            </w:r>
          </w:p>
        </w:tc>
        <w:tc>
          <w:tcPr>
            <w:tcW w:w="2338" w:type="dxa"/>
          </w:tcPr>
          <w:p w:rsidR="009A28CE" w:rsidRDefault="00CC2467" w:rsidP="004F4695">
            <w:pPr>
              <w:keepLines w:val="0"/>
              <w:jc w:val="right"/>
              <w:rPr>
                <w:lang w:val="en-CA"/>
              </w:rPr>
            </w:pPr>
            <w:r>
              <w:rPr>
                <w:lang w:val="en-CA"/>
              </w:rPr>
              <w:t>5.3%</w:t>
            </w:r>
          </w:p>
        </w:tc>
        <w:tc>
          <w:tcPr>
            <w:tcW w:w="2338" w:type="dxa"/>
          </w:tcPr>
          <w:p w:rsidR="009A28CE" w:rsidRDefault="00CC2467" w:rsidP="004F4695">
            <w:pPr>
              <w:keepLines w:val="0"/>
              <w:jc w:val="right"/>
              <w:rPr>
                <w:lang w:val="en-CA"/>
              </w:rPr>
            </w:pPr>
            <w:r>
              <w:rPr>
                <w:lang w:val="en-CA"/>
              </w:rPr>
              <w:t>5.2%</w:t>
            </w:r>
          </w:p>
        </w:tc>
      </w:tr>
    </w:tbl>
    <w:p w:rsidR="005D2F58" w:rsidRPr="005D2F58" w:rsidRDefault="005D2F58" w:rsidP="00CC4107">
      <w:pPr>
        <w:pStyle w:val="Caption"/>
        <w:keepNext/>
        <w:spacing w:before="400"/>
        <w:jc w:val="center"/>
        <w:rPr>
          <w:lang w:val="en-CA"/>
        </w:rPr>
      </w:pPr>
      <w:r w:rsidRPr="005D2F58">
        <w:rPr>
          <w:lang w:val="en-CA"/>
        </w:rPr>
        <w:t xml:space="preserve">Table </w:t>
      </w:r>
      <w:r>
        <w:fldChar w:fldCharType="begin"/>
      </w:r>
      <w:r w:rsidRPr="005D2F58">
        <w:rPr>
          <w:lang w:val="en-CA"/>
        </w:rPr>
        <w:instrText xml:space="preserve"> SEQ Table \* ARABIC </w:instrText>
      </w:r>
      <w:r>
        <w:fldChar w:fldCharType="separate"/>
      </w:r>
      <w:r>
        <w:rPr>
          <w:noProof/>
          <w:lang w:val="en-CA"/>
        </w:rPr>
        <w:t>4</w:t>
      </w:r>
      <w:r>
        <w:fldChar w:fldCharType="end"/>
      </w:r>
      <w:r w:rsidRPr="005D2F58">
        <w:rPr>
          <w:lang w:val="en-CA"/>
        </w:rPr>
        <w:t>: Employment equity representation for external candidates – persons with disabilities</w:t>
      </w:r>
    </w:p>
    <w:tbl>
      <w:tblPr>
        <w:tblStyle w:val="TableGrid"/>
        <w:tblW w:w="0" w:type="auto"/>
        <w:tblLook w:val="04A0" w:firstRow="1" w:lastRow="0" w:firstColumn="1" w:lastColumn="0" w:noHBand="0" w:noVBand="1"/>
        <w:tblCaption w:val="Employment equity representation for external candidates - persons with disabilities"/>
        <w:tblDescription w:val="A table showing the employment equity representation of applicants and appointments."/>
      </w:tblPr>
      <w:tblGrid>
        <w:gridCol w:w="2337"/>
        <w:gridCol w:w="2337"/>
        <w:gridCol w:w="2338"/>
        <w:gridCol w:w="2338"/>
      </w:tblGrid>
      <w:tr w:rsidR="009A28CE" w:rsidTr="0077112C">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77112C">
        <w:tc>
          <w:tcPr>
            <w:tcW w:w="2337" w:type="dxa"/>
          </w:tcPr>
          <w:p w:rsidR="009A28CE" w:rsidRDefault="009A28CE" w:rsidP="0077112C">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2.4%</w:t>
            </w:r>
          </w:p>
        </w:tc>
        <w:tc>
          <w:tcPr>
            <w:tcW w:w="2338" w:type="dxa"/>
          </w:tcPr>
          <w:p w:rsidR="009A28CE" w:rsidRDefault="00CC2467" w:rsidP="004F4695">
            <w:pPr>
              <w:keepLines w:val="0"/>
              <w:jc w:val="right"/>
              <w:rPr>
                <w:lang w:val="en-CA"/>
              </w:rPr>
            </w:pPr>
            <w:r>
              <w:rPr>
                <w:lang w:val="en-CA"/>
              </w:rPr>
              <w:t>2.5%</w:t>
            </w:r>
          </w:p>
        </w:tc>
        <w:tc>
          <w:tcPr>
            <w:tcW w:w="2338" w:type="dxa"/>
          </w:tcPr>
          <w:p w:rsidR="009A28CE" w:rsidRDefault="00CC2467" w:rsidP="004F4695">
            <w:pPr>
              <w:keepLines w:val="0"/>
              <w:jc w:val="right"/>
              <w:rPr>
                <w:lang w:val="en-CA"/>
              </w:rPr>
            </w:pPr>
            <w:r>
              <w:rPr>
                <w:lang w:val="en-CA"/>
              </w:rPr>
              <w:t>2.3%</w:t>
            </w:r>
          </w:p>
        </w:tc>
      </w:tr>
      <w:tr w:rsidR="009A28CE" w:rsidTr="0077112C">
        <w:tc>
          <w:tcPr>
            <w:tcW w:w="2337" w:type="dxa"/>
          </w:tcPr>
          <w:p w:rsidR="009A28CE" w:rsidRDefault="009A28CE" w:rsidP="0077112C">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3.7%</w:t>
            </w:r>
          </w:p>
        </w:tc>
        <w:tc>
          <w:tcPr>
            <w:tcW w:w="2338" w:type="dxa"/>
          </w:tcPr>
          <w:p w:rsidR="009A28CE" w:rsidRDefault="00CC2467" w:rsidP="004F4695">
            <w:pPr>
              <w:keepLines w:val="0"/>
              <w:jc w:val="right"/>
              <w:rPr>
                <w:lang w:val="en-CA"/>
              </w:rPr>
            </w:pPr>
            <w:r>
              <w:rPr>
                <w:lang w:val="en-CA"/>
              </w:rPr>
              <w:t>3.5%</w:t>
            </w:r>
          </w:p>
        </w:tc>
        <w:tc>
          <w:tcPr>
            <w:tcW w:w="2338" w:type="dxa"/>
          </w:tcPr>
          <w:p w:rsidR="009A28CE" w:rsidRDefault="00CC2467" w:rsidP="004F4695">
            <w:pPr>
              <w:keepLines w:val="0"/>
              <w:jc w:val="right"/>
              <w:rPr>
                <w:lang w:val="en-CA"/>
              </w:rPr>
            </w:pPr>
            <w:r>
              <w:rPr>
                <w:lang w:val="en-CA"/>
              </w:rPr>
              <w:t>3.9%</w:t>
            </w:r>
          </w:p>
        </w:tc>
      </w:tr>
    </w:tbl>
    <w:p w:rsidR="005D2F58" w:rsidRPr="005D2F58" w:rsidRDefault="005D2F58" w:rsidP="00CC4107">
      <w:pPr>
        <w:pStyle w:val="Caption"/>
        <w:keepNext/>
        <w:spacing w:before="400"/>
        <w:jc w:val="center"/>
        <w:rPr>
          <w:lang w:val="en-CA"/>
        </w:rPr>
      </w:pPr>
      <w:r w:rsidRPr="005D2F58">
        <w:rPr>
          <w:lang w:val="en-CA"/>
        </w:rPr>
        <w:t xml:space="preserve">Table </w:t>
      </w:r>
      <w:r>
        <w:fldChar w:fldCharType="begin"/>
      </w:r>
      <w:r w:rsidRPr="005D2F58">
        <w:rPr>
          <w:lang w:val="en-CA"/>
        </w:rPr>
        <w:instrText xml:space="preserve"> SEQ Table \* ARABIC </w:instrText>
      </w:r>
      <w:r>
        <w:fldChar w:fldCharType="separate"/>
      </w:r>
      <w:r>
        <w:rPr>
          <w:noProof/>
          <w:lang w:val="en-CA"/>
        </w:rPr>
        <w:t>5</w:t>
      </w:r>
      <w:r>
        <w:fldChar w:fldCharType="end"/>
      </w:r>
      <w:r w:rsidRPr="005D2F58">
        <w:rPr>
          <w:lang w:val="en-CA"/>
        </w:rPr>
        <w:t>: Employment equity representation for internal candidates – persons with disabilities</w:t>
      </w:r>
    </w:p>
    <w:tbl>
      <w:tblPr>
        <w:tblStyle w:val="TableGrid"/>
        <w:tblW w:w="0" w:type="auto"/>
        <w:tblLook w:val="04A0" w:firstRow="1" w:lastRow="0" w:firstColumn="1" w:lastColumn="0" w:noHBand="0" w:noVBand="1"/>
        <w:tblCaption w:val="Employment equity representation for internal candidates - persons with disabilities"/>
        <w:tblDescription w:val="A table showing the employment equity representation of applicants and appointments."/>
      </w:tblPr>
      <w:tblGrid>
        <w:gridCol w:w="2337"/>
        <w:gridCol w:w="2337"/>
        <w:gridCol w:w="2338"/>
        <w:gridCol w:w="2338"/>
      </w:tblGrid>
      <w:tr w:rsidR="009A28CE" w:rsidTr="0077112C">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77112C">
        <w:tc>
          <w:tcPr>
            <w:tcW w:w="2337" w:type="dxa"/>
          </w:tcPr>
          <w:p w:rsidR="009A28CE" w:rsidRDefault="009A28CE" w:rsidP="0077112C">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4.4%</w:t>
            </w:r>
          </w:p>
        </w:tc>
        <w:tc>
          <w:tcPr>
            <w:tcW w:w="2338" w:type="dxa"/>
          </w:tcPr>
          <w:p w:rsidR="009A28CE" w:rsidRDefault="00CC2467" w:rsidP="004F4695">
            <w:pPr>
              <w:keepLines w:val="0"/>
              <w:jc w:val="right"/>
              <w:rPr>
                <w:lang w:val="en-CA"/>
              </w:rPr>
            </w:pPr>
            <w:r>
              <w:rPr>
                <w:lang w:val="en-CA"/>
              </w:rPr>
              <w:t>4.7%</w:t>
            </w:r>
          </w:p>
        </w:tc>
        <w:tc>
          <w:tcPr>
            <w:tcW w:w="2338" w:type="dxa"/>
          </w:tcPr>
          <w:p w:rsidR="009A28CE" w:rsidRDefault="00CC2467" w:rsidP="004F4695">
            <w:pPr>
              <w:keepLines w:val="0"/>
              <w:jc w:val="right"/>
              <w:rPr>
                <w:lang w:val="en-CA"/>
              </w:rPr>
            </w:pPr>
            <w:r>
              <w:rPr>
                <w:lang w:val="en-CA"/>
              </w:rPr>
              <w:t>4.8%</w:t>
            </w:r>
          </w:p>
        </w:tc>
      </w:tr>
      <w:tr w:rsidR="009A28CE" w:rsidTr="0077112C">
        <w:tc>
          <w:tcPr>
            <w:tcW w:w="2337" w:type="dxa"/>
          </w:tcPr>
          <w:p w:rsidR="009A28CE" w:rsidRDefault="009A28CE" w:rsidP="0077112C">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4.6%</w:t>
            </w:r>
          </w:p>
        </w:tc>
        <w:tc>
          <w:tcPr>
            <w:tcW w:w="2338" w:type="dxa"/>
          </w:tcPr>
          <w:p w:rsidR="009A28CE" w:rsidRDefault="00CC2467" w:rsidP="004F4695">
            <w:pPr>
              <w:keepLines w:val="0"/>
              <w:jc w:val="right"/>
              <w:rPr>
                <w:lang w:val="en-CA"/>
              </w:rPr>
            </w:pPr>
            <w:r>
              <w:rPr>
                <w:lang w:val="en-CA"/>
              </w:rPr>
              <w:t>4.7%</w:t>
            </w:r>
          </w:p>
        </w:tc>
        <w:tc>
          <w:tcPr>
            <w:tcW w:w="2338" w:type="dxa"/>
          </w:tcPr>
          <w:p w:rsidR="009A28CE" w:rsidRDefault="00CC2467" w:rsidP="004F4695">
            <w:pPr>
              <w:keepLines w:val="0"/>
              <w:jc w:val="right"/>
              <w:rPr>
                <w:lang w:val="en-CA"/>
              </w:rPr>
            </w:pPr>
            <w:r>
              <w:rPr>
                <w:lang w:val="en-CA"/>
              </w:rPr>
              <w:t>4.9%</w:t>
            </w:r>
          </w:p>
        </w:tc>
      </w:tr>
    </w:tbl>
    <w:p w:rsidR="005D2F58" w:rsidRPr="005D2F58" w:rsidRDefault="005D2F58" w:rsidP="00CC4107">
      <w:pPr>
        <w:pStyle w:val="Caption"/>
        <w:keepNext/>
        <w:spacing w:before="400"/>
        <w:jc w:val="center"/>
        <w:rPr>
          <w:lang w:val="en-CA"/>
        </w:rPr>
      </w:pPr>
      <w:r w:rsidRPr="005D2F58">
        <w:rPr>
          <w:lang w:val="en-CA"/>
        </w:rPr>
        <w:t xml:space="preserve">Table </w:t>
      </w:r>
      <w:r>
        <w:fldChar w:fldCharType="begin"/>
      </w:r>
      <w:r w:rsidRPr="005D2F58">
        <w:rPr>
          <w:lang w:val="en-CA"/>
        </w:rPr>
        <w:instrText xml:space="preserve"> SEQ Table \* ARABIC </w:instrText>
      </w:r>
      <w:r>
        <w:fldChar w:fldCharType="separate"/>
      </w:r>
      <w:r>
        <w:rPr>
          <w:noProof/>
          <w:lang w:val="en-CA"/>
        </w:rPr>
        <w:t>6</w:t>
      </w:r>
      <w:r>
        <w:fldChar w:fldCharType="end"/>
      </w:r>
      <w:r w:rsidRPr="005D2F58">
        <w:rPr>
          <w:lang w:val="en-CA"/>
        </w:rPr>
        <w:t>: Employment equity representation for external candidates – visible minorities</w:t>
      </w:r>
    </w:p>
    <w:tbl>
      <w:tblPr>
        <w:tblStyle w:val="TableGrid"/>
        <w:tblW w:w="0" w:type="auto"/>
        <w:tblLook w:val="04A0" w:firstRow="1" w:lastRow="0" w:firstColumn="1" w:lastColumn="0" w:noHBand="0" w:noVBand="1"/>
        <w:tblCaption w:val="Employment equity representation for external candidates - visible minorities"/>
        <w:tblDescription w:val="A table showing the employment equity representation of applicants and appointments."/>
      </w:tblPr>
      <w:tblGrid>
        <w:gridCol w:w="2337"/>
        <w:gridCol w:w="2337"/>
        <w:gridCol w:w="2338"/>
        <w:gridCol w:w="2338"/>
      </w:tblGrid>
      <w:tr w:rsidR="009A28CE" w:rsidTr="0077112C">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77112C">
        <w:tc>
          <w:tcPr>
            <w:tcW w:w="2337" w:type="dxa"/>
          </w:tcPr>
          <w:p w:rsidR="009A28CE" w:rsidRDefault="009A28CE" w:rsidP="0077112C">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20.2%</w:t>
            </w:r>
          </w:p>
        </w:tc>
        <w:tc>
          <w:tcPr>
            <w:tcW w:w="2338" w:type="dxa"/>
          </w:tcPr>
          <w:p w:rsidR="009A28CE" w:rsidRDefault="00CC2467" w:rsidP="004F4695">
            <w:pPr>
              <w:keepLines w:val="0"/>
              <w:jc w:val="right"/>
              <w:rPr>
                <w:lang w:val="en-CA"/>
              </w:rPr>
            </w:pPr>
            <w:r>
              <w:rPr>
                <w:lang w:val="en-CA"/>
              </w:rPr>
              <w:t>21.4%</w:t>
            </w:r>
          </w:p>
        </w:tc>
        <w:tc>
          <w:tcPr>
            <w:tcW w:w="2338" w:type="dxa"/>
          </w:tcPr>
          <w:p w:rsidR="009A28CE" w:rsidRDefault="00CC2467" w:rsidP="004F4695">
            <w:pPr>
              <w:keepLines w:val="0"/>
              <w:jc w:val="right"/>
              <w:rPr>
                <w:lang w:val="en-CA"/>
              </w:rPr>
            </w:pPr>
            <w:r>
              <w:rPr>
                <w:lang w:val="en-CA"/>
              </w:rPr>
              <w:t>21.7%</w:t>
            </w:r>
          </w:p>
        </w:tc>
      </w:tr>
      <w:tr w:rsidR="009A28CE" w:rsidTr="0077112C">
        <w:tc>
          <w:tcPr>
            <w:tcW w:w="2337" w:type="dxa"/>
          </w:tcPr>
          <w:p w:rsidR="009A28CE" w:rsidRDefault="009A28CE" w:rsidP="0077112C">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19.4%</w:t>
            </w:r>
          </w:p>
        </w:tc>
        <w:tc>
          <w:tcPr>
            <w:tcW w:w="2338" w:type="dxa"/>
          </w:tcPr>
          <w:p w:rsidR="009A28CE" w:rsidRDefault="00CC2467" w:rsidP="004F4695">
            <w:pPr>
              <w:keepLines w:val="0"/>
              <w:jc w:val="right"/>
              <w:rPr>
                <w:lang w:val="en-CA"/>
              </w:rPr>
            </w:pPr>
            <w:r>
              <w:rPr>
                <w:lang w:val="en-CA"/>
              </w:rPr>
              <w:t>18.9%</w:t>
            </w:r>
          </w:p>
        </w:tc>
        <w:tc>
          <w:tcPr>
            <w:tcW w:w="2338" w:type="dxa"/>
          </w:tcPr>
          <w:p w:rsidR="009A28CE" w:rsidRDefault="00CC2467" w:rsidP="004F4695">
            <w:pPr>
              <w:keepLines w:val="0"/>
              <w:jc w:val="right"/>
              <w:rPr>
                <w:lang w:val="en-CA"/>
              </w:rPr>
            </w:pPr>
            <w:r>
              <w:rPr>
                <w:lang w:val="en-CA"/>
              </w:rPr>
              <w:t>20.2%</w:t>
            </w:r>
          </w:p>
        </w:tc>
      </w:tr>
    </w:tbl>
    <w:p w:rsidR="005D2F58" w:rsidRPr="005D2F58" w:rsidRDefault="005D2F58" w:rsidP="00CC4107">
      <w:pPr>
        <w:pStyle w:val="Caption"/>
        <w:keepNext/>
        <w:spacing w:before="400"/>
        <w:jc w:val="center"/>
        <w:rPr>
          <w:lang w:val="en-CA"/>
        </w:rPr>
      </w:pPr>
      <w:r w:rsidRPr="005D2F58">
        <w:rPr>
          <w:lang w:val="en-CA"/>
        </w:rPr>
        <w:t xml:space="preserve">Table </w:t>
      </w:r>
      <w:r>
        <w:fldChar w:fldCharType="begin"/>
      </w:r>
      <w:r w:rsidRPr="005D2F58">
        <w:rPr>
          <w:lang w:val="en-CA"/>
        </w:rPr>
        <w:instrText xml:space="preserve"> SEQ Table \* ARABIC </w:instrText>
      </w:r>
      <w:r>
        <w:fldChar w:fldCharType="separate"/>
      </w:r>
      <w:r>
        <w:rPr>
          <w:noProof/>
          <w:lang w:val="en-CA"/>
        </w:rPr>
        <w:t>7</w:t>
      </w:r>
      <w:r>
        <w:fldChar w:fldCharType="end"/>
      </w:r>
      <w:r w:rsidRPr="005D2F58">
        <w:rPr>
          <w:lang w:val="en-CA"/>
        </w:rPr>
        <w:t>: Employment equity representation for internal candidates – visible minorities</w:t>
      </w:r>
    </w:p>
    <w:tbl>
      <w:tblPr>
        <w:tblStyle w:val="TableGrid"/>
        <w:tblW w:w="0" w:type="auto"/>
        <w:tblLook w:val="04A0" w:firstRow="1" w:lastRow="0" w:firstColumn="1" w:lastColumn="0" w:noHBand="0" w:noVBand="1"/>
        <w:tblCaption w:val="Employment equity representation for internal candidates - visible minorities"/>
        <w:tblDescription w:val="A table showing the employment equity representation of applicants and appointments."/>
      </w:tblPr>
      <w:tblGrid>
        <w:gridCol w:w="2337"/>
        <w:gridCol w:w="2337"/>
        <w:gridCol w:w="2338"/>
        <w:gridCol w:w="2338"/>
      </w:tblGrid>
      <w:tr w:rsidR="009A28CE" w:rsidTr="0077112C">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77112C">
        <w:tc>
          <w:tcPr>
            <w:tcW w:w="2337" w:type="dxa"/>
          </w:tcPr>
          <w:p w:rsidR="009A28CE" w:rsidRDefault="009A28CE" w:rsidP="0077112C">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24.8%</w:t>
            </w:r>
          </w:p>
        </w:tc>
        <w:tc>
          <w:tcPr>
            <w:tcW w:w="2338" w:type="dxa"/>
          </w:tcPr>
          <w:p w:rsidR="009A28CE" w:rsidRDefault="00CC2467" w:rsidP="004F4695">
            <w:pPr>
              <w:keepLines w:val="0"/>
              <w:jc w:val="right"/>
              <w:rPr>
                <w:lang w:val="en-CA"/>
              </w:rPr>
            </w:pPr>
            <w:r>
              <w:rPr>
                <w:lang w:val="en-CA"/>
              </w:rPr>
              <w:t>25.5%</w:t>
            </w:r>
          </w:p>
        </w:tc>
        <w:tc>
          <w:tcPr>
            <w:tcW w:w="2338" w:type="dxa"/>
          </w:tcPr>
          <w:p w:rsidR="009A28CE" w:rsidRDefault="00CC2467" w:rsidP="004F4695">
            <w:pPr>
              <w:keepLines w:val="0"/>
              <w:jc w:val="right"/>
              <w:rPr>
                <w:lang w:val="en-CA"/>
              </w:rPr>
            </w:pPr>
            <w:r>
              <w:rPr>
                <w:lang w:val="en-CA"/>
              </w:rPr>
              <w:t>25.7%</w:t>
            </w:r>
          </w:p>
        </w:tc>
      </w:tr>
      <w:tr w:rsidR="009A28CE" w:rsidTr="0077112C">
        <w:tc>
          <w:tcPr>
            <w:tcW w:w="2337" w:type="dxa"/>
          </w:tcPr>
          <w:p w:rsidR="009A28CE" w:rsidRDefault="009A28CE" w:rsidP="0077112C">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20.0%</w:t>
            </w:r>
          </w:p>
        </w:tc>
        <w:tc>
          <w:tcPr>
            <w:tcW w:w="2338" w:type="dxa"/>
          </w:tcPr>
          <w:p w:rsidR="009A28CE" w:rsidRDefault="00CC2467" w:rsidP="004F4695">
            <w:pPr>
              <w:keepLines w:val="0"/>
              <w:jc w:val="right"/>
              <w:rPr>
                <w:lang w:val="en-CA"/>
              </w:rPr>
            </w:pPr>
            <w:r>
              <w:rPr>
                <w:lang w:val="en-CA"/>
              </w:rPr>
              <w:t>20.7%</w:t>
            </w:r>
          </w:p>
        </w:tc>
        <w:tc>
          <w:tcPr>
            <w:tcW w:w="2338" w:type="dxa"/>
          </w:tcPr>
          <w:p w:rsidR="009A28CE" w:rsidRDefault="00CC2467" w:rsidP="004F4695">
            <w:pPr>
              <w:keepLines w:val="0"/>
              <w:jc w:val="right"/>
              <w:rPr>
                <w:lang w:val="en-CA"/>
              </w:rPr>
            </w:pPr>
            <w:r>
              <w:rPr>
                <w:lang w:val="en-CA"/>
              </w:rPr>
              <w:t>21.6%</w:t>
            </w:r>
          </w:p>
        </w:tc>
      </w:tr>
    </w:tbl>
    <w:p w:rsidR="00020D95" w:rsidRDefault="00020D95" w:rsidP="00020D95">
      <w:pPr>
        <w:rPr>
          <w:lang w:val="en-CA"/>
        </w:rPr>
      </w:pPr>
      <w:r>
        <w:rPr>
          <w:lang w:val="en-CA"/>
        </w:rPr>
        <w:br w:type="page"/>
      </w:r>
    </w:p>
    <w:p w:rsidR="005D2F58" w:rsidRPr="005D2F58" w:rsidRDefault="005D2F58" w:rsidP="005D2F58">
      <w:pPr>
        <w:pStyle w:val="Caption"/>
        <w:keepNext/>
        <w:jc w:val="center"/>
        <w:rPr>
          <w:lang w:val="en-CA"/>
        </w:rPr>
      </w:pPr>
      <w:r w:rsidRPr="005D2F58">
        <w:rPr>
          <w:lang w:val="en-CA"/>
        </w:rPr>
        <w:lastRenderedPageBreak/>
        <w:t xml:space="preserve">Table </w:t>
      </w:r>
      <w:r>
        <w:fldChar w:fldCharType="begin"/>
      </w:r>
      <w:r w:rsidRPr="005D2F58">
        <w:rPr>
          <w:lang w:val="en-CA"/>
        </w:rPr>
        <w:instrText xml:space="preserve"> SEQ Table \* ARABIC </w:instrText>
      </w:r>
      <w:r>
        <w:fldChar w:fldCharType="separate"/>
      </w:r>
      <w:r>
        <w:rPr>
          <w:noProof/>
          <w:lang w:val="en-CA"/>
        </w:rPr>
        <w:t>8</w:t>
      </w:r>
      <w:r>
        <w:fldChar w:fldCharType="end"/>
      </w:r>
      <w:r w:rsidRPr="005D2F58">
        <w:rPr>
          <w:lang w:val="en-CA"/>
        </w:rPr>
        <w:t>: Employment equity representation for external candidates – women</w:t>
      </w:r>
    </w:p>
    <w:tbl>
      <w:tblPr>
        <w:tblStyle w:val="TableGrid"/>
        <w:tblW w:w="0" w:type="auto"/>
        <w:tblLook w:val="04A0" w:firstRow="1" w:lastRow="0" w:firstColumn="1" w:lastColumn="0" w:noHBand="0" w:noVBand="1"/>
        <w:tblCaption w:val="Employment equity representation for external candidates - women"/>
        <w:tblDescription w:val="A table showing the employment equity representation of applicants and appointments."/>
      </w:tblPr>
      <w:tblGrid>
        <w:gridCol w:w="2337"/>
        <w:gridCol w:w="2337"/>
        <w:gridCol w:w="2338"/>
        <w:gridCol w:w="2338"/>
      </w:tblGrid>
      <w:tr w:rsidR="009A28CE" w:rsidTr="0077112C">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77112C">
        <w:tc>
          <w:tcPr>
            <w:tcW w:w="2337" w:type="dxa"/>
          </w:tcPr>
          <w:p w:rsidR="009A28CE" w:rsidRDefault="009A28CE" w:rsidP="0077112C">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47.4%</w:t>
            </w:r>
          </w:p>
        </w:tc>
        <w:tc>
          <w:tcPr>
            <w:tcW w:w="2338" w:type="dxa"/>
          </w:tcPr>
          <w:p w:rsidR="009A28CE" w:rsidRDefault="00CC2467" w:rsidP="004F4695">
            <w:pPr>
              <w:keepLines w:val="0"/>
              <w:jc w:val="right"/>
              <w:rPr>
                <w:lang w:val="en-CA"/>
              </w:rPr>
            </w:pPr>
            <w:r>
              <w:rPr>
                <w:lang w:val="en-CA"/>
              </w:rPr>
              <w:t>47.6%</w:t>
            </w:r>
          </w:p>
        </w:tc>
        <w:tc>
          <w:tcPr>
            <w:tcW w:w="2338" w:type="dxa"/>
          </w:tcPr>
          <w:p w:rsidR="009A28CE" w:rsidRDefault="00CC2467" w:rsidP="004F4695">
            <w:pPr>
              <w:keepLines w:val="0"/>
              <w:jc w:val="right"/>
              <w:rPr>
                <w:lang w:val="en-CA"/>
              </w:rPr>
            </w:pPr>
            <w:r>
              <w:rPr>
                <w:lang w:val="en-CA"/>
              </w:rPr>
              <w:t>50.1%</w:t>
            </w:r>
          </w:p>
        </w:tc>
      </w:tr>
      <w:tr w:rsidR="009A28CE" w:rsidTr="0077112C">
        <w:tc>
          <w:tcPr>
            <w:tcW w:w="2337" w:type="dxa"/>
          </w:tcPr>
          <w:p w:rsidR="009A28CE" w:rsidRDefault="009A28CE" w:rsidP="0077112C">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58.4%</w:t>
            </w:r>
          </w:p>
        </w:tc>
        <w:tc>
          <w:tcPr>
            <w:tcW w:w="2338" w:type="dxa"/>
          </w:tcPr>
          <w:p w:rsidR="009A28CE" w:rsidRDefault="00CC2467" w:rsidP="004F4695">
            <w:pPr>
              <w:keepLines w:val="0"/>
              <w:jc w:val="right"/>
              <w:rPr>
                <w:lang w:val="en-CA"/>
              </w:rPr>
            </w:pPr>
            <w:r>
              <w:rPr>
                <w:lang w:val="en-CA"/>
              </w:rPr>
              <w:t>58.9%</w:t>
            </w:r>
          </w:p>
        </w:tc>
        <w:tc>
          <w:tcPr>
            <w:tcW w:w="2338" w:type="dxa"/>
          </w:tcPr>
          <w:p w:rsidR="009A28CE" w:rsidRDefault="00CC2467" w:rsidP="004F4695">
            <w:pPr>
              <w:keepLines w:val="0"/>
              <w:jc w:val="right"/>
              <w:rPr>
                <w:lang w:val="en-CA"/>
              </w:rPr>
            </w:pPr>
            <w:r>
              <w:rPr>
                <w:lang w:val="en-CA"/>
              </w:rPr>
              <w:t>56.5%</w:t>
            </w:r>
          </w:p>
        </w:tc>
      </w:tr>
    </w:tbl>
    <w:p w:rsidR="005D2F58" w:rsidRPr="005D2F58" w:rsidRDefault="005D2F58" w:rsidP="00CC4107">
      <w:pPr>
        <w:pStyle w:val="Caption"/>
        <w:keepNext/>
        <w:spacing w:before="400"/>
        <w:jc w:val="center"/>
        <w:rPr>
          <w:lang w:val="en-CA"/>
        </w:rPr>
      </w:pPr>
      <w:r w:rsidRPr="005D2F58">
        <w:rPr>
          <w:lang w:val="en-CA"/>
        </w:rPr>
        <w:t xml:space="preserve">Table </w:t>
      </w:r>
      <w:r>
        <w:fldChar w:fldCharType="begin"/>
      </w:r>
      <w:r w:rsidRPr="005D2F58">
        <w:rPr>
          <w:lang w:val="en-CA"/>
        </w:rPr>
        <w:instrText xml:space="preserve"> SEQ Table \* ARABIC </w:instrText>
      </w:r>
      <w:r>
        <w:fldChar w:fldCharType="separate"/>
      </w:r>
      <w:r>
        <w:rPr>
          <w:noProof/>
          <w:lang w:val="en-CA"/>
        </w:rPr>
        <w:t>9</w:t>
      </w:r>
      <w:r>
        <w:fldChar w:fldCharType="end"/>
      </w:r>
      <w:r w:rsidRPr="005D2F58">
        <w:rPr>
          <w:lang w:val="en-CA"/>
        </w:rPr>
        <w:t>: Employment equity representation for internal candidates – women</w:t>
      </w:r>
    </w:p>
    <w:tbl>
      <w:tblPr>
        <w:tblStyle w:val="TableGrid"/>
        <w:tblW w:w="0" w:type="auto"/>
        <w:tblLook w:val="04A0" w:firstRow="1" w:lastRow="0" w:firstColumn="1" w:lastColumn="0" w:noHBand="0" w:noVBand="1"/>
        <w:tblCaption w:val="Employment equity representation for internal candidates - women"/>
        <w:tblDescription w:val="A table showing the employment equity representation of applicants and appointments."/>
      </w:tblPr>
      <w:tblGrid>
        <w:gridCol w:w="2337"/>
        <w:gridCol w:w="2337"/>
        <w:gridCol w:w="2338"/>
        <w:gridCol w:w="2338"/>
      </w:tblGrid>
      <w:tr w:rsidR="009A28CE" w:rsidTr="0077112C">
        <w:trPr>
          <w:tblHeader/>
        </w:trPr>
        <w:tc>
          <w:tcPr>
            <w:tcW w:w="2337" w:type="dxa"/>
          </w:tcPr>
          <w:p w:rsidR="009A28CE" w:rsidRDefault="009A28CE" w:rsidP="005D2F58">
            <w:pPr>
              <w:keepLines w:val="0"/>
              <w:rPr>
                <w:lang w:val="en-CA"/>
              </w:rPr>
            </w:pPr>
            <w:r>
              <w:rPr>
                <w:lang w:val="en-CA"/>
              </w:rPr>
              <w:t>Representation type</w:t>
            </w:r>
          </w:p>
        </w:tc>
        <w:tc>
          <w:tcPr>
            <w:tcW w:w="2337" w:type="dxa"/>
          </w:tcPr>
          <w:p w:rsidR="009A28CE" w:rsidRDefault="009A28CE" w:rsidP="006C4AF7">
            <w:pPr>
              <w:keepLines w:val="0"/>
              <w:jc w:val="center"/>
              <w:rPr>
                <w:lang w:val="en-CA"/>
              </w:rPr>
            </w:pPr>
            <w:r>
              <w:rPr>
                <w:lang w:val="en-CA"/>
              </w:rPr>
              <w:t>2016-2017</w:t>
            </w:r>
          </w:p>
        </w:tc>
        <w:tc>
          <w:tcPr>
            <w:tcW w:w="2338" w:type="dxa"/>
          </w:tcPr>
          <w:p w:rsidR="009A28CE" w:rsidRDefault="009A28CE" w:rsidP="006C4AF7">
            <w:pPr>
              <w:keepLines w:val="0"/>
              <w:jc w:val="center"/>
              <w:rPr>
                <w:lang w:val="en-CA"/>
              </w:rPr>
            </w:pPr>
            <w:r>
              <w:rPr>
                <w:lang w:val="en-CA"/>
              </w:rPr>
              <w:t>2017-2018</w:t>
            </w:r>
          </w:p>
        </w:tc>
        <w:tc>
          <w:tcPr>
            <w:tcW w:w="2338" w:type="dxa"/>
          </w:tcPr>
          <w:p w:rsidR="009A28CE" w:rsidRDefault="009A28CE" w:rsidP="006C4AF7">
            <w:pPr>
              <w:keepLines w:val="0"/>
              <w:jc w:val="center"/>
              <w:rPr>
                <w:lang w:val="en-CA"/>
              </w:rPr>
            </w:pPr>
            <w:r>
              <w:rPr>
                <w:lang w:val="en-CA"/>
              </w:rPr>
              <w:t>2018-2019</w:t>
            </w:r>
          </w:p>
        </w:tc>
      </w:tr>
      <w:tr w:rsidR="009A28CE" w:rsidTr="0077112C">
        <w:tc>
          <w:tcPr>
            <w:tcW w:w="2337" w:type="dxa"/>
          </w:tcPr>
          <w:p w:rsidR="009A28CE" w:rsidRDefault="009A28CE" w:rsidP="0077112C">
            <w:pPr>
              <w:keepLines w:val="0"/>
              <w:rPr>
                <w:lang w:val="en-CA"/>
              </w:rPr>
            </w:pPr>
            <w:r>
              <w:rPr>
                <w:lang w:val="en-CA"/>
              </w:rPr>
              <w:t>Applicants</w:t>
            </w:r>
          </w:p>
        </w:tc>
        <w:tc>
          <w:tcPr>
            <w:tcW w:w="2337" w:type="dxa"/>
          </w:tcPr>
          <w:p w:rsidR="009A28CE" w:rsidRDefault="00CC2467" w:rsidP="004F4695">
            <w:pPr>
              <w:keepLines w:val="0"/>
              <w:jc w:val="right"/>
              <w:rPr>
                <w:lang w:val="en-CA"/>
              </w:rPr>
            </w:pPr>
            <w:r>
              <w:rPr>
                <w:lang w:val="en-CA"/>
              </w:rPr>
              <w:t>52.3%</w:t>
            </w:r>
          </w:p>
        </w:tc>
        <w:tc>
          <w:tcPr>
            <w:tcW w:w="2338" w:type="dxa"/>
          </w:tcPr>
          <w:p w:rsidR="009A28CE" w:rsidRDefault="00CC2467" w:rsidP="004F4695">
            <w:pPr>
              <w:keepLines w:val="0"/>
              <w:jc w:val="right"/>
              <w:rPr>
                <w:lang w:val="en-CA"/>
              </w:rPr>
            </w:pPr>
            <w:r>
              <w:rPr>
                <w:lang w:val="en-CA"/>
              </w:rPr>
              <w:t>52.2%</w:t>
            </w:r>
          </w:p>
        </w:tc>
        <w:tc>
          <w:tcPr>
            <w:tcW w:w="2338" w:type="dxa"/>
          </w:tcPr>
          <w:p w:rsidR="009A28CE" w:rsidRDefault="00CC2467" w:rsidP="004F4695">
            <w:pPr>
              <w:keepLines w:val="0"/>
              <w:jc w:val="right"/>
              <w:rPr>
                <w:lang w:val="en-CA"/>
              </w:rPr>
            </w:pPr>
            <w:r>
              <w:rPr>
                <w:lang w:val="en-CA"/>
              </w:rPr>
              <w:t>54.2%</w:t>
            </w:r>
          </w:p>
        </w:tc>
      </w:tr>
      <w:tr w:rsidR="009A28CE" w:rsidTr="0077112C">
        <w:tc>
          <w:tcPr>
            <w:tcW w:w="2337" w:type="dxa"/>
          </w:tcPr>
          <w:p w:rsidR="009A28CE" w:rsidRDefault="009A28CE" w:rsidP="0077112C">
            <w:pPr>
              <w:keepLines w:val="0"/>
              <w:rPr>
                <w:lang w:val="en-CA"/>
              </w:rPr>
            </w:pPr>
            <w:r>
              <w:rPr>
                <w:lang w:val="en-CA"/>
              </w:rPr>
              <w:t>Appointments</w:t>
            </w:r>
          </w:p>
        </w:tc>
        <w:tc>
          <w:tcPr>
            <w:tcW w:w="2337" w:type="dxa"/>
          </w:tcPr>
          <w:p w:rsidR="009A28CE" w:rsidRDefault="00CC2467" w:rsidP="004F4695">
            <w:pPr>
              <w:keepLines w:val="0"/>
              <w:jc w:val="right"/>
              <w:rPr>
                <w:lang w:val="en-CA"/>
              </w:rPr>
            </w:pPr>
            <w:r>
              <w:rPr>
                <w:lang w:val="en-CA"/>
              </w:rPr>
              <w:t>63.5%</w:t>
            </w:r>
          </w:p>
        </w:tc>
        <w:tc>
          <w:tcPr>
            <w:tcW w:w="2338" w:type="dxa"/>
          </w:tcPr>
          <w:p w:rsidR="009A28CE" w:rsidRDefault="00CC2467" w:rsidP="004F4695">
            <w:pPr>
              <w:keepLines w:val="0"/>
              <w:jc w:val="right"/>
              <w:rPr>
                <w:lang w:val="en-CA"/>
              </w:rPr>
            </w:pPr>
            <w:r>
              <w:rPr>
                <w:lang w:val="en-CA"/>
              </w:rPr>
              <w:t>60.8%</w:t>
            </w:r>
          </w:p>
        </w:tc>
        <w:tc>
          <w:tcPr>
            <w:tcW w:w="2338" w:type="dxa"/>
          </w:tcPr>
          <w:p w:rsidR="009A28CE" w:rsidRDefault="00CC2467" w:rsidP="004F4695">
            <w:pPr>
              <w:keepLines w:val="0"/>
              <w:jc w:val="right"/>
              <w:rPr>
                <w:lang w:val="en-CA"/>
              </w:rPr>
            </w:pPr>
            <w:r>
              <w:rPr>
                <w:lang w:val="en-CA"/>
              </w:rPr>
              <w:t>60.7%</w:t>
            </w:r>
          </w:p>
        </w:tc>
      </w:tr>
    </w:tbl>
    <w:p w:rsidR="00CC2766" w:rsidRPr="007A396D" w:rsidRDefault="00CB0E35" w:rsidP="00762B45">
      <w:pPr>
        <w:pStyle w:val="Heading3"/>
        <w:spacing w:before="320"/>
      </w:pPr>
      <w:r>
        <w:t>Indigenous p</w:t>
      </w:r>
      <w:r w:rsidR="00CC2766" w:rsidRPr="007A396D">
        <w:t>eoples</w:t>
      </w:r>
    </w:p>
    <w:p w:rsidR="003A6355" w:rsidRDefault="003A6355" w:rsidP="0071600E">
      <w:pPr>
        <w:pStyle w:val="ListParagraph"/>
        <w:numPr>
          <w:ilvl w:val="0"/>
          <w:numId w:val="29"/>
        </w:numPr>
        <w:rPr>
          <w:lang w:val="en-CA"/>
        </w:rPr>
      </w:pPr>
      <w:r>
        <w:rPr>
          <w:lang w:val="en-CA"/>
        </w:rPr>
        <w:t>Indigenous people</w:t>
      </w:r>
      <w:r w:rsidR="0071600E">
        <w:rPr>
          <w:lang w:val="en-CA"/>
        </w:rPr>
        <w:t>s</w:t>
      </w:r>
      <w:r>
        <w:rPr>
          <w:lang w:val="en-CA"/>
        </w:rPr>
        <w:t xml:space="preserve"> </w:t>
      </w:r>
      <w:r w:rsidR="00325A42">
        <w:rPr>
          <w:lang w:val="en-CA"/>
        </w:rPr>
        <w:t>have a higher representation rate</w:t>
      </w:r>
      <w:r>
        <w:rPr>
          <w:lang w:val="en-CA"/>
        </w:rPr>
        <w:t xml:space="preserve"> </w:t>
      </w:r>
      <w:r w:rsidR="00325A42">
        <w:rPr>
          <w:lang w:val="en-CA"/>
        </w:rPr>
        <w:t xml:space="preserve">amongst </w:t>
      </w:r>
      <w:r>
        <w:rPr>
          <w:lang w:val="en-CA"/>
        </w:rPr>
        <w:t xml:space="preserve">internal candidates </w:t>
      </w:r>
      <w:r w:rsidR="005925D7">
        <w:rPr>
          <w:lang w:val="en-CA"/>
        </w:rPr>
        <w:t>than</w:t>
      </w:r>
      <w:r w:rsidR="00325A42">
        <w:rPr>
          <w:lang w:val="en-CA"/>
        </w:rPr>
        <w:t xml:space="preserve"> amongst </w:t>
      </w:r>
      <w:r>
        <w:rPr>
          <w:lang w:val="en-CA"/>
        </w:rPr>
        <w:t>external candidates</w:t>
      </w:r>
      <w:r w:rsidR="00325A42">
        <w:rPr>
          <w:lang w:val="en-CA"/>
        </w:rPr>
        <w:t xml:space="preserve"> at</w:t>
      </w:r>
      <w:r w:rsidR="005F1C32">
        <w:rPr>
          <w:lang w:val="en-CA"/>
        </w:rPr>
        <w:t xml:space="preserve"> both</w:t>
      </w:r>
      <w:r w:rsidR="00325A42">
        <w:rPr>
          <w:lang w:val="en-CA"/>
        </w:rPr>
        <w:t xml:space="preserve"> the application </w:t>
      </w:r>
      <w:r w:rsidR="005F1C32">
        <w:rPr>
          <w:lang w:val="en-CA"/>
        </w:rPr>
        <w:t>and</w:t>
      </w:r>
      <w:r w:rsidR="00325A42">
        <w:rPr>
          <w:lang w:val="en-CA"/>
        </w:rPr>
        <w:t xml:space="preserve"> appointment stage</w:t>
      </w:r>
      <w:r>
        <w:rPr>
          <w:lang w:val="en-CA"/>
        </w:rPr>
        <w:t>.</w:t>
      </w:r>
    </w:p>
    <w:p w:rsidR="003A6355" w:rsidRDefault="003A6355" w:rsidP="0071600E">
      <w:pPr>
        <w:pStyle w:val="ListParagraph"/>
        <w:numPr>
          <w:ilvl w:val="0"/>
          <w:numId w:val="29"/>
        </w:numPr>
        <w:rPr>
          <w:lang w:val="en-CA"/>
        </w:rPr>
      </w:pPr>
      <w:r>
        <w:rPr>
          <w:lang w:val="en-CA"/>
        </w:rPr>
        <w:t xml:space="preserve">For both internal and external candidates, </w:t>
      </w:r>
      <w:r w:rsidR="00CB0E35">
        <w:rPr>
          <w:lang w:val="en-CA"/>
        </w:rPr>
        <w:t>I</w:t>
      </w:r>
      <w:r>
        <w:rPr>
          <w:lang w:val="en-CA"/>
        </w:rPr>
        <w:t>ndigenous people had a higher share of appointments than</w:t>
      </w:r>
      <w:r w:rsidR="00325A42">
        <w:rPr>
          <w:lang w:val="en-CA"/>
        </w:rPr>
        <w:t xml:space="preserve"> their representation as </w:t>
      </w:r>
      <w:r>
        <w:rPr>
          <w:lang w:val="en-CA"/>
        </w:rPr>
        <w:t>applicants.</w:t>
      </w:r>
    </w:p>
    <w:p w:rsidR="0071600E" w:rsidRPr="00903A2D" w:rsidRDefault="0071600E" w:rsidP="00903A2D">
      <w:pPr>
        <w:pStyle w:val="ListParagraph"/>
        <w:numPr>
          <w:ilvl w:val="0"/>
          <w:numId w:val="29"/>
        </w:numPr>
        <w:rPr>
          <w:lang w:val="en-CA"/>
        </w:rPr>
      </w:pPr>
      <w:r>
        <w:rPr>
          <w:lang w:val="en-CA"/>
        </w:rPr>
        <w:t>T</w:t>
      </w:r>
      <w:r w:rsidR="003A6355">
        <w:rPr>
          <w:lang w:val="en-CA"/>
        </w:rPr>
        <w:t xml:space="preserve">he share of external </w:t>
      </w:r>
      <w:r w:rsidR="00CB0E35">
        <w:rPr>
          <w:lang w:val="en-CA"/>
        </w:rPr>
        <w:t>I</w:t>
      </w:r>
      <w:r>
        <w:rPr>
          <w:lang w:val="en-CA"/>
        </w:rPr>
        <w:t xml:space="preserve">ndigenous </w:t>
      </w:r>
      <w:r w:rsidR="003A6355">
        <w:rPr>
          <w:lang w:val="en-CA"/>
        </w:rPr>
        <w:t>candidate</w:t>
      </w:r>
      <w:r>
        <w:rPr>
          <w:lang w:val="en-CA"/>
        </w:rPr>
        <w:t xml:space="preserve"> appointments </w:t>
      </w:r>
      <w:r w:rsidR="00325A42">
        <w:rPr>
          <w:lang w:val="en-CA"/>
        </w:rPr>
        <w:t xml:space="preserve">is above their </w:t>
      </w:r>
      <w:r w:rsidR="003A6355">
        <w:rPr>
          <w:lang w:val="en-CA"/>
        </w:rPr>
        <w:t>workforce availability of 4.0%</w:t>
      </w:r>
      <w:r w:rsidR="00CB0E35">
        <w:rPr>
          <w:lang w:val="en-CA"/>
        </w:rPr>
        <w:t>,</w:t>
      </w:r>
      <w:r>
        <w:rPr>
          <w:lang w:val="en-CA"/>
        </w:rPr>
        <w:t xml:space="preserve"> </w:t>
      </w:r>
      <w:r w:rsidR="00CB0E35">
        <w:rPr>
          <w:lang w:val="en-CA"/>
        </w:rPr>
        <w:t>even though</w:t>
      </w:r>
      <w:r>
        <w:rPr>
          <w:lang w:val="en-CA"/>
        </w:rPr>
        <w:t xml:space="preserve"> the</w:t>
      </w:r>
      <w:r w:rsidR="00161EDF">
        <w:rPr>
          <w:lang w:val="en-CA"/>
        </w:rPr>
        <w:t>ir</w:t>
      </w:r>
      <w:r>
        <w:rPr>
          <w:lang w:val="en-CA"/>
        </w:rPr>
        <w:t xml:space="preserve"> share </w:t>
      </w:r>
      <w:r w:rsidR="00325A42">
        <w:rPr>
          <w:lang w:val="en-CA"/>
        </w:rPr>
        <w:t>as</w:t>
      </w:r>
      <w:r>
        <w:rPr>
          <w:lang w:val="en-CA"/>
        </w:rPr>
        <w:t xml:space="preserve"> external applicants was below the workforce availability</w:t>
      </w:r>
      <w:r w:rsidR="003A6355">
        <w:rPr>
          <w:lang w:val="en-CA"/>
        </w:rPr>
        <w:t>.</w:t>
      </w:r>
    </w:p>
    <w:p w:rsidR="00CC2766" w:rsidRPr="0071600E" w:rsidRDefault="00CC2766" w:rsidP="00903A2D">
      <w:pPr>
        <w:pStyle w:val="Heading3"/>
      </w:pPr>
      <w:r w:rsidRPr="0071600E">
        <w:t xml:space="preserve">Persons with </w:t>
      </w:r>
      <w:r w:rsidR="00CB0E35">
        <w:t>d</w:t>
      </w:r>
      <w:r w:rsidRPr="0071600E">
        <w:t>isabilities</w:t>
      </w:r>
    </w:p>
    <w:p w:rsidR="003A6355" w:rsidRDefault="00CC2766" w:rsidP="0071600E">
      <w:pPr>
        <w:pStyle w:val="ListParagraph"/>
        <w:numPr>
          <w:ilvl w:val="0"/>
          <w:numId w:val="29"/>
        </w:numPr>
        <w:rPr>
          <w:lang w:val="en-CA"/>
        </w:rPr>
      </w:pPr>
      <w:r>
        <w:rPr>
          <w:lang w:val="en-CA"/>
        </w:rPr>
        <w:t xml:space="preserve">Persons with disabilities </w:t>
      </w:r>
      <w:r w:rsidR="005F1C32">
        <w:rPr>
          <w:lang w:val="en-CA"/>
        </w:rPr>
        <w:t xml:space="preserve">applicants </w:t>
      </w:r>
      <w:r w:rsidR="00325A42">
        <w:rPr>
          <w:lang w:val="en-CA"/>
        </w:rPr>
        <w:t xml:space="preserve">have a higher representation amongst </w:t>
      </w:r>
      <w:r w:rsidR="003A6355">
        <w:rPr>
          <w:lang w:val="en-CA"/>
        </w:rPr>
        <w:t xml:space="preserve">internal candidates </w:t>
      </w:r>
      <w:r w:rsidR="005925D7">
        <w:rPr>
          <w:lang w:val="en-CA"/>
        </w:rPr>
        <w:t>than amongst</w:t>
      </w:r>
      <w:r w:rsidR="00325A42">
        <w:rPr>
          <w:lang w:val="en-CA"/>
        </w:rPr>
        <w:t xml:space="preserve"> </w:t>
      </w:r>
      <w:r w:rsidR="003A6355">
        <w:rPr>
          <w:lang w:val="en-CA"/>
        </w:rPr>
        <w:t>external candidates</w:t>
      </w:r>
      <w:r w:rsidR="00325A42">
        <w:rPr>
          <w:lang w:val="en-CA"/>
        </w:rPr>
        <w:t>. A</w:t>
      </w:r>
      <w:r w:rsidR="005925D7">
        <w:rPr>
          <w:lang w:val="en-CA"/>
        </w:rPr>
        <w:t xml:space="preserve"> similar result is observed at</w:t>
      </w:r>
      <w:r w:rsidR="00325A42">
        <w:rPr>
          <w:lang w:val="en-CA"/>
        </w:rPr>
        <w:t xml:space="preserve"> the appointment stage</w:t>
      </w:r>
      <w:r w:rsidR="003A6355">
        <w:rPr>
          <w:lang w:val="en-CA"/>
        </w:rPr>
        <w:t>.</w:t>
      </w:r>
    </w:p>
    <w:p w:rsidR="0071600E" w:rsidRPr="00903A2D" w:rsidRDefault="00CC2766" w:rsidP="00903A2D">
      <w:pPr>
        <w:pStyle w:val="ListParagraph"/>
        <w:numPr>
          <w:ilvl w:val="0"/>
          <w:numId w:val="29"/>
        </w:numPr>
        <w:rPr>
          <w:lang w:val="en-CA"/>
        </w:rPr>
      </w:pPr>
      <w:r>
        <w:rPr>
          <w:lang w:val="en-CA"/>
        </w:rPr>
        <w:t>In contrast to the other groups, t</w:t>
      </w:r>
      <w:r w:rsidR="003A6355">
        <w:rPr>
          <w:lang w:val="en-CA"/>
        </w:rPr>
        <w:t>he share of applicants</w:t>
      </w:r>
      <w:r>
        <w:rPr>
          <w:lang w:val="en-CA"/>
        </w:rPr>
        <w:t xml:space="preserve"> and appointments</w:t>
      </w:r>
      <w:r w:rsidR="00325A42">
        <w:rPr>
          <w:lang w:val="en-CA"/>
        </w:rPr>
        <w:t xml:space="preserve"> (internal or external) for persons with disabilities </w:t>
      </w:r>
      <w:r w:rsidR="003A6355">
        <w:rPr>
          <w:lang w:val="en-CA"/>
        </w:rPr>
        <w:t>is below</w:t>
      </w:r>
      <w:r>
        <w:rPr>
          <w:lang w:val="en-CA"/>
        </w:rPr>
        <w:t xml:space="preserve"> the workforce availability of 9</w:t>
      </w:r>
      <w:r w:rsidR="003A6355">
        <w:rPr>
          <w:lang w:val="en-CA"/>
        </w:rPr>
        <w:t>.0%</w:t>
      </w:r>
      <w:r>
        <w:rPr>
          <w:lang w:val="en-CA"/>
        </w:rPr>
        <w:t xml:space="preserve"> for persons with disabilities</w:t>
      </w:r>
      <w:r w:rsidR="003A6355">
        <w:rPr>
          <w:lang w:val="en-CA"/>
        </w:rPr>
        <w:t>.</w:t>
      </w:r>
    </w:p>
    <w:p w:rsidR="00CC2766" w:rsidRPr="0071600E" w:rsidRDefault="00CC2766" w:rsidP="00903A2D">
      <w:pPr>
        <w:pStyle w:val="Heading3"/>
      </w:pPr>
      <w:r w:rsidRPr="0071600E">
        <w:t xml:space="preserve">Visible </w:t>
      </w:r>
      <w:r w:rsidR="00CB0E35">
        <w:t>m</w:t>
      </w:r>
      <w:r w:rsidRPr="0071600E">
        <w:t>inorities</w:t>
      </w:r>
    </w:p>
    <w:p w:rsidR="003A6355" w:rsidRDefault="00CC2766" w:rsidP="0071600E">
      <w:pPr>
        <w:pStyle w:val="ListParagraph"/>
        <w:numPr>
          <w:ilvl w:val="0"/>
          <w:numId w:val="29"/>
        </w:numPr>
        <w:rPr>
          <w:lang w:val="en-CA"/>
        </w:rPr>
      </w:pPr>
      <w:r>
        <w:rPr>
          <w:lang w:val="en-CA"/>
        </w:rPr>
        <w:t>Visible minorit</w:t>
      </w:r>
      <w:r w:rsidR="00DA45CD">
        <w:rPr>
          <w:lang w:val="en-CA"/>
        </w:rPr>
        <w:t>y</w:t>
      </w:r>
      <w:r w:rsidR="003A6355">
        <w:rPr>
          <w:lang w:val="en-CA"/>
        </w:rPr>
        <w:t xml:space="preserve"> </w:t>
      </w:r>
      <w:r w:rsidR="005F1C32">
        <w:rPr>
          <w:lang w:val="en-CA"/>
        </w:rPr>
        <w:t xml:space="preserve">applicants </w:t>
      </w:r>
      <w:r w:rsidR="00325A42">
        <w:rPr>
          <w:lang w:val="en-CA"/>
        </w:rPr>
        <w:t>have a higher representation amongst</w:t>
      </w:r>
      <w:r w:rsidR="003A6355">
        <w:rPr>
          <w:lang w:val="en-CA"/>
        </w:rPr>
        <w:t xml:space="preserve"> internal candidates </w:t>
      </w:r>
      <w:r w:rsidR="005925D7">
        <w:rPr>
          <w:lang w:val="en-CA"/>
        </w:rPr>
        <w:t xml:space="preserve">than amongst </w:t>
      </w:r>
      <w:r w:rsidR="003A6355">
        <w:rPr>
          <w:lang w:val="en-CA"/>
        </w:rPr>
        <w:t>external candidates</w:t>
      </w:r>
      <w:r w:rsidR="00325A42">
        <w:rPr>
          <w:lang w:val="en-CA"/>
        </w:rPr>
        <w:t xml:space="preserve">. </w:t>
      </w:r>
      <w:r w:rsidR="00DA45CD">
        <w:rPr>
          <w:lang w:val="en-CA"/>
        </w:rPr>
        <w:t>Again</w:t>
      </w:r>
      <w:r w:rsidR="00325A42">
        <w:rPr>
          <w:lang w:val="en-CA"/>
        </w:rPr>
        <w:t>, a similar result is observed at the</w:t>
      </w:r>
      <w:r w:rsidR="003A6355">
        <w:rPr>
          <w:lang w:val="en-CA"/>
        </w:rPr>
        <w:t xml:space="preserve"> appointment</w:t>
      </w:r>
      <w:r w:rsidR="00325A42">
        <w:rPr>
          <w:lang w:val="en-CA"/>
        </w:rPr>
        <w:t xml:space="preserve"> stage</w:t>
      </w:r>
      <w:r w:rsidR="003A6355">
        <w:rPr>
          <w:lang w:val="en-CA"/>
        </w:rPr>
        <w:t>.</w:t>
      </w:r>
    </w:p>
    <w:p w:rsidR="003A6355" w:rsidRDefault="00CC2766" w:rsidP="0071600E">
      <w:pPr>
        <w:pStyle w:val="ListParagraph"/>
        <w:numPr>
          <w:ilvl w:val="0"/>
          <w:numId w:val="29"/>
        </w:numPr>
        <w:rPr>
          <w:lang w:val="en-CA"/>
        </w:rPr>
      </w:pPr>
      <w:r>
        <w:rPr>
          <w:lang w:val="en-CA"/>
        </w:rPr>
        <w:t>In contrast to the other groups, f</w:t>
      </w:r>
      <w:r w:rsidR="003A6355">
        <w:rPr>
          <w:lang w:val="en-CA"/>
        </w:rPr>
        <w:t xml:space="preserve">or both internal and external candidates, </w:t>
      </w:r>
      <w:r>
        <w:rPr>
          <w:lang w:val="en-CA"/>
        </w:rPr>
        <w:t xml:space="preserve">visible minorities </w:t>
      </w:r>
      <w:r w:rsidR="003A6355">
        <w:rPr>
          <w:lang w:val="en-CA"/>
        </w:rPr>
        <w:t>ha</w:t>
      </w:r>
      <w:r w:rsidR="005925D7">
        <w:rPr>
          <w:lang w:val="en-CA"/>
        </w:rPr>
        <w:t>ve</w:t>
      </w:r>
      <w:r w:rsidR="003A6355">
        <w:rPr>
          <w:lang w:val="en-CA"/>
        </w:rPr>
        <w:t xml:space="preserve"> a higher </w:t>
      </w:r>
      <w:r w:rsidR="005925D7">
        <w:rPr>
          <w:lang w:val="en-CA"/>
        </w:rPr>
        <w:t>representation</w:t>
      </w:r>
      <w:r w:rsidR="003A6355">
        <w:rPr>
          <w:lang w:val="en-CA"/>
        </w:rPr>
        <w:t xml:space="preserve"> </w:t>
      </w:r>
      <w:r w:rsidR="00325A42">
        <w:rPr>
          <w:lang w:val="en-CA"/>
        </w:rPr>
        <w:t>as</w:t>
      </w:r>
      <w:r w:rsidR="003A6355">
        <w:rPr>
          <w:lang w:val="en-CA"/>
        </w:rPr>
        <w:t xml:space="preserve"> </w:t>
      </w:r>
      <w:r>
        <w:rPr>
          <w:lang w:val="en-CA"/>
        </w:rPr>
        <w:t xml:space="preserve">applicants </w:t>
      </w:r>
      <w:r w:rsidR="003A6355">
        <w:rPr>
          <w:lang w:val="en-CA"/>
        </w:rPr>
        <w:t xml:space="preserve">than </w:t>
      </w:r>
      <w:r w:rsidR="005925D7">
        <w:rPr>
          <w:lang w:val="en-CA"/>
        </w:rPr>
        <w:t xml:space="preserve">at the </w:t>
      </w:r>
      <w:r>
        <w:rPr>
          <w:lang w:val="en-CA"/>
        </w:rPr>
        <w:t>appointment</w:t>
      </w:r>
      <w:r w:rsidR="005925D7">
        <w:rPr>
          <w:lang w:val="en-CA"/>
        </w:rPr>
        <w:t xml:space="preserve"> stage</w:t>
      </w:r>
      <w:r w:rsidR="003A6355">
        <w:rPr>
          <w:lang w:val="en-CA"/>
        </w:rPr>
        <w:t>.</w:t>
      </w:r>
    </w:p>
    <w:p w:rsidR="00AF3F1F" w:rsidRPr="008F332C" w:rsidRDefault="005C4F51" w:rsidP="00D32661">
      <w:pPr>
        <w:pStyle w:val="ListParagraph"/>
        <w:numPr>
          <w:ilvl w:val="0"/>
          <w:numId w:val="29"/>
        </w:numPr>
        <w:rPr>
          <w:lang w:val="en-CA"/>
        </w:rPr>
      </w:pPr>
      <w:r w:rsidRPr="008F332C">
        <w:rPr>
          <w:lang w:val="en-CA"/>
        </w:rPr>
        <w:t>T</w:t>
      </w:r>
      <w:r w:rsidR="003A6355" w:rsidRPr="008F332C">
        <w:rPr>
          <w:lang w:val="en-CA"/>
        </w:rPr>
        <w:t>he</w:t>
      </w:r>
      <w:r w:rsidR="00325A42" w:rsidRPr="008F332C">
        <w:rPr>
          <w:lang w:val="en-CA"/>
        </w:rPr>
        <w:t>ir</w:t>
      </w:r>
      <w:r w:rsidR="003A6355" w:rsidRPr="008F332C">
        <w:rPr>
          <w:lang w:val="en-CA"/>
        </w:rPr>
        <w:t xml:space="preserve"> share </w:t>
      </w:r>
      <w:r w:rsidR="00325A42" w:rsidRPr="008F332C">
        <w:rPr>
          <w:lang w:val="en-CA"/>
        </w:rPr>
        <w:t>as</w:t>
      </w:r>
      <w:r w:rsidR="003A6355" w:rsidRPr="008F332C">
        <w:rPr>
          <w:lang w:val="en-CA"/>
        </w:rPr>
        <w:t xml:space="preserve"> applicants</w:t>
      </w:r>
      <w:r w:rsidRPr="008F332C">
        <w:rPr>
          <w:lang w:val="en-CA"/>
        </w:rPr>
        <w:t xml:space="preserve"> and appointment</w:t>
      </w:r>
      <w:r w:rsidR="00325A42" w:rsidRPr="008F332C">
        <w:rPr>
          <w:lang w:val="en-CA"/>
        </w:rPr>
        <w:t>s</w:t>
      </w:r>
      <w:r w:rsidR="003A6355" w:rsidRPr="008F332C">
        <w:rPr>
          <w:lang w:val="en-CA"/>
        </w:rPr>
        <w:t xml:space="preserve"> for</w:t>
      </w:r>
      <w:r w:rsidRPr="008F332C">
        <w:rPr>
          <w:lang w:val="en-CA"/>
        </w:rPr>
        <w:t xml:space="preserve"> internal and</w:t>
      </w:r>
      <w:r w:rsidR="003A6355" w:rsidRPr="008F332C">
        <w:rPr>
          <w:lang w:val="en-CA"/>
        </w:rPr>
        <w:t xml:space="preserve"> external candidates </w:t>
      </w:r>
      <w:r w:rsidRPr="008F332C">
        <w:rPr>
          <w:lang w:val="en-CA"/>
        </w:rPr>
        <w:t>are</w:t>
      </w:r>
      <w:r w:rsidR="003A6355" w:rsidRPr="008F332C">
        <w:rPr>
          <w:lang w:val="en-CA"/>
        </w:rPr>
        <w:t xml:space="preserve"> </w:t>
      </w:r>
      <w:r w:rsidRPr="008F332C">
        <w:rPr>
          <w:lang w:val="en-CA"/>
        </w:rPr>
        <w:t>above the workforce availability of 15</w:t>
      </w:r>
      <w:r w:rsidR="003A6355" w:rsidRPr="008F332C">
        <w:rPr>
          <w:lang w:val="en-CA"/>
        </w:rPr>
        <w:t>.</w:t>
      </w:r>
      <w:r w:rsidRPr="008F332C">
        <w:rPr>
          <w:lang w:val="en-CA"/>
        </w:rPr>
        <w:t>3</w:t>
      </w:r>
      <w:r w:rsidR="003A6355" w:rsidRPr="008F332C">
        <w:rPr>
          <w:lang w:val="en-CA"/>
        </w:rPr>
        <w:t>%</w:t>
      </w:r>
      <w:r w:rsidR="00CC2766" w:rsidRPr="008F332C">
        <w:rPr>
          <w:lang w:val="en-CA"/>
        </w:rPr>
        <w:t xml:space="preserve"> for visible minorities</w:t>
      </w:r>
      <w:r w:rsidR="003A6355" w:rsidRPr="008F332C">
        <w:rPr>
          <w:lang w:val="en-CA"/>
        </w:rPr>
        <w:t>.</w:t>
      </w:r>
      <w:r w:rsidR="00AF3F1F" w:rsidRPr="008F332C">
        <w:rPr>
          <w:lang w:val="en-CA"/>
        </w:rPr>
        <w:br w:type="page"/>
      </w:r>
    </w:p>
    <w:p w:rsidR="00CC2766" w:rsidRPr="0071600E" w:rsidRDefault="00CC2766" w:rsidP="00903A2D">
      <w:pPr>
        <w:pStyle w:val="Heading3"/>
      </w:pPr>
      <w:r w:rsidRPr="0071600E">
        <w:lastRenderedPageBreak/>
        <w:t>Women</w:t>
      </w:r>
    </w:p>
    <w:p w:rsidR="00530EC8" w:rsidRDefault="00A567F8" w:rsidP="00AA322A">
      <w:pPr>
        <w:pStyle w:val="ListParagraph"/>
        <w:numPr>
          <w:ilvl w:val="0"/>
          <w:numId w:val="31"/>
        </w:numPr>
        <w:rPr>
          <w:lang w:val="en-CA"/>
        </w:rPr>
      </w:pPr>
      <w:r w:rsidRPr="00530EC8">
        <w:rPr>
          <w:lang w:val="en-CA"/>
        </w:rPr>
        <w:t>Women</w:t>
      </w:r>
      <w:r w:rsidR="00DA45CD" w:rsidRPr="00530EC8">
        <w:rPr>
          <w:lang w:val="en-CA"/>
        </w:rPr>
        <w:t xml:space="preserve"> applicants</w:t>
      </w:r>
      <w:r w:rsidRPr="00530EC8">
        <w:rPr>
          <w:lang w:val="en-CA"/>
        </w:rPr>
        <w:t xml:space="preserve"> </w:t>
      </w:r>
      <w:r w:rsidR="00325A42" w:rsidRPr="00530EC8">
        <w:rPr>
          <w:lang w:val="en-CA"/>
        </w:rPr>
        <w:t xml:space="preserve">had a higher representation amongst </w:t>
      </w:r>
      <w:r w:rsidR="003A6355" w:rsidRPr="00530EC8">
        <w:rPr>
          <w:lang w:val="en-CA"/>
        </w:rPr>
        <w:t xml:space="preserve">internal candidates </w:t>
      </w:r>
      <w:r w:rsidR="00325A42" w:rsidRPr="00530EC8">
        <w:rPr>
          <w:lang w:val="en-CA"/>
        </w:rPr>
        <w:t xml:space="preserve">when </w:t>
      </w:r>
      <w:r w:rsidR="003A6355" w:rsidRPr="00530EC8">
        <w:rPr>
          <w:lang w:val="en-CA"/>
        </w:rPr>
        <w:t xml:space="preserve">compared to </w:t>
      </w:r>
      <w:r w:rsidR="00325A42" w:rsidRPr="00530EC8">
        <w:rPr>
          <w:lang w:val="en-CA"/>
        </w:rPr>
        <w:t xml:space="preserve">representation amongst </w:t>
      </w:r>
      <w:r w:rsidR="003A6355" w:rsidRPr="00530EC8">
        <w:rPr>
          <w:lang w:val="en-CA"/>
        </w:rPr>
        <w:t>external candidates</w:t>
      </w:r>
      <w:r w:rsidR="00325A42" w:rsidRPr="00530EC8">
        <w:rPr>
          <w:lang w:val="en-CA"/>
        </w:rPr>
        <w:t>. This was also the case for their representation amongst those appointed</w:t>
      </w:r>
      <w:r w:rsidR="003A6355" w:rsidRPr="00530EC8">
        <w:rPr>
          <w:lang w:val="en-CA"/>
        </w:rPr>
        <w:t>.</w:t>
      </w:r>
    </w:p>
    <w:p w:rsidR="00530EC8" w:rsidRDefault="003A6355" w:rsidP="00530EC8">
      <w:pPr>
        <w:pStyle w:val="ListParagraph"/>
        <w:numPr>
          <w:ilvl w:val="0"/>
          <w:numId w:val="31"/>
        </w:numPr>
        <w:rPr>
          <w:lang w:val="en-CA"/>
        </w:rPr>
      </w:pPr>
      <w:r w:rsidRPr="00530EC8">
        <w:rPr>
          <w:lang w:val="en-CA"/>
        </w:rPr>
        <w:t xml:space="preserve">For both internal and external candidates, </w:t>
      </w:r>
      <w:r w:rsidR="00A567F8" w:rsidRPr="00530EC8">
        <w:rPr>
          <w:lang w:val="en-CA"/>
        </w:rPr>
        <w:t>women</w:t>
      </w:r>
      <w:r w:rsidRPr="00530EC8">
        <w:rPr>
          <w:lang w:val="en-CA"/>
        </w:rPr>
        <w:t xml:space="preserve"> had a higher share of appointments than </w:t>
      </w:r>
      <w:r w:rsidR="00325A42" w:rsidRPr="00530EC8">
        <w:rPr>
          <w:lang w:val="en-CA"/>
        </w:rPr>
        <w:t xml:space="preserve">their representation as </w:t>
      </w:r>
      <w:r w:rsidRPr="00530EC8">
        <w:rPr>
          <w:lang w:val="en-CA"/>
        </w:rPr>
        <w:t>applicants.</w:t>
      </w:r>
    </w:p>
    <w:p w:rsidR="007800D4" w:rsidRPr="007800D4" w:rsidRDefault="00A567F8" w:rsidP="000A59FB">
      <w:pPr>
        <w:pStyle w:val="ListParagraph"/>
        <w:numPr>
          <w:ilvl w:val="0"/>
          <w:numId w:val="31"/>
        </w:numPr>
        <w:rPr>
          <w:lang w:val="en-CA"/>
        </w:rPr>
      </w:pPr>
      <w:r w:rsidRPr="007800D4">
        <w:rPr>
          <w:lang w:val="en-CA"/>
        </w:rPr>
        <w:t>The share of appointment</w:t>
      </w:r>
      <w:r w:rsidR="00325A42" w:rsidRPr="007800D4">
        <w:rPr>
          <w:lang w:val="en-CA"/>
        </w:rPr>
        <w:t>s</w:t>
      </w:r>
      <w:r w:rsidRPr="007800D4">
        <w:rPr>
          <w:lang w:val="en-CA"/>
        </w:rPr>
        <w:t xml:space="preserve"> for internal and external candidates </w:t>
      </w:r>
      <w:r w:rsidR="00325A42" w:rsidRPr="007800D4">
        <w:rPr>
          <w:lang w:val="en-CA"/>
        </w:rPr>
        <w:t>is</w:t>
      </w:r>
      <w:r w:rsidRPr="007800D4">
        <w:rPr>
          <w:lang w:val="en-CA"/>
        </w:rPr>
        <w:t xml:space="preserve"> above </w:t>
      </w:r>
      <w:r w:rsidR="003A6355" w:rsidRPr="007800D4">
        <w:rPr>
          <w:lang w:val="en-CA"/>
        </w:rPr>
        <w:t xml:space="preserve">the workforce availability of </w:t>
      </w:r>
      <w:r w:rsidRPr="007800D4">
        <w:rPr>
          <w:lang w:val="en-CA"/>
        </w:rPr>
        <w:t>52.5</w:t>
      </w:r>
      <w:r w:rsidR="003A6355" w:rsidRPr="007800D4">
        <w:rPr>
          <w:lang w:val="en-CA"/>
        </w:rPr>
        <w:t>%</w:t>
      </w:r>
      <w:r w:rsidRPr="007800D4">
        <w:rPr>
          <w:lang w:val="en-CA"/>
        </w:rPr>
        <w:t xml:space="preserve"> for women</w:t>
      </w:r>
      <w:r w:rsidR="003A6355" w:rsidRPr="007800D4">
        <w:rPr>
          <w:lang w:val="en-CA"/>
        </w:rPr>
        <w:t>.</w:t>
      </w:r>
      <w:r w:rsidRPr="007800D4">
        <w:rPr>
          <w:lang w:val="en-CA"/>
        </w:rPr>
        <w:t xml:space="preserve"> However, only the share of applicants for internal candidates in 2018-2019 is above workforce availability for women.</w:t>
      </w:r>
      <w:bookmarkStart w:id="1" w:name="_GoBack"/>
      <w:bookmarkEnd w:id="1"/>
      <w:r w:rsidR="007800D4" w:rsidRPr="007800D4">
        <w:rPr>
          <w:lang w:val="en-CA"/>
        </w:rPr>
        <w:br w:type="page"/>
      </w:r>
    </w:p>
    <w:p w:rsidR="00CE6BAE" w:rsidRPr="00530EC8" w:rsidRDefault="00992A5A" w:rsidP="00530EC8">
      <w:pPr>
        <w:pStyle w:val="Heading2"/>
      </w:pPr>
      <w:r>
        <w:lastRenderedPageBreak/>
        <w:t>Methodology</w:t>
      </w:r>
    </w:p>
    <w:p w:rsidR="007A009A" w:rsidRDefault="007A009A" w:rsidP="00992A5A">
      <w:pPr>
        <w:rPr>
          <w:lang w:val="en-CA"/>
        </w:rPr>
      </w:pPr>
      <w:r>
        <w:rPr>
          <w:lang w:val="en-CA"/>
        </w:rPr>
        <w:t>For this analysis, all jobs open to the public for indeterminate and term positions for a duration of three months or greater that closed between April 1, 2016 and March 31, 2019 were evaluated. Similarly, all external hires and internal appointment types, including promotions, laterals, and deployments, for indeterminate and term positions for a duration of three months or greater</w:t>
      </w:r>
      <w:r w:rsidRPr="007A009A">
        <w:rPr>
          <w:lang w:val="en-CA"/>
        </w:rPr>
        <w:t xml:space="preserve"> </w:t>
      </w:r>
      <w:r>
        <w:rPr>
          <w:lang w:val="en-CA"/>
        </w:rPr>
        <w:t>between April 1, 2016 and March 31, 2019 are included.</w:t>
      </w:r>
    </w:p>
    <w:p w:rsidR="00F96EB4" w:rsidRDefault="00992A5A" w:rsidP="00992A5A">
      <w:pPr>
        <w:rPr>
          <w:lang w:val="en-CA"/>
        </w:rPr>
      </w:pPr>
      <w:r>
        <w:rPr>
          <w:lang w:val="en-CA"/>
        </w:rPr>
        <w:t xml:space="preserve">We </w:t>
      </w:r>
      <w:r w:rsidR="00AD7D25">
        <w:rPr>
          <w:lang w:val="en-CA"/>
        </w:rPr>
        <w:t>determine if</w:t>
      </w:r>
      <w:r>
        <w:rPr>
          <w:lang w:val="en-CA"/>
        </w:rPr>
        <w:t xml:space="preserve"> applicants to </w:t>
      </w:r>
      <w:r w:rsidR="00D67DC1">
        <w:rPr>
          <w:lang w:val="en-CA"/>
        </w:rPr>
        <w:t>jobs open to the public</w:t>
      </w:r>
      <w:r>
        <w:rPr>
          <w:lang w:val="en-CA"/>
        </w:rPr>
        <w:t xml:space="preserve"> are from internal candidates by </w:t>
      </w:r>
      <w:r w:rsidR="00EC495E">
        <w:rPr>
          <w:lang w:val="en-CA"/>
        </w:rPr>
        <w:t xml:space="preserve">determining </w:t>
      </w:r>
      <w:r>
        <w:rPr>
          <w:lang w:val="en-CA"/>
        </w:rPr>
        <w:t xml:space="preserve">whether they </w:t>
      </w:r>
      <w:r w:rsidR="00AD7D25">
        <w:rPr>
          <w:lang w:val="en-CA"/>
        </w:rPr>
        <w:t xml:space="preserve">provided </w:t>
      </w:r>
      <w:r>
        <w:rPr>
          <w:lang w:val="en-CA"/>
        </w:rPr>
        <w:t xml:space="preserve">a </w:t>
      </w:r>
      <w:r w:rsidR="00F74A03">
        <w:rPr>
          <w:lang w:val="en-CA"/>
        </w:rPr>
        <w:t>Personal Record Identifier (</w:t>
      </w:r>
      <w:r>
        <w:rPr>
          <w:lang w:val="en-CA"/>
        </w:rPr>
        <w:t>PRI</w:t>
      </w:r>
      <w:r w:rsidR="00F74A03">
        <w:rPr>
          <w:lang w:val="en-CA"/>
        </w:rPr>
        <w:t>)</w:t>
      </w:r>
      <w:r>
        <w:rPr>
          <w:lang w:val="en-CA"/>
        </w:rPr>
        <w:t xml:space="preserve"> as part of their application. </w:t>
      </w:r>
      <w:r w:rsidR="00AD7D25">
        <w:rPr>
          <w:lang w:val="en-CA"/>
        </w:rPr>
        <w:t xml:space="preserve">Providing </w:t>
      </w:r>
      <w:r>
        <w:rPr>
          <w:lang w:val="en-CA"/>
        </w:rPr>
        <w:t xml:space="preserve">a PRI is voluntary, so these results are a lower bound on the number of internal </w:t>
      </w:r>
      <w:r w:rsidR="00AD7D25">
        <w:rPr>
          <w:lang w:val="en-CA"/>
        </w:rPr>
        <w:t xml:space="preserve">candidates applying </w:t>
      </w:r>
      <w:r>
        <w:rPr>
          <w:lang w:val="en-CA"/>
        </w:rPr>
        <w:t xml:space="preserve">to </w:t>
      </w:r>
      <w:r w:rsidR="00465642">
        <w:rPr>
          <w:lang w:val="en-CA"/>
        </w:rPr>
        <w:t>jobs open to the public</w:t>
      </w:r>
      <w:r>
        <w:rPr>
          <w:lang w:val="en-CA"/>
        </w:rPr>
        <w:t>.</w:t>
      </w:r>
      <w:r w:rsidR="002F1E1A">
        <w:rPr>
          <w:lang w:val="en-CA"/>
        </w:rPr>
        <w:t xml:space="preserve"> </w:t>
      </w:r>
      <w:r>
        <w:rPr>
          <w:lang w:val="en-CA"/>
        </w:rPr>
        <w:t xml:space="preserve">We assess whether internal candidates are </w:t>
      </w:r>
      <w:r w:rsidR="0019410D">
        <w:rPr>
          <w:lang w:val="en-CA"/>
        </w:rPr>
        <w:t xml:space="preserve">appointed </w:t>
      </w:r>
      <w:r>
        <w:rPr>
          <w:lang w:val="en-CA"/>
        </w:rPr>
        <w:t xml:space="preserve">from </w:t>
      </w:r>
      <w:r w:rsidR="00D67DC1">
        <w:rPr>
          <w:lang w:val="en-CA"/>
        </w:rPr>
        <w:t>jobs open to the public</w:t>
      </w:r>
      <w:r>
        <w:rPr>
          <w:lang w:val="en-CA"/>
        </w:rPr>
        <w:t xml:space="preserve"> by matching existing public servants to </w:t>
      </w:r>
      <w:r w:rsidR="00F74A03">
        <w:rPr>
          <w:lang w:val="en-CA"/>
        </w:rPr>
        <w:t>Public Service Resourcing System (</w:t>
      </w:r>
      <w:r>
        <w:rPr>
          <w:lang w:val="en-CA"/>
        </w:rPr>
        <w:t>PSRS</w:t>
      </w:r>
      <w:r w:rsidR="00F74A03">
        <w:rPr>
          <w:lang w:val="en-CA"/>
        </w:rPr>
        <w:t>)</w:t>
      </w:r>
      <w:r>
        <w:rPr>
          <w:lang w:val="en-CA"/>
        </w:rPr>
        <w:t xml:space="preserve"> applications using a deterministic record linkage process.</w:t>
      </w:r>
      <w:r w:rsidR="0019410D">
        <w:rPr>
          <w:lang w:val="en-CA"/>
        </w:rPr>
        <w:t xml:space="preserve"> For this assessment we consider all internal appointment types</w:t>
      </w:r>
      <w:r w:rsidR="007A009A">
        <w:rPr>
          <w:lang w:val="en-CA"/>
        </w:rPr>
        <w:t>,</w:t>
      </w:r>
      <w:r w:rsidR="0019410D">
        <w:rPr>
          <w:lang w:val="en-CA"/>
        </w:rPr>
        <w:t xml:space="preserve"> including promotions, laterals, and deployments.</w:t>
      </w:r>
      <w:r w:rsidR="00F96EB4">
        <w:rPr>
          <w:lang w:val="en-CA"/>
        </w:rPr>
        <w:t xml:space="preserve"> The match rate of t</w:t>
      </w:r>
      <w:r w:rsidR="00D8610C">
        <w:rPr>
          <w:lang w:val="en-CA"/>
        </w:rPr>
        <w:t>he record linkage process was 86</w:t>
      </w:r>
      <w:r w:rsidR="00F96EB4">
        <w:rPr>
          <w:lang w:val="en-CA"/>
        </w:rPr>
        <w:t>%.</w:t>
      </w:r>
    </w:p>
    <w:p w:rsidR="00BE2DD7" w:rsidRDefault="00AD7D25" w:rsidP="00BE2DD7">
      <w:pPr>
        <w:rPr>
          <w:lang w:val="en-CA"/>
        </w:rPr>
      </w:pPr>
      <w:r>
        <w:rPr>
          <w:lang w:val="en-CA"/>
        </w:rPr>
        <w:t xml:space="preserve">Employment </w:t>
      </w:r>
      <w:r w:rsidR="00247D7B">
        <w:rPr>
          <w:lang w:val="en-CA"/>
        </w:rPr>
        <w:t xml:space="preserve">equity status of applicants </w:t>
      </w:r>
      <w:r>
        <w:rPr>
          <w:lang w:val="en-CA"/>
        </w:rPr>
        <w:t>is based on</w:t>
      </w:r>
      <w:r w:rsidR="00247D7B">
        <w:rPr>
          <w:lang w:val="en-CA"/>
        </w:rPr>
        <w:t xml:space="preserve"> their self-declaration </w:t>
      </w:r>
      <w:r>
        <w:rPr>
          <w:lang w:val="en-CA"/>
        </w:rPr>
        <w:t>provided i</w:t>
      </w:r>
      <w:r w:rsidR="00247D7B">
        <w:rPr>
          <w:lang w:val="en-CA"/>
        </w:rPr>
        <w:t xml:space="preserve">n the PSRS application. For hires, we </w:t>
      </w:r>
      <w:r>
        <w:rPr>
          <w:lang w:val="en-CA"/>
        </w:rPr>
        <w:t xml:space="preserve">refer </w:t>
      </w:r>
      <w:r w:rsidR="00247D7B">
        <w:rPr>
          <w:lang w:val="en-CA"/>
        </w:rPr>
        <w:t xml:space="preserve">to their self-identification as collected by the Treasury Board Secretariat in </w:t>
      </w:r>
      <w:r w:rsidR="00BE2DD7">
        <w:rPr>
          <w:lang w:val="en-CA"/>
        </w:rPr>
        <w:t>the Employment Equity Data Bank (EEDB). The most recent available data from the EEDB is up to March 31, 2019.</w:t>
      </w:r>
    </w:p>
    <w:p w:rsidR="005722DF" w:rsidRDefault="00BE2DD7" w:rsidP="00BE2DD7">
      <w:pPr>
        <w:rPr>
          <w:lang w:val="en-CA"/>
        </w:rPr>
      </w:pPr>
      <w:r>
        <w:rPr>
          <w:lang w:val="en-CA"/>
        </w:rPr>
        <w:t>The workforce availability (WFA) based on the 2016 Census was first publicly released in the 2018-2019 Report on Employment Equity. All fiscal years before 2018-2019 in this report are compared to the WFA based on the 2011 Census.</w:t>
      </w:r>
    </w:p>
    <w:p w:rsidR="005D2F58" w:rsidRDefault="005D2F58" w:rsidP="005D2F58">
      <w:pPr>
        <w:pStyle w:val="Caption"/>
        <w:keepNext/>
        <w:jc w:val="center"/>
      </w:pPr>
      <w:r>
        <w:t xml:space="preserve">Table </w:t>
      </w:r>
      <w:r>
        <w:fldChar w:fldCharType="begin"/>
      </w:r>
      <w:r>
        <w:instrText xml:space="preserve"> SEQ Table \* ARABIC </w:instrText>
      </w:r>
      <w:r>
        <w:fldChar w:fldCharType="separate"/>
      </w:r>
      <w:r>
        <w:rPr>
          <w:noProof/>
        </w:rPr>
        <w:t>10</w:t>
      </w:r>
      <w:r>
        <w:fldChar w:fldCharType="end"/>
      </w:r>
      <w:r>
        <w:t xml:space="preserve">: </w:t>
      </w:r>
      <w:proofErr w:type="spellStart"/>
      <w:r w:rsidRPr="00A56197">
        <w:t>Workforce</w:t>
      </w:r>
      <w:proofErr w:type="spellEnd"/>
      <w:r w:rsidRPr="00A56197">
        <w:t xml:space="preserve"> </w:t>
      </w:r>
      <w:proofErr w:type="spellStart"/>
      <w:r w:rsidRPr="00A56197">
        <w:t>Availability</w:t>
      </w:r>
      <w:proofErr w:type="spellEnd"/>
      <w:r w:rsidRPr="00A56197">
        <w:t xml:space="preserve"> (WFA)</w:t>
      </w:r>
    </w:p>
    <w:tbl>
      <w:tblPr>
        <w:tblStyle w:val="TableGrid"/>
        <w:tblW w:w="0" w:type="auto"/>
        <w:tblLook w:val="04A0" w:firstRow="1" w:lastRow="0" w:firstColumn="1" w:lastColumn="0" w:noHBand="0" w:noVBand="1"/>
        <w:tblCaption w:val="Workforce Availability"/>
        <w:tblDescription w:val="A table showing the workforce availability from 2011 and 2016 for each employment equity group."/>
      </w:tblPr>
      <w:tblGrid>
        <w:gridCol w:w="3116"/>
        <w:gridCol w:w="3117"/>
        <w:gridCol w:w="3117"/>
      </w:tblGrid>
      <w:tr w:rsidR="00BE2DD7" w:rsidTr="005722DF">
        <w:trPr>
          <w:tblHeader/>
        </w:trPr>
        <w:tc>
          <w:tcPr>
            <w:tcW w:w="3116" w:type="dxa"/>
          </w:tcPr>
          <w:p w:rsidR="00BE2DD7" w:rsidRDefault="00BE2DD7" w:rsidP="006C4AF7">
            <w:pPr>
              <w:jc w:val="center"/>
              <w:rPr>
                <w:lang w:val="en-CA"/>
              </w:rPr>
            </w:pPr>
            <w:r>
              <w:rPr>
                <w:lang w:val="en-CA"/>
              </w:rPr>
              <w:t>Employment equity designated groups</w:t>
            </w:r>
          </w:p>
        </w:tc>
        <w:tc>
          <w:tcPr>
            <w:tcW w:w="3117" w:type="dxa"/>
          </w:tcPr>
          <w:p w:rsidR="00BE2DD7" w:rsidRDefault="00BE2DD7" w:rsidP="006C4AF7">
            <w:pPr>
              <w:jc w:val="center"/>
              <w:rPr>
                <w:lang w:val="en-CA"/>
              </w:rPr>
            </w:pPr>
            <w:r>
              <w:rPr>
                <w:lang w:val="en-CA"/>
              </w:rPr>
              <w:t>Previous WFA benchmark (2011 Census)</w:t>
            </w:r>
          </w:p>
        </w:tc>
        <w:tc>
          <w:tcPr>
            <w:tcW w:w="3117" w:type="dxa"/>
          </w:tcPr>
          <w:p w:rsidR="00BE2DD7" w:rsidRDefault="00BE2DD7" w:rsidP="006C4AF7">
            <w:pPr>
              <w:jc w:val="center"/>
              <w:rPr>
                <w:lang w:val="en-CA"/>
              </w:rPr>
            </w:pPr>
            <w:r>
              <w:rPr>
                <w:lang w:val="en-CA"/>
              </w:rPr>
              <w:t>WFA benchmark (2016 Census)</w:t>
            </w:r>
          </w:p>
        </w:tc>
      </w:tr>
      <w:tr w:rsidR="00BE2DD7" w:rsidTr="009C6D7B">
        <w:tc>
          <w:tcPr>
            <w:tcW w:w="3116" w:type="dxa"/>
          </w:tcPr>
          <w:p w:rsidR="00BE2DD7" w:rsidRDefault="00BE2DD7" w:rsidP="009C6D7B">
            <w:pPr>
              <w:rPr>
                <w:lang w:val="en-CA"/>
              </w:rPr>
            </w:pPr>
            <w:r>
              <w:rPr>
                <w:lang w:val="en-CA"/>
              </w:rPr>
              <w:t>Women</w:t>
            </w:r>
          </w:p>
        </w:tc>
        <w:tc>
          <w:tcPr>
            <w:tcW w:w="3117" w:type="dxa"/>
          </w:tcPr>
          <w:p w:rsidR="00BE2DD7" w:rsidRDefault="00BE2DD7" w:rsidP="009C6D7B">
            <w:pPr>
              <w:jc w:val="right"/>
              <w:rPr>
                <w:lang w:val="en-CA"/>
              </w:rPr>
            </w:pPr>
            <w:r>
              <w:rPr>
                <w:lang w:val="en-CA"/>
              </w:rPr>
              <w:t>52.5%</w:t>
            </w:r>
          </w:p>
        </w:tc>
        <w:tc>
          <w:tcPr>
            <w:tcW w:w="3117" w:type="dxa"/>
          </w:tcPr>
          <w:p w:rsidR="00BE2DD7" w:rsidRDefault="00BE2DD7" w:rsidP="009C6D7B">
            <w:pPr>
              <w:jc w:val="right"/>
              <w:rPr>
                <w:lang w:val="en-CA"/>
              </w:rPr>
            </w:pPr>
            <w:r>
              <w:rPr>
                <w:lang w:val="en-CA"/>
              </w:rPr>
              <w:t>52.7%</w:t>
            </w:r>
          </w:p>
        </w:tc>
      </w:tr>
      <w:tr w:rsidR="00BE2DD7" w:rsidTr="009C6D7B">
        <w:tc>
          <w:tcPr>
            <w:tcW w:w="3116" w:type="dxa"/>
          </w:tcPr>
          <w:p w:rsidR="00BE2DD7" w:rsidRDefault="00BE2DD7" w:rsidP="009C6D7B">
            <w:pPr>
              <w:rPr>
                <w:lang w:val="en-CA"/>
              </w:rPr>
            </w:pPr>
            <w:r>
              <w:rPr>
                <w:lang w:val="en-CA"/>
              </w:rPr>
              <w:t>Indigenous peoples</w:t>
            </w:r>
          </w:p>
        </w:tc>
        <w:tc>
          <w:tcPr>
            <w:tcW w:w="3117" w:type="dxa"/>
          </w:tcPr>
          <w:p w:rsidR="00BE2DD7" w:rsidRDefault="00BE2DD7" w:rsidP="009C6D7B">
            <w:pPr>
              <w:jc w:val="right"/>
              <w:rPr>
                <w:lang w:val="en-CA"/>
              </w:rPr>
            </w:pPr>
            <w:r>
              <w:rPr>
                <w:lang w:val="en-CA"/>
              </w:rPr>
              <w:t>3.4%</w:t>
            </w:r>
          </w:p>
        </w:tc>
        <w:tc>
          <w:tcPr>
            <w:tcW w:w="3117" w:type="dxa"/>
          </w:tcPr>
          <w:p w:rsidR="00BE2DD7" w:rsidRDefault="00BE2DD7" w:rsidP="009C6D7B">
            <w:pPr>
              <w:jc w:val="right"/>
              <w:rPr>
                <w:lang w:val="en-CA"/>
              </w:rPr>
            </w:pPr>
            <w:r>
              <w:rPr>
                <w:lang w:val="en-CA"/>
              </w:rPr>
              <w:t>4.0%</w:t>
            </w:r>
          </w:p>
        </w:tc>
      </w:tr>
      <w:tr w:rsidR="00BE2DD7" w:rsidTr="009C6D7B">
        <w:tc>
          <w:tcPr>
            <w:tcW w:w="3116" w:type="dxa"/>
          </w:tcPr>
          <w:p w:rsidR="00BE2DD7" w:rsidRDefault="00BE2DD7" w:rsidP="009C6D7B">
            <w:pPr>
              <w:rPr>
                <w:lang w:val="en-CA"/>
              </w:rPr>
            </w:pPr>
            <w:r>
              <w:rPr>
                <w:lang w:val="en-CA"/>
              </w:rPr>
              <w:t>Persons with disabilities</w:t>
            </w:r>
          </w:p>
        </w:tc>
        <w:tc>
          <w:tcPr>
            <w:tcW w:w="3117" w:type="dxa"/>
          </w:tcPr>
          <w:p w:rsidR="00BE2DD7" w:rsidRDefault="00BE2DD7" w:rsidP="009C6D7B">
            <w:pPr>
              <w:jc w:val="right"/>
              <w:rPr>
                <w:lang w:val="en-CA"/>
              </w:rPr>
            </w:pPr>
            <w:r>
              <w:rPr>
                <w:lang w:val="en-CA"/>
              </w:rPr>
              <w:t>4.4%</w:t>
            </w:r>
          </w:p>
        </w:tc>
        <w:tc>
          <w:tcPr>
            <w:tcW w:w="3117" w:type="dxa"/>
          </w:tcPr>
          <w:p w:rsidR="00BE2DD7" w:rsidRDefault="00BE2DD7" w:rsidP="009C6D7B">
            <w:pPr>
              <w:jc w:val="right"/>
              <w:rPr>
                <w:lang w:val="en-CA"/>
              </w:rPr>
            </w:pPr>
            <w:r>
              <w:rPr>
                <w:lang w:val="en-CA"/>
              </w:rPr>
              <w:t>9.0%</w:t>
            </w:r>
          </w:p>
        </w:tc>
      </w:tr>
      <w:tr w:rsidR="00BE2DD7" w:rsidTr="009C6D7B">
        <w:tc>
          <w:tcPr>
            <w:tcW w:w="3116" w:type="dxa"/>
          </w:tcPr>
          <w:p w:rsidR="00BE2DD7" w:rsidRDefault="00BE2DD7" w:rsidP="009C6D7B">
            <w:pPr>
              <w:rPr>
                <w:lang w:val="en-CA"/>
              </w:rPr>
            </w:pPr>
            <w:r>
              <w:rPr>
                <w:lang w:val="en-CA"/>
              </w:rPr>
              <w:t>Members of visible minorities</w:t>
            </w:r>
          </w:p>
        </w:tc>
        <w:tc>
          <w:tcPr>
            <w:tcW w:w="3117" w:type="dxa"/>
          </w:tcPr>
          <w:p w:rsidR="00BE2DD7" w:rsidRDefault="00BE2DD7" w:rsidP="009C6D7B">
            <w:pPr>
              <w:jc w:val="right"/>
              <w:rPr>
                <w:lang w:val="en-CA"/>
              </w:rPr>
            </w:pPr>
            <w:r>
              <w:rPr>
                <w:lang w:val="en-CA"/>
              </w:rPr>
              <w:t>13.0%</w:t>
            </w:r>
          </w:p>
        </w:tc>
        <w:tc>
          <w:tcPr>
            <w:tcW w:w="3117" w:type="dxa"/>
          </w:tcPr>
          <w:p w:rsidR="00BE2DD7" w:rsidRDefault="00BE2DD7" w:rsidP="009C6D7B">
            <w:pPr>
              <w:jc w:val="right"/>
              <w:rPr>
                <w:lang w:val="en-CA"/>
              </w:rPr>
            </w:pPr>
            <w:r>
              <w:rPr>
                <w:lang w:val="en-CA"/>
              </w:rPr>
              <w:t>15.3%</w:t>
            </w:r>
          </w:p>
        </w:tc>
      </w:tr>
    </w:tbl>
    <w:p w:rsidR="00F96A16" w:rsidRPr="00AA5D0A" w:rsidRDefault="00BE2DD7" w:rsidP="00BE2DD7">
      <w:pPr>
        <w:rPr>
          <w:lang w:val="en-CA"/>
        </w:rPr>
      </w:pPr>
      <w:r>
        <w:rPr>
          <w:lang w:val="en-CA"/>
        </w:rPr>
        <w:t xml:space="preserve">Source: Treasury Board Secretariat, </w:t>
      </w:r>
      <w:r w:rsidRPr="00B7733B">
        <w:rPr>
          <w:lang w:val="en-CA"/>
        </w:rPr>
        <w:t>Employment Equity in the Public Service of Canada for Fiscal Year 2018 to 2019</w:t>
      </w:r>
    </w:p>
    <w:sectPr w:rsidR="00F96A16" w:rsidRPr="00AA5D0A" w:rsidSect="003C0DE9">
      <w:footerReference w:type="even" r:id="rId10"/>
      <w:footerReference w:type="default" r:id="rId11"/>
      <w:headerReference w:type="first" r:id="rId12"/>
      <w:footerReference w:type="first" r:id="rId13"/>
      <w:pgSz w:w="12240" w:h="15840"/>
      <w:pgMar w:top="1560" w:right="1440" w:bottom="1985" w:left="1440" w:header="709"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E84" w:rsidRDefault="00BA1E84" w:rsidP="00A2240C">
      <w:r>
        <w:separator/>
      </w:r>
    </w:p>
  </w:endnote>
  <w:endnote w:type="continuationSeparator" w:id="0">
    <w:p w:rsidR="00BA1E84" w:rsidRDefault="00BA1E84"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868261"/>
      <w:docPartObj>
        <w:docPartGallery w:val="Page Numbers (Bottom of Page)"/>
        <w:docPartUnique/>
      </w:docPartObj>
    </w:sdtPr>
    <w:sdtEndPr>
      <w:rPr>
        <w:noProof/>
      </w:rPr>
    </w:sdtEndPr>
    <w:sdtContent>
      <w:p w:rsidR="00646A04" w:rsidRDefault="00646A04" w:rsidP="00A2240C">
        <w:pPr>
          <w:pStyle w:val="Footer"/>
          <w:rPr>
            <w:noProof/>
          </w:rPr>
        </w:pPr>
        <w:r>
          <w:rPr>
            <w:noProof/>
            <w:lang w:val="en-CA" w:eastAsia="en-CA"/>
          </w:rPr>
          <w:drawing>
            <wp:anchor distT="0" distB="0" distL="114300" distR="114300" simplePos="0" relativeHeight="251659264" behindDoc="1" locked="0" layoutInCell="1" allowOverlap="1" wp14:anchorId="5F8C380C" wp14:editId="214F0432">
              <wp:simplePos x="0" y="0"/>
              <wp:positionH relativeFrom="column">
                <wp:posOffset>-886460</wp:posOffset>
              </wp:positionH>
              <wp:positionV relativeFrom="paragraph">
                <wp:posOffset>219075</wp:posOffset>
              </wp:positionV>
              <wp:extent cx="7829550" cy="6515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C67F78">
          <w:rPr>
            <w:noProof/>
          </w:rPr>
          <w:t>2</w:t>
        </w:r>
        <w:r>
          <w:rPr>
            <w:noProof/>
          </w:rPr>
          <w:fldChar w:fldCharType="end"/>
        </w:r>
      </w:p>
      <w:p w:rsidR="00646A04" w:rsidRDefault="007800D4" w:rsidP="00A2240C">
        <w:pPr>
          <w:pStyle w:val="Footer"/>
        </w:pPr>
      </w:p>
    </w:sdtContent>
  </w:sdt>
  <w:p w:rsidR="00646A04" w:rsidRDefault="00646A04"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ADE" w:rsidRPr="00143EF4" w:rsidRDefault="00CB0ADE" w:rsidP="00C67F78">
    <w:pPr>
      <w:pStyle w:val="Footer"/>
      <w:rPr>
        <w:lang w:val="en-CA"/>
      </w:rPr>
    </w:pPr>
    <w:r>
      <w:rPr>
        <w:noProof/>
        <w:lang w:val="en-CA" w:eastAsia="en-CA"/>
      </w:rPr>
      <w:drawing>
        <wp:anchor distT="0" distB="0" distL="114300" distR="114300" simplePos="0" relativeHeight="251660288" behindDoc="1" locked="0" layoutInCell="1" allowOverlap="1" wp14:anchorId="6F60B1DA" wp14:editId="6B93E12B">
          <wp:simplePos x="0" y="0"/>
          <wp:positionH relativeFrom="column">
            <wp:posOffset>-967563</wp:posOffset>
          </wp:positionH>
          <wp:positionV relativeFrom="page">
            <wp:posOffset>9388549</wp:posOffset>
          </wp:positionV>
          <wp:extent cx="7830000" cy="643620"/>
          <wp:effectExtent l="0" t="0" r="0" b="4445"/>
          <wp:wrapNone/>
          <wp:docPr id="20" name="Picture 2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rsidRPr="00143EF4">
      <w:rPr>
        <w:lang w:val="en-CA"/>
      </w:rPr>
      <w:instrText xml:space="preserve"> PAGE   \* MERGEFORMAT </w:instrText>
    </w:r>
    <w:r>
      <w:fldChar w:fldCharType="separate"/>
    </w:r>
    <w:r w:rsidR="007800D4">
      <w:rPr>
        <w:noProof/>
        <w:lang w:val="en-CA"/>
      </w:rPr>
      <w:t>8</w:t>
    </w:r>
    <w:r>
      <w:rPr>
        <w:noProof/>
      </w:rPr>
      <w:fldChar w:fldCharType="end"/>
    </w:r>
    <w:r w:rsidRPr="00143EF4">
      <w:rPr>
        <w:noProof/>
        <w:lang w:val="en-CA"/>
      </w:rPr>
      <w:t xml:space="preserve"> </w:t>
    </w:r>
    <w:r w:rsidR="00067BCD" w:rsidRPr="00143EF4">
      <w:rPr>
        <w:noProof/>
        <w:lang w:val="en-CA"/>
      </w:rPr>
      <w:t>–</w:t>
    </w:r>
    <w:r w:rsidR="00332C01">
      <w:rPr>
        <w:noProof/>
        <w:lang w:val="en-CA"/>
      </w:rPr>
      <w:t xml:space="preserve"> </w:t>
    </w:r>
    <w:r w:rsidR="00143EF4" w:rsidRPr="00143EF4">
      <w:rPr>
        <w:lang w:val="en-CA"/>
      </w:rPr>
      <w:t>Public Service Commission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2E" w:rsidRPr="003C0DE9" w:rsidRDefault="003C0DE9" w:rsidP="003C0DE9">
    <w:pPr>
      <w:rPr>
        <w:color w:val="auto"/>
      </w:rPr>
    </w:pPr>
    <w:r w:rsidRPr="003F6522">
      <w:rPr>
        <w:color w:val="auto"/>
      </w:rPr>
      <w:t xml:space="preserve">Last Update: </w:t>
    </w:r>
    <w:proofErr w:type="spellStart"/>
    <w:r>
      <w:rPr>
        <w:color w:val="auto"/>
      </w:rPr>
      <w:t>November</w:t>
    </w:r>
    <w:proofErr w:type="spellEnd"/>
    <w:r>
      <w:rPr>
        <w:color w:val="auto"/>
      </w:rPr>
      <w:t xml:space="preserve"> 16</w:t>
    </w:r>
    <w:r w:rsidRPr="003F6522">
      <w:rPr>
        <w:color w:val="auto"/>
      </w:rPr>
      <w:t xml:space="preserve">, 2020 / </w:t>
    </w:r>
    <w:proofErr w:type="spellStart"/>
    <w:r w:rsidRPr="003F6522">
      <w:rPr>
        <w:color w:val="auto"/>
      </w:rPr>
      <w:t>GCDocs</w:t>
    </w:r>
    <w:proofErr w:type="spellEnd"/>
    <w:r w:rsidRPr="003F6522">
      <w:rPr>
        <w:color w:val="auto"/>
      </w:rPr>
      <w:t xml:space="preserve"> # 10832924</w:t>
    </w:r>
    <w:r w:rsidR="0010662E">
      <w:rPr>
        <w:noProof/>
        <w:lang w:val="en-CA" w:eastAsia="en-CA"/>
      </w:rPr>
      <w:drawing>
        <wp:anchor distT="0" distB="0" distL="114300" distR="114300" simplePos="0" relativeHeight="251658240" behindDoc="1" locked="0" layoutInCell="1" allowOverlap="1" wp14:anchorId="7E12F07E" wp14:editId="37A111AD">
          <wp:simplePos x="0" y="0"/>
          <wp:positionH relativeFrom="column">
            <wp:posOffset>-892175</wp:posOffset>
          </wp:positionH>
          <wp:positionV relativeFrom="page">
            <wp:posOffset>5787228</wp:posOffset>
          </wp:positionV>
          <wp:extent cx="7800212" cy="3891600"/>
          <wp:effectExtent l="0" t="0" r="0" b="0"/>
          <wp:wrapNone/>
          <wp:docPr id="22" name="Picture 2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E84" w:rsidRDefault="00BA1E84" w:rsidP="00A2240C">
      <w:r>
        <w:separator/>
      </w:r>
    </w:p>
  </w:footnote>
  <w:footnote w:type="continuationSeparator" w:id="0">
    <w:p w:rsidR="00BA1E84" w:rsidRDefault="00BA1E84" w:rsidP="00A2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2E" w:rsidRDefault="0010662E" w:rsidP="00A2240C">
    <w:pPr>
      <w:pStyle w:val="Header"/>
    </w:pPr>
    <w:r>
      <w:rPr>
        <w:noProof/>
        <w:lang w:val="en-CA" w:eastAsia="en-CA"/>
      </w:rPr>
      <w:drawing>
        <wp:inline distT="0" distB="0" distL="0" distR="0" wp14:anchorId="23321AE5" wp14:editId="543E88CD">
          <wp:extent cx="4510800" cy="267086"/>
          <wp:effectExtent l="0" t="0" r="0" b="0"/>
          <wp:docPr id="21" name="Picture 2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BC8"/>
    <w:multiLevelType w:val="hybridMultilevel"/>
    <w:tmpl w:val="E61204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6B4E9D"/>
    <w:multiLevelType w:val="hybridMultilevel"/>
    <w:tmpl w:val="5F2A6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E5D72"/>
    <w:multiLevelType w:val="hybridMultilevel"/>
    <w:tmpl w:val="5C6055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51543"/>
    <w:multiLevelType w:val="hybridMultilevel"/>
    <w:tmpl w:val="DA126D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3B4851"/>
    <w:multiLevelType w:val="hybridMultilevel"/>
    <w:tmpl w:val="41C6BA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BBF182C"/>
    <w:multiLevelType w:val="hybridMultilevel"/>
    <w:tmpl w:val="43CE8E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C7262C"/>
    <w:multiLevelType w:val="hybridMultilevel"/>
    <w:tmpl w:val="474216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FE30748"/>
    <w:multiLevelType w:val="hybridMultilevel"/>
    <w:tmpl w:val="FDF6665A"/>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0" w15:restartNumberingAfterBreak="0">
    <w:nsid w:val="2216618F"/>
    <w:multiLevelType w:val="hybridMultilevel"/>
    <w:tmpl w:val="F7ECDE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35C3C24"/>
    <w:multiLevelType w:val="hybridMultilevel"/>
    <w:tmpl w:val="C24A0D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9A43739"/>
    <w:multiLevelType w:val="hybridMultilevel"/>
    <w:tmpl w:val="642454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BAE6E6B"/>
    <w:multiLevelType w:val="hybridMultilevel"/>
    <w:tmpl w:val="8EDAC9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FAA3B5D"/>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08D45E7"/>
    <w:multiLevelType w:val="hybridMultilevel"/>
    <w:tmpl w:val="E62EE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970022"/>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5CA4DF5"/>
    <w:multiLevelType w:val="hybridMultilevel"/>
    <w:tmpl w:val="94AE41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6B16CBA"/>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793546F"/>
    <w:multiLevelType w:val="hybridMultilevel"/>
    <w:tmpl w:val="DF986A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B9E5BA4"/>
    <w:multiLevelType w:val="hybridMultilevel"/>
    <w:tmpl w:val="DAD60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0A1E1E"/>
    <w:multiLevelType w:val="hybridMultilevel"/>
    <w:tmpl w:val="2040BF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F7402F4"/>
    <w:multiLevelType w:val="hybridMultilevel"/>
    <w:tmpl w:val="F7CCE1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8E53FD7"/>
    <w:multiLevelType w:val="hybridMultilevel"/>
    <w:tmpl w:val="CEF06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CE637B"/>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B52E4E"/>
    <w:multiLevelType w:val="hybridMultilevel"/>
    <w:tmpl w:val="36A4A0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19272B9"/>
    <w:multiLevelType w:val="hybridMultilevel"/>
    <w:tmpl w:val="F176F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FCD56DB"/>
    <w:multiLevelType w:val="hybridMultilevel"/>
    <w:tmpl w:val="7D56AB5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74424816"/>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68220E4"/>
    <w:multiLevelType w:val="hybridMultilevel"/>
    <w:tmpl w:val="31A27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6"/>
  </w:num>
  <w:num w:numId="4">
    <w:abstractNumId w:val="24"/>
  </w:num>
  <w:num w:numId="5">
    <w:abstractNumId w:val="12"/>
  </w:num>
  <w:num w:numId="6">
    <w:abstractNumId w:val="28"/>
  </w:num>
  <w:num w:numId="7">
    <w:abstractNumId w:val="3"/>
  </w:num>
  <w:num w:numId="8">
    <w:abstractNumId w:val="4"/>
  </w:num>
  <w:num w:numId="9">
    <w:abstractNumId w:val="1"/>
  </w:num>
  <w:num w:numId="10">
    <w:abstractNumId w:val="16"/>
  </w:num>
  <w:num w:numId="11">
    <w:abstractNumId w:val="29"/>
  </w:num>
  <w:num w:numId="12">
    <w:abstractNumId w:val="25"/>
  </w:num>
  <w:num w:numId="13">
    <w:abstractNumId w:val="18"/>
  </w:num>
  <w:num w:numId="14">
    <w:abstractNumId w:val="14"/>
  </w:num>
  <w:num w:numId="15">
    <w:abstractNumId w:val="11"/>
  </w:num>
  <w:num w:numId="16">
    <w:abstractNumId w:val="30"/>
  </w:num>
  <w:num w:numId="17">
    <w:abstractNumId w:val="20"/>
  </w:num>
  <w:num w:numId="18">
    <w:abstractNumId w:val="27"/>
  </w:num>
  <w:num w:numId="19">
    <w:abstractNumId w:val="5"/>
  </w:num>
  <w:num w:numId="20">
    <w:abstractNumId w:val="17"/>
  </w:num>
  <w:num w:numId="21">
    <w:abstractNumId w:val="21"/>
  </w:num>
  <w:num w:numId="22">
    <w:abstractNumId w:val="8"/>
  </w:num>
  <w:num w:numId="23">
    <w:abstractNumId w:val="10"/>
  </w:num>
  <w:num w:numId="24">
    <w:abstractNumId w:val="9"/>
  </w:num>
  <w:num w:numId="25">
    <w:abstractNumId w:val="26"/>
  </w:num>
  <w:num w:numId="26">
    <w:abstractNumId w:val="22"/>
  </w:num>
  <w:num w:numId="27">
    <w:abstractNumId w:val="13"/>
  </w:num>
  <w:num w:numId="28">
    <w:abstractNumId w:val="0"/>
  </w:num>
  <w:num w:numId="29">
    <w:abstractNumId w:val="23"/>
  </w:num>
  <w:num w:numId="30">
    <w:abstractNumId w:val="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11"/>
    <w:rsid w:val="000046AD"/>
    <w:rsid w:val="00005B71"/>
    <w:rsid w:val="00011FB4"/>
    <w:rsid w:val="0001777C"/>
    <w:rsid w:val="00017C8E"/>
    <w:rsid w:val="00020D95"/>
    <w:rsid w:val="00035642"/>
    <w:rsid w:val="00037567"/>
    <w:rsid w:val="0003764E"/>
    <w:rsid w:val="00043FE5"/>
    <w:rsid w:val="00044C18"/>
    <w:rsid w:val="00044DED"/>
    <w:rsid w:val="000539F9"/>
    <w:rsid w:val="00055211"/>
    <w:rsid w:val="0006067E"/>
    <w:rsid w:val="00067BCD"/>
    <w:rsid w:val="000841D5"/>
    <w:rsid w:val="00085DF6"/>
    <w:rsid w:val="000A6750"/>
    <w:rsid w:val="000A7BE7"/>
    <w:rsid w:val="000B5C78"/>
    <w:rsid w:val="000B7D89"/>
    <w:rsid w:val="000C19EC"/>
    <w:rsid w:val="000D35A9"/>
    <w:rsid w:val="000F4F85"/>
    <w:rsid w:val="001037ED"/>
    <w:rsid w:val="0010662E"/>
    <w:rsid w:val="001079A3"/>
    <w:rsid w:val="00114459"/>
    <w:rsid w:val="0011577E"/>
    <w:rsid w:val="001167AF"/>
    <w:rsid w:val="0013187A"/>
    <w:rsid w:val="00140E49"/>
    <w:rsid w:val="00143EF4"/>
    <w:rsid w:val="00144747"/>
    <w:rsid w:val="001452B1"/>
    <w:rsid w:val="001578F2"/>
    <w:rsid w:val="00161EDF"/>
    <w:rsid w:val="001703E1"/>
    <w:rsid w:val="00171A52"/>
    <w:rsid w:val="00182827"/>
    <w:rsid w:val="00185ED5"/>
    <w:rsid w:val="00186646"/>
    <w:rsid w:val="00190490"/>
    <w:rsid w:val="0019410D"/>
    <w:rsid w:val="00196C49"/>
    <w:rsid w:val="001A6F07"/>
    <w:rsid w:val="001B133D"/>
    <w:rsid w:val="001B6202"/>
    <w:rsid w:val="001B66D3"/>
    <w:rsid w:val="001C0C8F"/>
    <w:rsid w:val="001C1DA9"/>
    <w:rsid w:val="001C4301"/>
    <w:rsid w:val="001E53A9"/>
    <w:rsid w:val="001F2375"/>
    <w:rsid w:val="002029F1"/>
    <w:rsid w:val="002045DF"/>
    <w:rsid w:val="002056B7"/>
    <w:rsid w:val="002116E1"/>
    <w:rsid w:val="00212B04"/>
    <w:rsid w:val="00212DD6"/>
    <w:rsid w:val="00222D81"/>
    <w:rsid w:val="0022373C"/>
    <w:rsid w:val="00223FF2"/>
    <w:rsid w:val="00227A72"/>
    <w:rsid w:val="0023379D"/>
    <w:rsid w:val="002349C3"/>
    <w:rsid w:val="00237B91"/>
    <w:rsid w:val="00243374"/>
    <w:rsid w:val="00247D7B"/>
    <w:rsid w:val="00254D39"/>
    <w:rsid w:val="00254ECB"/>
    <w:rsid w:val="0026150F"/>
    <w:rsid w:val="0026183E"/>
    <w:rsid w:val="0026195F"/>
    <w:rsid w:val="0026497D"/>
    <w:rsid w:val="00266411"/>
    <w:rsid w:val="002669DD"/>
    <w:rsid w:val="00267BAB"/>
    <w:rsid w:val="002769F1"/>
    <w:rsid w:val="002A0213"/>
    <w:rsid w:val="002A1427"/>
    <w:rsid w:val="002A1BD4"/>
    <w:rsid w:val="002A7785"/>
    <w:rsid w:val="002B0264"/>
    <w:rsid w:val="002D0E0E"/>
    <w:rsid w:val="002D228F"/>
    <w:rsid w:val="002D6960"/>
    <w:rsid w:val="002E0490"/>
    <w:rsid w:val="002E50F6"/>
    <w:rsid w:val="002F0DBB"/>
    <w:rsid w:val="002F12C8"/>
    <w:rsid w:val="002F1E1A"/>
    <w:rsid w:val="00300B55"/>
    <w:rsid w:val="00301027"/>
    <w:rsid w:val="00313348"/>
    <w:rsid w:val="00321FDE"/>
    <w:rsid w:val="003231AA"/>
    <w:rsid w:val="00325A42"/>
    <w:rsid w:val="00332C01"/>
    <w:rsid w:val="00350CE8"/>
    <w:rsid w:val="00360856"/>
    <w:rsid w:val="003618EC"/>
    <w:rsid w:val="003761CB"/>
    <w:rsid w:val="00377B7A"/>
    <w:rsid w:val="003802AD"/>
    <w:rsid w:val="00380361"/>
    <w:rsid w:val="00384BE6"/>
    <w:rsid w:val="00385851"/>
    <w:rsid w:val="003869B6"/>
    <w:rsid w:val="00395AE6"/>
    <w:rsid w:val="0039690A"/>
    <w:rsid w:val="003A6355"/>
    <w:rsid w:val="003A77AC"/>
    <w:rsid w:val="003B227A"/>
    <w:rsid w:val="003C0C34"/>
    <w:rsid w:val="003C0DE9"/>
    <w:rsid w:val="003C1CFF"/>
    <w:rsid w:val="003C6D70"/>
    <w:rsid w:val="003C7C07"/>
    <w:rsid w:val="003F1EFF"/>
    <w:rsid w:val="003F1F30"/>
    <w:rsid w:val="003F2AF9"/>
    <w:rsid w:val="003F6522"/>
    <w:rsid w:val="003F7F8A"/>
    <w:rsid w:val="0040269A"/>
    <w:rsid w:val="00403DCD"/>
    <w:rsid w:val="00415275"/>
    <w:rsid w:val="00415499"/>
    <w:rsid w:val="004217DE"/>
    <w:rsid w:val="00427E24"/>
    <w:rsid w:val="004320EB"/>
    <w:rsid w:val="00435AB2"/>
    <w:rsid w:val="00435E41"/>
    <w:rsid w:val="004420C1"/>
    <w:rsid w:val="00445DA8"/>
    <w:rsid w:val="00455836"/>
    <w:rsid w:val="00461A95"/>
    <w:rsid w:val="004650F0"/>
    <w:rsid w:val="00465642"/>
    <w:rsid w:val="0047199D"/>
    <w:rsid w:val="004731F2"/>
    <w:rsid w:val="00483764"/>
    <w:rsid w:val="00486E48"/>
    <w:rsid w:val="00492220"/>
    <w:rsid w:val="00495EB6"/>
    <w:rsid w:val="004A586B"/>
    <w:rsid w:val="004B27EE"/>
    <w:rsid w:val="004B4648"/>
    <w:rsid w:val="004D13EB"/>
    <w:rsid w:val="004E6EB8"/>
    <w:rsid w:val="004F26B1"/>
    <w:rsid w:val="004F34FF"/>
    <w:rsid w:val="004F4695"/>
    <w:rsid w:val="00502350"/>
    <w:rsid w:val="00505B79"/>
    <w:rsid w:val="00516EF0"/>
    <w:rsid w:val="00524F35"/>
    <w:rsid w:val="00530A1F"/>
    <w:rsid w:val="00530EC8"/>
    <w:rsid w:val="00532560"/>
    <w:rsid w:val="005355E2"/>
    <w:rsid w:val="00535C4F"/>
    <w:rsid w:val="00536904"/>
    <w:rsid w:val="0053783D"/>
    <w:rsid w:val="00561049"/>
    <w:rsid w:val="00562211"/>
    <w:rsid w:val="00563956"/>
    <w:rsid w:val="00563D9E"/>
    <w:rsid w:val="00564610"/>
    <w:rsid w:val="00566092"/>
    <w:rsid w:val="005722DF"/>
    <w:rsid w:val="005729DA"/>
    <w:rsid w:val="0057552A"/>
    <w:rsid w:val="00582374"/>
    <w:rsid w:val="005828ED"/>
    <w:rsid w:val="0058460E"/>
    <w:rsid w:val="00585250"/>
    <w:rsid w:val="0059104E"/>
    <w:rsid w:val="005914D9"/>
    <w:rsid w:val="0059194A"/>
    <w:rsid w:val="005925D7"/>
    <w:rsid w:val="00596B8D"/>
    <w:rsid w:val="005A1F0C"/>
    <w:rsid w:val="005A2D6A"/>
    <w:rsid w:val="005A4C11"/>
    <w:rsid w:val="005A7E6D"/>
    <w:rsid w:val="005B32FF"/>
    <w:rsid w:val="005B3839"/>
    <w:rsid w:val="005B734F"/>
    <w:rsid w:val="005C2ED0"/>
    <w:rsid w:val="005C4F51"/>
    <w:rsid w:val="005C7AFF"/>
    <w:rsid w:val="005D0029"/>
    <w:rsid w:val="005D2DDC"/>
    <w:rsid w:val="005D2F58"/>
    <w:rsid w:val="005D47CE"/>
    <w:rsid w:val="005D79E0"/>
    <w:rsid w:val="005E1636"/>
    <w:rsid w:val="005E17B7"/>
    <w:rsid w:val="005E4D17"/>
    <w:rsid w:val="005F1C32"/>
    <w:rsid w:val="005F4D94"/>
    <w:rsid w:val="005F6E9E"/>
    <w:rsid w:val="005F7F63"/>
    <w:rsid w:val="00602718"/>
    <w:rsid w:val="006071D3"/>
    <w:rsid w:val="00613963"/>
    <w:rsid w:val="00614133"/>
    <w:rsid w:val="00617C67"/>
    <w:rsid w:val="00620A06"/>
    <w:rsid w:val="00621664"/>
    <w:rsid w:val="00621A55"/>
    <w:rsid w:val="006263CB"/>
    <w:rsid w:val="006278C1"/>
    <w:rsid w:val="00633964"/>
    <w:rsid w:val="006353B8"/>
    <w:rsid w:val="006361A0"/>
    <w:rsid w:val="00637B82"/>
    <w:rsid w:val="0064486C"/>
    <w:rsid w:val="00646A04"/>
    <w:rsid w:val="00652638"/>
    <w:rsid w:val="00655846"/>
    <w:rsid w:val="00663846"/>
    <w:rsid w:val="00665D35"/>
    <w:rsid w:val="006767C3"/>
    <w:rsid w:val="00684FF4"/>
    <w:rsid w:val="006852A8"/>
    <w:rsid w:val="00686B7E"/>
    <w:rsid w:val="0068742D"/>
    <w:rsid w:val="006926B2"/>
    <w:rsid w:val="006A5688"/>
    <w:rsid w:val="006A5786"/>
    <w:rsid w:val="006A5D48"/>
    <w:rsid w:val="006A5EA7"/>
    <w:rsid w:val="006B6626"/>
    <w:rsid w:val="006B7D8D"/>
    <w:rsid w:val="006C4059"/>
    <w:rsid w:val="006C4AF7"/>
    <w:rsid w:val="006C652D"/>
    <w:rsid w:val="006D0E60"/>
    <w:rsid w:val="006E05F7"/>
    <w:rsid w:val="006E51E1"/>
    <w:rsid w:val="006E7C30"/>
    <w:rsid w:val="006F1B05"/>
    <w:rsid w:val="006F5820"/>
    <w:rsid w:val="007034F1"/>
    <w:rsid w:val="0071600E"/>
    <w:rsid w:val="0072068A"/>
    <w:rsid w:val="00723278"/>
    <w:rsid w:val="0072380E"/>
    <w:rsid w:val="007273F1"/>
    <w:rsid w:val="007374E6"/>
    <w:rsid w:val="00743E10"/>
    <w:rsid w:val="007563A2"/>
    <w:rsid w:val="00756722"/>
    <w:rsid w:val="007620E1"/>
    <w:rsid w:val="00762B45"/>
    <w:rsid w:val="00764ABA"/>
    <w:rsid w:val="00766369"/>
    <w:rsid w:val="00766634"/>
    <w:rsid w:val="00772303"/>
    <w:rsid w:val="00772C4B"/>
    <w:rsid w:val="007800D4"/>
    <w:rsid w:val="00781132"/>
    <w:rsid w:val="00781E61"/>
    <w:rsid w:val="00783724"/>
    <w:rsid w:val="00796578"/>
    <w:rsid w:val="007A009A"/>
    <w:rsid w:val="007A0D7E"/>
    <w:rsid w:val="007A1CA2"/>
    <w:rsid w:val="007A1F06"/>
    <w:rsid w:val="007A396D"/>
    <w:rsid w:val="007A5149"/>
    <w:rsid w:val="007B2B6E"/>
    <w:rsid w:val="007B3EA3"/>
    <w:rsid w:val="007C25EA"/>
    <w:rsid w:val="007C3E30"/>
    <w:rsid w:val="007C60BF"/>
    <w:rsid w:val="007C71FF"/>
    <w:rsid w:val="007D1B2A"/>
    <w:rsid w:val="007E5403"/>
    <w:rsid w:val="007F6893"/>
    <w:rsid w:val="00802F0C"/>
    <w:rsid w:val="008060EB"/>
    <w:rsid w:val="00811511"/>
    <w:rsid w:val="00812A5B"/>
    <w:rsid w:val="00813D63"/>
    <w:rsid w:val="008168A9"/>
    <w:rsid w:val="0082015A"/>
    <w:rsid w:val="0082138A"/>
    <w:rsid w:val="008237FF"/>
    <w:rsid w:val="0082385E"/>
    <w:rsid w:val="00826F04"/>
    <w:rsid w:val="00827750"/>
    <w:rsid w:val="00834A39"/>
    <w:rsid w:val="00837D32"/>
    <w:rsid w:val="00862791"/>
    <w:rsid w:val="00864358"/>
    <w:rsid w:val="00866947"/>
    <w:rsid w:val="00867EBA"/>
    <w:rsid w:val="00873089"/>
    <w:rsid w:val="00876D6D"/>
    <w:rsid w:val="00891B92"/>
    <w:rsid w:val="008B29BB"/>
    <w:rsid w:val="008C20BE"/>
    <w:rsid w:val="008C31FB"/>
    <w:rsid w:val="008C3C4D"/>
    <w:rsid w:val="008D4B99"/>
    <w:rsid w:val="008E3691"/>
    <w:rsid w:val="008E480A"/>
    <w:rsid w:val="008E6393"/>
    <w:rsid w:val="008F332C"/>
    <w:rsid w:val="008F6445"/>
    <w:rsid w:val="00900333"/>
    <w:rsid w:val="00900793"/>
    <w:rsid w:val="00903A2D"/>
    <w:rsid w:val="0091420E"/>
    <w:rsid w:val="00914FB9"/>
    <w:rsid w:val="00925104"/>
    <w:rsid w:val="00940883"/>
    <w:rsid w:val="00955B66"/>
    <w:rsid w:val="00957253"/>
    <w:rsid w:val="00971D55"/>
    <w:rsid w:val="0097363B"/>
    <w:rsid w:val="009747D4"/>
    <w:rsid w:val="0098087A"/>
    <w:rsid w:val="009851C1"/>
    <w:rsid w:val="00985FD0"/>
    <w:rsid w:val="009860BA"/>
    <w:rsid w:val="00987986"/>
    <w:rsid w:val="00990BE6"/>
    <w:rsid w:val="00992A5A"/>
    <w:rsid w:val="00993CFB"/>
    <w:rsid w:val="00995E3F"/>
    <w:rsid w:val="00996A08"/>
    <w:rsid w:val="0099712E"/>
    <w:rsid w:val="009A128B"/>
    <w:rsid w:val="009A28CE"/>
    <w:rsid w:val="009B00D5"/>
    <w:rsid w:val="009B5A90"/>
    <w:rsid w:val="009B739E"/>
    <w:rsid w:val="009C3AE7"/>
    <w:rsid w:val="009C5B8A"/>
    <w:rsid w:val="009D12C7"/>
    <w:rsid w:val="009D3273"/>
    <w:rsid w:val="009D406F"/>
    <w:rsid w:val="009E31B7"/>
    <w:rsid w:val="009E3635"/>
    <w:rsid w:val="009F5D4B"/>
    <w:rsid w:val="009F6650"/>
    <w:rsid w:val="009F761E"/>
    <w:rsid w:val="00A01B06"/>
    <w:rsid w:val="00A148E7"/>
    <w:rsid w:val="00A21F59"/>
    <w:rsid w:val="00A2240C"/>
    <w:rsid w:val="00A2266C"/>
    <w:rsid w:val="00A312DD"/>
    <w:rsid w:val="00A567F8"/>
    <w:rsid w:val="00A754F3"/>
    <w:rsid w:val="00A75D22"/>
    <w:rsid w:val="00A85961"/>
    <w:rsid w:val="00A8620E"/>
    <w:rsid w:val="00A9098A"/>
    <w:rsid w:val="00AA4C83"/>
    <w:rsid w:val="00AA5D0A"/>
    <w:rsid w:val="00AA72E8"/>
    <w:rsid w:val="00AB1765"/>
    <w:rsid w:val="00AB46D8"/>
    <w:rsid w:val="00AC0366"/>
    <w:rsid w:val="00AC2CFA"/>
    <w:rsid w:val="00AC30A0"/>
    <w:rsid w:val="00AD3C64"/>
    <w:rsid w:val="00AD657C"/>
    <w:rsid w:val="00AD7D25"/>
    <w:rsid w:val="00AE01FA"/>
    <w:rsid w:val="00AF3F1F"/>
    <w:rsid w:val="00AF539A"/>
    <w:rsid w:val="00B03D8B"/>
    <w:rsid w:val="00B066F4"/>
    <w:rsid w:val="00B104C1"/>
    <w:rsid w:val="00B1297D"/>
    <w:rsid w:val="00B14541"/>
    <w:rsid w:val="00B15AD6"/>
    <w:rsid w:val="00B16899"/>
    <w:rsid w:val="00B22F6A"/>
    <w:rsid w:val="00B26341"/>
    <w:rsid w:val="00B33ABB"/>
    <w:rsid w:val="00B35BE5"/>
    <w:rsid w:val="00B41E41"/>
    <w:rsid w:val="00B423E0"/>
    <w:rsid w:val="00B428FE"/>
    <w:rsid w:val="00B471F5"/>
    <w:rsid w:val="00B50854"/>
    <w:rsid w:val="00B60974"/>
    <w:rsid w:val="00B610A7"/>
    <w:rsid w:val="00B6370C"/>
    <w:rsid w:val="00B6481C"/>
    <w:rsid w:val="00B64F09"/>
    <w:rsid w:val="00B91A61"/>
    <w:rsid w:val="00B96BF4"/>
    <w:rsid w:val="00BA1E84"/>
    <w:rsid w:val="00BA2FA9"/>
    <w:rsid w:val="00BA53C9"/>
    <w:rsid w:val="00BA60A1"/>
    <w:rsid w:val="00BA6D49"/>
    <w:rsid w:val="00BA7A58"/>
    <w:rsid w:val="00BB06B6"/>
    <w:rsid w:val="00BB7BDF"/>
    <w:rsid w:val="00BC67C9"/>
    <w:rsid w:val="00BC7998"/>
    <w:rsid w:val="00BC7B6C"/>
    <w:rsid w:val="00BD2EFB"/>
    <w:rsid w:val="00BD5F70"/>
    <w:rsid w:val="00BE1F2B"/>
    <w:rsid w:val="00BE2DD7"/>
    <w:rsid w:val="00BF0343"/>
    <w:rsid w:val="00BF1D70"/>
    <w:rsid w:val="00BF4FD1"/>
    <w:rsid w:val="00C047CB"/>
    <w:rsid w:val="00C11D86"/>
    <w:rsid w:val="00C1641D"/>
    <w:rsid w:val="00C2121D"/>
    <w:rsid w:val="00C37E84"/>
    <w:rsid w:val="00C40D92"/>
    <w:rsid w:val="00C47041"/>
    <w:rsid w:val="00C6297C"/>
    <w:rsid w:val="00C67F78"/>
    <w:rsid w:val="00C835D2"/>
    <w:rsid w:val="00C84CD3"/>
    <w:rsid w:val="00C9075F"/>
    <w:rsid w:val="00C92BCC"/>
    <w:rsid w:val="00C94F8F"/>
    <w:rsid w:val="00C96159"/>
    <w:rsid w:val="00CA3E60"/>
    <w:rsid w:val="00CB0ADE"/>
    <w:rsid w:val="00CB0E35"/>
    <w:rsid w:val="00CC2467"/>
    <w:rsid w:val="00CC2766"/>
    <w:rsid w:val="00CC4107"/>
    <w:rsid w:val="00CE5FF6"/>
    <w:rsid w:val="00CE6BAE"/>
    <w:rsid w:val="00CF4EAC"/>
    <w:rsid w:val="00CF749B"/>
    <w:rsid w:val="00D01D9D"/>
    <w:rsid w:val="00D130D8"/>
    <w:rsid w:val="00D23796"/>
    <w:rsid w:val="00D24DD4"/>
    <w:rsid w:val="00D26C3B"/>
    <w:rsid w:val="00D2742A"/>
    <w:rsid w:val="00D30CBD"/>
    <w:rsid w:val="00D35FED"/>
    <w:rsid w:val="00D57D04"/>
    <w:rsid w:val="00D62B1A"/>
    <w:rsid w:val="00D67DC1"/>
    <w:rsid w:val="00D743B4"/>
    <w:rsid w:val="00D771A4"/>
    <w:rsid w:val="00D7786F"/>
    <w:rsid w:val="00D8610C"/>
    <w:rsid w:val="00DA4042"/>
    <w:rsid w:val="00DA45CD"/>
    <w:rsid w:val="00DA6BBD"/>
    <w:rsid w:val="00DA7D57"/>
    <w:rsid w:val="00DB46B9"/>
    <w:rsid w:val="00DC2DA8"/>
    <w:rsid w:val="00DC4DC9"/>
    <w:rsid w:val="00DC5A3B"/>
    <w:rsid w:val="00DD52B1"/>
    <w:rsid w:val="00DE07EB"/>
    <w:rsid w:val="00DE2D3A"/>
    <w:rsid w:val="00DE6E19"/>
    <w:rsid w:val="00DF535B"/>
    <w:rsid w:val="00DF7C22"/>
    <w:rsid w:val="00E001A6"/>
    <w:rsid w:val="00E06E64"/>
    <w:rsid w:val="00E133FE"/>
    <w:rsid w:val="00E21BEF"/>
    <w:rsid w:val="00E222FE"/>
    <w:rsid w:val="00E348F4"/>
    <w:rsid w:val="00E4359F"/>
    <w:rsid w:val="00E46C29"/>
    <w:rsid w:val="00E53134"/>
    <w:rsid w:val="00E67559"/>
    <w:rsid w:val="00E67D65"/>
    <w:rsid w:val="00E70FF1"/>
    <w:rsid w:val="00E83BA6"/>
    <w:rsid w:val="00E87569"/>
    <w:rsid w:val="00E943A5"/>
    <w:rsid w:val="00E94AC0"/>
    <w:rsid w:val="00EC495E"/>
    <w:rsid w:val="00EC6606"/>
    <w:rsid w:val="00ED4646"/>
    <w:rsid w:val="00ED6AD2"/>
    <w:rsid w:val="00ED7E43"/>
    <w:rsid w:val="00EE67B0"/>
    <w:rsid w:val="00EF5A32"/>
    <w:rsid w:val="00EF78D9"/>
    <w:rsid w:val="00F02814"/>
    <w:rsid w:val="00F02E86"/>
    <w:rsid w:val="00F03EF2"/>
    <w:rsid w:val="00F04361"/>
    <w:rsid w:val="00F140EF"/>
    <w:rsid w:val="00F23AE8"/>
    <w:rsid w:val="00F25FCA"/>
    <w:rsid w:val="00F341A6"/>
    <w:rsid w:val="00F45379"/>
    <w:rsid w:val="00F46DBC"/>
    <w:rsid w:val="00F54A43"/>
    <w:rsid w:val="00F56BA9"/>
    <w:rsid w:val="00F57023"/>
    <w:rsid w:val="00F65B1E"/>
    <w:rsid w:val="00F74A03"/>
    <w:rsid w:val="00F90E50"/>
    <w:rsid w:val="00F930AF"/>
    <w:rsid w:val="00F96A16"/>
    <w:rsid w:val="00F96EB4"/>
    <w:rsid w:val="00FA19A7"/>
    <w:rsid w:val="00FA2B44"/>
    <w:rsid w:val="00FA4999"/>
    <w:rsid w:val="00FA696C"/>
    <w:rsid w:val="00FB569E"/>
    <w:rsid w:val="00FC638F"/>
    <w:rsid w:val="00FC65B5"/>
    <w:rsid w:val="00FD0C6B"/>
    <w:rsid w:val="00FD6B93"/>
    <w:rsid w:val="00FD6F56"/>
    <w:rsid w:val="00FE4CE1"/>
    <w:rsid w:val="00FF70FE"/>
    <w:rsid w:val="00FF7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41EC70A8-7A31-47DF-B6C1-9D16B558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0C"/>
    <w:pPr>
      <w:keepLines/>
    </w:pPr>
    <w:rPr>
      <w:color w:val="54575A" w:themeColor="text1"/>
      <w:lang w:val="fr-CA"/>
    </w:rPr>
  </w:style>
  <w:style w:type="paragraph" w:styleId="Heading1">
    <w:name w:val="heading 1"/>
    <w:basedOn w:val="Normal"/>
    <w:next w:val="Normal"/>
    <w:link w:val="Heading1Char"/>
    <w:uiPriority w:val="9"/>
    <w:qFormat/>
    <w:rsid w:val="00143EF4"/>
    <w:pPr>
      <w:keepNext/>
      <w:spacing w:before="240" w:after="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143EF4"/>
    <w:pPr>
      <w:keepNext/>
      <w:spacing w:before="40" w:after="240"/>
      <w:outlineLvl w:val="1"/>
    </w:pPr>
    <w:rPr>
      <w:rFonts w:ascii="Segoe UI" w:eastAsiaTheme="majorEastAsia" w:hAnsi="Segoe UI" w:cs="Segoe UI"/>
      <w:b/>
      <w:color w:val="5B315E" w:themeColor="accent2"/>
      <w:sz w:val="32"/>
      <w:szCs w:val="32"/>
      <w:lang w:val="en-CA"/>
    </w:rPr>
  </w:style>
  <w:style w:type="paragraph" w:styleId="Heading3">
    <w:name w:val="heading 3"/>
    <w:basedOn w:val="Normal"/>
    <w:next w:val="Normal"/>
    <w:link w:val="Heading3Char"/>
    <w:uiPriority w:val="9"/>
    <w:unhideWhenUsed/>
    <w:qFormat/>
    <w:rsid w:val="00143EF4"/>
    <w:pPr>
      <w:keepNext/>
      <w:spacing w:before="40" w:after="120"/>
      <w:outlineLvl w:val="2"/>
    </w:pPr>
    <w:rPr>
      <w:rFonts w:ascii="Segoe UI Semibold" w:eastAsiaTheme="majorEastAsia" w:hAnsi="Segoe UI Semibold" w:cs="Segoe UI Semibold"/>
      <w:sz w:val="24"/>
      <w:szCs w:val="24"/>
      <w:lang w:val="en-CA"/>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F03EF2"/>
    <w:pPr>
      <w:spacing w:before="1200" w:after="0" w:line="1200" w:lineRule="exact"/>
      <w:contextualSpacing/>
    </w:pPr>
    <w:rPr>
      <w:rFonts w:ascii="Segoe UI Light" w:eastAsiaTheme="majorEastAsia" w:hAnsi="Segoe UI Light" w:cs="Segoe UI Light"/>
      <w:b/>
      <w:spacing w:val="-10"/>
      <w:kern w:val="28"/>
      <w:sz w:val="72"/>
      <w:szCs w:val="72"/>
      <w:lang w:val="en-CA"/>
    </w:rPr>
  </w:style>
  <w:style w:type="character" w:customStyle="1" w:styleId="TitleChar">
    <w:name w:val="Title Char"/>
    <w:basedOn w:val="DefaultParagraphFont"/>
    <w:link w:val="Title"/>
    <w:uiPriority w:val="10"/>
    <w:rsid w:val="00F03EF2"/>
    <w:rPr>
      <w:rFonts w:ascii="Segoe UI Light" w:eastAsiaTheme="majorEastAsia" w:hAnsi="Segoe UI Light" w:cs="Segoe UI Light"/>
      <w:b/>
      <w:color w:val="54575A" w:themeColor="text1"/>
      <w:spacing w:val="-10"/>
      <w:kern w:val="28"/>
      <w:sz w:val="72"/>
      <w:szCs w:val="72"/>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143EF4"/>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143EF4"/>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143EF4"/>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paragraph" w:styleId="TOCHeading">
    <w:name w:val="TOC Heading"/>
    <w:basedOn w:val="Heading1"/>
    <w:next w:val="Normal"/>
    <w:uiPriority w:val="39"/>
    <w:unhideWhenUsed/>
    <w:qFormat/>
    <w:rsid w:val="00F46DBC"/>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483764"/>
    <w:pPr>
      <w:spacing w:after="100"/>
    </w:pPr>
  </w:style>
  <w:style w:type="paragraph" w:styleId="TOC2">
    <w:name w:val="toc 2"/>
    <w:basedOn w:val="Normal"/>
    <w:next w:val="Normal"/>
    <w:autoRedefine/>
    <w:uiPriority w:val="39"/>
    <w:unhideWhenUsed/>
    <w:rsid w:val="00483764"/>
    <w:pPr>
      <w:spacing w:after="100"/>
      <w:ind w:left="220"/>
    </w:pPr>
  </w:style>
  <w:style w:type="character" w:styleId="Hyperlink">
    <w:name w:val="Hyperlink"/>
    <w:basedOn w:val="DefaultParagraphFont"/>
    <w:uiPriority w:val="99"/>
    <w:unhideWhenUsed/>
    <w:rsid w:val="00483764"/>
    <w:rPr>
      <w:color w:val="0099A8" w:themeColor="hyperlink"/>
      <w:u w:val="single"/>
    </w:rPr>
  </w:style>
  <w:style w:type="paragraph" w:styleId="TOC3">
    <w:name w:val="toc 3"/>
    <w:basedOn w:val="Normal"/>
    <w:next w:val="Normal"/>
    <w:autoRedefine/>
    <w:uiPriority w:val="39"/>
    <w:unhideWhenUsed/>
    <w:rsid w:val="00495EB6"/>
    <w:pPr>
      <w:spacing w:after="100"/>
      <w:ind w:left="440"/>
    </w:pPr>
  </w:style>
  <w:style w:type="character" w:styleId="CommentReference">
    <w:name w:val="annotation reference"/>
    <w:basedOn w:val="DefaultParagraphFont"/>
    <w:uiPriority w:val="99"/>
    <w:semiHidden/>
    <w:unhideWhenUsed/>
    <w:rsid w:val="0026150F"/>
    <w:rPr>
      <w:sz w:val="16"/>
      <w:szCs w:val="16"/>
    </w:rPr>
  </w:style>
  <w:style w:type="paragraph" w:styleId="CommentText">
    <w:name w:val="annotation text"/>
    <w:basedOn w:val="Normal"/>
    <w:link w:val="CommentTextChar"/>
    <w:uiPriority w:val="99"/>
    <w:semiHidden/>
    <w:unhideWhenUsed/>
    <w:rsid w:val="0026150F"/>
    <w:pPr>
      <w:spacing w:line="240" w:lineRule="auto"/>
    </w:pPr>
    <w:rPr>
      <w:sz w:val="20"/>
      <w:szCs w:val="20"/>
    </w:rPr>
  </w:style>
  <w:style w:type="character" w:customStyle="1" w:styleId="CommentTextChar">
    <w:name w:val="Comment Text Char"/>
    <w:basedOn w:val="DefaultParagraphFont"/>
    <w:link w:val="CommentText"/>
    <w:uiPriority w:val="99"/>
    <w:semiHidden/>
    <w:rsid w:val="0026150F"/>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26150F"/>
    <w:rPr>
      <w:b/>
      <w:bCs/>
    </w:rPr>
  </w:style>
  <w:style w:type="character" w:customStyle="1" w:styleId="CommentSubjectChar">
    <w:name w:val="Comment Subject Char"/>
    <w:basedOn w:val="CommentTextChar"/>
    <w:link w:val="CommentSubject"/>
    <w:uiPriority w:val="99"/>
    <w:semiHidden/>
    <w:rsid w:val="0026150F"/>
    <w:rPr>
      <w:b/>
      <w:bCs/>
      <w:color w:val="54575A" w:themeColor="text1"/>
      <w:sz w:val="20"/>
      <w:szCs w:val="20"/>
      <w:lang w:val="fr-CA"/>
    </w:rPr>
  </w:style>
  <w:style w:type="table" w:styleId="PlainTable1">
    <w:name w:val="Plain Table 1"/>
    <w:basedOn w:val="TableNormal"/>
    <w:uiPriority w:val="41"/>
    <w:rsid w:val="00A01B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B46D8"/>
    <w:rPr>
      <w:color w:val="A5A5A5" w:themeColor="followedHyperlink"/>
      <w:u w:val="single"/>
    </w:rPr>
  </w:style>
  <w:style w:type="paragraph" w:styleId="Revision">
    <w:name w:val="Revision"/>
    <w:hidden/>
    <w:uiPriority w:val="99"/>
    <w:semiHidden/>
    <w:rsid w:val="00D62B1A"/>
    <w:pPr>
      <w:spacing w:after="0" w:line="240" w:lineRule="auto"/>
    </w:pPr>
    <w:rPr>
      <w:color w:val="54575A" w:themeColor="text1"/>
      <w:lang w:val="fr-CA"/>
    </w:rPr>
  </w:style>
  <w:style w:type="paragraph" w:styleId="Caption">
    <w:name w:val="caption"/>
    <w:basedOn w:val="Normal"/>
    <w:next w:val="Normal"/>
    <w:uiPriority w:val="35"/>
    <w:unhideWhenUsed/>
    <w:qFormat/>
    <w:rsid w:val="005D2F58"/>
    <w:pPr>
      <w:spacing w:after="200" w:line="240" w:lineRule="auto"/>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801">
      <w:bodyDiv w:val="1"/>
      <w:marLeft w:val="0"/>
      <w:marRight w:val="0"/>
      <w:marTop w:val="0"/>
      <w:marBottom w:val="0"/>
      <w:divBdr>
        <w:top w:val="none" w:sz="0" w:space="0" w:color="auto"/>
        <w:left w:val="none" w:sz="0" w:space="0" w:color="auto"/>
        <w:bottom w:val="none" w:sz="0" w:space="0" w:color="auto"/>
        <w:right w:val="none" w:sz="0" w:space="0" w:color="auto"/>
      </w:divBdr>
    </w:div>
    <w:div w:id="1124469295">
      <w:bodyDiv w:val="1"/>
      <w:marLeft w:val="0"/>
      <w:marRight w:val="0"/>
      <w:marTop w:val="0"/>
      <w:marBottom w:val="0"/>
      <w:divBdr>
        <w:top w:val="none" w:sz="0" w:space="0" w:color="auto"/>
        <w:left w:val="none" w:sz="0" w:space="0" w:color="auto"/>
        <w:bottom w:val="none" w:sz="0" w:space="0" w:color="auto"/>
        <w:right w:val="none" w:sz="0" w:space="0" w:color="auto"/>
      </w:divBdr>
    </w:div>
    <w:div w:id="1672489012">
      <w:bodyDiv w:val="1"/>
      <w:marLeft w:val="0"/>
      <w:marRight w:val="0"/>
      <w:marTop w:val="0"/>
      <w:marBottom w:val="0"/>
      <w:divBdr>
        <w:top w:val="none" w:sz="0" w:space="0" w:color="auto"/>
        <w:left w:val="none" w:sz="0" w:space="0" w:color="auto"/>
        <w:bottom w:val="none" w:sz="0" w:space="0" w:color="auto"/>
        <w:right w:val="none" w:sz="0" w:space="0" w:color="auto"/>
      </w:divBdr>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apport-CFP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3E5C-9459-4351-9050-644576E2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Rapport-CFP2019.dotx</Template>
  <TotalTime>106</TotalTime>
  <Pages>8</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dbarbaga</dc:creator>
  <cp:keywords/>
  <dc:description/>
  <cp:lastModifiedBy>Daniel Spracklin</cp:lastModifiedBy>
  <cp:revision>36</cp:revision>
  <cp:lastPrinted>2019-07-11T17:58:00Z</cp:lastPrinted>
  <dcterms:created xsi:type="dcterms:W3CDTF">2020-09-08T15:59:00Z</dcterms:created>
  <dcterms:modified xsi:type="dcterms:W3CDTF">2020-11-27T17:11:00Z</dcterms:modified>
</cp:coreProperties>
</file>