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6491B" w14:textId="13D6A810" w:rsidR="00E21BEF" w:rsidRPr="0004665B" w:rsidRDefault="0004665B" w:rsidP="00F03EF2">
      <w:pPr>
        <w:pStyle w:val="Title"/>
        <w:rPr>
          <w:lang w:val="fr-CA"/>
        </w:rPr>
      </w:pPr>
      <w:r>
        <w:rPr>
          <w:lang w:val="fr-CA"/>
        </w:rPr>
        <w:t>Commission de la fonction publique</w:t>
      </w:r>
    </w:p>
    <w:p w14:paraId="2C1F1F6C" w14:textId="3D7A453D" w:rsidR="00646A04" w:rsidRPr="00FE24AA" w:rsidRDefault="00C7682E" w:rsidP="00FE24AA">
      <w:pPr>
        <w:rPr>
          <w:sz w:val="36"/>
          <w:szCs w:val="36"/>
        </w:rPr>
      </w:pPr>
      <w:r w:rsidRPr="00FE24AA">
        <w:rPr>
          <w:sz w:val="36"/>
          <w:szCs w:val="36"/>
        </w:rPr>
        <w:t>F</w:t>
      </w:r>
      <w:r w:rsidR="0004665B" w:rsidRPr="00FE24AA">
        <w:rPr>
          <w:sz w:val="36"/>
          <w:szCs w:val="36"/>
        </w:rPr>
        <w:t xml:space="preserve">onctionnaires fédéraux </w:t>
      </w:r>
      <w:r w:rsidR="00D61396" w:rsidRPr="00FE24AA">
        <w:rPr>
          <w:sz w:val="36"/>
          <w:szCs w:val="36"/>
        </w:rPr>
        <w:t xml:space="preserve">postulant aux </w:t>
      </w:r>
      <w:r w:rsidR="0009325F" w:rsidRPr="00FE24AA">
        <w:rPr>
          <w:sz w:val="36"/>
          <w:szCs w:val="36"/>
        </w:rPr>
        <w:t>annonces d’</w:t>
      </w:r>
      <w:r w:rsidR="009B209F" w:rsidRPr="00FE24AA">
        <w:rPr>
          <w:sz w:val="36"/>
          <w:szCs w:val="36"/>
        </w:rPr>
        <w:t>emplois</w:t>
      </w:r>
      <w:r w:rsidR="0004665B" w:rsidRPr="00FE24AA">
        <w:rPr>
          <w:sz w:val="36"/>
          <w:szCs w:val="36"/>
        </w:rPr>
        <w:t xml:space="preserve"> ouverts au public</w:t>
      </w:r>
      <w:r w:rsidR="00646A04" w:rsidRPr="00FE24AA">
        <w:rPr>
          <w:sz w:val="36"/>
          <w:szCs w:val="36"/>
        </w:rPr>
        <w:br w:type="page"/>
      </w:r>
    </w:p>
    <w:p w14:paraId="69154E8A" w14:textId="03C7968E" w:rsidR="00B610A7" w:rsidRPr="0004665B" w:rsidRDefault="0004665B" w:rsidP="00AE01FA">
      <w:pPr>
        <w:pStyle w:val="Heading2"/>
        <w:rPr>
          <w:lang w:val="fr-CA"/>
        </w:rPr>
      </w:pPr>
      <w:bookmarkStart w:id="0" w:name="_Toc46902826"/>
      <w:r>
        <w:rPr>
          <w:lang w:val="fr-CA"/>
        </w:rPr>
        <w:lastRenderedPageBreak/>
        <w:t>Fonctionnaires fédéraux p</w:t>
      </w:r>
      <w:r w:rsidR="00D61396">
        <w:rPr>
          <w:lang w:val="fr-CA"/>
        </w:rPr>
        <w:t>ostulant</w:t>
      </w:r>
      <w:r>
        <w:rPr>
          <w:lang w:val="fr-CA"/>
        </w:rPr>
        <w:t xml:space="preserve"> </w:t>
      </w:r>
      <w:r w:rsidR="0009325F">
        <w:rPr>
          <w:lang w:val="fr-CA"/>
        </w:rPr>
        <w:t>aux annonces d’</w:t>
      </w:r>
      <w:r w:rsidR="009B209F">
        <w:rPr>
          <w:lang w:val="fr-CA"/>
        </w:rPr>
        <w:t>emplois</w:t>
      </w:r>
      <w:r>
        <w:rPr>
          <w:lang w:val="fr-CA"/>
        </w:rPr>
        <w:t xml:space="preserve"> ouverts au public</w:t>
      </w:r>
    </w:p>
    <w:p w14:paraId="2D054C58" w14:textId="059B775E" w:rsidR="00171A52" w:rsidRPr="0004665B" w:rsidRDefault="0004665B" w:rsidP="005D79E0">
      <w:pPr>
        <w:pStyle w:val="ListParagraph"/>
        <w:numPr>
          <w:ilvl w:val="0"/>
          <w:numId w:val="28"/>
        </w:numPr>
      </w:pPr>
      <w:r>
        <w:t xml:space="preserve">La majorité des </w:t>
      </w:r>
      <w:r w:rsidR="001636D9">
        <w:t>postulants</w:t>
      </w:r>
      <w:r w:rsidR="00D61396">
        <w:t xml:space="preserve"> </w:t>
      </w:r>
      <w:r>
        <w:t xml:space="preserve">aux emplois </w:t>
      </w:r>
      <w:r w:rsidR="00955C57">
        <w:t xml:space="preserve">de la fonction publique fédérale </w:t>
      </w:r>
      <w:r w:rsidR="00767B91">
        <w:t>annoncés</w:t>
      </w:r>
      <w:r>
        <w:t xml:space="preserve"> au public </w:t>
      </w:r>
      <w:r w:rsidR="00C7682E">
        <w:t>ne travaillent pas pour le gouvernement fédéral («</w:t>
      </w:r>
      <w:r w:rsidR="009A09C3">
        <w:t> </w:t>
      </w:r>
      <w:r w:rsidR="001636D9">
        <w:t>postulants</w:t>
      </w:r>
      <w:r w:rsidR="00C7682E">
        <w:t xml:space="preserve"> externes</w:t>
      </w:r>
      <w:r w:rsidR="009A09C3">
        <w:t> </w:t>
      </w:r>
      <w:r w:rsidR="009C26B6">
        <w:t>»).</w:t>
      </w:r>
    </w:p>
    <w:p w14:paraId="45FCB63A" w14:textId="383EFD0F" w:rsidR="00171A52" w:rsidRPr="0004665B" w:rsidRDefault="00C7682E" w:rsidP="00171A52">
      <w:pPr>
        <w:pStyle w:val="ListParagraph"/>
        <w:numPr>
          <w:ilvl w:val="1"/>
          <w:numId w:val="28"/>
        </w:numPr>
      </w:pPr>
      <w:r>
        <w:t xml:space="preserve">Depuis </w:t>
      </w:r>
      <w:r w:rsidR="00171A52" w:rsidRPr="0004665B">
        <w:t xml:space="preserve">2016-2017, </w:t>
      </w:r>
      <w:r w:rsidR="00884BEE">
        <w:t xml:space="preserve">de </w:t>
      </w:r>
      <w:r>
        <w:t>15 à 18</w:t>
      </w:r>
      <w:r w:rsidR="009A09C3">
        <w:t> </w:t>
      </w:r>
      <w:r>
        <w:t>p</w:t>
      </w:r>
      <w:r w:rsidR="00884BEE">
        <w:t>. 100</w:t>
      </w:r>
      <w:r>
        <w:t xml:space="preserve"> seulement des </w:t>
      </w:r>
      <w:r w:rsidR="001636D9">
        <w:t>postulants</w:t>
      </w:r>
      <w:r>
        <w:t xml:space="preserve"> aux </w:t>
      </w:r>
      <w:r w:rsidR="009B209F">
        <w:t>emplois</w:t>
      </w:r>
      <w:r>
        <w:t xml:space="preserve"> ouverts au public étaient des fonctionnaires fédéraux («</w:t>
      </w:r>
      <w:r w:rsidR="009A09C3">
        <w:t> </w:t>
      </w:r>
      <w:r w:rsidR="001636D9">
        <w:t>postulants</w:t>
      </w:r>
      <w:r>
        <w:t xml:space="preserve"> internes</w:t>
      </w:r>
      <w:r w:rsidR="009A09C3">
        <w:t> </w:t>
      </w:r>
      <w:r>
        <w:t>»)</w:t>
      </w:r>
      <w:r w:rsidR="00B610A7" w:rsidRPr="0004665B">
        <w:t>.</w:t>
      </w:r>
    </w:p>
    <w:p w14:paraId="1DE293BD" w14:textId="1751878B" w:rsidR="00171A52" w:rsidRPr="0004665B" w:rsidRDefault="00C7682E" w:rsidP="00171A52">
      <w:pPr>
        <w:pStyle w:val="ListParagraph"/>
        <w:numPr>
          <w:ilvl w:val="0"/>
          <w:numId w:val="28"/>
        </w:numPr>
      </w:pPr>
      <w:r>
        <w:t xml:space="preserve">Or, les </w:t>
      </w:r>
      <w:r w:rsidR="001636D9">
        <w:t>postulants</w:t>
      </w:r>
      <w:r>
        <w:t xml:space="preserve"> internes </w:t>
      </w:r>
      <w:r w:rsidR="00955C57">
        <w:t>représentent</w:t>
      </w:r>
      <w:r>
        <w:t xml:space="preserve"> une part nettement</w:t>
      </w:r>
      <w:r w:rsidR="009C26B6">
        <w:t xml:space="preserve"> plus importante des embauches.</w:t>
      </w:r>
    </w:p>
    <w:p w14:paraId="5342ADEC" w14:textId="2D2E7D0E" w:rsidR="00171A52" w:rsidRPr="0004665B" w:rsidRDefault="00C7682E" w:rsidP="00171A52">
      <w:pPr>
        <w:pStyle w:val="ListParagraph"/>
        <w:numPr>
          <w:ilvl w:val="1"/>
          <w:numId w:val="28"/>
        </w:numPr>
      </w:pPr>
      <w:r>
        <w:t>En 2018-2019, 39</w:t>
      </w:r>
      <w:r w:rsidR="009A09C3">
        <w:t> </w:t>
      </w:r>
      <w:r>
        <w:t>p</w:t>
      </w:r>
      <w:r w:rsidR="00884BEE">
        <w:t xml:space="preserve">. 100 </w:t>
      </w:r>
      <w:r>
        <w:t xml:space="preserve">de toutes les </w:t>
      </w:r>
      <w:r w:rsidR="00955C57">
        <w:t>nominations</w:t>
      </w:r>
      <w:r>
        <w:t xml:space="preserve"> découlant d’annonces d’emplois ouverts au public étaient des nominations</w:t>
      </w:r>
      <w:r w:rsidR="00955C57">
        <w:t xml:space="preserve"> de </w:t>
      </w:r>
      <w:r w:rsidR="001636D9">
        <w:t>postulants</w:t>
      </w:r>
      <w:r w:rsidR="009C26B6">
        <w:t xml:space="preserve"> internes.</w:t>
      </w:r>
    </w:p>
    <w:bookmarkEnd w:id="0"/>
    <w:p w14:paraId="12B42B12" w14:textId="77777777" w:rsidR="00B25869" w:rsidRDefault="00992A5A" w:rsidP="00B25869">
      <w:pPr>
        <w:keepNext/>
        <w:keepLines w:val="0"/>
        <w:jc w:val="center"/>
      </w:pPr>
      <w:r w:rsidRPr="0004665B">
        <w:rPr>
          <w:noProof/>
          <w:lang w:val="en-CA" w:eastAsia="en-CA"/>
        </w:rPr>
        <w:drawing>
          <wp:inline distT="0" distB="0" distL="0" distR="0" wp14:anchorId="6B3EAC3A" wp14:editId="5F5C1D82">
            <wp:extent cx="5943290" cy="3681091"/>
            <wp:effectExtent l="0" t="0" r="635" b="0"/>
            <wp:docPr id="10" name="Picture 10" descr="Un graphique linéaire. Le graphique chart démontre la part de tous les postulants et nominations qui étaient des fonctionnaires fédéraux pour les exercices financiers entre 2016-2017 and 2018-2019. " title="Postulants internes et nominations internes aux emplois ouverts au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_in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290" cy="3681091"/>
                    </a:xfrm>
                    <a:prstGeom prst="rect">
                      <a:avLst/>
                    </a:prstGeom>
                  </pic:spPr>
                </pic:pic>
              </a:graphicData>
            </a:graphic>
          </wp:inline>
        </w:drawing>
      </w:r>
    </w:p>
    <w:p w14:paraId="553EE941" w14:textId="2156077B" w:rsidR="0022060D" w:rsidRPr="00B25869" w:rsidRDefault="00B25869" w:rsidP="00CC59E2">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rsidR="00555113">
        <w:t> </w:t>
      </w:r>
      <w:r>
        <w:t xml:space="preserve">: </w:t>
      </w:r>
      <w:r w:rsidRPr="00AF20F9">
        <w:t>Postulants internes et nominations internes aux emplois ouverts au public</w:t>
      </w:r>
      <w:r w:rsidR="0022060D" w:rsidRPr="00B25869">
        <w:br w:type="page"/>
      </w:r>
    </w:p>
    <w:p w14:paraId="7B2EABB0" w14:textId="1A818AAB" w:rsidR="00B25869" w:rsidRDefault="00B25869" w:rsidP="00B25869">
      <w:pPr>
        <w:pStyle w:val="Caption"/>
        <w:keepNext/>
        <w:jc w:val="center"/>
      </w:pPr>
      <w:r>
        <w:lastRenderedPageBreak/>
        <w:t xml:space="preserve">Table </w:t>
      </w:r>
      <w:r>
        <w:fldChar w:fldCharType="begin"/>
      </w:r>
      <w:r>
        <w:instrText xml:space="preserve"> SEQ Table \* ARABIC </w:instrText>
      </w:r>
      <w:r>
        <w:fldChar w:fldCharType="separate"/>
      </w:r>
      <w:r>
        <w:rPr>
          <w:noProof/>
        </w:rPr>
        <w:t>1</w:t>
      </w:r>
      <w:r>
        <w:fldChar w:fldCharType="end"/>
      </w:r>
      <w:r w:rsidR="00555113">
        <w:t> </w:t>
      </w:r>
      <w:r>
        <w:t xml:space="preserve">: </w:t>
      </w:r>
      <w:r w:rsidRPr="00F163FE">
        <w:t>Postulants internes et nominations internes aux emplois ouverts au public</w:t>
      </w:r>
    </w:p>
    <w:tbl>
      <w:tblPr>
        <w:tblStyle w:val="TableGrid"/>
        <w:tblW w:w="0" w:type="auto"/>
        <w:tblLook w:val="04A0" w:firstRow="1" w:lastRow="0" w:firstColumn="1" w:lastColumn="0" w:noHBand="0" w:noVBand="1"/>
        <w:tblCaption w:val="Postulants internes et nominations internes aux emplois ouverts au public"/>
        <w:tblDescription w:val="Une table qui démontre la part de postulants et de nominations qui sont des fonctionnaires fédéraux, entre 2016-2017 et 2018-2019."/>
      </w:tblPr>
      <w:tblGrid>
        <w:gridCol w:w="3116"/>
        <w:gridCol w:w="3117"/>
        <w:gridCol w:w="3117"/>
      </w:tblGrid>
      <w:tr w:rsidR="0022060D" w:rsidRPr="0022060D" w14:paraId="283E527E" w14:textId="77777777" w:rsidTr="0077112C">
        <w:trPr>
          <w:tblHeader/>
        </w:trPr>
        <w:tc>
          <w:tcPr>
            <w:tcW w:w="3116" w:type="dxa"/>
          </w:tcPr>
          <w:p w14:paraId="08346BE9" w14:textId="26487F11" w:rsidR="0022060D" w:rsidRPr="008C05DE" w:rsidRDefault="0022060D" w:rsidP="00FB6DFC">
            <w:pPr>
              <w:keepLines w:val="0"/>
              <w:jc w:val="center"/>
            </w:pPr>
            <w:r w:rsidRPr="008C05DE">
              <w:t>Exercice financier</w:t>
            </w:r>
          </w:p>
        </w:tc>
        <w:tc>
          <w:tcPr>
            <w:tcW w:w="3117" w:type="dxa"/>
          </w:tcPr>
          <w:p w14:paraId="5E1C7148" w14:textId="0EA19DAE" w:rsidR="0022060D" w:rsidRPr="008C05DE" w:rsidRDefault="0022060D" w:rsidP="00FB6DFC">
            <w:pPr>
              <w:keepLines w:val="0"/>
              <w:jc w:val="center"/>
            </w:pPr>
            <w:r w:rsidRPr="008C05DE">
              <w:t>Part de postulants qui sont fonctionnaires fédéraux</w:t>
            </w:r>
          </w:p>
        </w:tc>
        <w:tc>
          <w:tcPr>
            <w:tcW w:w="3117" w:type="dxa"/>
          </w:tcPr>
          <w:p w14:paraId="0432B45F" w14:textId="504F0A53" w:rsidR="0022060D" w:rsidRPr="008C05DE" w:rsidRDefault="0022060D" w:rsidP="00FB6DFC">
            <w:pPr>
              <w:keepLines w:val="0"/>
              <w:jc w:val="center"/>
            </w:pPr>
            <w:r w:rsidRPr="008C05DE">
              <w:t>Part de nominations qui sont fonctionnaires fédéraux</w:t>
            </w:r>
          </w:p>
        </w:tc>
      </w:tr>
      <w:tr w:rsidR="0022060D" w:rsidRPr="00140E49" w14:paraId="4093B7D1" w14:textId="77777777" w:rsidTr="0077112C">
        <w:tc>
          <w:tcPr>
            <w:tcW w:w="3116" w:type="dxa"/>
          </w:tcPr>
          <w:p w14:paraId="79EF652A" w14:textId="77777777" w:rsidR="0022060D" w:rsidRPr="008C05DE" w:rsidRDefault="0022060D" w:rsidP="0077112C">
            <w:pPr>
              <w:keepLines w:val="0"/>
            </w:pPr>
            <w:r w:rsidRPr="008C05DE">
              <w:t>2016-2017</w:t>
            </w:r>
          </w:p>
        </w:tc>
        <w:tc>
          <w:tcPr>
            <w:tcW w:w="3117" w:type="dxa"/>
          </w:tcPr>
          <w:p w14:paraId="700901B4" w14:textId="7D8DCE99" w:rsidR="0022060D" w:rsidRPr="008C05DE" w:rsidRDefault="0022060D" w:rsidP="00D276DD">
            <w:pPr>
              <w:keepLines w:val="0"/>
              <w:jc w:val="right"/>
            </w:pPr>
            <w:r w:rsidRPr="008C05DE">
              <w:t>17</w:t>
            </w:r>
            <w:r w:rsidR="00D276DD" w:rsidRPr="008C05DE">
              <w:t>,</w:t>
            </w:r>
            <w:r w:rsidRPr="008C05DE">
              <w:t>5%</w:t>
            </w:r>
          </w:p>
        </w:tc>
        <w:tc>
          <w:tcPr>
            <w:tcW w:w="3117" w:type="dxa"/>
          </w:tcPr>
          <w:p w14:paraId="24934390" w14:textId="018208CC" w:rsidR="0022060D" w:rsidRPr="008C05DE" w:rsidRDefault="0022060D" w:rsidP="00D276DD">
            <w:pPr>
              <w:keepLines w:val="0"/>
              <w:jc w:val="right"/>
            </w:pPr>
            <w:r w:rsidRPr="008C05DE">
              <w:t>3</w:t>
            </w:r>
            <w:r w:rsidR="00D276DD" w:rsidRPr="008C05DE">
              <w:t>7,</w:t>
            </w:r>
            <w:r w:rsidRPr="008C05DE">
              <w:t>0%</w:t>
            </w:r>
          </w:p>
        </w:tc>
      </w:tr>
      <w:tr w:rsidR="0022060D" w:rsidRPr="00140E49" w14:paraId="11D814BB" w14:textId="77777777" w:rsidTr="0077112C">
        <w:tc>
          <w:tcPr>
            <w:tcW w:w="3116" w:type="dxa"/>
          </w:tcPr>
          <w:p w14:paraId="7DFF91DB" w14:textId="77777777" w:rsidR="0022060D" w:rsidRPr="008C05DE" w:rsidRDefault="0022060D" w:rsidP="0077112C">
            <w:pPr>
              <w:keepLines w:val="0"/>
            </w:pPr>
            <w:r w:rsidRPr="008C05DE">
              <w:t>2017-2018</w:t>
            </w:r>
          </w:p>
        </w:tc>
        <w:tc>
          <w:tcPr>
            <w:tcW w:w="3117" w:type="dxa"/>
          </w:tcPr>
          <w:p w14:paraId="508B82F5" w14:textId="2E355990" w:rsidR="0022060D" w:rsidRPr="008C05DE" w:rsidRDefault="00D276DD" w:rsidP="00D276DD">
            <w:pPr>
              <w:keepLines w:val="0"/>
              <w:jc w:val="right"/>
            </w:pPr>
            <w:r w:rsidRPr="008C05DE">
              <w:t>18,</w:t>
            </w:r>
            <w:r w:rsidR="0022060D" w:rsidRPr="008C05DE">
              <w:t>2%</w:t>
            </w:r>
          </w:p>
        </w:tc>
        <w:tc>
          <w:tcPr>
            <w:tcW w:w="3117" w:type="dxa"/>
          </w:tcPr>
          <w:p w14:paraId="132BC959" w14:textId="34C0E3AC" w:rsidR="0022060D" w:rsidRPr="008C05DE" w:rsidRDefault="00D276DD" w:rsidP="00D276DD">
            <w:pPr>
              <w:keepLines w:val="0"/>
              <w:jc w:val="right"/>
            </w:pPr>
            <w:r w:rsidRPr="008C05DE">
              <w:t>37,</w:t>
            </w:r>
            <w:r w:rsidR="0022060D" w:rsidRPr="008C05DE">
              <w:t>9%</w:t>
            </w:r>
          </w:p>
        </w:tc>
      </w:tr>
      <w:tr w:rsidR="0022060D" w:rsidRPr="00140E49" w14:paraId="54B024EB" w14:textId="77777777" w:rsidTr="0077112C">
        <w:tc>
          <w:tcPr>
            <w:tcW w:w="3116" w:type="dxa"/>
          </w:tcPr>
          <w:p w14:paraId="29A002A8" w14:textId="77777777" w:rsidR="0022060D" w:rsidRPr="008C05DE" w:rsidRDefault="0022060D" w:rsidP="0077112C">
            <w:pPr>
              <w:keepLines w:val="0"/>
            </w:pPr>
            <w:r w:rsidRPr="008C05DE">
              <w:t>2018-2019</w:t>
            </w:r>
          </w:p>
        </w:tc>
        <w:tc>
          <w:tcPr>
            <w:tcW w:w="3117" w:type="dxa"/>
          </w:tcPr>
          <w:p w14:paraId="7A92ADC3" w14:textId="2041F1BA" w:rsidR="0022060D" w:rsidRPr="008C05DE" w:rsidRDefault="00D276DD" w:rsidP="00D276DD">
            <w:pPr>
              <w:keepLines w:val="0"/>
              <w:jc w:val="right"/>
            </w:pPr>
            <w:r w:rsidRPr="008C05DE">
              <w:t>15,</w:t>
            </w:r>
            <w:r w:rsidR="0022060D" w:rsidRPr="008C05DE">
              <w:t>1%</w:t>
            </w:r>
          </w:p>
        </w:tc>
        <w:tc>
          <w:tcPr>
            <w:tcW w:w="3117" w:type="dxa"/>
          </w:tcPr>
          <w:p w14:paraId="6820FDA9" w14:textId="53BB16B7" w:rsidR="0022060D" w:rsidRPr="008C05DE" w:rsidRDefault="00D276DD" w:rsidP="00D276DD">
            <w:pPr>
              <w:keepLines w:val="0"/>
              <w:jc w:val="right"/>
            </w:pPr>
            <w:r w:rsidRPr="008C05DE">
              <w:t>38,</w:t>
            </w:r>
            <w:r w:rsidR="0022060D" w:rsidRPr="008C05DE">
              <w:t>9%</w:t>
            </w:r>
          </w:p>
        </w:tc>
      </w:tr>
    </w:tbl>
    <w:p w14:paraId="1F96F7CA" w14:textId="0A81B022" w:rsidR="00992A5A" w:rsidRPr="0004665B" w:rsidRDefault="00C7682E" w:rsidP="00CC59E2">
      <w:pPr>
        <w:pStyle w:val="Heading2"/>
        <w:spacing w:before="320"/>
        <w:rPr>
          <w:lang w:val="fr-CA"/>
        </w:rPr>
      </w:pPr>
      <w:r>
        <w:rPr>
          <w:lang w:val="fr-CA"/>
        </w:rPr>
        <w:t xml:space="preserve">La représentation </w:t>
      </w:r>
      <w:r w:rsidR="0076517E">
        <w:rPr>
          <w:lang w:val="fr-CA"/>
        </w:rPr>
        <w:t xml:space="preserve">des fonctionnaires fédéraux et des </w:t>
      </w:r>
      <w:r w:rsidR="001636D9">
        <w:rPr>
          <w:lang w:val="fr-CA"/>
        </w:rPr>
        <w:t>postulants</w:t>
      </w:r>
      <w:r w:rsidR="0076517E">
        <w:rPr>
          <w:lang w:val="fr-CA"/>
        </w:rPr>
        <w:t xml:space="preserve"> externes</w:t>
      </w:r>
    </w:p>
    <w:p w14:paraId="0BB06396" w14:textId="35ACAC45" w:rsidR="00971D55" w:rsidRPr="0004665B" w:rsidRDefault="006B12C1" w:rsidP="0058460E">
      <w:pPr>
        <w:pStyle w:val="ListParagraph"/>
        <w:numPr>
          <w:ilvl w:val="0"/>
          <w:numId w:val="29"/>
        </w:numPr>
      </w:pPr>
      <w:r>
        <w:t>L</w:t>
      </w:r>
      <w:r w:rsidR="0076517E">
        <w:t xml:space="preserve">a représentation des </w:t>
      </w:r>
      <w:r>
        <w:t xml:space="preserve">quatre groupes visés par l’équité en matière d’emploi au sein des </w:t>
      </w:r>
      <w:r w:rsidR="001636D9">
        <w:t>postulants</w:t>
      </w:r>
      <w:r w:rsidR="0076517E">
        <w:t xml:space="preserve"> internes qui </w:t>
      </w:r>
      <w:r w:rsidR="000E0EA7">
        <w:t>appliquent</w:t>
      </w:r>
      <w:r w:rsidR="0076517E">
        <w:t xml:space="preserve"> </w:t>
      </w:r>
      <w:r w:rsidR="0009325F">
        <w:t>à une annonce d’</w:t>
      </w:r>
      <w:r w:rsidR="00D61396">
        <w:t>emploi</w:t>
      </w:r>
      <w:r w:rsidR="0076517E">
        <w:t xml:space="preserve"> ouvert au public</w:t>
      </w:r>
      <w:r>
        <w:t>,</w:t>
      </w:r>
      <w:r w:rsidR="0076517E">
        <w:t xml:space="preserve"> </w:t>
      </w:r>
      <w:r>
        <w:t xml:space="preserve">ou </w:t>
      </w:r>
      <w:r w:rsidR="0076517E">
        <w:t xml:space="preserve">qui sont nommés </w:t>
      </w:r>
      <w:r w:rsidR="00D61396">
        <w:t xml:space="preserve">à </w:t>
      </w:r>
      <w:r w:rsidR="0076517E">
        <w:t xml:space="preserve">un tel </w:t>
      </w:r>
      <w:r w:rsidR="00D61396">
        <w:t>emploi</w:t>
      </w:r>
      <w:r>
        <w:t>,</w:t>
      </w:r>
      <w:r w:rsidR="00D61396">
        <w:t xml:space="preserve"> est</w:t>
      </w:r>
      <w:r w:rsidR="0076517E">
        <w:t xml:space="preserve"> supérieure à l</w:t>
      </w:r>
      <w:r>
        <w:t>eur</w:t>
      </w:r>
      <w:r w:rsidR="0076517E">
        <w:t xml:space="preserve"> représentation </w:t>
      </w:r>
      <w:r>
        <w:t xml:space="preserve">au sein </w:t>
      </w:r>
      <w:r w:rsidR="0076517E">
        <w:t xml:space="preserve">des </w:t>
      </w:r>
      <w:r w:rsidR="001636D9">
        <w:t>postulants</w:t>
      </w:r>
      <w:r w:rsidR="009C26B6">
        <w:t xml:space="preserve"> externes.</w:t>
      </w:r>
    </w:p>
    <w:p w14:paraId="549458A5" w14:textId="64C53E8D" w:rsidR="0071600E" w:rsidRPr="0004665B" w:rsidRDefault="006B12C1" w:rsidP="009C26B6">
      <w:pPr>
        <w:pStyle w:val="ListParagraph"/>
        <w:numPr>
          <w:ilvl w:val="0"/>
          <w:numId w:val="29"/>
        </w:numPr>
      </w:pPr>
      <w:r>
        <w:t>À</w:t>
      </w:r>
      <w:r w:rsidR="0076517E">
        <w:t xml:space="preserve"> l’exception des personnes handicapées</w:t>
      </w:r>
      <w:r w:rsidR="00884BEE">
        <w:t>,</w:t>
      </w:r>
      <w:r w:rsidR="0076517E">
        <w:t xml:space="preserve"> </w:t>
      </w:r>
      <w:r>
        <w:t xml:space="preserve">la représentation des groupes visés par l’équité en matière d’emploi au sein des emplois ouverts au public </w:t>
      </w:r>
      <w:r w:rsidR="0076517E">
        <w:t>est supérieur</w:t>
      </w:r>
      <w:r w:rsidR="00884BEE">
        <w:t>e</w:t>
      </w:r>
      <w:r w:rsidR="0076517E">
        <w:t xml:space="preserve"> à leur disponibilité </w:t>
      </w:r>
      <w:r>
        <w:t xml:space="preserve">respective </w:t>
      </w:r>
      <w:r w:rsidR="0076517E">
        <w:t xml:space="preserve">au sein de la population active, et ce, </w:t>
      </w:r>
      <w:r w:rsidR="00884BEE">
        <w:t xml:space="preserve">tant </w:t>
      </w:r>
      <w:r w:rsidR="0076517E">
        <w:t xml:space="preserve">pour les </w:t>
      </w:r>
      <w:r w:rsidR="001636D9">
        <w:t>postulants</w:t>
      </w:r>
      <w:r w:rsidR="0076517E">
        <w:t xml:space="preserve"> internes </w:t>
      </w:r>
      <w:r w:rsidR="00884BEE">
        <w:t xml:space="preserve">que les </w:t>
      </w:r>
      <w:r w:rsidR="001636D9">
        <w:t>postulants</w:t>
      </w:r>
      <w:r w:rsidR="00884BEE">
        <w:t xml:space="preserve"> externes</w:t>
      </w:r>
      <w:r w:rsidR="005D2DDC" w:rsidRPr="0004665B">
        <w:t>.</w:t>
      </w:r>
    </w:p>
    <w:p w14:paraId="5D4F743F" w14:textId="77777777" w:rsidR="00B25869" w:rsidRDefault="0071600E" w:rsidP="00B25869">
      <w:pPr>
        <w:pStyle w:val="ListParagraph"/>
        <w:keepNext/>
        <w:numPr>
          <w:ilvl w:val="0"/>
          <w:numId w:val="0"/>
        </w:numPr>
        <w:ind w:left="720"/>
        <w:jc w:val="center"/>
      </w:pPr>
      <w:r w:rsidRPr="0004665B">
        <w:rPr>
          <w:noProof/>
          <w:lang w:val="en-CA" w:eastAsia="en-CA"/>
        </w:rPr>
        <w:lastRenderedPageBreak/>
        <w:drawing>
          <wp:inline distT="0" distB="0" distL="0" distR="0" wp14:anchorId="41BA802D" wp14:editId="106FA8C6">
            <wp:extent cx="4085998" cy="5107498"/>
            <wp:effectExtent l="0" t="0" r="0" b="0"/>
            <wp:docPr id="12" name="Picture 12" descr="Huit graphiques linéaires. Chaque graphique démontre un groupe d'équiti en matière d'emploi et la représentation des postulants et des nominations internes et externes. Chaque graphique démontre les exercices financiers entre 2016-2017 and 2018-2019, et démontre la disponibilité au sein de la population active." title="Représentation sur le plan de l'équité en matière d'emploi des postulants internes et nominations internes aux emplois ouverts au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_intext_e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5998" cy="5107498"/>
                    </a:xfrm>
                    <a:prstGeom prst="rect">
                      <a:avLst/>
                    </a:prstGeom>
                  </pic:spPr>
                </pic:pic>
              </a:graphicData>
            </a:graphic>
          </wp:inline>
        </w:drawing>
      </w:r>
    </w:p>
    <w:p w14:paraId="1F0618A1" w14:textId="504DB2F9" w:rsidR="00B25869" w:rsidRPr="00B25869" w:rsidRDefault="00B25869" w:rsidP="00CC59E2">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rsidR="00555113">
        <w:t> </w:t>
      </w:r>
      <w:r>
        <w:t xml:space="preserve">: </w:t>
      </w:r>
      <w:r w:rsidRPr="004A4268">
        <w:t xml:space="preserve">Représentation sur le plan d’équité en matière d’emploi </w:t>
      </w:r>
      <w:r>
        <w:t>des postulants internes et nominations internes aux emplois ouverts au public</w:t>
      </w:r>
    </w:p>
    <w:p w14:paraId="55D4B299" w14:textId="0084D311" w:rsidR="00B25869" w:rsidRDefault="00B25869" w:rsidP="00CC59E2">
      <w:pPr>
        <w:pStyle w:val="Caption"/>
        <w:keepNext/>
        <w:spacing w:before="400"/>
        <w:jc w:val="center"/>
      </w:pPr>
      <w:r>
        <w:t xml:space="preserve">Table </w:t>
      </w:r>
      <w:r>
        <w:fldChar w:fldCharType="begin"/>
      </w:r>
      <w:r>
        <w:instrText xml:space="preserve"> SEQ Table \* ARABIC </w:instrText>
      </w:r>
      <w:r>
        <w:fldChar w:fldCharType="separate"/>
      </w:r>
      <w:r>
        <w:rPr>
          <w:noProof/>
        </w:rPr>
        <w:t>2</w:t>
      </w:r>
      <w:r>
        <w:fldChar w:fldCharType="end"/>
      </w:r>
      <w:r w:rsidR="00555113">
        <w:t> </w:t>
      </w:r>
      <w:r>
        <w:t xml:space="preserve">: </w:t>
      </w:r>
      <w:r w:rsidRPr="00EF3660">
        <w:t>Représentation sur le plan d’équité en matière d’emploi pour les postulants externes – peuples autochtones</w:t>
      </w:r>
    </w:p>
    <w:tbl>
      <w:tblPr>
        <w:tblStyle w:val="TableGrid"/>
        <w:tblW w:w="0" w:type="auto"/>
        <w:tblLook w:val="04A0" w:firstRow="1" w:lastRow="0" w:firstColumn="1" w:lastColumn="0" w:noHBand="0" w:noVBand="1"/>
        <w:tblCaption w:val="Représentation sur le plan d’équité en matière d’emploi pour les postulants externes – peuples autochtones"/>
        <w:tblDescription w:val="Une table qui démontre la représentation sur le plan d'équité en matière d'emploi pour les postulants et les nominations."/>
      </w:tblPr>
      <w:tblGrid>
        <w:gridCol w:w="2337"/>
        <w:gridCol w:w="2337"/>
        <w:gridCol w:w="2338"/>
        <w:gridCol w:w="2338"/>
      </w:tblGrid>
      <w:tr w:rsidR="005F210D" w14:paraId="2BA8306F" w14:textId="77777777" w:rsidTr="0077112C">
        <w:trPr>
          <w:tblHeader/>
        </w:trPr>
        <w:tc>
          <w:tcPr>
            <w:tcW w:w="2337" w:type="dxa"/>
          </w:tcPr>
          <w:p w14:paraId="03A32FE8" w14:textId="7762C502" w:rsidR="005F210D" w:rsidRPr="008C05DE" w:rsidRDefault="005F210D" w:rsidP="00FB6DFC">
            <w:pPr>
              <w:keepLines w:val="0"/>
              <w:jc w:val="center"/>
            </w:pPr>
            <w:r w:rsidRPr="008C05DE">
              <w:t>Représentation</w:t>
            </w:r>
          </w:p>
        </w:tc>
        <w:tc>
          <w:tcPr>
            <w:tcW w:w="2337" w:type="dxa"/>
          </w:tcPr>
          <w:p w14:paraId="26718477" w14:textId="77777777" w:rsidR="005F210D" w:rsidRPr="008C05DE" w:rsidRDefault="005F210D" w:rsidP="00FB6DFC">
            <w:pPr>
              <w:keepLines w:val="0"/>
              <w:jc w:val="center"/>
            </w:pPr>
            <w:r w:rsidRPr="008C05DE">
              <w:t>2016-2017</w:t>
            </w:r>
          </w:p>
        </w:tc>
        <w:tc>
          <w:tcPr>
            <w:tcW w:w="2338" w:type="dxa"/>
          </w:tcPr>
          <w:p w14:paraId="6BF39102" w14:textId="77777777" w:rsidR="005F210D" w:rsidRPr="008C05DE" w:rsidRDefault="005F210D" w:rsidP="00FB6DFC">
            <w:pPr>
              <w:keepLines w:val="0"/>
              <w:jc w:val="center"/>
            </w:pPr>
            <w:r w:rsidRPr="008C05DE">
              <w:t>2017-2018</w:t>
            </w:r>
          </w:p>
        </w:tc>
        <w:tc>
          <w:tcPr>
            <w:tcW w:w="2338" w:type="dxa"/>
          </w:tcPr>
          <w:p w14:paraId="7A0EFA60" w14:textId="77777777" w:rsidR="005F210D" w:rsidRPr="008C05DE" w:rsidRDefault="005F210D" w:rsidP="00FB6DFC">
            <w:pPr>
              <w:keepLines w:val="0"/>
              <w:jc w:val="center"/>
            </w:pPr>
            <w:r w:rsidRPr="008C05DE">
              <w:t>2018-2019</w:t>
            </w:r>
          </w:p>
        </w:tc>
      </w:tr>
      <w:tr w:rsidR="005F210D" w14:paraId="74846BD6" w14:textId="77777777" w:rsidTr="0077112C">
        <w:tc>
          <w:tcPr>
            <w:tcW w:w="2337" w:type="dxa"/>
          </w:tcPr>
          <w:p w14:paraId="6E56DA07" w14:textId="73E6CA40" w:rsidR="005F210D" w:rsidRPr="008C05DE" w:rsidRDefault="005F210D" w:rsidP="0077112C">
            <w:pPr>
              <w:keepLines w:val="0"/>
            </w:pPr>
            <w:r w:rsidRPr="008C05DE">
              <w:t>Postulants</w:t>
            </w:r>
          </w:p>
        </w:tc>
        <w:tc>
          <w:tcPr>
            <w:tcW w:w="2337" w:type="dxa"/>
          </w:tcPr>
          <w:p w14:paraId="14F7383B" w14:textId="1A6A84B7" w:rsidR="005F210D" w:rsidRPr="008C05DE" w:rsidRDefault="00D276DD" w:rsidP="00D276DD">
            <w:pPr>
              <w:keepLines w:val="0"/>
              <w:jc w:val="right"/>
            </w:pPr>
            <w:r w:rsidRPr="008C05DE">
              <w:t>3,</w:t>
            </w:r>
            <w:r w:rsidR="005F210D" w:rsidRPr="008C05DE">
              <w:t>1%</w:t>
            </w:r>
          </w:p>
        </w:tc>
        <w:tc>
          <w:tcPr>
            <w:tcW w:w="2338" w:type="dxa"/>
          </w:tcPr>
          <w:p w14:paraId="6B34E24F" w14:textId="70E3D9BC" w:rsidR="005F210D" w:rsidRPr="008C05DE" w:rsidRDefault="00D276DD" w:rsidP="00D276DD">
            <w:pPr>
              <w:keepLines w:val="0"/>
              <w:jc w:val="right"/>
            </w:pPr>
            <w:r w:rsidRPr="008C05DE">
              <w:t>3,</w:t>
            </w:r>
            <w:r w:rsidR="005F210D" w:rsidRPr="008C05DE">
              <w:t>0%</w:t>
            </w:r>
          </w:p>
        </w:tc>
        <w:tc>
          <w:tcPr>
            <w:tcW w:w="2338" w:type="dxa"/>
          </w:tcPr>
          <w:p w14:paraId="66DAD759" w14:textId="299044EF" w:rsidR="005F210D" w:rsidRPr="008C05DE" w:rsidRDefault="00D276DD" w:rsidP="00D276DD">
            <w:pPr>
              <w:keepLines w:val="0"/>
              <w:jc w:val="right"/>
            </w:pPr>
            <w:r w:rsidRPr="008C05DE">
              <w:t>2,</w:t>
            </w:r>
            <w:r w:rsidR="005F210D" w:rsidRPr="008C05DE">
              <w:t>8%</w:t>
            </w:r>
          </w:p>
        </w:tc>
      </w:tr>
      <w:tr w:rsidR="005F210D" w14:paraId="7BB47059" w14:textId="77777777" w:rsidTr="0077112C">
        <w:tc>
          <w:tcPr>
            <w:tcW w:w="2337" w:type="dxa"/>
          </w:tcPr>
          <w:p w14:paraId="1729F046" w14:textId="5F83F266" w:rsidR="005F210D" w:rsidRPr="008C05DE" w:rsidRDefault="005F210D" w:rsidP="005F210D">
            <w:pPr>
              <w:keepLines w:val="0"/>
            </w:pPr>
            <w:r w:rsidRPr="008C05DE">
              <w:t>Nominations</w:t>
            </w:r>
          </w:p>
        </w:tc>
        <w:tc>
          <w:tcPr>
            <w:tcW w:w="2337" w:type="dxa"/>
          </w:tcPr>
          <w:p w14:paraId="3EF366E6" w14:textId="4F1A7A22" w:rsidR="005F210D" w:rsidRPr="008C05DE" w:rsidRDefault="00D276DD" w:rsidP="00D276DD">
            <w:pPr>
              <w:keepLines w:val="0"/>
              <w:jc w:val="right"/>
            </w:pPr>
            <w:r w:rsidRPr="008C05DE">
              <w:t>4,</w:t>
            </w:r>
            <w:r w:rsidR="005F210D" w:rsidRPr="008C05DE">
              <w:t>5%</w:t>
            </w:r>
          </w:p>
        </w:tc>
        <w:tc>
          <w:tcPr>
            <w:tcW w:w="2338" w:type="dxa"/>
          </w:tcPr>
          <w:p w14:paraId="1ABF6B9C" w14:textId="4B57BB55" w:rsidR="005F210D" w:rsidRPr="008C05DE" w:rsidRDefault="00D276DD" w:rsidP="00D276DD">
            <w:pPr>
              <w:keepLines w:val="0"/>
              <w:jc w:val="right"/>
            </w:pPr>
            <w:r w:rsidRPr="008C05DE">
              <w:t>4,</w:t>
            </w:r>
            <w:r w:rsidR="005F210D" w:rsidRPr="008C05DE">
              <w:t>1%</w:t>
            </w:r>
          </w:p>
        </w:tc>
        <w:tc>
          <w:tcPr>
            <w:tcW w:w="2338" w:type="dxa"/>
          </w:tcPr>
          <w:p w14:paraId="3C900249" w14:textId="12F72F0C" w:rsidR="005F210D" w:rsidRPr="008C05DE" w:rsidRDefault="00D276DD" w:rsidP="00D276DD">
            <w:pPr>
              <w:keepLines w:val="0"/>
              <w:jc w:val="right"/>
            </w:pPr>
            <w:r w:rsidRPr="008C05DE">
              <w:t>4,</w:t>
            </w:r>
            <w:r w:rsidR="005F210D" w:rsidRPr="008C05DE">
              <w:t>5%</w:t>
            </w:r>
          </w:p>
        </w:tc>
      </w:tr>
    </w:tbl>
    <w:p w14:paraId="3F42DBF7" w14:textId="77777777" w:rsidR="00CC59E2" w:rsidRDefault="00CC59E2">
      <w:pPr>
        <w:keepLines w:val="0"/>
        <w:rPr>
          <w:i/>
          <w:iCs/>
          <w:color w:val="54575A" w:themeColor="text2"/>
          <w:sz w:val="18"/>
          <w:szCs w:val="18"/>
        </w:rPr>
      </w:pPr>
      <w:r>
        <w:br w:type="page"/>
      </w:r>
    </w:p>
    <w:p w14:paraId="10A43CF6" w14:textId="465ED5F4" w:rsidR="00B25869" w:rsidRDefault="00B25869" w:rsidP="00CC59E2">
      <w:pPr>
        <w:pStyle w:val="Caption"/>
        <w:keepNext/>
        <w:spacing w:before="400"/>
        <w:jc w:val="center"/>
      </w:pPr>
      <w:r>
        <w:lastRenderedPageBreak/>
        <w:t xml:space="preserve">Table </w:t>
      </w:r>
      <w:r>
        <w:fldChar w:fldCharType="begin"/>
      </w:r>
      <w:r>
        <w:instrText xml:space="preserve"> SEQ Table \* ARABIC </w:instrText>
      </w:r>
      <w:r>
        <w:fldChar w:fldCharType="separate"/>
      </w:r>
      <w:r>
        <w:rPr>
          <w:noProof/>
        </w:rPr>
        <w:t>3</w:t>
      </w:r>
      <w:r>
        <w:fldChar w:fldCharType="end"/>
      </w:r>
      <w:r w:rsidR="00555113">
        <w:t> </w:t>
      </w:r>
      <w:r>
        <w:t xml:space="preserve">: </w:t>
      </w:r>
      <w:r w:rsidRPr="00711F11">
        <w:t>Représentation sur le plan d’équité en matière d’emploi pour les postulants internes – peuples autochtones</w:t>
      </w:r>
    </w:p>
    <w:tbl>
      <w:tblPr>
        <w:tblStyle w:val="TableGrid"/>
        <w:tblW w:w="0" w:type="auto"/>
        <w:tblLook w:val="04A0" w:firstRow="1" w:lastRow="0" w:firstColumn="1" w:lastColumn="0" w:noHBand="0" w:noVBand="1"/>
        <w:tblCaption w:val="Représentation sur le plan d’équité en matière d’emploi pour les postulants internes – peuples autochtones"/>
        <w:tblDescription w:val="Une table qui démontre la représentation sur le plan d'équité en matière d'emploi pour les postulants et les nominations."/>
      </w:tblPr>
      <w:tblGrid>
        <w:gridCol w:w="2337"/>
        <w:gridCol w:w="2337"/>
        <w:gridCol w:w="2338"/>
        <w:gridCol w:w="2338"/>
      </w:tblGrid>
      <w:tr w:rsidR="005F210D" w14:paraId="1DA45565" w14:textId="77777777" w:rsidTr="0077112C">
        <w:trPr>
          <w:tblHeader/>
        </w:trPr>
        <w:tc>
          <w:tcPr>
            <w:tcW w:w="2337" w:type="dxa"/>
          </w:tcPr>
          <w:p w14:paraId="3F5AEB21" w14:textId="53CB3D48" w:rsidR="005F210D" w:rsidRPr="008C05DE" w:rsidRDefault="005F210D" w:rsidP="00FB6DFC">
            <w:pPr>
              <w:keepLines w:val="0"/>
              <w:jc w:val="center"/>
            </w:pPr>
            <w:r w:rsidRPr="008C05DE">
              <w:t>Représentation</w:t>
            </w:r>
          </w:p>
        </w:tc>
        <w:tc>
          <w:tcPr>
            <w:tcW w:w="2337" w:type="dxa"/>
          </w:tcPr>
          <w:p w14:paraId="1DFB2C2E" w14:textId="77777777" w:rsidR="005F210D" w:rsidRPr="008C05DE" w:rsidRDefault="005F210D" w:rsidP="00FB6DFC">
            <w:pPr>
              <w:keepLines w:val="0"/>
              <w:jc w:val="center"/>
            </w:pPr>
            <w:r w:rsidRPr="008C05DE">
              <w:t>2016-2017</w:t>
            </w:r>
          </w:p>
        </w:tc>
        <w:tc>
          <w:tcPr>
            <w:tcW w:w="2338" w:type="dxa"/>
          </w:tcPr>
          <w:p w14:paraId="47DA965C" w14:textId="77777777" w:rsidR="005F210D" w:rsidRPr="008C05DE" w:rsidRDefault="005F210D" w:rsidP="00FB6DFC">
            <w:pPr>
              <w:keepLines w:val="0"/>
              <w:jc w:val="center"/>
            </w:pPr>
            <w:r w:rsidRPr="008C05DE">
              <w:t>2017-2018</w:t>
            </w:r>
          </w:p>
        </w:tc>
        <w:tc>
          <w:tcPr>
            <w:tcW w:w="2338" w:type="dxa"/>
          </w:tcPr>
          <w:p w14:paraId="27C7235C" w14:textId="77777777" w:rsidR="005F210D" w:rsidRPr="008C05DE" w:rsidRDefault="005F210D" w:rsidP="00FB6DFC">
            <w:pPr>
              <w:keepLines w:val="0"/>
              <w:jc w:val="center"/>
            </w:pPr>
            <w:r w:rsidRPr="008C05DE">
              <w:t>2018-2019</w:t>
            </w:r>
          </w:p>
        </w:tc>
      </w:tr>
      <w:tr w:rsidR="005F210D" w14:paraId="7B5FBC1C" w14:textId="77777777" w:rsidTr="0077112C">
        <w:tc>
          <w:tcPr>
            <w:tcW w:w="2337" w:type="dxa"/>
          </w:tcPr>
          <w:p w14:paraId="446CB66B" w14:textId="288E1C39" w:rsidR="005F210D" w:rsidRPr="008C05DE" w:rsidRDefault="005F210D" w:rsidP="005F210D">
            <w:pPr>
              <w:keepLines w:val="0"/>
            </w:pPr>
            <w:r w:rsidRPr="008C05DE">
              <w:t>Postulants</w:t>
            </w:r>
          </w:p>
        </w:tc>
        <w:tc>
          <w:tcPr>
            <w:tcW w:w="2337" w:type="dxa"/>
          </w:tcPr>
          <w:p w14:paraId="199EFF97" w14:textId="17772DA3" w:rsidR="005F210D" w:rsidRPr="008C05DE" w:rsidRDefault="00D276DD" w:rsidP="00D276DD">
            <w:pPr>
              <w:keepLines w:val="0"/>
              <w:jc w:val="right"/>
            </w:pPr>
            <w:r w:rsidRPr="008C05DE">
              <w:t>4,</w:t>
            </w:r>
            <w:r w:rsidR="005F210D" w:rsidRPr="008C05DE">
              <w:t>5%</w:t>
            </w:r>
          </w:p>
        </w:tc>
        <w:tc>
          <w:tcPr>
            <w:tcW w:w="2338" w:type="dxa"/>
          </w:tcPr>
          <w:p w14:paraId="03BFF9BC" w14:textId="6F019E88" w:rsidR="005F210D" w:rsidRPr="008C05DE" w:rsidRDefault="00D276DD" w:rsidP="00D276DD">
            <w:pPr>
              <w:keepLines w:val="0"/>
              <w:jc w:val="right"/>
            </w:pPr>
            <w:r w:rsidRPr="008C05DE">
              <w:t>4,</w:t>
            </w:r>
            <w:r w:rsidR="005F210D" w:rsidRPr="008C05DE">
              <w:t>3%</w:t>
            </w:r>
          </w:p>
        </w:tc>
        <w:tc>
          <w:tcPr>
            <w:tcW w:w="2338" w:type="dxa"/>
          </w:tcPr>
          <w:p w14:paraId="76DC4569" w14:textId="2843142C" w:rsidR="005F210D" w:rsidRPr="008C05DE" w:rsidRDefault="00D276DD" w:rsidP="00D276DD">
            <w:pPr>
              <w:keepLines w:val="0"/>
              <w:jc w:val="right"/>
            </w:pPr>
            <w:r w:rsidRPr="008C05DE">
              <w:t>4,</w:t>
            </w:r>
            <w:r w:rsidR="005F210D" w:rsidRPr="008C05DE">
              <w:t>6%</w:t>
            </w:r>
          </w:p>
        </w:tc>
      </w:tr>
      <w:tr w:rsidR="005F210D" w14:paraId="19657791" w14:textId="77777777" w:rsidTr="0077112C">
        <w:tc>
          <w:tcPr>
            <w:tcW w:w="2337" w:type="dxa"/>
          </w:tcPr>
          <w:p w14:paraId="22C07ED3" w14:textId="297CADDB" w:rsidR="005F210D" w:rsidRPr="008C05DE" w:rsidRDefault="005F210D" w:rsidP="005F210D">
            <w:pPr>
              <w:keepLines w:val="0"/>
            </w:pPr>
            <w:r w:rsidRPr="008C05DE">
              <w:t>Nominations</w:t>
            </w:r>
          </w:p>
        </w:tc>
        <w:tc>
          <w:tcPr>
            <w:tcW w:w="2337" w:type="dxa"/>
          </w:tcPr>
          <w:p w14:paraId="4DCE39D8" w14:textId="7A3FDE27" w:rsidR="005F210D" w:rsidRPr="008C05DE" w:rsidRDefault="00D276DD" w:rsidP="00D276DD">
            <w:pPr>
              <w:keepLines w:val="0"/>
              <w:jc w:val="right"/>
            </w:pPr>
            <w:r w:rsidRPr="008C05DE">
              <w:t>5,</w:t>
            </w:r>
            <w:r w:rsidR="005F210D" w:rsidRPr="008C05DE">
              <w:t>5%</w:t>
            </w:r>
          </w:p>
        </w:tc>
        <w:tc>
          <w:tcPr>
            <w:tcW w:w="2338" w:type="dxa"/>
          </w:tcPr>
          <w:p w14:paraId="7B8E0176" w14:textId="02A44D8A" w:rsidR="005F210D" w:rsidRPr="008C05DE" w:rsidRDefault="00D276DD" w:rsidP="00D276DD">
            <w:pPr>
              <w:keepLines w:val="0"/>
              <w:jc w:val="right"/>
            </w:pPr>
            <w:r w:rsidRPr="008C05DE">
              <w:t>5,</w:t>
            </w:r>
            <w:r w:rsidR="005F210D" w:rsidRPr="008C05DE">
              <w:t>3%</w:t>
            </w:r>
          </w:p>
        </w:tc>
        <w:tc>
          <w:tcPr>
            <w:tcW w:w="2338" w:type="dxa"/>
          </w:tcPr>
          <w:p w14:paraId="11DAFE96" w14:textId="5FDC0F11" w:rsidR="005F210D" w:rsidRPr="008C05DE" w:rsidRDefault="00D276DD" w:rsidP="00D276DD">
            <w:pPr>
              <w:keepLines w:val="0"/>
              <w:jc w:val="right"/>
            </w:pPr>
            <w:r w:rsidRPr="008C05DE">
              <w:t>5,</w:t>
            </w:r>
            <w:r w:rsidR="005F210D" w:rsidRPr="008C05DE">
              <w:t>2%</w:t>
            </w:r>
          </w:p>
        </w:tc>
      </w:tr>
    </w:tbl>
    <w:p w14:paraId="3898B781" w14:textId="4664541D" w:rsidR="00B25869" w:rsidRDefault="00B25869" w:rsidP="00CC59E2">
      <w:pPr>
        <w:pStyle w:val="Caption"/>
        <w:keepNext/>
        <w:spacing w:before="320"/>
        <w:jc w:val="center"/>
      </w:pPr>
      <w:r>
        <w:t xml:space="preserve">Table </w:t>
      </w:r>
      <w:r>
        <w:fldChar w:fldCharType="begin"/>
      </w:r>
      <w:r>
        <w:instrText xml:space="preserve"> SEQ Table \* ARABIC </w:instrText>
      </w:r>
      <w:r>
        <w:fldChar w:fldCharType="separate"/>
      </w:r>
      <w:r>
        <w:rPr>
          <w:noProof/>
        </w:rPr>
        <w:t>4</w:t>
      </w:r>
      <w:r>
        <w:fldChar w:fldCharType="end"/>
      </w:r>
      <w:r w:rsidR="00555113">
        <w:t> </w:t>
      </w:r>
      <w:r>
        <w:t xml:space="preserve">: </w:t>
      </w:r>
      <w:r w:rsidRPr="00A37358">
        <w:t>Représentation sur le plan d’équité en matière d’emploi pour les postulants externes – personnes en situation de handicap</w:t>
      </w:r>
    </w:p>
    <w:tbl>
      <w:tblPr>
        <w:tblStyle w:val="TableGrid"/>
        <w:tblW w:w="0" w:type="auto"/>
        <w:tblLook w:val="04A0" w:firstRow="1" w:lastRow="0" w:firstColumn="1" w:lastColumn="0" w:noHBand="0" w:noVBand="1"/>
        <w:tblCaption w:val="Représentation sur le plan d’équité en matière d’emploi pour les postulants externes – personnes en situation de handicap"/>
        <w:tblDescription w:val="Une table qui démontre la représentation sur le plan d'équité en matière d'emploi pour les postulants et les nominations."/>
      </w:tblPr>
      <w:tblGrid>
        <w:gridCol w:w="2337"/>
        <w:gridCol w:w="2337"/>
        <w:gridCol w:w="2338"/>
        <w:gridCol w:w="2338"/>
      </w:tblGrid>
      <w:tr w:rsidR="005F210D" w14:paraId="73430EF2" w14:textId="77777777" w:rsidTr="0077112C">
        <w:trPr>
          <w:tblHeader/>
        </w:trPr>
        <w:tc>
          <w:tcPr>
            <w:tcW w:w="2337" w:type="dxa"/>
          </w:tcPr>
          <w:p w14:paraId="6B79492D" w14:textId="6C4352D5" w:rsidR="005F210D" w:rsidRPr="008C05DE" w:rsidRDefault="005F210D" w:rsidP="00FB6DFC">
            <w:pPr>
              <w:keepLines w:val="0"/>
              <w:jc w:val="center"/>
            </w:pPr>
            <w:r w:rsidRPr="008C05DE">
              <w:t>Représentation</w:t>
            </w:r>
          </w:p>
        </w:tc>
        <w:tc>
          <w:tcPr>
            <w:tcW w:w="2337" w:type="dxa"/>
          </w:tcPr>
          <w:p w14:paraId="26F925E1" w14:textId="77777777" w:rsidR="005F210D" w:rsidRPr="008C05DE" w:rsidRDefault="005F210D" w:rsidP="00FB6DFC">
            <w:pPr>
              <w:keepLines w:val="0"/>
              <w:jc w:val="center"/>
            </w:pPr>
            <w:r w:rsidRPr="008C05DE">
              <w:t>2016-2017</w:t>
            </w:r>
          </w:p>
        </w:tc>
        <w:tc>
          <w:tcPr>
            <w:tcW w:w="2338" w:type="dxa"/>
          </w:tcPr>
          <w:p w14:paraId="3F2EFD2F" w14:textId="77777777" w:rsidR="005F210D" w:rsidRPr="008C05DE" w:rsidRDefault="005F210D" w:rsidP="00FB6DFC">
            <w:pPr>
              <w:keepLines w:val="0"/>
              <w:jc w:val="center"/>
            </w:pPr>
            <w:r w:rsidRPr="008C05DE">
              <w:t>2017-2018</w:t>
            </w:r>
          </w:p>
        </w:tc>
        <w:tc>
          <w:tcPr>
            <w:tcW w:w="2338" w:type="dxa"/>
          </w:tcPr>
          <w:p w14:paraId="08B3C2C1" w14:textId="77777777" w:rsidR="005F210D" w:rsidRPr="008C05DE" w:rsidRDefault="005F210D" w:rsidP="00FB6DFC">
            <w:pPr>
              <w:keepLines w:val="0"/>
              <w:jc w:val="center"/>
            </w:pPr>
            <w:r w:rsidRPr="008C05DE">
              <w:t>2018-2019</w:t>
            </w:r>
          </w:p>
        </w:tc>
      </w:tr>
      <w:tr w:rsidR="005F210D" w14:paraId="5A74D6F9" w14:textId="77777777" w:rsidTr="0077112C">
        <w:tc>
          <w:tcPr>
            <w:tcW w:w="2337" w:type="dxa"/>
          </w:tcPr>
          <w:p w14:paraId="6EA159E4" w14:textId="06FE2F6A" w:rsidR="005F210D" w:rsidRPr="008C05DE" w:rsidRDefault="005F210D" w:rsidP="005F210D">
            <w:pPr>
              <w:keepLines w:val="0"/>
            </w:pPr>
            <w:r w:rsidRPr="008C05DE">
              <w:t>Postulants</w:t>
            </w:r>
          </w:p>
        </w:tc>
        <w:tc>
          <w:tcPr>
            <w:tcW w:w="2337" w:type="dxa"/>
          </w:tcPr>
          <w:p w14:paraId="3F0262F5" w14:textId="71D7907E" w:rsidR="005F210D" w:rsidRPr="008C05DE" w:rsidRDefault="00D276DD" w:rsidP="00D276DD">
            <w:pPr>
              <w:keepLines w:val="0"/>
              <w:jc w:val="right"/>
            </w:pPr>
            <w:r w:rsidRPr="008C05DE">
              <w:t>2,</w:t>
            </w:r>
            <w:r w:rsidR="005F210D" w:rsidRPr="008C05DE">
              <w:t>4%</w:t>
            </w:r>
          </w:p>
        </w:tc>
        <w:tc>
          <w:tcPr>
            <w:tcW w:w="2338" w:type="dxa"/>
          </w:tcPr>
          <w:p w14:paraId="599B36D5" w14:textId="7189EE7D" w:rsidR="005F210D" w:rsidRPr="008C05DE" w:rsidRDefault="00D276DD" w:rsidP="00D276DD">
            <w:pPr>
              <w:keepLines w:val="0"/>
              <w:jc w:val="right"/>
            </w:pPr>
            <w:r w:rsidRPr="008C05DE">
              <w:t>2,</w:t>
            </w:r>
            <w:r w:rsidR="005F210D" w:rsidRPr="008C05DE">
              <w:t>5%</w:t>
            </w:r>
          </w:p>
        </w:tc>
        <w:tc>
          <w:tcPr>
            <w:tcW w:w="2338" w:type="dxa"/>
          </w:tcPr>
          <w:p w14:paraId="32935D73" w14:textId="6C1AFEA7" w:rsidR="005F210D" w:rsidRPr="008C05DE" w:rsidRDefault="00D276DD" w:rsidP="00D276DD">
            <w:pPr>
              <w:keepLines w:val="0"/>
              <w:jc w:val="right"/>
            </w:pPr>
            <w:r w:rsidRPr="008C05DE">
              <w:t>2,</w:t>
            </w:r>
            <w:r w:rsidR="005F210D" w:rsidRPr="008C05DE">
              <w:t>3%</w:t>
            </w:r>
          </w:p>
        </w:tc>
      </w:tr>
      <w:tr w:rsidR="005F210D" w14:paraId="03AF6CE6" w14:textId="77777777" w:rsidTr="0077112C">
        <w:tc>
          <w:tcPr>
            <w:tcW w:w="2337" w:type="dxa"/>
          </w:tcPr>
          <w:p w14:paraId="4F67F243" w14:textId="6B79CBE3" w:rsidR="005F210D" w:rsidRPr="008C05DE" w:rsidRDefault="005F210D" w:rsidP="005F210D">
            <w:pPr>
              <w:keepLines w:val="0"/>
            </w:pPr>
            <w:r w:rsidRPr="008C05DE">
              <w:t>Nominations</w:t>
            </w:r>
          </w:p>
        </w:tc>
        <w:tc>
          <w:tcPr>
            <w:tcW w:w="2337" w:type="dxa"/>
          </w:tcPr>
          <w:p w14:paraId="61C5CC14" w14:textId="2508803F" w:rsidR="005F210D" w:rsidRPr="008C05DE" w:rsidRDefault="00D276DD" w:rsidP="00D276DD">
            <w:pPr>
              <w:keepLines w:val="0"/>
              <w:jc w:val="right"/>
            </w:pPr>
            <w:r w:rsidRPr="008C05DE">
              <w:t>3,</w:t>
            </w:r>
            <w:r w:rsidR="005F210D" w:rsidRPr="008C05DE">
              <w:t>7%</w:t>
            </w:r>
          </w:p>
        </w:tc>
        <w:tc>
          <w:tcPr>
            <w:tcW w:w="2338" w:type="dxa"/>
          </w:tcPr>
          <w:p w14:paraId="7C331000" w14:textId="193C6C56" w:rsidR="005F210D" w:rsidRPr="008C05DE" w:rsidRDefault="00D276DD" w:rsidP="00D276DD">
            <w:pPr>
              <w:keepLines w:val="0"/>
              <w:jc w:val="right"/>
            </w:pPr>
            <w:r w:rsidRPr="008C05DE">
              <w:t>3,</w:t>
            </w:r>
            <w:r w:rsidR="005F210D" w:rsidRPr="008C05DE">
              <w:t>5%</w:t>
            </w:r>
          </w:p>
        </w:tc>
        <w:tc>
          <w:tcPr>
            <w:tcW w:w="2338" w:type="dxa"/>
          </w:tcPr>
          <w:p w14:paraId="4DF9D00D" w14:textId="6C12EA58" w:rsidR="005F210D" w:rsidRPr="008C05DE" w:rsidRDefault="00D276DD" w:rsidP="00D276DD">
            <w:pPr>
              <w:keepLines w:val="0"/>
              <w:jc w:val="right"/>
            </w:pPr>
            <w:r w:rsidRPr="008C05DE">
              <w:t>3,</w:t>
            </w:r>
            <w:r w:rsidR="005F210D" w:rsidRPr="008C05DE">
              <w:t>9%</w:t>
            </w:r>
          </w:p>
        </w:tc>
      </w:tr>
    </w:tbl>
    <w:p w14:paraId="7786D5B6" w14:textId="71D65413" w:rsidR="00B25869" w:rsidRDefault="00B25869" w:rsidP="00CC59E2">
      <w:pPr>
        <w:pStyle w:val="Caption"/>
        <w:keepNext/>
        <w:spacing w:before="320"/>
        <w:jc w:val="center"/>
      </w:pPr>
      <w:r>
        <w:t xml:space="preserve">Table </w:t>
      </w:r>
      <w:r>
        <w:fldChar w:fldCharType="begin"/>
      </w:r>
      <w:r>
        <w:instrText xml:space="preserve"> SEQ Table \* ARABIC </w:instrText>
      </w:r>
      <w:r>
        <w:fldChar w:fldCharType="separate"/>
      </w:r>
      <w:r>
        <w:rPr>
          <w:noProof/>
        </w:rPr>
        <w:t>5</w:t>
      </w:r>
      <w:r>
        <w:fldChar w:fldCharType="end"/>
      </w:r>
      <w:r w:rsidR="00555113">
        <w:t> </w:t>
      </w:r>
      <w:r>
        <w:t xml:space="preserve">: </w:t>
      </w:r>
      <w:r w:rsidRPr="003448B1">
        <w:t>Représentation sur le plan d’équité en matière d’emploi pour les postulants internes – personnes en situation de handicap</w:t>
      </w:r>
    </w:p>
    <w:tbl>
      <w:tblPr>
        <w:tblStyle w:val="TableGrid"/>
        <w:tblW w:w="0" w:type="auto"/>
        <w:tblLook w:val="04A0" w:firstRow="1" w:lastRow="0" w:firstColumn="1" w:lastColumn="0" w:noHBand="0" w:noVBand="1"/>
        <w:tblCaption w:val="Représentation sur le plan d’équité en matière d’emploi pour les postulants internes – personnes en situation de handicap"/>
        <w:tblDescription w:val="Une table qui démontre la représentation sur le plan d'équité en matière d'emploi pour les postulants et les nominations."/>
      </w:tblPr>
      <w:tblGrid>
        <w:gridCol w:w="2337"/>
        <w:gridCol w:w="2337"/>
        <w:gridCol w:w="2338"/>
        <w:gridCol w:w="2338"/>
      </w:tblGrid>
      <w:tr w:rsidR="005F210D" w14:paraId="12299E08" w14:textId="77777777" w:rsidTr="0077112C">
        <w:trPr>
          <w:tblHeader/>
        </w:trPr>
        <w:tc>
          <w:tcPr>
            <w:tcW w:w="2337" w:type="dxa"/>
          </w:tcPr>
          <w:p w14:paraId="4296D6B1" w14:textId="38B0ABD9" w:rsidR="005F210D" w:rsidRPr="008C05DE" w:rsidRDefault="005F210D" w:rsidP="00FB6DFC">
            <w:pPr>
              <w:keepLines w:val="0"/>
              <w:jc w:val="center"/>
            </w:pPr>
            <w:r w:rsidRPr="008C05DE">
              <w:t>Représentation</w:t>
            </w:r>
          </w:p>
        </w:tc>
        <w:tc>
          <w:tcPr>
            <w:tcW w:w="2337" w:type="dxa"/>
          </w:tcPr>
          <w:p w14:paraId="2FB716A6" w14:textId="77777777" w:rsidR="005F210D" w:rsidRPr="008C05DE" w:rsidRDefault="005F210D" w:rsidP="00FB6DFC">
            <w:pPr>
              <w:keepLines w:val="0"/>
              <w:jc w:val="center"/>
            </w:pPr>
            <w:r w:rsidRPr="008C05DE">
              <w:t>2016-2017</w:t>
            </w:r>
          </w:p>
        </w:tc>
        <w:tc>
          <w:tcPr>
            <w:tcW w:w="2338" w:type="dxa"/>
          </w:tcPr>
          <w:p w14:paraId="1DECA9AF" w14:textId="77777777" w:rsidR="005F210D" w:rsidRPr="008C05DE" w:rsidRDefault="005F210D" w:rsidP="00FB6DFC">
            <w:pPr>
              <w:keepLines w:val="0"/>
              <w:jc w:val="center"/>
            </w:pPr>
            <w:r w:rsidRPr="008C05DE">
              <w:t>2017-2018</w:t>
            </w:r>
          </w:p>
        </w:tc>
        <w:tc>
          <w:tcPr>
            <w:tcW w:w="2338" w:type="dxa"/>
          </w:tcPr>
          <w:p w14:paraId="1B366E13" w14:textId="77777777" w:rsidR="005F210D" w:rsidRPr="008C05DE" w:rsidRDefault="005F210D" w:rsidP="00FB6DFC">
            <w:pPr>
              <w:keepLines w:val="0"/>
              <w:jc w:val="center"/>
            </w:pPr>
            <w:r w:rsidRPr="008C05DE">
              <w:t>2018-2019</w:t>
            </w:r>
          </w:p>
        </w:tc>
      </w:tr>
      <w:tr w:rsidR="005F210D" w14:paraId="43DD5548" w14:textId="77777777" w:rsidTr="0077112C">
        <w:tc>
          <w:tcPr>
            <w:tcW w:w="2337" w:type="dxa"/>
          </w:tcPr>
          <w:p w14:paraId="61A04530" w14:textId="3A4C1B06" w:rsidR="005F210D" w:rsidRPr="008C05DE" w:rsidRDefault="005F210D" w:rsidP="005F210D">
            <w:pPr>
              <w:keepLines w:val="0"/>
            </w:pPr>
            <w:r w:rsidRPr="008C05DE">
              <w:t>Postulants</w:t>
            </w:r>
          </w:p>
        </w:tc>
        <w:tc>
          <w:tcPr>
            <w:tcW w:w="2337" w:type="dxa"/>
          </w:tcPr>
          <w:p w14:paraId="5C8B29B0" w14:textId="1FC862E7" w:rsidR="005F210D" w:rsidRPr="008C05DE" w:rsidRDefault="00D276DD" w:rsidP="00D276DD">
            <w:pPr>
              <w:keepLines w:val="0"/>
              <w:jc w:val="right"/>
            </w:pPr>
            <w:r w:rsidRPr="008C05DE">
              <w:t>4,</w:t>
            </w:r>
            <w:r w:rsidR="005F210D" w:rsidRPr="008C05DE">
              <w:t>4%</w:t>
            </w:r>
          </w:p>
        </w:tc>
        <w:tc>
          <w:tcPr>
            <w:tcW w:w="2338" w:type="dxa"/>
          </w:tcPr>
          <w:p w14:paraId="61CB2A50" w14:textId="2B597ECD" w:rsidR="005F210D" w:rsidRPr="008C05DE" w:rsidRDefault="00D276DD" w:rsidP="00D276DD">
            <w:pPr>
              <w:keepLines w:val="0"/>
              <w:jc w:val="right"/>
            </w:pPr>
            <w:r w:rsidRPr="008C05DE">
              <w:t>4,</w:t>
            </w:r>
            <w:r w:rsidR="005F210D" w:rsidRPr="008C05DE">
              <w:t>7%</w:t>
            </w:r>
          </w:p>
        </w:tc>
        <w:tc>
          <w:tcPr>
            <w:tcW w:w="2338" w:type="dxa"/>
          </w:tcPr>
          <w:p w14:paraId="4A23360C" w14:textId="2858F3DA" w:rsidR="005F210D" w:rsidRPr="008C05DE" w:rsidRDefault="00D276DD" w:rsidP="00D276DD">
            <w:pPr>
              <w:keepLines w:val="0"/>
              <w:jc w:val="right"/>
            </w:pPr>
            <w:r w:rsidRPr="008C05DE">
              <w:t>4,</w:t>
            </w:r>
            <w:r w:rsidR="005F210D" w:rsidRPr="008C05DE">
              <w:t>8%</w:t>
            </w:r>
          </w:p>
        </w:tc>
      </w:tr>
      <w:tr w:rsidR="005F210D" w14:paraId="780722E3" w14:textId="77777777" w:rsidTr="0077112C">
        <w:tc>
          <w:tcPr>
            <w:tcW w:w="2337" w:type="dxa"/>
          </w:tcPr>
          <w:p w14:paraId="1D1D8CB7" w14:textId="113A2727" w:rsidR="005F210D" w:rsidRPr="008C05DE" w:rsidRDefault="005F210D" w:rsidP="005F210D">
            <w:pPr>
              <w:keepLines w:val="0"/>
            </w:pPr>
            <w:r w:rsidRPr="008C05DE">
              <w:t>Nominations</w:t>
            </w:r>
          </w:p>
        </w:tc>
        <w:tc>
          <w:tcPr>
            <w:tcW w:w="2337" w:type="dxa"/>
          </w:tcPr>
          <w:p w14:paraId="11AC0EFE" w14:textId="08BE5CCB" w:rsidR="005F210D" w:rsidRPr="008C05DE" w:rsidRDefault="00D276DD" w:rsidP="00D276DD">
            <w:pPr>
              <w:keepLines w:val="0"/>
              <w:jc w:val="right"/>
            </w:pPr>
            <w:r w:rsidRPr="008C05DE">
              <w:t>4,</w:t>
            </w:r>
            <w:r w:rsidR="005F210D" w:rsidRPr="008C05DE">
              <w:t>6%</w:t>
            </w:r>
          </w:p>
        </w:tc>
        <w:tc>
          <w:tcPr>
            <w:tcW w:w="2338" w:type="dxa"/>
          </w:tcPr>
          <w:p w14:paraId="10C7D6D5" w14:textId="69C1F223" w:rsidR="005F210D" w:rsidRPr="008C05DE" w:rsidRDefault="00D276DD" w:rsidP="00D276DD">
            <w:pPr>
              <w:keepLines w:val="0"/>
              <w:jc w:val="right"/>
            </w:pPr>
            <w:r w:rsidRPr="008C05DE">
              <w:t>4,</w:t>
            </w:r>
            <w:r w:rsidR="005F210D" w:rsidRPr="008C05DE">
              <w:t>7%</w:t>
            </w:r>
          </w:p>
        </w:tc>
        <w:tc>
          <w:tcPr>
            <w:tcW w:w="2338" w:type="dxa"/>
          </w:tcPr>
          <w:p w14:paraId="5D895177" w14:textId="62906712" w:rsidR="005F210D" w:rsidRPr="008C05DE" w:rsidRDefault="00D276DD" w:rsidP="00D276DD">
            <w:pPr>
              <w:keepLines w:val="0"/>
              <w:jc w:val="right"/>
            </w:pPr>
            <w:r w:rsidRPr="008C05DE">
              <w:t>4,</w:t>
            </w:r>
            <w:r w:rsidR="005F210D" w:rsidRPr="008C05DE">
              <w:t>9%</w:t>
            </w:r>
          </w:p>
        </w:tc>
      </w:tr>
    </w:tbl>
    <w:p w14:paraId="59A88945" w14:textId="6AD4693E" w:rsidR="00B25869" w:rsidRDefault="00B25869" w:rsidP="00CC59E2">
      <w:pPr>
        <w:pStyle w:val="Caption"/>
        <w:keepNext/>
        <w:spacing w:before="400"/>
        <w:jc w:val="center"/>
      </w:pPr>
      <w:r>
        <w:t xml:space="preserve">Table </w:t>
      </w:r>
      <w:r>
        <w:fldChar w:fldCharType="begin"/>
      </w:r>
      <w:r>
        <w:instrText xml:space="preserve"> SEQ Table \* ARABIC </w:instrText>
      </w:r>
      <w:r>
        <w:fldChar w:fldCharType="separate"/>
      </w:r>
      <w:r>
        <w:rPr>
          <w:noProof/>
        </w:rPr>
        <w:t>6</w:t>
      </w:r>
      <w:r>
        <w:fldChar w:fldCharType="end"/>
      </w:r>
      <w:r w:rsidR="00555113">
        <w:t> </w:t>
      </w:r>
      <w:r>
        <w:t xml:space="preserve">: </w:t>
      </w:r>
      <w:r w:rsidRPr="00184FD1">
        <w:t>Représentation sur le plan d’équité en matière d’emploi pour les postulants externes – membres des minorités visibles</w:t>
      </w:r>
    </w:p>
    <w:tbl>
      <w:tblPr>
        <w:tblStyle w:val="TableGrid"/>
        <w:tblW w:w="0" w:type="auto"/>
        <w:tblLook w:val="04A0" w:firstRow="1" w:lastRow="0" w:firstColumn="1" w:lastColumn="0" w:noHBand="0" w:noVBand="1"/>
        <w:tblCaption w:val="Représentation sur le plan d’équité en matière d’emploi pour les postulants externes – membres des minorités visibles"/>
        <w:tblDescription w:val="Une table qui démontre la représentation sur le plan d'équité en matière d'emploi pour les postulants et les nominations."/>
      </w:tblPr>
      <w:tblGrid>
        <w:gridCol w:w="2337"/>
        <w:gridCol w:w="2337"/>
        <w:gridCol w:w="2338"/>
        <w:gridCol w:w="2338"/>
      </w:tblGrid>
      <w:tr w:rsidR="005F210D" w14:paraId="462D8388" w14:textId="77777777" w:rsidTr="0077112C">
        <w:trPr>
          <w:tblHeader/>
        </w:trPr>
        <w:tc>
          <w:tcPr>
            <w:tcW w:w="2337" w:type="dxa"/>
          </w:tcPr>
          <w:p w14:paraId="63383A46" w14:textId="71F0196A" w:rsidR="005F210D" w:rsidRPr="008C05DE" w:rsidRDefault="005F210D" w:rsidP="00FB6DFC">
            <w:pPr>
              <w:keepLines w:val="0"/>
              <w:jc w:val="center"/>
            </w:pPr>
            <w:r w:rsidRPr="008C05DE">
              <w:t>Représentation</w:t>
            </w:r>
          </w:p>
        </w:tc>
        <w:tc>
          <w:tcPr>
            <w:tcW w:w="2337" w:type="dxa"/>
          </w:tcPr>
          <w:p w14:paraId="7F206FDC" w14:textId="77777777" w:rsidR="005F210D" w:rsidRPr="008C05DE" w:rsidRDefault="005F210D" w:rsidP="00FB6DFC">
            <w:pPr>
              <w:keepLines w:val="0"/>
              <w:jc w:val="center"/>
            </w:pPr>
            <w:r w:rsidRPr="008C05DE">
              <w:t>2016-2017</w:t>
            </w:r>
          </w:p>
        </w:tc>
        <w:tc>
          <w:tcPr>
            <w:tcW w:w="2338" w:type="dxa"/>
          </w:tcPr>
          <w:p w14:paraId="1A70425C" w14:textId="77777777" w:rsidR="005F210D" w:rsidRPr="008C05DE" w:rsidRDefault="005F210D" w:rsidP="00FB6DFC">
            <w:pPr>
              <w:keepLines w:val="0"/>
              <w:jc w:val="center"/>
            </w:pPr>
            <w:r w:rsidRPr="008C05DE">
              <w:t>2017-2018</w:t>
            </w:r>
          </w:p>
        </w:tc>
        <w:tc>
          <w:tcPr>
            <w:tcW w:w="2338" w:type="dxa"/>
          </w:tcPr>
          <w:p w14:paraId="5FAE8B94" w14:textId="77777777" w:rsidR="005F210D" w:rsidRPr="008C05DE" w:rsidRDefault="005F210D" w:rsidP="00FB6DFC">
            <w:pPr>
              <w:keepLines w:val="0"/>
              <w:jc w:val="center"/>
            </w:pPr>
            <w:r w:rsidRPr="008C05DE">
              <w:t>2018-2019</w:t>
            </w:r>
          </w:p>
        </w:tc>
      </w:tr>
      <w:tr w:rsidR="005F210D" w14:paraId="0454AF7E" w14:textId="77777777" w:rsidTr="0077112C">
        <w:tc>
          <w:tcPr>
            <w:tcW w:w="2337" w:type="dxa"/>
          </w:tcPr>
          <w:p w14:paraId="5B1BDF48" w14:textId="1D924E36" w:rsidR="005F210D" w:rsidRPr="008C05DE" w:rsidRDefault="005F210D" w:rsidP="005F210D">
            <w:pPr>
              <w:keepLines w:val="0"/>
            </w:pPr>
            <w:r w:rsidRPr="008C05DE">
              <w:t>Postulants</w:t>
            </w:r>
          </w:p>
        </w:tc>
        <w:tc>
          <w:tcPr>
            <w:tcW w:w="2337" w:type="dxa"/>
          </w:tcPr>
          <w:p w14:paraId="5751B60E" w14:textId="5C7A8871" w:rsidR="005F210D" w:rsidRPr="008C05DE" w:rsidRDefault="00D276DD" w:rsidP="00D276DD">
            <w:pPr>
              <w:keepLines w:val="0"/>
              <w:jc w:val="right"/>
            </w:pPr>
            <w:r w:rsidRPr="008C05DE">
              <w:t>20,</w:t>
            </w:r>
            <w:r w:rsidR="005F210D" w:rsidRPr="008C05DE">
              <w:t>2%</w:t>
            </w:r>
          </w:p>
        </w:tc>
        <w:tc>
          <w:tcPr>
            <w:tcW w:w="2338" w:type="dxa"/>
          </w:tcPr>
          <w:p w14:paraId="74C21C50" w14:textId="588A6E46" w:rsidR="005F210D" w:rsidRPr="008C05DE" w:rsidRDefault="00D276DD" w:rsidP="00D276DD">
            <w:pPr>
              <w:keepLines w:val="0"/>
              <w:jc w:val="right"/>
            </w:pPr>
            <w:r w:rsidRPr="008C05DE">
              <w:t>21,</w:t>
            </w:r>
            <w:r w:rsidR="005F210D" w:rsidRPr="008C05DE">
              <w:t>4%</w:t>
            </w:r>
          </w:p>
        </w:tc>
        <w:tc>
          <w:tcPr>
            <w:tcW w:w="2338" w:type="dxa"/>
          </w:tcPr>
          <w:p w14:paraId="55C5121C" w14:textId="6694E1C4" w:rsidR="005F210D" w:rsidRPr="008C05DE" w:rsidRDefault="00D276DD" w:rsidP="00D276DD">
            <w:pPr>
              <w:keepLines w:val="0"/>
              <w:jc w:val="right"/>
            </w:pPr>
            <w:r w:rsidRPr="008C05DE">
              <w:t>21,</w:t>
            </w:r>
            <w:r w:rsidR="005F210D" w:rsidRPr="008C05DE">
              <w:t>7%</w:t>
            </w:r>
          </w:p>
        </w:tc>
      </w:tr>
      <w:tr w:rsidR="005F210D" w14:paraId="5EAFE5F8" w14:textId="77777777" w:rsidTr="0077112C">
        <w:tc>
          <w:tcPr>
            <w:tcW w:w="2337" w:type="dxa"/>
          </w:tcPr>
          <w:p w14:paraId="3FDD16CB" w14:textId="76F2F358" w:rsidR="005F210D" w:rsidRPr="008C05DE" w:rsidRDefault="005F210D" w:rsidP="005F210D">
            <w:pPr>
              <w:keepLines w:val="0"/>
            </w:pPr>
            <w:r w:rsidRPr="008C05DE">
              <w:t>Nominations</w:t>
            </w:r>
          </w:p>
        </w:tc>
        <w:tc>
          <w:tcPr>
            <w:tcW w:w="2337" w:type="dxa"/>
          </w:tcPr>
          <w:p w14:paraId="1FC02F0F" w14:textId="6ACEF230" w:rsidR="005F210D" w:rsidRPr="008C05DE" w:rsidRDefault="00D276DD" w:rsidP="00D276DD">
            <w:pPr>
              <w:keepLines w:val="0"/>
              <w:jc w:val="right"/>
            </w:pPr>
            <w:r w:rsidRPr="008C05DE">
              <w:t>19,</w:t>
            </w:r>
            <w:r w:rsidR="005F210D" w:rsidRPr="008C05DE">
              <w:t>4%</w:t>
            </w:r>
          </w:p>
        </w:tc>
        <w:tc>
          <w:tcPr>
            <w:tcW w:w="2338" w:type="dxa"/>
          </w:tcPr>
          <w:p w14:paraId="2ADA069A" w14:textId="22438735" w:rsidR="005F210D" w:rsidRPr="008C05DE" w:rsidRDefault="00D276DD" w:rsidP="00D276DD">
            <w:pPr>
              <w:keepLines w:val="0"/>
              <w:jc w:val="right"/>
            </w:pPr>
            <w:r w:rsidRPr="008C05DE">
              <w:t>18,</w:t>
            </w:r>
            <w:r w:rsidR="005F210D" w:rsidRPr="008C05DE">
              <w:t>9%</w:t>
            </w:r>
          </w:p>
        </w:tc>
        <w:tc>
          <w:tcPr>
            <w:tcW w:w="2338" w:type="dxa"/>
          </w:tcPr>
          <w:p w14:paraId="093C059C" w14:textId="6C8E6D76" w:rsidR="005F210D" w:rsidRPr="008C05DE" w:rsidRDefault="00D276DD" w:rsidP="00D276DD">
            <w:pPr>
              <w:keepLines w:val="0"/>
              <w:jc w:val="right"/>
            </w:pPr>
            <w:r w:rsidRPr="008C05DE">
              <w:t>20,</w:t>
            </w:r>
            <w:r w:rsidR="005F210D" w:rsidRPr="008C05DE">
              <w:t>2%</w:t>
            </w:r>
          </w:p>
        </w:tc>
      </w:tr>
    </w:tbl>
    <w:p w14:paraId="493AD105" w14:textId="2C9853D2" w:rsidR="00B25869" w:rsidRDefault="00B25869" w:rsidP="00CC59E2">
      <w:pPr>
        <w:pStyle w:val="Caption"/>
        <w:keepNext/>
        <w:spacing w:before="400"/>
        <w:jc w:val="center"/>
      </w:pPr>
      <w:r>
        <w:t xml:space="preserve">Table </w:t>
      </w:r>
      <w:r>
        <w:fldChar w:fldCharType="begin"/>
      </w:r>
      <w:r>
        <w:instrText xml:space="preserve"> SEQ Table \* ARABIC </w:instrText>
      </w:r>
      <w:r>
        <w:fldChar w:fldCharType="separate"/>
      </w:r>
      <w:r>
        <w:rPr>
          <w:noProof/>
        </w:rPr>
        <w:t>7</w:t>
      </w:r>
      <w:r>
        <w:fldChar w:fldCharType="end"/>
      </w:r>
      <w:r w:rsidR="00555113">
        <w:t> </w:t>
      </w:r>
      <w:r>
        <w:t xml:space="preserve">: </w:t>
      </w:r>
      <w:r w:rsidRPr="00253ABE">
        <w:t>Représentation sur le plan d’équité en matière d’emploi pour les postulants internes – membres des minorités visibles</w:t>
      </w:r>
    </w:p>
    <w:tbl>
      <w:tblPr>
        <w:tblStyle w:val="TableGrid"/>
        <w:tblW w:w="0" w:type="auto"/>
        <w:tblLook w:val="04A0" w:firstRow="1" w:lastRow="0" w:firstColumn="1" w:lastColumn="0" w:noHBand="0" w:noVBand="1"/>
        <w:tblCaption w:val="Représentation sur le plan d’équité en matière d’emploi pour les postulants internes – membres des minorités visibles"/>
        <w:tblDescription w:val="Une table qui démontre la représentation sur le plan d'équité en matière d'emploi pour les postulants et les nominations."/>
      </w:tblPr>
      <w:tblGrid>
        <w:gridCol w:w="2337"/>
        <w:gridCol w:w="2337"/>
        <w:gridCol w:w="2338"/>
        <w:gridCol w:w="2338"/>
      </w:tblGrid>
      <w:tr w:rsidR="005F210D" w14:paraId="4C0D71E1" w14:textId="77777777" w:rsidTr="0077112C">
        <w:trPr>
          <w:tblHeader/>
        </w:trPr>
        <w:tc>
          <w:tcPr>
            <w:tcW w:w="2337" w:type="dxa"/>
          </w:tcPr>
          <w:p w14:paraId="653BD792" w14:textId="0D3F5458" w:rsidR="005F210D" w:rsidRPr="008C05DE" w:rsidRDefault="005F210D" w:rsidP="00FB6DFC">
            <w:pPr>
              <w:keepLines w:val="0"/>
              <w:jc w:val="center"/>
            </w:pPr>
            <w:r w:rsidRPr="008C05DE">
              <w:t>Représentation</w:t>
            </w:r>
          </w:p>
        </w:tc>
        <w:tc>
          <w:tcPr>
            <w:tcW w:w="2337" w:type="dxa"/>
          </w:tcPr>
          <w:p w14:paraId="43C9EDDB" w14:textId="77777777" w:rsidR="005F210D" w:rsidRPr="008C05DE" w:rsidRDefault="005F210D" w:rsidP="00FB6DFC">
            <w:pPr>
              <w:keepLines w:val="0"/>
              <w:jc w:val="center"/>
            </w:pPr>
            <w:r w:rsidRPr="008C05DE">
              <w:t>2016-2017</w:t>
            </w:r>
          </w:p>
        </w:tc>
        <w:tc>
          <w:tcPr>
            <w:tcW w:w="2338" w:type="dxa"/>
          </w:tcPr>
          <w:p w14:paraId="34B6C107" w14:textId="77777777" w:rsidR="005F210D" w:rsidRPr="008C05DE" w:rsidRDefault="005F210D" w:rsidP="00FB6DFC">
            <w:pPr>
              <w:keepLines w:val="0"/>
              <w:jc w:val="center"/>
            </w:pPr>
            <w:r w:rsidRPr="008C05DE">
              <w:t>2017-2018</w:t>
            </w:r>
          </w:p>
        </w:tc>
        <w:tc>
          <w:tcPr>
            <w:tcW w:w="2338" w:type="dxa"/>
          </w:tcPr>
          <w:p w14:paraId="6217F48B" w14:textId="77777777" w:rsidR="005F210D" w:rsidRPr="008C05DE" w:rsidRDefault="005F210D" w:rsidP="00FB6DFC">
            <w:pPr>
              <w:keepLines w:val="0"/>
              <w:jc w:val="center"/>
            </w:pPr>
            <w:r w:rsidRPr="008C05DE">
              <w:t>2018-2019</w:t>
            </w:r>
          </w:p>
        </w:tc>
      </w:tr>
      <w:tr w:rsidR="005F210D" w14:paraId="6AC85E3B" w14:textId="77777777" w:rsidTr="0077112C">
        <w:tc>
          <w:tcPr>
            <w:tcW w:w="2337" w:type="dxa"/>
          </w:tcPr>
          <w:p w14:paraId="3AD6A878" w14:textId="20D73C5D" w:rsidR="005F210D" w:rsidRPr="008C05DE" w:rsidRDefault="005F210D" w:rsidP="005F210D">
            <w:pPr>
              <w:keepLines w:val="0"/>
            </w:pPr>
            <w:r w:rsidRPr="008C05DE">
              <w:t>Postulants</w:t>
            </w:r>
          </w:p>
        </w:tc>
        <w:tc>
          <w:tcPr>
            <w:tcW w:w="2337" w:type="dxa"/>
          </w:tcPr>
          <w:p w14:paraId="5809D45E" w14:textId="300770E5" w:rsidR="005F210D" w:rsidRPr="008C05DE" w:rsidRDefault="00D276DD" w:rsidP="00D276DD">
            <w:pPr>
              <w:keepLines w:val="0"/>
              <w:jc w:val="right"/>
            </w:pPr>
            <w:r w:rsidRPr="008C05DE">
              <w:t>24,</w:t>
            </w:r>
            <w:r w:rsidR="005F210D" w:rsidRPr="008C05DE">
              <w:t>8%</w:t>
            </w:r>
          </w:p>
        </w:tc>
        <w:tc>
          <w:tcPr>
            <w:tcW w:w="2338" w:type="dxa"/>
          </w:tcPr>
          <w:p w14:paraId="0C24ECA6" w14:textId="422D975D" w:rsidR="005F210D" w:rsidRPr="008C05DE" w:rsidRDefault="00D276DD" w:rsidP="00D276DD">
            <w:pPr>
              <w:keepLines w:val="0"/>
              <w:jc w:val="right"/>
            </w:pPr>
            <w:r w:rsidRPr="008C05DE">
              <w:t>25,</w:t>
            </w:r>
            <w:r w:rsidR="005F210D" w:rsidRPr="008C05DE">
              <w:t>5%</w:t>
            </w:r>
          </w:p>
        </w:tc>
        <w:tc>
          <w:tcPr>
            <w:tcW w:w="2338" w:type="dxa"/>
          </w:tcPr>
          <w:p w14:paraId="7F974F41" w14:textId="690B3359" w:rsidR="005F210D" w:rsidRPr="008C05DE" w:rsidRDefault="00D276DD" w:rsidP="00D276DD">
            <w:pPr>
              <w:keepLines w:val="0"/>
              <w:jc w:val="right"/>
            </w:pPr>
            <w:r w:rsidRPr="008C05DE">
              <w:t>25,</w:t>
            </w:r>
            <w:r w:rsidR="005F210D" w:rsidRPr="008C05DE">
              <w:t>7%</w:t>
            </w:r>
          </w:p>
        </w:tc>
      </w:tr>
      <w:tr w:rsidR="005F210D" w14:paraId="11B03945" w14:textId="77777777" w:rsidTr="0077112C">
        <w:tc>
          <w:tcPr>
            <w:tcW w:w="2337" w:type="dxa"/>
          </w:tcPr>
          <w:p w14:paraId="23D3F3BF" w14:textId="5BE9F2E4" w:rsidR="005F210D" w:rsidRPr="008C05DE" w:rsidRDefault="005F210D" w:rsidP="005F210D">
            <w:pPr>
              <w:keepLines w:val="0"/>
            </w:pPr>
            <w:r w:rsidRPr="008C05DE">
              <w:t>Nominations</w:t>
            </w:r>
          </w:p>
        </w:tc>
        <w:tc>
          <w:tcPr>
            <w:tcW w:w="2337" w:type="dxa"/>
          </w:tcPr>
          <w:p w14:paraId="153AB909" w14:textId="3E339DED" w:rsidR="005F210D" w:rsidRPr="008C05DE" w:rsidRDefault="00D276DD" w:rsidP="00D276DD">
            <w:pPr>
              <w:keepLines w:val="0"/>
              <w:jc w:val="right"/>
            </w:pPr>
            <w:r w:rsidRPr="008C05DE">
              <w:t>20,</w:t>
            </w:r>
            <w:r w:rsidR="005F210D" w:rsidRPr="008C05DE">
              <w:t>0%</w:t>
            </w:r>
          </w:p>
        </w:tc>
        <w:tc>
          <w:tcPr>
            <w:tcW w:w="2338" w:type="dxa"/>
          </w:tcPr>
          <w:p w14:paraId="08D94F29" w14:textId="3B98B289" w:rsidR="005F210D" w:rsidRPr="008C05DE" w:rsidRDefault="00D276DD" w:rsidP="00D276DD">
            <w:pPr>
              <w:keepLines w:val="0"/>
              <w:jc w:val="right"/>
            </w:pPr>
            <w:r w:rsidRPr="008C05DE">
              <w:t>20,</w:t>
            </w:r>
            <w:r w:rsidR="005F210D" w:rsidRPr="008C05DE">
              <w:t>7%</w:t>
            </w:r>
          </w:p>
        </w:tc>
        <w:tc>
          <w:tcPr>
            <w:tcW w:w="2338" w:type="dxa"/>
          </w:tcPr>
          <w:p w14:paraId="13BE96EA" w14:textId="22B5BE52" w:rsidR="005F210D" w:rsidRPr="008C05DE" w:rsidRDefault="00D276DD" w:rsidP="00D276DD">
            <w:pPr>
              <w:keepLines w:val="0"/>
              <w:jc w:val="right"/>
            </w:pPr>
            <w:r w:rsidRPr="008C05DE">
              <w:t>21,</w:t>
            </w:r>
            <w:r w:rsidR="005F210D" w:rsidRPr="008C05DE">
              <w:t>6%</w:t>
            </w:r>
          </w:p>
        </w:tc>
      </w:tr>
    </w:tbl>
    <w:p w14:paraId="01577BD7" w14:textId="23847C11" w:rsidR="00B25869" w:rsidRDefault="00B25869" w:rsidP="00CC59E2">
      <w:pPr>
        <w:pStyle w:val="Caption"/>
        <w:keepNext/>
        <w:spacing w:before="400"/>
        <w:jc w:val="center"/>
      </w:pPr>
      <w:r>
        <w:t xml:space="preserve">Table </w:t>
      </w:r>
      <w:r>
        <w:fldChar w:fldCharType="begin"/>
      </w:r>
      <w:r>
        <w:instrText xml:space="preserve"> SEQ Table \* ARABIC </w:instrText>
      </w:r>
      <w:r>
        <w:fldChar w:fldCharType="separate"/>
      </w:r>
      <w:r>
        <w:rPr>
          <w:noProof/>
        </w:rPr>
        <w:t>8</w:t>
      </w:r>
      <w:r>
        <w:fldChar w:fldCharType="end"/>
      </w:r>
      <w:r w:rsidR="00555113">
        <w:t> </w:t>
      </w:r>
      <w:r>
        <w:t xml:space="preserve">: </w:t>
      </w:r>
      <w:r w:rsidRPr="00E51423">
        <w:t>Représentation sur le plan d’équité en matière d’emploi pour les postulants externes – femmes</w:t>
      </w:r>
    </w:p>
    <w:tbl>
      <w:tblPr>
        <w:tblStyle w:val="TableGrid"/>
        <w:tblW w:w="0" w:type="auto"/>
        <w:tblLook w:val="04A0" w:firstRow="1" w:lastRow="0" w:firstColumn="1" w:lastColumn="0" w:noHBand="0" w:noVBand="1"/>
        <w:tblCaption w:val="Représentation sur le plan d’équité en matière d’emploi pour les postulants externes – femmes"/>
        <w:tblDescription w:val="Une table qui démontre la représentation sur le plan d'équité en matière d'emploi pour les postulants et les nominations."/>
      </w:tblPr>
      <w:tblGrid>
        <w:gridCol w:w="2337"/>
        <w:gridCol w:w="2337"/>
        <w:gridCol w:w="2338"/>
        <w:gridCol w:w="2338"/>
      </w:tblGrid>
      <w:tr w:rsidR="005F210D" w14:paraId="20BD352B" w14:textId="77777777" w:rsidTr="0077112C">
        <w:trPr>
          <w:tblHeader/>
        </w:trPr>
        <w:tc>
          <w:tcPr>
            <w:tcW w:w="2337" w:type="dxa"/>
          </w:tcPr>
          <w:p w14:paraId="7A32FF8B" w14:textId="3D0FAD19" w:rsidR="005F210D" w:rsidRPr="008C05DE" w:rsidRDefault="005F210D" w:rsidP="00FB6DFC">
            <w:pPr>
              <w:keepLines w:val="0"/>
              <w:jc w:val="center"/>
            </w:pPr>
            <w:r w:rsidRPr="008C05DE">
              <w:t>Représentation</w:t>
            </w:r>
          </w:p>
        </w:tc>
        <w:tc>
          <w:tcPr>
            <w:tcW w:w="2337" w:type="dxa"/>
          </w:tcPr>
          <w:p w14:paraId="11826C50" w14:textId="77777777" w:rsidR="005F210D" w:rsidRPr="008C05DE" w:rsidRDefault="005F210D" w:rsidP="00FB6DFC">
            <w:pPr>
              <w:keepLines w:val="0"/>
              <w:jc w:val="center"/>
            </w:pPr>
            <w:r w:rsidRPr="008C05DE">
              <w:t>2016-2017</w:t>
            </w:r>
          </w:p>
        </w:tc>
        <w:tc>
          <w:tcPr>
            <w:tcW w:w="2338" w:type="dxa"/>
          </w:tcPr>
          <w:p w14:paraId="5381F36E" w14:textId="77777777" w:rsidR="005F210D" w:rsidRPr="008C05DE" w:rsidRDefault="005F210D" w:rsidP="00FB6DFC">
            <w:pPr>
              <w:keepLines w:val="0"/>
              <w:jc w:val="center"/>
            </w:pPr>
            <w:r w:rsidRPr="008C05DE">
              <w:t>2017-2018</w:t>
            </w:r>
          </w:p>
        </w:tc>
        <w:tc>
          <w:tcPr>
            <w:tcW w:w="2338" w:type="dxa"/>
          </w:tcPr>
          <w:p w14:paraId="3B64AFE8" w14:textId="77777777" w:rsidR="005F210D" w:rsidRPr="008C05DE" w:rsidRDefault="005F210D" w:rsidP="00FB6DFC">
            <w:pPr>
              <w:keepLines w:val="0"/>
              <w:jc w:val="center"/>
            </w:pPr>
            <w:r w:rsidRPr="008C05DE">
              <w:t>2018-2019</w:t>
            </w:r>
          </w:p>
        </w:tc>
      </w:tr>
      <w:tr w:rsidR="005F210D" w14:paraId="24394FBB" w14:textId="77777777" w:rsidTr="0077112C">
        <w:tc>
          <w:tcPr>
            <w:tcW w:w="2337" w:type="dxa"/>
          </w:tcPr>
          <w:p w14:paraId="15AD7CF4" w14:textId="7D4B025A" w:rsidR="005F210D" w:rsidRPr="008C05DE" w:rsidRDefault="005F210D" w:rsidP="005F210D">
            <w:pPr>
              <w:keepLines w:val="0"/>
            </w:pPr>
            <w:r w:rsidRPr="008C05DE">
              <w:t>Postulants</w:t>
            </w:r>
          </w:p>
        </w:tc>
        <w:tc>
          <w:tcPr>
            <w:tcW w:w="2337" w:type="dxa"/>
          </w:tcPr>
          <w:p w14:paraId="3B9F574F" w14:textId="2C10D359" w:rsidR="005F210D" w:rsidRPr="008C05DE" w:rsidRDefault="00D276DD" w:rsidP="00D276DD">
            <w:pPr>
              <w:keepLines w:val="0"/>
              <w:jc w:val="right"/>
            </w:pPr>
            <w:r w:rsidRPr="008C05DE">
              <w:t>47,</w:t>
            </w:r>
            <w:r w:rsidR="005F210D" w:rsidRPr="008C05DE">
              <w:t>4%</w:t>
            </w:r>
          </w:p>
        </w:tc>
        <w:tc>
          <w:tcPr>
            <w:tcW w:w="2338" w:type="dxa"/>
          </w:tcPr>
          <w:p w14:paraId="6AE55427" w14:textId="0C4A6047" w:rsidR="005F210D" w:rsidRPr="008C05DE" w:rsidRDefault="00D276DD" w:rsidP="00D276DD">
            <w:pPr>
              <w:keepLines w:val="0"/>
              <w:jc w:val="right"/>
            </w:pPr>
            <w:r w:rsidRPr="008C05DE">
              <w:t>47,</w:t>
            </w:r>
            <w:r w:rsidR="005F210D" w:rsidRPr="008C05DE">
              <w:t>6%</w:t>
            </w:r>
          </w:p>
        </w:tc>
        <w:tc>
          <w:tcPr>
            <w:tcW w:w="2338" w:type="dxa"/>
          </w:tcPr>
          <w:p w14:paraId="7ADA4FEE" w14:textId="7E572AEF" w:rsidR="005F210D" w:rsidRPr="008C05DE" w:rsidRDefault="00D276DD" w:rsidP="00D276DD">
            <w:pPr>
              <w:keepLines w:val="0"/>
              <w:jc w:val="right"/>
            </w:pPr>
            <w:r w:rsidRPr="008C05DE">
              <w:t>50,</w:t>
            </w:r>
            <w:r w:rsidR="005F210D" w:rsidRPr="008C05DE">
              <w:t>1%</w:t>
            </w:r>
          </w:p>
        </w:tc>
      </w:tr>
      <w:tr w:rsidR="005F210D" w14:paraId="4720BE29" w14:textId="77777777" w:rsidTr="0077112C">
        <w:tc>
          <w:tcPr>
            <w:tcW w:w="2337" w:type="dxa"/>
          </w:tcPr>
          <w:p w14:paraId="45B46C8F" w14:textId="202D6BF6" w:rsidR="005F210D" w:rsidRPr="008C05DE" w:rsidRDefault="005F210D" w:rsidP="005F210D">
            <w:pPr>
              <w:keepLines w:val="0"/>
            </w:pPr>
            <w:r w:rsidRPr="008C05DE">
              <w:t>Nominations</w:t>
            </w:r>
          </w:p>
        </w:tc>
        <w:tc>
          <w:tcPr>
            <w:tcW w:w="2337" w:type="dxa"/>
          </w:tcPr>
          <w:p w14:paraId="35B5898F" w14:textId="43A31EFB" w:rsidR="005F210D" w:rsidRPr="008C05DE" w:rsidRDefault="00D276DD" w:rsidP="00D276DD">
            <w:pPr>
              <w:keepLines w:val="0"/>
              <w:jc w:val="right"/>
            </w:pPr>
            <w:r w:rsidRPr="008C05DE">
              <w:t>58,</w:t>
            </w:r>
            <w:r w:rsidR="005F210D" w:rsidRPr="008C05DE">
              <w:t>4%</w:t>
            </w:r>
          </w:p>
        </w:tc>
        <w:tc>
          <w:tcPr>
            <w:tcW w:w="2338" w:type="dxa"/>
          </w:tcPr>
          <w:p w14:paraId="106B041A" w14:textId="1BAC821E" w:rsidR="005F210D" w:rsidRPr="008C05DE" w:rsidRDefault="00D276DD" w:rsidP="00D276DD">
            <w:pPr>
              <w:keepLines w:val="0"/>
              <w:jc w:val="right"/>
            </w:pPr>
            <w:r w:rsidRPr="008C05DE">
              <w:t>58,</w:t>
            </w:r>
            <w:r w:rsidR="005F210D" w:rsidRPr="008C05DE">
              <w:t>9%</w:t>
            </w:r>
          </w:p>
        </w:tc>
        <w:tc>
          <w:tcPr>
            <w:tcW w:w="2338" w:type="dxa"/>
          </w:tcPr>
          <w:p w14:paraId="7489020E" w14:textId="1288ACAC" w:rsidR="005F210D" w:rsidRPr="008C05DE" w:rsidRDefault="00D276DD" w:rsidP="00D276DD">
            <w:pPr>
              <w:keepLines w:val="0"/>
              <w:jc w:val="right"/>
            </w:pPr>
            <w:r w:rsidRPr="008C05DE">
              <w:t>56,</w:t>
            </w:r>
            <w:r w:rsidR="005F210D" w:rsidRPr="008C05DE">
              <w:t>5%</w:t>
            </w:r>
          </w:p>
        </w:tc>
      </w:tr>
    </w:tbl>
    <w:p w14:paraId="481E848F" w14:textId="77777777" w:rsidR="005F210D" w:rsidRDefault="005F210D">
      <w:pPr>
        <w:keepLines w:val="0"/>
        <w:rPr>
          <w:lang w:val="en-CA"/>
        </w:rPr>
      </w:pPr>
      <w:r>
        <w:rPr>
          <w:lang w:val="en-CA"/>
        </w:rPr>
        <w:br w:type="page"/>
      </w:r>
    </w:p>
    <w:p w14:paraId="4AE2661E" w14:textId="6259A10E" w:rsidR="00B25869" w:rsidRDefault="00B25869" w:rsidP="00B25869">
      <w:pPr>
        <w:pStyle w:val="Caption"/>
        <w:keepNext/>
        <w:jc w:val="center"/>
      </w:pPr>
      <w:r>
        <w:lastRenderedPageBreak/>
        <w:t xml:space="preserve">Table </w:t>
      </w:r>
      <w:r>
        <w:fldChar w:fldCharType="begin"/>
      </w:r>
      <w:r>
        <w:instrText xml:space="preserve"> SEQ Table \* ARABIC </w:instrText>
      </w:r>
      <w:r>
        <w:fldChar w:fldCharType="separate"/>
      </w:r>
      <w:r>
        <w:rPr>
          <w:noProof/>
        </w:rPr>
        <w:t>9</w:t>
      </w:r>
      <w:r>
        <w:fldChar w:fldCharType="end"/>
      </w:r>
      <w:r w:rsidR="00555113">
        <w:t> </w:t>
      </w:r>
      <w:r>
        <w:t xml:space="preserve">: </w:t>
      </w:r>
      <w:r w:rsidRPr="005378BA">
        <w:t>Représentation sur le plan d’équité en matière d’emploi pour les postulants internes – femmes</w:t>
      </w:r>
    </w:p>
    <w:tbl>
      <w:tblPr>
        <w:tblStyle w:val="TableGrid"/>
        <w:tblW w:w="0" w:type="auto"/>
        <w:tblLook w:val="04A0" w:firstRow="1" w:lastRow="0" w:firstColumn="1" w:lastColumn="0" w:noHBand="0" w:noVBand="1"/>
        <w:tblCaption w:val="Représentation sur le plan d’équité en matière d’emploi pour les postulants internes – femmes"/>
        <w:tblDescription w:val="Une table qui démontre la représentation sur le plan d'équité en matière d'emploi pour les postulants et les nominations."/>
      </w:tblPr>
      <w:tblGrid>
        <w:gridCol w:w="2337"/>
        <w:gridCol w:w="2337"/>
        <w:gridCol w:w="2338"/>
        <w:gridCol w:w="2338"/>
      </w:tblGrid>
      <w:tr w:rsidR="005F210D" w14:paraId="1BA59C51" w14:textId="77777777" w:rsidTr="0077112C">
        <w:trPr>
          <w:tblHeader/>
        </w:trPr>
        <w:tc>
          <w:tcPr>
            <w:tcW w:w="2337" w:type="dxa"/>
          </w:tcPr>
          <w:p w14:paraId="49173CC1" w14:textId="17099B7C" w:rsidR="005F210D" w:rsidRPr="008C05DE" w:rsidRDefault="005F210D" w:rsidP="00FB6DFC">
            <w:pPr>
              <w:keepLines w:val="0"/>
              <w:jc w:val="center"/>
            </w:pPr>
            <w:r w:rsidRPr="008C05DE">
              <w:t>Représentation</w:t>
            </w:r>
          </w:p>
        </w:tc>
        <w:tc>
          <w:tcPr>
            <w:tcW w:w="2337" w:type="dxa"/>
          </w:tcPr>
          <w:p w14:paraId="1B82A643" w14:textId="77777777" w:rsidR="005F210D" w:rsidRPr="008C05DE" w:rsidRDefault="005F210D" w:rsidP="00FB6DFC">
            <w:pPr>
              <w:keepLines w:val="0"/>
              <w:jc w:val="center"/>
            </w:pPr>
            <w:r w:rsidRPr="008C05DE">
              <w:t>2016-2017</w:t>
            </w:r>
          </w:p>
        </w:tc>
        <w:tc>
          <w:tcPr>
            <w:tcW w:w="2338" w:type="dxa"/>
          </w:tcPr>
          <w:p w14:paraId="7E310C43" w14:textId="77777777" w:rsidR="005F210D" w:rsidRPr="008C05DE" w:rsidRDefault="005F210D" w:rsidP="00FB6DFC">
            <w:pPr>
              <w:keepLines w:val="0"/>
              <w:jc w:val="center"/>
            </w:pPr>
            <w:r w:rsidRPr="008C05DE">
              <w:t>2017-2018</w:t>
            </w:r>
          </w:p>
        </w:tc>
        <w:tc>
          <w:tcPr>
            <w:tcW w:w="2338" w:type="dxa"/>
          </w:tcPr>
          <w:p w14:paraId="3AB061D3" w14:textId="77777777" w:rsidR="005F210D" w:rsidRPr="008C05DE" w:rsidRDefault="005F210D" w:rsidP="00FB6DFC">
            <w:pPr>
              <w:keepLines w:val="0"/>
              <w:jc w:val="center"/>
            </w:pPr>
            <w:r w:rsidRPr="008C05DE">
              <w:t>2018-2019</w:t>
            </w:r>
          </w:p>
        </w:tc>
      </w:tr>
      <w:tr w:rsidR="005F210D" w14:paraId="7A79B216" w14:textId="77777777" w:rsidTr="0077112C">
        <w:tc>
          <w:tcPr>
            <w:tcW w:w="2337" w:type="dxa"/>
          </w:tcPr>
          <w:p w14:paraId="3B6A9FE6" w14:textId="6C8F6834" w:rsidR="005F210D" w:rsidRPr="008C05DE" w:rsidRDefault="005F210D" w:rsidP="005F210D">
            <w:pPr>
              <w:keepLines w:val="0"/>
            </w:pPr>
            <w:r w:rsidRPr="008C05DE">
              <w:t>Postulants</w:t>
            </w:r>
          </w:p>
        </w:tc>
        <w:tc>
          <w:tcPr>
            <w:tcW w:w="2337" w:type="dxa"/>
          </w:tcPr>
          <w:p w14:paraId="0485178B" w14:textId="3BE13929" w:rsidR="005F210D" w:rsidRPr="008C05DE" w:rsidRDefault="00D276DD" w:rsidP="00D276DD">
            <w:pPr>
              <w:keepLines w:val="0"/>
              <w:jc w:val="right"/>
            </w:pPr>
            <w:r w:rsidRPr="008C05DE">
              <w:t>52,</w:t>
            </w:r>
            <w:r w:rsidR="005F210D" w:rsidRPr="008C05DE">
              <w:t>3%</w:t>
            </w:r>
          </w:p>
        </w:tc>
        <w:tc>
          <w:tcPr>
            <w:tcW w:w="2338" w:type="dxa"/>
          </w:tcPr>
          <w:p w14:paraId="00E4F2F0" w14:textId="1375D946" w:rsidR="005F210D" w:rsidRPr="008C05DE" w:rsidRDefault="00D276DD" w:rsidP="00D276DD">
            <w:pPr>
              <w:keepLines w:val="0"/>
              <w:jc w:val="right"/>
            </w:pPr>
            <w:r w:rsidRPr="008C05DE">
              <w:t>52,</w:t>
            </w:r>
            <w:r w:rsidR="005F210D" w:rsidRPr="008C05DE">
              <w:t>2%</w:t>
            </w:r>
          </w:p>
        </w:tc>
        <w:tc>
          <w:tcPr>
            <w:tcW w:w="2338" w:type="dxa"/>
          </w:tcPr>
          <w:p w14:paraId="6A488095" w14:textId="09FDCAC3" w:rsidR="005F210D" w:rsidRPr="008C05DE" w:rsidRDefault="00D276DD" w:rsidP="00D276DD">
            <w:pPr>
              <w:keepLines w:val="0"/>
              <w:jc w:val="right"/>
            </w:pPr>
            <w:r w:rsidRPr="008C05DE">
              <w:t>54,</w:t>
            </w:r>
            <w:r w:rsidR="005F210D" w:rsidRPr="008C05DE">
              <w:t>2%</w:t>
            </w:r>
          </w:p>
        </w:tc>
      </w:tr>
      <w:tr w:rsidR="005F210D" w14:paraId="5D05DB63" w14:textId="77777777" w:rsidTr="0077112C">
        <w:tc>
          <w:tcPr>
            <w:tcW w:w="2337" w:type="dxa"/>
          </w:tcPr>
          <w:p w14:paraId="29B1F91E" w14:textId="3A4C4679" w:rsidR="005F210D" w:rsidRPr="008C05DE" w:rsidRDefault="005F210D" w:rsidP="005F210D">
            <w:pPr>
              <w:keepLines w:val="0"/>
            </w:pPr>
            <w:r w:rsidRPr="008C05DE">
              <w:t>Nominations</w:t>
            </w:r>
            <w:bookmarkStart w:id="1" w:name="_GoBack"/>
            <w:bookmarkEnd w:id="1"/>
          </w:p>
        </w:tc>
        <w:tc>
          <w:tcPr>
            <w:tcW w:w="2337" w:type="dxa"/>
          </w:tcPr>
          <w:p w14:paraId="2BAEC8F2" w14:textId="1452091C" w:rsidR="005F210D" w:rsidRPr="008C05DE" w:rsidRDefault="00D276DD" w:rsidP="00D276DD">
            <w:pPr>
              <w:keepLines w:val="0"/>
              <w:jc w:val="right"/>
            </w:pPr>
            <w:r w:rsidRPr="008C05DE">
              <w:t>63,</w:t>
            </w:r>
            <w:r w:rsidR="005F210D" w:rsidRPr="008C05DE">
              <w:t>5%</w:t>
            </w:r>
          </w:p>
        </w:tc>
        <w:tc>
          <w:tcPr>
            <w:tcW w:w="2338" w:type="dxa"/>
          </w:tcPr>
          <w:p w14:paraId="6B5FA59B" w14:textId="30C797C9" w:rsidR="005F210D" w:rsidRPr="008C05DE" w:rsidRDefault="00D276DD" w:rsidP="00D276DD">
            <w:pPr>
              <w:keepLines w:val="0"/>
              <w:jc w:val="right"/>
            </w:pPr>
            <w:r w:rsidRPr="008C05DE">
              <w:t>60,</w:t>
            </w:r>
            <w:r w:rsidR="005F210D" w:rsidRPr="008C05DE">
              <w:t>8%</w:t>
            </w:r>
          </w:p>
        </w:tc>
        <w:tc>
          <w:tcPr>
            <w:tcW w:w="2338" w:type="dxa"/>
          </w:tcPr>
          <w:p w14:paraId="4F612644" w14:textId="1DA797C6" w:rsidR="005F210D" w:rsidRPr="008C05DE" w:rsidRDefault="00D276DD" w:rsidP="00D276DD">
            <w:pPr>
              <w:keepLines w:val="0"/>
              <w:jc w:val="right"/>
            </w:pPr>
            <w:r w:rsidRPr="008C05DE">
              <w:t>60,</w:t>
            </w:r>
            <w:r w:rsidR="005F210D" w:rsidRPr="008C05DE">
              <w:t>7%</w:t>
            </w:r>
          </w:p>
        </w:tc>
      </w:tr>
    </w:tbl>
    <w:p w14:paraId="0D29052A" w14:textId="31149C7B" w:rsidR="00CC2766" w:rsidRPr="00AD5B1A" w:rsidRDefault="0076517E" w:rsidP="006B79CE">
      <w:pPr>
        <w:pStyle w:val="Heading3"/>
        <w:spacing w:before="320"/>
        <w:rPr>
          <w:lang w:val="fr-CA"/>
        </w:rPr>
      </w:pPr>
      <w:r w:rsidRPr="00AD5B1A">
        <w:rPr>
          <w:lang w:val="fr-CA"/>
        </w:rPr>
        <w:t>Les Autochtones</w:t>
      </w:r>
    </w:p>
    <w:p w14:paraId="231CDCE7" w14:textId="02164B70" w:rsidR="003A6355" w:rsidRPr="0004665B" w:rsidRDefault="0076517E" w:rsidP="0071600E">
      <w:pPr>
        <w:pStyle w:val="ListParagraph"/>
        <w:numPr>
          <w:ilvl w:val="0"/>
          <w:numId w:val="29"/>
        </w:numPr>
      </w:pPr>
      <w:r w:rsidRPr="00AD5B1A">
        <w:t>Les Autocht</w:t>
      </w:r>
      <w:r w:rsidR="00D61396" w:rsidRPr="00AD5B1A">
        <w:t>ones</w:t>
      </w:r>
      <w:r w:rsidR="00D61396">
        <w:t xml:space="preserve"> </w:t>
      </w:r>
      <w:r w:rsidR="00BC7623">
        <w:t>ont une représentation plus élevée parmi l</w:t>
      </w:r>
      <w:r>
        <w:t xml:space="preserve">es </w:t>
      </w:r>
      <w:r w:rsidR="001636D9">
        <w:t>postulants</w:t>
      </w:r>
      <w:r>
        <w:t xml:space="preserve"> internes comparativement aux </w:t>
      </w:r>
      <w:r w:rsidR="001636D9">
        <w:t>postulants</w:t>
      </w:r>
      <w:r>
        <w:t xml:space="preserve"> externes</w:t>
      </w:r>
      <w:r w:rsidR="00BC7623">
        <w:t>,</w:t>
      </w:r>
      <w:r>
        <w:t xml:space="preserve"> </w:t>
      </w:r>
      <w:r w:rsidR="00BC7623">
        <w:t xml:space="preserve">tant </w:t>
      </w:r>
      <w:r>
        <w:t>sur le plan des</w:t>
      </w:r>
      <w:r w:rsidR="009B209F">
        <w:t xml:space="preserve"> candidatures</w:t>
      </w:r>
      <w:r>
        <w:t xml:space="preserve"> </w:t>
      </w:r>
      <w:r w:rsidR="00BC7623">
        <w:t xml:space="preserve">que </w:t>
      </w:r>
      <w:r w:rsidR="009C26B6">
        <w:t>des nominations.</w:t>
      </w:r>
    </w:p>
    <w:p w14:paraId="42BFFA3D" w14:textId="4CB80814" w:rsidR="003A6355" w:rsidRPr="0004665B" w:rsidRDefault="0076517E" w:rsidP="0071600E">
      <w:pPr>
        <w:pStyle w:val="ListParagraph"/>
        <w:numPr>
          <w:ilvl w:val="0"/>
          <w:numId w:val="29"/>
        </w:numPr>
      </w:pPr>
      <w:r>
        <w:t xml:space="preserve">Tant pour les </w:t>
      </w:r>
      <w:r w:rsidR="001636D9">
        <w:t>postulants</w:t>
      </w:r>
      <w:r>
        <w:t xml:space="preserve"> internes </w:t>
      </w:r>
      <w:r w:rsidR="000E0EA7">
        <w:t>qu’</w:t>
      </w:r>
      <w:r>
        <w:t>externes, les Autochtones affichent une part plus élevée de</w:t>
      </w:r>
      <w:r w:rsidR="00884BEE">
        <w:t>s</w:t>
      </w:r>
      <w:r>
        <w:t xml:space="preserve"> nominations que </w:t>
      </w:r>
      <w:r w:rsidR="00BC7623">
        <w:t xml:space="preserve">celle </w:t>
      </w:r>
      <w:r w:rsidR="00884BEE">
        <w:t>des</w:t>
      </w:r>
      <w:r>
        <w:t xml:space="preserve"> </w:t>
      </w:r>
      <w:r w:rsidR="009B209F">
        <w:t>candidatures</w:t>
      </w:r>
      <w:r w:rsidR="003A6355" w:rsidRPr="0004665B">
        <w:t>.</w:t>
      </w:r>
    </w:p>
    <w:p w14:paraId="788FB25D" w14:textId="1202E0B9" w:rsidR="009C26B6" w:rsidRPr="0004665B" w:rsidRDefault="0076517E" w:rsidP="006B79CE">
      <w:pPr>
        <w:pStyle w:val="ListParagraph"/>
        <w:numPr>
          <w:ilvl w:val="0"/>
          <w:numId w:val="29"/>
        </w:numPr>
      </w:pPr>
      <w:r>
        <w:t xml:space="preserve">La part des nominations de </w:t>
      </w:r>
      <w:r w:rsidR="001636D9">
        <w:t>postulants</w:t>
      </w:r>
      <w:r>
        <w:t xml:space="preserve"> autochtones externes a dépassé l</w:t>
      </w:r>
      <w:r w:rsidR="00D61396">
        <w:t>a</w:t>
      </w:r>
      <w:r>
        <w:t xml:space="preserve"> disponibilité au sein de la population active </w:t>
      </w:r>
      <w:r w:rsidR="00D61396">
        <w:t xml:space="preserve">de ce groupe qui se chiffre à </w:t>
      </w:r>
      <w:r>
        <w:t>4,0</w:t>
      </w:r>
      <w:r w:rsidR="009A09C3">
        <w:t> </w:t>
      </w:r>
      <w:r>
        <w:t>p</w:t>
      </w:r>
      <w:r w:rsidR="00884BEE">
        <w:t>. 100</w:t>
      </w:r>
      <w:r>
        <w:t>, malgré le fait que l</w:t>
      </w:r>
      <w:r w:rsidR="00BC7623">
        <w:t>eur</w:t>
      </w:r>
      <w:r>
        <w:t xml:space="preserve"> part des </w:t>
      </w:r>
      <w:r w:rsidR="001636D9">
        <w:t>postulants</w:t>
      </w:r>
      <w:r>
        <w:t xml:space="preserve"> externes était inférieure à </w:t>
      </w:r>
      <w:r w:rsidR="00BC7623">
        <w:t xml:space="preserve">leur </w:t>
      </w:r>
      <w:r>
        <w:t>disponibilité au sein de la population active</w:t>
      </w:r>
      <w:r w:rsidR="0009325F">
        <w:t>.</w:t>
      </w:r>
    </w:p>
    <w:p w14:paraId="4AF99440" w14:textId="60F71B85" w:rsidR="00CC2766" w:rsidRPr="0004665B" w:rsidRDefault="0076517E" w:rsidP="006B79CE">
      <w:pPr>
        <w:pStyle w:val="Heading3"/>
      </w:pPr>
      <w:r>
        <w:t>Les personnes handicapées</w:t>
      </w:r>
    </w:p>
    <w:p w14:paraId="1C20ECB5" w14:textId="56700E39" w:rsidR="003A6355" w:rsidRPr="0004665B" w:rsidRDefault="0076517E" w:rsidP="0071600E">
      <w:pPr>
        <w:pStyle w:val="ListParagraph"/>
        <w:numPr>
          <w:ilvl w:val="0"/>
          <w:numId w:val="29"/>
        </w:numPr>
      </w:pPr>
      <w:r>
        <w:t xml:space="preserve">Les </w:t>
      </w:r>
      <w:r w:rsidR="001636D9">
        <w:t>postulants</w:t>
      </w:r>
      <w:r w:rsidR="00A94387">
        <w:t xml:space="preserve"> ayant indiqué être une </w:t>
      </w:r>
      <w:r>
        <w:t xml:space="preserve">personne handicapée </w:t>
      </w:r>
      <w:r w:rsidR="00BC7623">
        <w:t>ont</w:t>
      </w:r>
      <w:r>
        <w:t xml:space="preserve"> une </w:t>
      </w:r>
      <w:r w:rsidR="00BC7623">
        <w:t xml:space="preserve">représentation </w:t>
      </w:r>
      <w:r>
        <w:t xml:space="preserve">plus </w:t>
      </w:r>
      <w:r w:rsidR="00BC7623">
        <w:t>élevée au sein d</w:t>
      </w:r>
      <w:r>
        <w:t xml:space="preserve">es </w:t>
      </w:r>
      <w:r w:rsidR="001636D9">
        <w:t>postulants</w:t>
      </w:r>
      <w:r>
        <w:t xml:space="preserve"> internes </w:t>
      </w:r>
      <w:r w:rsidR="00D61396">
        <w:t>comparativement aux</w:t>
      </w:r>
      <w:r>
        <w:t xml:space="preserve"> </w:t>
      </w:r>
      <w:r w:rsidR="001636D9">
        <w:t>postulants</w:t>
      </w:r>
      <w:r w:rsidR="009B209F">
        <w:t xml:space="preserve"> externes</w:t>
      </w:r>
      <w:r w:rsidR="00BC7623">
        <w:t>. On observe un résultat semblable</w:t>
      </w:r>
      <w:r w:rsidR="009B209F">
        <w:t xml:space="preserve"> sur le plan des </w:t>
      </w:r>
      <w:r>
        <w:t>nominations.</w:t>
      </w:r>
    </w:p>
    <w:p w14:paraId="5263DF2B" w14:textId="2626A330" w:rsidR="0071600E" w:rsidRPr="006B79CE" w:rsidRDefault="009B209F" w:rsidP="006B79CE">
      <w:pPr>
        <w:pStyle w:val="ListParagraph"/>
        <w:numPr>
          <w:ilvl w:val="0"/>
          <w:numId w:val="29"/>
        </w:numPr>
      </w:pPr>
      <w:r>
        <w:t>À l’opposé d</w:t>
      </w:r>
      <w:r w:rsidR="00884BEE">
        <w:t xml:space="preserve">es </w:t>
      </w:r>
      <w:r>
        <w:t xml:space="preserve">autres groupes, la part des candidatures et des nominations </w:t>
      </w:r>
      <w:r w:rsidR="00BC7623">
        <w:t>(internes et externes) des personnes</w:t>
      </w:r>
      <w:r w:rsidR="00D61396">
        <w:t xml:space="preserve"> handicap</w:t>
      </w:r>
      <w:r w:rsidR="00BC7623">
        <w:t>ées</w:t>
      </w:r>
      <w:r w:rsidR="00884BEE">
        <w:t xml:space="preserve"> </w:t>
      </w:r>
      <w:r>
        <w:t>est inférieure à l</w:t>
      </w:r>
      <w:r w:rsidR="00BC7623">
        <w:t>eur</w:t>
      </w:r>
      <w:r>
        <w:t xml:space="preserve"> disponibilité au sein de la population active, qui se chiffre à 9,0</w:t>
      </w:r>
      <w:r w:rsidR="009A09C3">
        <w:t> </w:t>
      </w:r>
      <w:r w:rsidR="00884BEE">
        <w:t>p. 100</w:t>
      </w:r>
      <w:r w:rsidR="009C26B6">
        <w:t>.</w:t>
      </w:r>
    </w:p>
    <w:p w14:paraId="00BE3CAF" w14:textId="6681B666" w:rsidR="00CC2766" w:rsidRPr="006B79CE" w:rsidRDefault="0076517E" w:rsidP="006B79CE">
      <w:pPr>
        <w:pStyle w:val="Heading3"/>
        <w:rPr>
          <w:lang w:val="fr-CA"/>
        </w:rPr>
      </w:pPr>
      <w:r w:rsidRPr="006B79CE">
        <w:rPr>
          <w:lang w:val="fr-CA"/>
        </w:rPr>
        <w:t>Les membres de minorités visibles</w:t>
      </w:r>
    </w:p>
    <w:p w14:paraId="649178B8" w14:textId="7EDC134E" w:rsidR="003A6355" w:rsidRPr="0004665B" w:rsidRDefault="009B209F" w:rsidP="0071600E">
      <w:pPr>
        <w:pStyle w:val="ListParagraph"/>
        <w:numPr>
          <w:ilvl w:val="0"/>
          <w:numId w:val="29"/>
        </w:numPr>
      </w:pPr>
      <w:r>
        <w:t xml:space="preserve">Les </w:t>
      </w:r>
      <w:r w:rsidR="001636D9">
        <w:t>postulants</w:t>
      </w:r>
      <w:r w:rsidR="00A94387">
        <w:t xml:space="preserve"> </w:t>
      </w:r>
      <w:r>
        <w:t xml:space="preserve">membres de minorités visibles </w:t>
      </w:r>
      <w:r w:rsidR="00A94387">
        <w:t xml:space="preserve">ont une représentation plus élevée au sein </w:t>
      </w:r>
      <w:r>
        <w:t xml:space="preserve">des </w:t>
      </w:r>
      <w:r w:rsidR="001636D9">
        <w:t>postulants</w:t>
      </w:r>
      <w:r>
        <w:t xml:space="preserve"> internes </w:t>
      </w:r>
      <w:r w:rsidR="00C73C27">
        <w:t>comparativement aux</w:t>
      </w:r>
      <w:r w:rsidR="00884BEE">
        <w:t xml:space="preserve"> </w:t>
      </w:r>
      <w:r w:rsidR="001636D9">
        <w:t>postulants</w:t>
      </w:r>
      <w:r>
        <w:t xml:space="preserve"> externes sur le plan des candidatures et des nominations. </w:t>
      </w:r>
      <w:r w:rsidR="00A94387">
        <w:t>On observe également un résultat semblable sur le plan des nominations.</w:t>
      </w:r>
    </w:p>
    <w:p w14:paraId="3BD11205" w14:textId="036268B1" w:rsidR="003A6355" w:rsidRPr="0004665B" w:rsidRDefault="009B209F" w:rsidP="0071600E">
      <w:pPr>
        <w:pStyle w:val="ListParagraph"/>
        <w:numPr>
          <w:ilvl w:val="0"/>
          <w:numId w:val="29"/>
        </w:numPr>
      </w:pPr>
      <w:r>
        <w:t>À l’opposé d</w:t>
      </w:r>
      <w:r w:rsidR="00452E82">
        <w:t xml:space="preserve">es </w:t>
      </w:r>
      <w:r>
        <w:t xml:space="preserve">autres groupes, tant pour les </w:t>
      </w:r>
      <w:r w:rsidR="001636D9">
        <w:t>postulants</w:t>
      </w:r>
      <w:r>
        <w:t xml:space="preserve"> internes qu’externes, les membres de minorités visibles </w:t>
      </w:r>
      <w:r w:rsidR="00A94387">
        <w:t>ont une représentation</w:t>
      </w:r>
      <w:r>
        <w:t xml:space="preserve"> plus </w:t>
      </w:r>
      <w:r w:rsidR="00F10857">
        <w:t xml:space="preserve">élevée </w:t>
      </w:r>
      <w:r w:rsidR="00A94387">
        <w:t xml:space="preserve">au sein </w:t>
      </w:r>
      <w:r>
        <w:t>des ca</w:t>
      </w:r>
      <w:r w:rsidR="009C26B6">
        <w:t>ndidatures que des nominations.</w:t>
      </w:r>
    </w:p>
    <w:p w14:paraId="4C79A164" w14:textId="0FD3DC7C" w:rsidR="00BE6475" w:rsidRPr="009C26B6" w:rsidRDefault="00A94387" w:rsidP="00D71697">
      <w:pPr>
        <w:pStyle w:val="ListParagraph"/>
        <w:keepLines w:val="0"/>
        <w:numPr>
          <w:ilvl w:val="0"/>
          <w:numId w:val="29"/>
        </w:numPr>
        <w:rPr>
          <w:b/>
        </w:rPr>
      </w:pPr>
      <w:r>
        <w:t xml:space="preserve">Leur </w:t>
      </w:r>
      <w:r w:rsidR="009B209F">
        <w:t xml:space="preserve">part des candidatures et des nominations revenant aux </w:t>
      </w:r>
      <w:r w:rsidR="001636D9">
        <w:t>postulants</w:t>
      </w:r>
      <w:r w:rsidR="009B209F">
        <w:t xml:space="preserve"> internes et externes est supérieur</w:t>
      </w:r>
      <w:r w:rsidR="00C73C27">
        <w:t>e</w:t>
      </w:r>
      <w:r w:rsidR="009B209F">
        <w:t xml:space="preserve"> à la disponibilité au sein de la population active d</w:t>
      </w:r>
      <w:r w:rsidR="00C73C27">
        <w:t>e</w:t>
      </w:r>
      <w:r>
        <w:t>s</w:t>
      </w:r>
      <w:r w:rsidR="00C73C27">
        <w:t xml:space="preserve"> </w:t>
      </w:r>
      <w:r>
        <w:t>membres de minorités visibles</w:t>
      </w:r>
      <w:r w:rsidR="009B209F">
        <w:t>, q</w:t>
      </w:r>
      <w:r w:rsidR="009C26B6">
        <w:t>ui se chiffre à 15,3 pour cent.</w:t>
      </w:r>
      <w:r w:rsidR="00BE6475" w:rsidRPr="009C26B6">
        <w:rPr>
          <w:b/>
        </w:rPr>
        <w:br w:type="page"/>
      </w:r>
    </w:p>
    <w:p w14:paraId="23BD4FDD" w14:textId="6CC00D30" w:rsidR="00CC2766" w:rsidRPr="0004665B" w:rsidRDefault="0076517E" w:rsidP="006B79CE">
      <w:pPr>
        <w:pStyle w:val="Heading3"/>
      </w:pPr>
      <w:r>
        <w:lastRenderedPageBreak/>
        <w:t>Les femmes</w:t>
      </w:r>
    </w:p>
    <w:p w14:paraId="33ED0DD1" w14:textId="4DBE459B" w:rsidR="003A6355" w:rsidRPr="0004665B" w:rsidRDefault="009B209F" w:rsidP="0071600E">
      <w:pPr>
        <w:pStyle w:val="ListParagraph"/>
        <w:numPr>
          <w:ilvl w:val="0"/>
          <w:numId w:val="29"/>
        </w:numPr>
      </w:pPr>
      <w:r>
        <w:t xml:space="preserve">Les femmes </w:t>
      </w:r>
      <w:r w:rsidR="00D80945">
        <w:t xml:space="preserve">candidates avaient une représentation </w:t>
      </w:r>
      <w:r>
        <w:t xml:space="preserve">plus </w:t>
      </w:r>
      <w:r w:rsidR="009F78F7">
        <w:t xml:space="preserve">élevée </w:t>
      </w:r>
      <w:r w:rsidR="00D80945">
        <w:t xml:space="preserve">au sein </w:t>
      </w:r>
      <w:r>
        <w:t xml:space="preserve">des </w:t>
      </w:r>
      <w:r w:rsidR="001636D9">
        <w:t>postulants</w:t>
      </w:r>
      <w:r>
        <w:t xml:space="preserve"> internes comparativement aux </w:t>
      </w:r>
      <w:r w:rsidR="001636D9">
        <w:t>postulants</w:t>
      </w:r>
      <w:r>
        <w:t xml:space="preserve"> externes</w:t>
      </w:r>
      <w:r w:rsidR="00D80945">
        <w:t>. C’était également le cas pour leur représentation au sein des personnes nommées.</w:t>
      </w:r>
    </w:p>
    <w:p w14:paraId="2837CF1D" w14:textId="51A30728" w:rsidR="003A6355" w:rsidRPr="0004665B" w:rsidRDefault="009B209F" w:rsidP="0071600E">
      <w:pPr>
        <w:pStyle w:val="ListParagraph"/>
        <w:numPr>
          <w:ilvl w:val="0"/>
          <w:numId w:val="29"/>
        </w:numPr>
      </w:pPr>
      <w:r>
        <w:t xml:space="preserve">Tant pour les </w:t>
      </w:r>
      <w:r w:rsidR="001636D9">
        <w:t>postulants</w:t>
      </w:r>
      <w:r>
        <w:t xml:space="preserve"> internes qu’externes, les femmes </w:t>
      </w:r>
      <w:r w:rsidR="00015E5D">
        <w:t>avaient</w:t>
      </w:r>
      <w:r>
        <w:t xml:space="preserve"> une part plus élevée de</w:t>
      </w:r>
      <w:r w:rsidR="00F10857">
        <w:t>s</w:t>
      </w:r>
      <w:r>
        <w:t xml:space="preserve"> nominations que </w:t>
      </w:r>
      <w:r w:rsidR="00015E5D">
        <w:t xml:space="preserve">leur représentation au sein </w:t>
      </w:r>
      <w:r>
        <w:t>de</w:t>
      </w:r>
      <w:r w:rsidR="00F10857">
        <w:t>s</w:t>
      </w:r>
      <w:r>
        <w:t xml:space="preserve"> </w:t>
      </w:r>
      <w:r w:rsidR="001636D9">
        <w:t>postulants</w:t>
      </w:r>
      <w:r w:rsidR="009C26B6">
        <w:t>.</w:t>
      </w:r>
    </w:p>
    <w:p w14:paraId="3E900271" w14:textId="7C67DCFA" w:rsidR="00C9322F" w:rsidRDefault="009B209F" w:rsidP="002E19BE">
      <w:pPr>
        <w:pStyle w:val="ListParagraph"/>
        <w:keepLines w:val="0"/>
        <w:numPr>
          <w:ilvl w:val="0"/>
          <w:numId w:val="29"/>
        </w:numPr>
      </w:pPr>
      <w:r>
        <w:t xml:space="preserve">La part des nominations des </w:t>
      </w:r>
      <w:r w:rsidR="001636D9">
        <w:t>postulants</w:t>
      </w:r>
      <w:r>
        <w:t xml:space="preserve"> internes et externes</w:t>
      </w:r>
      <w:r w:rsidR="00C73C27">
        <w:t xml:space="preserve"> qui sont des femmes </w:t>
      </w:r>
      <w:r>
        <w:t>est supérieure à l</w:t>
      </w:r>
      <w:r w:rsidR="00635604">
        <w:t>eur</w:t>
      </w:r>
      <w:r>
        <w:t xml:space="preserve"> disponibilité au sein de la population active</w:t>
      </w:r>
      <w:r w:rsidR="00C73C27">
        <w:t>,</w:t>
      </w:r>
      <w:r>
        <w:t xml:space="preserve"> qui se chiffre à 52,5</w:t>
      </w:r>
      <w:r w:rsidR="009A09C3">
        <w:t> </w:t>
      </w:r>
      <w:r>
        <w:t>p</w:t>
      </w:r>
      <w:r w:rsidR="00C73C27">
        <w:t>. 100</w:t>
      </w:r>
      <w:r>
        <w:t>. Cependant, seule la part de</w:t>
      </w:r>
      <w:r w:rsidR="00F10857">
        <w:t>s</w:t>
      </w:r>
      <w:r>
        <w:t xml:space="preserve"> </w:t>
      </w:r>
      <w:r w:rsidR="001636D9">
        <w:t>postulants</w:t>
      </w:r>
      <w:r>
        <w:t xml:space="preserve"> internes en 2018-2019 est supérieur</w:t>
      </w:r>
      <w:r w:rsidR="00C73C27">
        <w:t>e</w:t>
      </w:r>
      <w:r>
        <w:t xml:space="preserve"> à la disponibilité au sein de la population active des femmes.</w:t>
      </w:r>
      <w:r w:rsidR="00C9322F">
        <w:br w:type="page"/>
      </w:r>
    </w:p>
    <w:p w14:paraId="5E1286C7" w14:textId="35BA7FAB" w:rsidR="00CE6BAE" w:rsidRPr="0004665B" w:rsidRDefault="009B209F" w:rsidP="009C26B6">
      <w:pPr>
        <w:pStyle w:val="Heading2"/>
        <w:rPr>
          <w:lang w:val="fr-CA"/>
        </w:rPr>
      </w:pPr>
      <w:r>
        <w:rPr>
          <w:lang w:val="fr-CA"/>
        </w:rPr>
        <w:lastRenderedPageBreak/>
        <w:t>Méthodologie</w:t>
      </w:r>
    </w:p>
    <w:p w14:paraId="213741DD" w14:textId="2DE2AAB0" w:rsidR="007A009A" w:rsidRPr="0004665B" w:rsidRDefault="00F10857" w:rsidP="00992A5A">
      <w:r>
        <w:t xml:space="preserve">Dans le cadre de la présente analyse, on a évalué </w:t>
      </w:r>
      <w:r w:rsidR="009B209F">
        <w:t>tou</w:t>
      </w:r>
      <w:r>
        <w:t>tes les annonces d’</w:t>
      </w:r>
      <w:r w:rsidR="009B209F">
        <w:t xml:space="preserve">emplois ouverts au public visant des postes </w:t>
      </w:r>
      <w:r w:rsidR="00C73C27">
        <w:t xml:space="preserve">dotés </w:t>
      </w:r>
      <w:r w:rsidR="009B209F">
        <w:t>pour une période indéterminée et une période déterminée d</w:t>
      </w:r>
      <w:r w:rsidR="00E93EC1">
        <w:t>e trois mois ou plus</w:t>
      </w:r>
      <w:r>
        <w:t xml:space="preserve"> et</w:t>
      </w:r>
      <w:r w:rsidR="00E93EC1">
        <w:t xml:space="preserve"> ayant </w:t>
      </w:r>
      <w:r w:rsidR="00E16777">
        <w:t>fermé</w:t>
      </w:r>
      <w:r w:rsidR="00E93EC1">
        <w:t xml:space="preserve"> entre le</w:t>
      </w:r>
      <w:r w:rsidR="009E5D75">
        <w:t>s</w:t>
      </w:r>
      <w:r w:rsidR="00E93EC1">
        <w:t xml:space="preserve"> 1</w:t>
      </w:r>
      <w:r w:rsidR="00E93EC1" w:rsidRPr="00E93EC1">
        <w:rPr>
          <w:vertAlign w:val="superscript"/>
        </w:rPr>
        <w:t>er</w:t>
      </w:r>
      <w:r w:rsidR="009A09C3">
        <w:t> </w:t>
      </w:r>
      <w:r w:rsidR="00E93EC1">
        <w:t>avril 2016 et 31</w:t>
      </w:r>
      <w:r w:rsidR="009A09C3">
        <w:t> </w:t>
      </w:r>
      <w:r w:rsidR="00E93EC1">
        <w:t xml:space="preserve">mars 2019. Dans le même ordre d’idées, </w:t>
      </w:r>
      <w:r>
        <w:t xml:space="preserve">on a inclus </w:t>
      </w:r>
      <w:r w:rsidR="00E93EC1">
        <w:t xml:space="preserve">toutes les embauches externes et tous les types de nominations internes, dont les promotions, les </w:t>
      </w:r>
      <w:r w:rsidR="00BD45D1">
        <w:t xml:space="preserve">déplacements </w:t>
      </w:r>
      <w:r w:rsidR="00E93EC1">
        <w:t>latéra</w:t>
      </w:r>
      <w:r w:rsidR="00BD45D1">
        <w:t>ux</w:t>
      </w:r>
      <w:r w:rsidR="00E93EC1">
        <w:t xml:space="preserve"> et les </w:t>
      </w:r>
      <w:r w:rsidR="00BD45D1">
        <w:t>mutations</w:t>
      </w:r>
      <w:r w:rsidR="00E93EC1">
        <w:t xml:space="preserve">, visant des postes </w:t>
      </w:r>
      <w:r w:rsidR="00C73C27">
        <w:t xml:space="preserve">dotés </w:t>
      </w:r>
      <w:r w:rsidR="00E93EC1">
        <w:t xml:space="preserve">pour une période indéterminée et une </w:t>
      </w:r>
      <w:r w:rsidR="00BD45D1">
        <w:t>durée</w:t>
      </w:r>
      <w:r w:rsidR="00E93EC1">
        <w:t xml:space="preserve"> déterminée de trois mois ou plus entre le 1</w:t>
      </w:r>
      <w:r w:rsidR="00E93EC1" w:rsidRPr="00E93EC1">
        <w:rPr>
          <w:vertAlign w:val="superscript"/>
        </w:rPr>
        <w:t>er</w:t>
      </w:r>
      <w:r w:rsidR="009A09C3">
        <w:t> </w:t>
      </w:r>
      <w:r w:rsidR="00E93EC1">
        <w:t>avril 2016 et le 31</w:t>
      </w:r>
      <w:r w:rsidR="009A09C3">
        <w:t> </w:t>
      </w:r>
      <w:r w:rsidR="00E93EC1">
        <w:t>mars 2019.</w:t>
      </w:r>
    </w:p>
    <w:p w14:paraId="6F06CCCE" w14:textId="2A322F9F" w:rsidR="00F96EB4" w:rsidRPr="0004665B" w:rsidRDefault="00E93EC1" w:rsidP="00992A5A">
      <w:r>
        <w:t>Nous déterminons si les candidatures aux</w:t>
      </w:r>
      <w:r w:rsidR="00F10857">
        <w:t xml:space="preserve"> annonces d’</w:t>
      </w:r>
      <w:r>
        <w:t xml:space="preserve">emplois ouverts au public sont présentées par des </w:t>
      </w:r>
      <w:r w:rsidR="001636D9">
        <w:t>postulants</w:t>
      </w:r>
      <w:r>
        <w:t xml:space="preserve"> internes en fonction de la fourniture </w:t>
      </w:r>
      <w:r w:rsidR="00C73C27">
        <w:t xml:space="preserve">par ceux-ci </w:t>
      </w:r>
      <w:r>
        <w:t>d’un code d’identification de dossier personnel (CIDP) dans l</w:t>
      </w:r>
      <w:r w:rsidR="00C73C27">
        <w:t>eur</w:t>
      </w:r>
      <w:r>
        <w:t xml:space="preserve"> demande d’emploi. La fourniture d’un CIDP est volontaire, de sorte que ces résultats constituent une borne inférieure du nombre de </w:t>
      </w:r>
      <w:r w:rsidR="001636D9">
        <w:t>postulants</w:t>
      </w:r>
      <w:r>
        <w:t xml:space="preserve"> internes postulant </w:t>
      </w:r>
      <w:r w:rsidR="003B3FC5">
        <w:t>aux annonces d’</w:t>
      </w:r>
      <w:r>
        <w:t>e</w:t>
      </w:r>
      <w:r w:rsidR="00F10857">
        <w:t xml:space="preserve">mplois ouverts au public. Nous déterminons si </w:t>
      </w:r>
      <w:r>
        <w:t xml:space="preserve">les </w:t>
      </w:r>
      <w:r w:rsidR="001636D9">
        <w:t>postulants</w:t>
      </w:r>
      <w:r>
        <w:t xml:space="preserve"> internes sont nommés </w:t>
      </w:r>
      <w:r w:rsidR="00F10857">
        <w:t xml:space="preserve">à la suite d’annonces d’emplois </w:t>
      </w:r>
      <w:r>
        <w:t xml:space="preserve">ouverts au public en appariant les fonctionnaires existants aux </w:t>
      </w:r>
      <w:r w:rsidR="00BD45D1">
        <w:t xml:space="preserve">candidatures </w:t>
      </w:r>
      <w:r>
        <w:t xml:space="preserve">dans le Système de ressourcement de la fonction publique (SRFP) au moyen d’un </w:t>
      </w:r>
      <w:r w:rsidRPr="00456BEF">
        <w:t xml:space="preserve">processus déterministe de couplage des </w:t>
      </w:r>
      <w:r w:rsidR="00456BEF">
        <w:t>données</w:t>
      </w:r>
      <w:r>
        <w:t xml:space="preserve">. </w:t>
      </w:r>
      <w:r w:rsidR="00F10857">
        <w:t xml:space="preserve">À cette fin, </w:t>
      </w:r>
      <w:r>
        <w:t xml:space="preserve">nous prenons en considération tous les types de nominations internes, dont les promotions, les </w:t>
      </w:r>
      <w:r w:rsidR="00BD45D1">
        <w:t xml:space="preserve">déplacements </w:t>
      </w:r>
      <w:r>
        <w:t>latéra</w:t>
      </w:r>
      <w:r w:rsidR="00BD45D1">
        <w:t>ux</w:t>
      </w:r>
      <w:r>
        <w:t xml:space="preserve"> </w:t>
      </w:r>
      <w:r w:rsidR="003D2FE9">
        <w:t xml:space="preserve">et les </w:t>
      </w:r>
      <w:r w:rsidR="00BD45D1">
        <w:t>mutations</w:t>
      </w:r>
      <w:r w:rsidR="003D2FE9">
        <w:t xml:space="preserve">. Le taux d’appariement du </w:t>
      </w:r>
      <w:r w:rsidR="003D2FE9" w:rsidRPr="00456BEF">
        <w:t xml:space="preserve">processus de couplage des </w:t>
      </w:r>
      <w:r w:rsidR="00456BEF" w:rsidRPr="00F872D1">
        <w:t>données</w:t>
      </w:r>
      <w:r w:rsidR="00456BEF" w:rsidRPr="00456BEF">
        <w:t xml:space="preserve"> </w:t>
      </w:r>
      <w:r w:rsidR="003D2FE9">
        <w:t xml:space="preserve">était de l’ordre de </w:t>
      </w:r>
      <w:r w:rsidR="00555113">
        <w:t>86 </w:t>
      </w:r>
      <w:r w:rsidR="003D2FE9">
        <w:t>p</w:t>
      </w:r>
      <w:r w:rsidR="00C73C27">
        <w:t>. 100</w:t>
      </w:r>
      <w:r w:rsidR="009C26B6">
        <w:t>.</w:t>
      </w:r>
    </w:p>
    <w:p w14:paraId="52D9BAEF" w14:textId="02820A02" w:rsidR="00456BEF" w:rsidRDefault="003D2FE9" w:rsidP="00F03EF2">
      <w:r>
        <w:t>Le statut d’équité en</w:t>
      </w:r>
      <w:r w:rsidR="00F10857">
        <w:t xml:space="preserve"> matière d’</w:t>
      </w:r>
      <w:r>
        <w:t xml:space="preserve">emploi des </w:t>
      </w:r>
      <w:r w:rsidR="001636D9">
        <w:t>postulants</w:t>
      </w:r>
      <w:r w:rsidR="00F10857">
        <w:t xml:space="preserve"> se fonde sur l’auto</w:t>
      </w:r>
      <w:r w:rsidR="00080FC7">
        <w:t>-</w:t>
      </w:r>
      <w:r w:rsidR="00F10857">
        <w:t>déclaration que ceux-ci font d</w:t>
      </w:r>
      <w:r>
        <w:t>ans la demande pré</w:t>
      </w:r>
      <w:r w:rsidR="00F10857">
        <w:t xml:space="preserve">sentée au SRFP. Dans le cas des </w:t>
      </w:r>
      <w:r>
        <w:t>embauches, nous consultons les renseignements sur l</w:t>
      </w:r>
      <w:r w:rsidR="00F10857">
        <w:t>’</w:t>
      </w:r>
      <w:r>
        <w:t>auto-identification</w:t>
      </w:r>
      <w:r w:rsidR="00F10857">
        <w:t xml:space="preserve"> des </w:t>
      </w:r>
      <w:r w:rsidR="001636D9">
        <w:t>postulants</w:t>
      </w:r>
      <w:r>
        <w:t xml:space="preserve">, </w:t>
      </w:r>
      <w:r w:rsidR="00F10857">
        <w:t xml:space="preserve">qui sont </w:t>
      </w:r>
      <w:r>
        <w:t>recueillis par le Secrétariat du Conseil du Trésor dans la Banque de données sur l’équité en matière d’emploi.</w:t>
      </w:r>
    </w:p>
    <w:p w14:paraId="3379CFCA" w14:textId="574D0C63" w:rsidR="007B1488" w:rsidRDefault="00456BEF" w:rsidP="009C26B6">
      <w:r w:rsidRPr="008C1971">
        <w:t>La d</w:t>
      </w:r>
      <w:r w:rsidRPr="00AB7B9F">
        <w:t>isponibilité au sein de la population active</w:t>
      </w:r>
      <w:r w:rsidRPr="008C1971">
        <w:t xml:space="preserve"> (DPA) </w:t>
      </w:r>
      <w:r w:rsidR="008C1971" w:rsidRPr="008C1971">
        <w:t>basée sur le Recensement de 2016 a été publiée pour la première fois dans le Rapport sur l’équité en matière d’emploi de 2018-2019. Tous les exercices financiers précédents 2018-2019 qui sont mentionnés dans ce rapport sont comparés à la DPA ba</w:t>
      </w:r>
      <w:r w:rsidR="007B1488">
        <w:t>sée sur le Recensement de 2011.</w:t>
      </w:r>
      <w:r w:rsidR="007B1488">
        <w:br w:type="page"/>
      </w:r>
    </w:p>
    <w:p w14:paraId="0CAB9B13" w14:textId="131C057E" w:rsidR="00B25869" w:rsidRDefault="00B25869" w:rsidP="00B25869">
      <w:pPr>
        <w:pStyle w:val="Caption"/>
        <w:keepNext/>
        <w:jc w:val="center"/>
      </w:pPr>
      <w:r>
        <w:lastRenderedPageBreak/>
        <w:t xml:space="preserve">Table </w:t>
      </w:r>
      <w:r>
        <w:fldChar w:fldCharType="begin"/>
      </w:r>
      <w:r>
        <w:instrText xml:space="preserve"> SEQ Table \* ARABIC </w:instrText>
      </w:r>
      <w:r>
        <w:fldChar w:fldCharType="separate"/>
      </w:r>
      <w:r>
        <w:rPr>
          <w:noProof/>
        </w:rPr>
        <w:t>10</w:t>
      </w:r>
      <w:r>
        <w:fldChar w:fldCharType="end"/>
      </w:r>
      <w:r>
        <w:t xml:space="preserve">: </w:t>
      </w:r>
      <w:r w:rsidRPr="00411EA4">
        <w:t>Disponibilité au sein de la population active (DPA)</w:t>
      </w:r>
    </w:p>
    <w:tbl>
      <w:tblPr>
        <w:tblStyle w:val="TableGrid"/>
        <w:tblW w:w="0" w:type="auto"/>
        <w:tblLook w:val="04A0" w:firstRow="1" w:lastRow="0" w:firstColumn="1" w:lastColumn="0" w:noHBand="0" w:noVBand="1"/>
        <w:tblCaption w:val="Disponibilité au sein de la population active"/>
        <w:tblDescription w:val="Une table qui démontre la disponibilité au sein de la population active des recensements de 2011 et de 2016 pour chaque groupe d'équité en matière d'emploi."/>
      </w:tblPr>
      <w:tblGrid>
        <w:gridCol w:w="3116"/>
        <w:gridCol w:w="3117"/>
        <w:gridCol w:w="3117"/>
      </w:tblGrid>
      <w:tr w:rsidR="00456BEF" w14:paraId="03F70D7C" w14:textId="77777777" w:rsidTr="004A2E37">
        <w:trPr>
          <w:tblHeader/>
        </w:trPr>
        <w:tc>
          <w:tcPr>
            <w:tcW w:w="3116" w:type="dxa"/>
          </w:tcPr>
          <w:p w14:paraId="6060C0DD" w14:textId="4233D6A4" w:rsidR="00456BEF" w:rsidRPr="008C05DE" w:rsidRDefault="00456BEF" w:rsidP="00FB6DFC">
            <w:pPr>
              <w:jc w:val="center"/>
            </w:pPr>
            <w:r w:rsidRPr="008C05DE">
              <w:t>Groupes visés par l’équité en matière d’emploi</w:t>
            </w:r>
          </w:p>
        </w:tc>
        <w:tc>
          <w:tcPr>
            <w:tcW w:w="3117" w:type="dxa"/>
          </w:tcPr>
          <w:p w14:paraId="27415A2D" w14:textId="77777777" w:rsidR="00456BEF" w:rsidRPr="008C05DE" w:rsidRDefault="00456BEF" w:rsidP="00FB6DFC">
            <w:pPr>
              <w:jc w:val="center"/>
            </w:pPr>
            <w:r w:rsidRPr="008C05DE">
              <w:t>Repère de la</w:t>
            </w:r>
          </w:p>
          <w:p w14:paraId="112D2A6C" w14:textId="77777777" w:rsidR="00456BEF" w:rsidRPr="008C05DE" w:rsidRDefault="00456BEF" w:rsidP="00FB6DFC">
            <w:pPr>
              <w:jc w:val="center"/>
            </w:pPr>
            <w:r w:rsidRPr="008C05DE">
              <w:t>DPA précédent</w:t>
            </w:r>
          </w:p>
          <w:p w14:paraId="7AD3D2B9" w14:textId="0CC11BF2" w:rsidR="00456BEF" w:rsidRPr="008C05DE" w:rsidRDefault="00456BEF" w:rsidP="00FB6DFC">
            <w:pPr>
              <w:jc w:val="center"/>
            </w:pPr>
            <w:r w:rsidRPr="008C05DE">
              <w:t>(Recensement de 2011)</w:t>
            </w:r>
          </w:p>
        </w:tc>
        <w:tc>
          <w:tcPr>
            <w:tcW w:w="3117" w:type="dxa"/>
          </w:tcPr>
          <w:p w14:paraId="08DCDE02" w14:textId="77777777" w:rsidR="00456BEF" w:rsidRPr="008C05DE" w:rsidRDefault="00456BEF" w:rsidP="00FB6DFC">
            <w:pPr>
              <w:jc w:val="center"/>
            </w:pPr>
            <w:r w:rsidRPr="008C05DE">
              <w:t>DPA</w:t>
            </w:r>
          </w:p>
          <w:p w14:paraId="2B47FE64" w14:textId="1C3D9545" w:rsidR="00456BEF" w:rsidRPr="008C05DE" w:rsidRDefault="00456BEF" w:rsidP="00FB6DFC">
            <w:pPr>
              <w:jc w:val="center"/>
            </w:pPr>
            <w:r w:rsidRPr="008C05DE">
              <w:t>(Recensement de 2016)</w:t>
            </w:r>
          </w:p>
        </w:tc>
      </w:tr>
      <w:tr w:rsidR="00456BEF" w14:paraId="5922B67B" w14:textId="77777777" w:rsidTr="00AB7B9F">
        <w:tc>
          <w:tcPr>
            <w:tcW w:w="3116" w:type="dxa"/>
          </w:tcPr>
          <w:p w14:paraId="37CD08A4" w14:textId="06887454" w:rsidR="00456BEF" w:rsidRPr="008C05DE" w:rsidRDefault="00456BEF" w:rsidP="00AB7B9F">
            <w:r w:rsidRPr="008C05DE">
              <w:t>Femmes</w:t>
            </w:r>
          </w:p>
        </w:tc>
        <w:tc>
          <w:tcPr>
            <w:tcW w:w="3117" w:type="dxa"/>
          </w:tcPr>
          <w:p w14:paraId="4FD15711" w14:textId="18207163" w:rsidR="00456BEF" w:rsidRPr="008C05DE" w:rsidRDefault="00456BEF" w:rsidP="00AB7B9F">
            <w:pPr>
              <w:jc w:val="right"/>
            </w:pPr>
            <w:r w:rsidRPr="008C05DE">
              <w:t>52,5%</w:t>
            </w:r>
          </w:p>
        </w:tc>
        <w:tc>
          <w:tcPr>
            <w:tcW w:w="3117" w:type="dxa"/>
          </w:tcPr>
          <w:p w14:paraId="2D05F8B3" w14:textId="1F4F2634" w:rsidR="00456BEF" w:rsidRPr="008C05DE" w:rsidRDefault="00456BEF" w:rsidP="00AB7B9F">
            <w:pPr>
              <w:jc w:val="right"/>
            </w:pPr>
            <w:r w:rsidRPr="008C05DE">
              <w:t>52,7%</w:t>
            </w:r>
          </w:p>
        </w:tc>
      </w:tr>
      <w:tr w:rsidR="00456BEF" w14:paraId="450AD318" w14:textId="77777777" w:rsidTr="00AB7B9F">
        <w:tc>
          <w:tcPr>
            <w:tcW w:w="3116" w:type="dxa"/>
          </w:tcPr>
          <w:p w14:paraId="23BF6327" w14:textId="0A6F24CA" w:rsidR="00456BEF" w:rsidRPr="008C05DE" w:rsidRDefault="00456BEF">
            <w:r w:rsidRPr="008C05DE">
              <w:t>Autochtones</w:t>
            </w:r>
          </w:p>
        </w:tc>
        <w:tc>
          <w:tcPr>
            <w:tcW w:w="3117" w:type="dxa"/>
          </w:tcPr>
          <w:p w14:paraId="004B9A2D" w14:textId="3DA526DF" w:rsidR="00456BEF" w:rsidRPr="008C05DE" w:rsidRDefault="00456BEF" w:rsidP="00AB7B9F">
            <w:pPr>
              <w:jc w:val="right"/>
            </w:pPr>
            <w:r w:rsidRPr="008C05DE">
              <w:t>3,4%</w:t>
            </w:r>
          </w:p>
        </w:tc>
        <w:tc>
          <w:tcPr>
            <w:tcW w:w="3117" w:type="dxa"/>
          </w:tcPr>
          <w:p w14:paraId="6F665D01" w14:textId="28F121B2" w:rsidR="00456BEF" w:rsidRPr="008C05DE" w:rsidRDefault="00456BEF" w:rsidP="00AB7B9F">
            <w:pPr>
              <w:jc w:val="right"/>
            </w:pPr>
            <w:r w:rsidRPr="008C05DE">
              <w:t>4,0%</w:t>
            </w:r>
          </w:p>
        </w:tc>
      </w:tr>
      <w:tr w:rsidR="00456BEF" w14:paraId="5D0E01FE" w14:textId="77777777" w:rsidTr="00AB7B9F">
        <w:tc>
          <w:tcPr>
            <w:tcW w:w="3116" w:type="dxa"/>
          </w:tcPr>
          <w:p w14:paraId="4B511EF4" w14:textId="1B1143B3" w:rsidR="00456BEF" w:rsidRPr="008C05DE" w:rsidRDefault="00456BEF">
            <w:r w:rsidRPr="008C05DE">
              <w:t>Personnes handicapées</w:t>
            </w:r>
          </w:p>
        </w:tc>
        <w:tc>
          <w:tcPr>
            <w:tcW w:w="3117" w:type="dxa"/>
          </w:tcPr>
          <w:p w14:paraId="021D4B50" w14:textId="0565B709" w:rsidR="00456BEF" w:rsidRPr="008C05DE" w:rsidRDefault="00456BEF" w:rsidP="00AB7B9F">
            <w:pPr>
              <w:jc w:val="right"/>
            </w:pPr>
            <w:r w:rsidRPr="008C05DE">
              <w:t>4,4%</w:t>
            </w:r>
          </w:p>
        </w:tc>
        <w:tc>
          <w:tcPr>
            <w:tcW w:w="3117" w:type="dxa"/>
          </w:tcPr>
          <w:p w14:paraId="38DEF948" w14:textId="5F408FE6" w:rsidR="00456BEF" w:rsidRPr="008C05DE" w:rsidRDefault="00456BEF" w:rsidP="00AB7B9F">
            <w:pPr>
              <w:jc w:val="right"/>
            </w:pPr>
            <w:r w:rsidRPr="008C05DE">
              <w:t>9,0%</w:t>
            </w:r>
          </w:p>
        </w:tc>
      </w:tr>
      <w:tr w:rsidR="00456BEF" w14:paraId="4DEA17B8" w14:textId="77777777" w:rsidTr="00AB7B9F">
        <w:tc>
          <w:tcPr>
            <w:tcW w:w="3116" w:type="dxa"/>
          </w:tcPr>
          <w:p w14:paraId="7D6F5F03" w14:textId="7063F956" w:rsidR="00456BEF" w:rsidRPr="008C05DE" w:rsidRDefault="00456BEF" w:rsidP="00AB7B9F">
            <w:r w:rsidRPr="008C05DE">
              <w:t>Membres des minorités visibles</w:t>
            </w:r>
          </w:p>
        </w:tc>
        <w:tc>
          <w:tcPr>
            <w:tcW w:w="3117" w:type="dxa"/>
          </w:tcPr>
          <w:p w14:paraId="349CEBF4" w14:textId="6567C083" w:rsidR="00456BEF" w:rsidRPr="008C05DE" w:rsidRDefault="00456BEF" w:rsidP="00AB7B9F">
            <w:pPr>
              <w:jc w:val="right"/>
            </w:pPr>
            <w:r w:rsidRPr="008C05DE">
              <w:t>13,0%</w:t>
            </w:r>
          </w:p>
        </w:tc>
        <w:tc>
          <w:tcPr>
            <w:tcW w:w="3117" w:type="dxa"/>
          </w:tcPr>
          <w:p w14:paraId="0314BED8" w14:textId="3FFFD585" w:rsidR="00456BEF" w:rsidRPr="008C05DE" w:rsidRDefault="00456BEF" w:rsidP="00AB7B9F">
            <w:pPr>
              <w:jc w:val="right"/>
            </w:pPr>
            <w:r w:rsidRPr="008C05DE">
              <w:t>15,3%</w:t>
            </w:r>
          </w:p>
        </w:tc>
      </w:tr>
    </w:tbl>
    <w:p w14:paraId="6F9506E3" w14:textId="36544DF2" w:rsidR="00F96A16" w:rsidRPr="0004665B" w:rsidRDefault="00456BEF" w:rsidP="00F03EF2">
      <w:r w:rsidRPr="00F872D1">
        <w:t>Source</w:t>
      </w:r>
      <w:r w:rsidR="00555113">
        <w:t> </w:t>
      </w:r>
      <w:r w:rsidRPr="00F872D1">
        <w:t xml:space="preserve">: </w:t>
      </w:r>
      <w:r w:rsidR="00003918">
        <w:t>Secré</w:t>
      </w:r>
      <w:r w:rsidRPr="00F872D1">
        <w:t>tariat</w:t>
      </w:r>
      <w:r w:rsidR="00003918">
        <w:t xml:space="preserve"> du Conseil du Trésor</w:t>
      </w:r>
      <w:r w:rsidRPr="00F872D1">
        <w:t xml:space="preserve">, </w:t>
      </w:r>
      <w:r w:rsidR="00E5349B" w:rsidRPr="00F872D1">
        <w:t>L’équité en matière d’emploi dans la fonction publique du Canada, exercice 2018 à 2019</w:t>
      </w:r>
    </w:p>
    <w:sectPr w:rsidR="00F96A16" w:rsidRPr="0004665B" w:rsidSect="004404CE">
      <w:footerReference w:type="even" r:id="rId10"/>
      <w:footerReference w:type="default" r:id="rId11"/>
      <w:headerReference w:type="first" r:id="rId12"/>
      <w:footerReference w:type="first" r:id="rId13"/>
      <w:pgSz w:w="12240" w:h="15840"/>
      <w:pgMar w:top="1560" w:right="1440" w:bottom="1985" w:left="1440" w:header="709"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69EED" w14:textId="77777777" w:rsidR="00845CD4" w:rsidRDefault="00845CD4" w:rsidP="00A2240C">
      <w:r>
        <w:separator/>
      </w:r>
    </w:p>
  </w:endnote>
  <w:endnote w:type="continuationSeparator" w:id="0">
    <w:p w14:paraId="64374BD4" w14:textId="77777777" w:rsidR="00845CD4" w:rsidRDefault="00845CD4"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14:paraId="436F0133" w14:textId="77777777" w:rsidR="00646A04" w:rsidRDefault="00646A04" w:rsidP="00A2240C">
        <w:pPr>
          <w:pStyle w:val="Footer"/>
          <w:rPr>
            <w:noProof/>
          </w:rPr>
        </w:pPr>
        <w:r>
          <w:rPr>
            <w:noProof/>
            <w:lang w:val="en-CA" w:eastAsia="en-CA"/>
          </w:rPr>
          <w:drawing>
            <wp:anchor distT="0" distB="0" distL="114300" distR="114300" simplePos="0" relativeHeight="251659264" behindDoc="1" locked="0" layoutInCell="1" allowOverlap="1" wp14:anchorId="5F8C380C" wp14:editId="214F0432">
              <wp:simplePos x="0" y="0"/>
              <wp:positionH relativeFrom="column">
                <wp:posOffset>-886460</wp:posOffset>
              </wp:positionH>
              <wp:positionV relativeFrom="paragraph">
                <wp:posOffset>219075</wp:posOffset>
              </wp:positionV>
              <wp:extent cx="7829550" cy="651510"/>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A2357">
          <w:rPr>
            <w:noProof/>
          </w:rPr>
          <w:t>1</w:t>
        </w:r>
        <w:r>
          <w:rPr>
            <w:noProof/>
          </w:rPr>
          <w:fldChar w:fldCharType="end"/>
        </w:r>
      </w:p>
      <w:p w14:paraId="148DCE2F" w14:textId="77777777" w:rsidR="00646A04" w:rsidRDefault="00AD5B1A" w:rsidP="00A2240C">
        <w:pPr>
          <w:pStyle w:val="Footer"/>
        </w:pPr>
      </w:p>
    </w:sdtContent>
  </w:sdt>
  <w:p w14:paraId="1F2B8D95" w14:textId="77777777" w:rsidR="00646A04" w:rsidRDefault="00646A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137F" w14:textId="24CC6DB2" w:rsidR="00CB0ADE" w:rsidRPr="00D61396" w:rsidRDefault="00CB0ADE" w:rsidP="00A2240C">
    <w:pPr>
      <w:pStyle w:val="Footer"/>
    </w:pPr>
    <w:r w:rsidRPr="00D61396">
      <w:rPr>
        <w:noProof/>
        <w:lang w:val="en-CA" w:eastAsia="en-CA"/>
      </w:rPr>
      <w:drawing>
        <wp:anchor distT="0" distB="0" distL="114300" distR="114300" simplePos="0" relativeHeight="251660288" behindDoc="1" locked="0" layoutInCell="1" allowOverlap="1" wp14:anchorId="6F60B1DA" wp14:editId="52C58EDD">
          <wp:simplePos x="0" y="0"/>
          <wp:positionH relativeFrom="column">
            <wp:posOffset>-967563</wp:posOffset>
          </wp:positionH>
          <wp:positionV relativeFrom="page">
            <wp:posOffset>9388549</wp:posOffset>
          </wp:positionV>
          <wp:extent cx="7830000" cy="643620"/>
          <wp:effectExtent l="0" t="0" r="0" b="4445"/>
          <wp:wrapNone/>
          <wp:docPr id="528" name="Picture 52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D61396">
      <w:fldChar w:fldCharType="begin"/>
    </w:r>
    <w:r w:rsidRPr="00D61396">
      <w:instrText xml:space="preserve"> PAGE   \* MERGEFORMAT </w:instrText>
    </w:r>
    <w:r w:rsidRPr="00D61396">
      <w:fldChar w:fldCharType="separate"/>
    </w:r>
    <w:r w:rsidR="00AD5B1A">
      <w:rPr>
        <w:noProof/>
      </w:rPr>
      <w:t>6</w:t>
    </w:r>
    <w:r w:rsidRPr="00D61396">
      <w:rPr>
        <w:noProof/>
      </w:rPr>
      <w:fldChar w:fldCharType="end"/>
    </w:r>
    <w:r w:rsidRPr="00D61396">
      <w:rPr>
        <w:noProof/>
      </w:rPr>
      <w:t xml:space="preserve"> </w:t>
    </w:r>
    <w:r w:rsidR="00067BCD" w:rsidRPr="00D61396">
      <w:rPr>
        <w:noProof/>
      </w:rPr>
      <w:t>–</w:t>
    </w:r>
    <w:r w:rsidR="00332C01" w:rsidRPr="00D61396">
      <w:rPr>
        <w:noProof/>
      </w:rPr>
      <w:t xml:space="preserve"> </w:t>
    </w:r>
    <w:r w:rsidR="00D61396">
      <w:t>Commission de la fonction publique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DC4E" w14:textId="6F64B7A7" w:rsidR="0010662E" w:rsidRPr="00494FCF" w:rsidRDefault="00494FCF" w:rsidP="00494FCF">
    <w:pPr>
      <w:rPr>
        <w:color w:val="auto"/>
      </w:rPr>
    </w:pPr>
    <w:r>
      <w:rPr>
        <w:color w:val="auto"/>
      </w:rPr>
      <w:t>Dernière révision : 16 novembre 2020</w:t>
    </w:r>
    <w:r w:rsidRPr="003F6522">
      <w:rPr>
        <w:color w:val="auto"/>
      </w:rPr>
      <w:t xml:space="preserve"> / </w:t>
    </w:r>
    <w:proofErr w:type="spellStart"/>
    <w:r w:rsidRPr="003F6522">
      <w:rPr>
        <w:color w:val="auto"/>
      </w:rPr>
      <w:t>GC</w:t>
    </w:r>
    <w:r>
      <w:rPr>
        <w:color w:val="auto"/>
      </w:rPr>
      <w:t>d</w:t>
    </w:r>
    <w:r w:rsidRPr="003F6522">
      <w:rPr>
        <w:color w:val="auto"/>
      </w:rPr>
      <w:t>ocs</w:t>
    </w:r>
    <w:proofErr w:type="spellEnd"/>
    <w:r w:rsidRPr="003F6522">
      <w:rPr>
        <w:color w:val="auto"/>
      </w:rPr>
      <w:t xml:space="preserve"> </w:t>
    </w:r>
    <w:r>
      <w:rPr>
        <w:color w:val="auto"/>
      </w:rPr>
      <w:t>n</w:t>
    </w:r>
    <w:r w:rsidRPr="00405E5A">
      <w:rPr>
        <w:color w:val="auto"/>
        <w:vertAlign w:val="superscript"/>
      </w:rPr>
      <w:t>o</w:t>
    </w:r>
    <w:r w:rsidRPr="002730C9">
      <w:rPr>
        <w:color w:val="auto"/>
      </w:rPr>
      <w:t xml:space="preserve"> </w:t>
    </w:r>
    <w:r w:rsidRPr="00151457">
      <w:rPr>
        <w:color w:val="auto"/>
      </w:rPr>
      <w:t>10965995</w:t>
    </w:r>
    <w:r w:rsidR="0010662E">
      <w:rPr>
        <w:noProof/>
        <w:lang w:val="en-CA" w:eastAsia="en-CA"/>
      </w:rPr>
      <w:drawing>
        <wp:anchor distT="0" distB="0" distL="114300" distR="114300" simplePos="0" relativeHeight="251658240" behindDoc="1" locked="0" layoutInCell="1" allowOverlap="1" wp14:anchorId="7E12F07E" wp14:editId="77354C85">
          <wp:simplePos x="0" y="0"/>
          <wp:positionH relativeFrom="column">
            <wp:posOffset>-892175</wp:posOffset>
          </wp:positionH>
          <wp:positionV relativeFrom="page">
            <wp:posOffset>5787228</wp:posOffset>
          </wp:positionV>
          <wp:extent cx="7800212" cy="3891600"/>
          <wp:effectExtent l="0" t="0" r="0" b="0"/>
          <wp:wrapNone/>
          <wp:docPr id="530" name="Picture 5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30B5" w14:textId="77777777" w:rsidR="00845CD4" w:rsidRDefault="00845CD4" w:rsidP="00A2240C">
      <w:r>
        <w:separator/>
      </w:r>
    </w:p>
  </w:footnote>
  <w:footnote w:type="continuationSeparator" w:id="0">
    <w:p w14:paraId="2C882EC7" w14:textId="77777777" w:rsidR="00845CD4" w:rsidRDefault="00845CD4" w:rsidP="00A2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0C3F2" w14:textId="77777777" w:rsidR="0010662E" w:rsidRDefault="0010662E" w:rsidP="00A2240C">
    <w:pPr>
      <w:pStyle w:val="Header"/>
    </w:pPr>
    <w:r>
      <w:rPr>
        <w:noProof/>
        <w:lang w:val="en-CA" w:eastAsia="en-CA"/>
      </w:rPr>
      <w:drawing>
        <wp:inline distT="0" distB="0" distL="0" distR="0" wp14:anchorId="23321AE5" wp14:editId="16E20061">
          <wp:extent cx="4510800" cy="267086"/>
          <wp:effectExtent l="0" t="0" r="0" b="0"/>
          <wp:docPr id="529" name="Picture 5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BC8"/>
    <w:multiLevelType w:val="hybridMultilevel"/>
    <w:tmpl w:val="E6120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B4E9D"/>
    <w:multiLevelType w:val="hybridMultilevel"/>
    <w:tmpl w:val="5F2A6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E5D72"/>
    <w:multiLevelType w:val="hybridMultilevel"/>
    <w:tmpl w:val="5C605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51543"/>
    <w:multiLevelType w:val="hybridMultilevel"/>
    <w:tmpl w:val="DA126D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3B4851"/>
    <w:multiLevelType w:val="hybridMultilevel"/>
    <w:tmpl w:val="41C6BA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BBF182C"/>
    <w:multiLevelType w:val="hybridMultilevel"/>
    <w:tmpl w:val="43CE8E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C7262C"/>
    <w:multiLevelType w:val="hybridMultilevel"/>
    <w:tmpl w:val="474216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FE30748"/>
    <w:multiLevelType w:val="hybridMultilevel"/>
    <w:tmpl w:val="FDF6665A"/>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0" w15:restartNumberingAfterBreak="0">
    <w:nsid w:val="2216618F"/>
    <w:multiLevelType w:val="hybridMultilevel"/>
    <w:tmpl w:val="F7ECDE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35C3C24"/>
    <w:multiLevelType w:val="hybridMultilevel"/>
    <w:tmpl w:val="C24A0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9A43739"/>
    <w:multiLevelType w:val="hybridMultilevel"/>
    <w:tmpl w:val="642454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BAE6E6B"/>
    <w:multiLevelType w:val="hybridMultilevel"/>
    <w:tmpl w:val="8EDAC9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FAA3B5D"/>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2970022"/>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CA4DF5"/>
    <w:multiLevelType w:val="hybridMultilevel"/>
    <w:tmpl w:val="94AE4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6B16CBA"/>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93546F"/>
    <w:multiLevelType w:val="hybridMultilevel"/>
    <w:tmpl w:val="DF986A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B9E5BA4"/>
    <w:multiLevelType w:val="hybridMultilevel"/>
    <w:tmpl w:val="DAD60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0A1E1E"/>
    <w:multiLevelType w:val="hybridMultilevel"/>
    <w:tmpl w:val="2040BF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3F7402F4"/>
    <w:multiLevelType w:val="hybridMultilevel"/>
    <w:tmpl w:val="F7CCE1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E53FD7"/>
    <w:multiLevelType w:val="hybridMultilevel"/>
    <w:tmpl w:val="CEF06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CE637B"/>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B52E4E"/>
    <w:multiLevelType w:val="hybridMultilevel"/>
    <w:tmpl w:val="36A4A0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19272B9"/>
    <w:multiLevelType w:val="hybridMultilevel"/>
    <w:tmpl w:val="F176F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CD56DB"/>
    <w:multiLevelType w:val="hybridMultilevel"/>
    <w:tmpl w:val="7D56AB5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4424816"/>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68220E4"/>
    <w:multiLevelType w:val="hybridMultilevel"/>
    <w:tmpl w:val="31A2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
  </w:num>
  <w:num w:numId="4">
    <w:abstractNumId w:val="23"/>
  </w:num>
  <w:num w:numId="5">
    <w:abstractNumId w:val="12"/>
  </w:num>
  <w:num w:numId="6">
    <w:abstractNumId w:val="27"/>
  </w:num>
  <w:num w:numId="7">
    <w:abstractNumId w:val="3"/>
  </w:num>
  <w:num w:numId="8">
    <w:abstractNumId w:val="4"/>
  </w:num>
  <w:num w:numId="9">
    <w:abstractNumId w:val="1"/>
  </w:num>
  <w:num w:numId="10">
    <w:abstractNumId w:val="15"/>
  </w:num>
  <w:num w:numId="11">
    <w:abstractNumId w:val="28"/>
  </w:num>
  <w:num w:numId="12">
    <w:abstractNumId w:val="24"/>
  </w:num>
  <w:num w:numId="13">
    <w:abstractNumId w:val="17"/>
  </w:num>
  <w:num w:numId="14">
    <w:abstractNumId w:val="14"/>
  </w:num>
  <w:num w:numId="15">
    <w:abstractNumId w:val="11"/>
  </w:num>
  <w:num w:numId="16">
    <w:abstractNumId w:val="29"/>
  </w:num>
  <w:num w:numId="17">
    <w:abstractNumId w:val="19"/>
  </w:num>
  <w:num w:numId="18">
    <w:abstractNumId w:val="26"/>
  </w:num>
  <w:num w:numId="19">
    <w:abstractNumId w:val="5"/>
  </w:num>
  <w:num w:numId="20">
    <w:abstractNumId w:val="16"/>
  </w:num>
  <w:num w:numId="21">
    <w:abstractNumId w:val="20"/>
  </w:num>
  <w:num w:numId="22">
    <w:abstractNumId w:val="8"/>
  </w:num>
  <w:num w:numId="23">
    <w:abstractNumId w:val="10"/>
  </w:num>
  <w:num w:numId="24">
    <w:abstractNumId w:val="9"/>
  </w:num>
  <w:num w:numId="25">
    <w:abstractNumId w:val="25"/>
  </w:num>
  <w:num w:numId="26">
    <w:abstractNumId w:val="21"/>
  </w:num>
  <w:num w:numId="27">
    <w:abstractNumId w:val="13"/>
  </w:num>
  <w:num w:numId="28">
    <w:abstractNumId w:val="0"/>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11"/>
    <w:rsid w:val="00003918"/>
    <w:rsid w:val="000046AD"/>
    <w:rsid w:val="00005B71"/>
    <w:rsid w:val="00011FB4"/>
    <w:rsid w:val="00015E5D"/>
    <w:rsid w:val="0001777C"/>
    <w:rsid w:val="00017C8E"/>
    <w:rsid w:val="00035642"/>
    <w:rsid w:val="00037567"/>
    <w:rsid w:val="0003764E"/>
    <w:rsid w:val="00043FE5"/>
    <w:rsid w:val="00044C18"/>
    <w:rsid w:val="00044DED"/>
    <w:rsid w:val="0004665B"/>
    <w:rsid w:val="000539F9"/>
    <w:rsid w:val="00055211"/>
    <w:rsid w:val="0006067E"/>
    <w:rsid w:val="00067BCD"/>
    <w:rsid w:val="00080FC7"/>
    <w:rsid w:val="000841D5"/>
    <w:rsid w:val="00085DF6"/>
    <w:rsid w:val="0009325F"/>
    <w:rsid w:val="000A6750"/>
    <w:rsid w:val="000A7BE7"/>
    <w:rsid w:val="000B5C78"/>
    <w:rsid w:val="000B7D89"/>
    <w:rsid w:val="000C19EC"/>
    <w:rsid w:val="000D35A9"/>
    <w:rsid w:val="000E0EA7"/>
    <w:rsid w:val="000F4F85"/>
    <w:rsid w:val="001037ED"/>
    <w:rsid w:val="0010662E"/>
    <w:rsid w:val="00114459"/>
    <w:rsid w:val="0011577E"/>
    <w:rsid w:val="001167AF"/>
    <w:rsid w:val="0013187A"/>
    <w:rsid w:val="00143EF4"/>
    <w:rsid w:val="001442ED"/>
    <w:rsid w:val="00144747"/>
    <w:rsid w:val="001452B1"/>
    <w:rsid w:val="00151457"/>
    <w:rsid w:val="001578F2"/>
    <w:rsid w:val="001636D9"/>
    <w:rsid w:val="001703E1"/>
    <w:rsid w:val="00171A52"/>
    <w:rsid w:val="00182827"/>
    <w:rsid w:val="00185ED5"/>
    <w:rsid w:val="00186646"/>
    <w:rsid w:val="00190490"/>
    <w:rsid w:val="0019410D"/>
    <w:rsid w:val="00196C49"/>
    <w:rsid w:val="001A6F07"/>
    <w:rsid w:val="001B133D"/>
    <w:rsid w:val="001B6202"/>
    <w:rsid w:val="001B66D3"/>
    <w:rsid w:val="001C0C8F"/>
    <w:rsid w:val="001C1DA9"/>
    <w:rsid w:val="001C4301"/>
    <w:rsid w:val="001E53A9"/>
    <w:rsid w:val="002029F1"/>
    <w:rsid w:val="002045DF"/>
    <w:rsid w:val="002056B7"/>
    <w:rsid w:val="002116E1"/>
    <w:rsid w:val="00212B04"/>
    <w:rsid w:val="0022060D"/>
    <w:rsid w:val="00222D81"/>
    <w:rsid w:val="0022373C"/>
    <w:rsid w:val="00223FF2"/>
    <w:rsid w:val="00227A72"/>
    <w:rsid w:val="0023379D"/>
    <w:rsid w:val="002349C3"/>
    <w:rsid w:val="00237B91"/>
    <w:rsid w:val="00243374"/>
    <w:rsid w:val="00247D7B"/>
    <w:rsid w:val="00254D39"/>
    <w:rsid w:val="00254ECB"/>
    <w:rsid w:val="0026150F"/>
    <w:rsid w:val="0026183E"/>
    <w:rsid w:val="0026195F"/>
    <w:rsid w:val="0026497D"/>
    <w:rsid w:val="00266411"/>
    <w:rsid w:val="002669DD"/>
    <w:rsid w:val="00267BAB"/>
    <w:rsid w:val="002769F1"/>
    <w:rsid w:val="002A0213"/>
    <w:rsid w:val="002A1427"/>
    <w:rsid w:val="002A1BD4"/>
    <w:rsid w:val="002A7785"/>
    <w:rsid w:val="002B0264"/>
    <w:rsid w:val="002D0474"/>
    <w:rsid w:val="002D0E0E"/>
    <w:rsid w:val="002D228F"/>
    <w:rsid w:val="002D6960"/>
    <w:rsid w:val="002E0490"/>
    <w:rsid w:val="002E50F6"/>
    <w:rsid w:val="002F0DBB"/>
    <w:rsid w:val="002F12C8"/>
    <w:rsid w:val="002F1E1A"/>
    <w:rsid w:val="002F2491"/>
    <w:rsid w:val="00301027"/>
    <w:rsid w:val="00313348"/>
    <w:rsid w:val="00321FDE"/>
    <w:rsid w:val="003231AA"/>
    <w:rsid w:val="00332C01"/>
    <w:rsid w:val="00350CE8"/>
    <w:rsid w:val="00360856"/>
    <w:rsid w:val="003618EC"/>
    <w:rsid w:val="003761CB"/>
    <w:rsid w:val="00377B7A"/>
    <w:rsid w:val="003802AD"/>
    <w:rsid w:val="00384BE6"/>
    <w:rsid w:val="00385851"/>
    <w:rsid w:val="003869B6"/>
    <w:rsid w:val="00395AE6"/>
    <w:rsid w:val="0039690A"/>
    <w:rsid w:val="003A6355"/>
    <w:rsid w:val="003A77AC"/>
    <w:rsid w:val="003B227A"/>
    <w:rsid w:val="003B3FC5"/>
    <w:rsid w:val="003C0C34"/>
    <w:rsid w:val="003C1CFF"/>
    <w:rsid w:val="003C6D70"/>
    <w:rsid w:val="003C7C07"/>
    <w:rsid w:val="003D2FE9"/>
    <w:rsid w:val="003F1EFF"/>
    <w:rsid w:val="003F1F30"/>
    <w:rsid w:val="003F2AF9"/>
    <w:rsid w:val="003F6522"/>
    <w:rsid w:val="003F7F8A"/>
    <w:rsid w:val="0040269A"/>
    <w:rsid w:val="00403DCD"/>
    <w:rsid w:val="00415275"/>
    <w:rsid w:val="00415499"/>
    <w:rsid w:val="004217DE"/>
    <w:rsid w:val="00427E24"/>
    <w:rsid w:val="004320EB"/>
    <w:rsid w:val="00435AB2"/>
    <w:rsid w:val="00435E41"/>
    <w:rsid w:val="004404CE"/>
    <w:rsid w:val="004420C1"/>
    <w:rsid w:val="00452E82"/>
    <w:rsid w:val="00455836"/>
    <w:rsid w:val="00456BEF"/>
    <w:rsid w:val="00461A95"/>
    <w:rsid w:val="004650F0"/>
    <w:rsid w:val="00465642"/>
    <w:rsid w:val="0047199D"/>
    <w:rsid w:val="004731F2"/>
    <w:rsid w:val="00483764"/>
    <w:rsid w:val="00492220"/>
    <w:rsid w:val="00494FCF"/>
    <w:rsid w:val="00495EB6"/>
    <w:rsid w:val="004A2E37"/>
    <w:rsid w:val="004A586B"/>
    <w:rsid w:val="004B27EE"/>
    <w:rsid w:val="004B4648"/>
    <w:rsid w:val="004D13EB"/>
    <w:rsid w:val="004D464A"/>
    <w:rsid w:val="004E6EB8"/>
    <w:rsid w:val="004F26B1"/>
    <w:rsid w:val="004F34FF"/>
    <w:rsid w:val="00502350"/>
    <w:rsid w:val="00505B79"/>
    <w:rsid w:val="00516EF0"/>
    <w:rsid w:val="00524F35"/>
    <w:rsid w:val="00530A1F"/>
    <w:rsid w:val="00532560"/>
    <w:rsid w:val="005355E2"/>
    <w:rsid w:val="00535C4F"/>
    <w:rsid w:val="00536904"/>
    <w:rsid w:val="0053783D"/>
    <w:rsid w:val="00555113"/>
    <w:rsid w:val="00561049"/>
    <w:rsid w:val="00562211"/>
    <w:rsid w:val="00563956"/>
    <w:rsid w:val="00563D9E"/>
    <w:rsid w:val="00564610"/>
    <w:rsid w:val="00566092"/>
    <w:rsid w:val="005729DA"/>
    <w:rsid w:val="0057552A"/>
    <w:rsid w:val="00582374"/>
    <w:rsid w:val="0058460E"/>
    <w:rsid w:val="00585250"/>
    <w:rsid w:val="0059104E"/>
    <w:rsid w:val="005914D9"/>
    <w:rsid w:val="00596B8D"/>
    <w:rsid w:val="005A1F0C"/>
    <w:rsid w:val="005A2D6A"/>
    <w:rsid w:val="005A4C11"/>
    <w:rsid w:val="005A7E6D"/>
    <w:rsid w:val="005B32FF"/>
    <w:rsid w:val="005B3839"/>
    <w:rsid w:val="005B7B7C"/>
    <w:rsid w:val="005C2ED0"/>
    <w:rsid w:val="005C4F51"/>
    <w:rsid w:val="005C7AFF"/>
    <w:rsid w:val="005D2DDC"/>
    <w:rsid w:val="005D47CE"/>
    <w:rsid w:val="005D79E0"/>
    <w:rsid w:val="005E1636"/>
    <w:rsid w:val="005E4D17"/>
    <w:rsid w:val="005F210D"/>
    <w:rsid w:val="005F4D94"/>
    <w:rsid w:val="005F6E9E"/>
    <w:rsid w:val="005F7F63"/>
    <w:rsid w:val="00602718"/>
    <w:rsid w:val="006071D3"/>
    <w:rsid w:val="00613963"/>
    <w:rsid w:val="00614133"/>
    <w:rsid w:val="00617C67"/>
    <w:rsid w:val="00620A06"/>
    <w:rsid w:val="00621664"/>
    <w:rsid w:val="00621A55"/>
    <w:rsid w:val="006263CB"/>
    <w:rsid w:val="006278C1"/>
    <w:rsid w:val="00633964"/>
    <w:rsid w:val="006353B8"/>
    <w:rsid w:val="00635604"/>
    <w:rsid w:val="006361A0"/>
    <w:rsid w:val="00637B82"/>
    <w:rsid w:val="0064486C"/>
    <w:rsid w:val="00646A04"/>
    <w:rsid w:val="00652638"/>
    <w:rsid w:val="00655846"/>
    <w:rsid w:val="00665D35"/>
    <w:rsid w:val="006767C3"/>
    <w:rsid w:val="00684FF4"/>
    <w:rsid w:val="006852A8"/>
    <w:rsid w:val="00686B7E"/>
    <w:rsid w:val="0068742D"/>
    <w:rsid w:val="00690B53"/>
    <w:rsid w:val="006926B2"/>
    <w:rsid w:val="006A5688"/>
    <w:rsid w:val="006A5786"/>
    <w:rsid w:val="006A5D48"/>
    <w:rsid w:val="006A5EA7"/>
    <w:rsid w:val="006B12C1"/>
    <w:rsid w:val="006B79CE"/>
    <w:rsid w:val="006C4059"/>
    <w:rsid w:val="006C652D"/>
    <w:rsid w:val="006D0E60"/>
    <w:rsid w:val="006E05F7"/>
    <w:rsid w:val="006E51E1"/>
    <w:rsid w:val="006E7C30"/>
    <w:rsid w:val="006F1B05"/>
    <w:rsid w:val="006F5820"/>
    <w:rsid w:val="0071600E"/>
    <w:rsid w:val="0072068A"/>
    <w:rsid w:val="00723278"/>
    <w:rsid w:val="007273F1"/>
    <w:rsid w:val="007321A4"/>
    <w:rsid w:val="007374E6"/>
    <w:rsid w:val="00743E10"/>
    <w:rsid w:val="00746E89"/>
    <w:rsid w:val="007563A2"/>
    <w:rsid w:val="00756722"/>
    <w:rsid w:val="007620E1"/>
    <w:rsid w:val="00764ABA"/>
    <w:rsid w:val="0076517E"/>
    <w:rsid w:val="00766369"/>
    <w:rsid w:val="00766634"/>
    <w:rsid w:val="00767B91"/>
    <w:rsid w:val="00772303"/>
    <w:rsid w:val="00772C4B"/>
    <w:rsid w:val="00781132"/>
    <w:rsid w:val="00781E61"/>
    <w:rsid w:val="00783724"/>
    <w:rsid w:val="00796578"/>
    <w:rsid w:val="007A009A"/>
    <w:rsid w:val="007A0D7E"/>
    <w:rsid w:val="007A1CA2"/>
    <w:rsid w:val="007A1F06"/>
    <w:rsid w:val="007A396D"/>
    <w:rsid w:val="007A5149"/>
    <w:rsid w:val="007B1488"/>
    <w:rsid w:val="007B2B6E"/>
    <w:rsid w:val="007B3EA3"/>
    <w:rsid w:val="007C60BF"/>
    <w:rsid w:val="007C71FF"/>
    <w:rsid w:val="007D1B2A"/>
    <w:rsid w:val="007D5881"/>
    <w:rsid w:val="007E5403"/>
    <w:rsid w:val="007F6893"/>
    <w:rsid w:val="00802F0C"/>
    <w:rsid w:val="008060EB"/>
    <w:rsid w:val="00811511"/>
    <w:rsid w:val="00812A5B"/>
    <w:rsid w:val="00813D63"/>
    <w:rsid w:val="008168A9"/>
    <w:rsid w:val="0082015A"/>
    <w:rsid w:val="0082138A"/>
    <w:rsid w:val="008237FF"/>
    <w:rsid w:val="0082385E"/>
    <w:rsid w:val="00826F04"/>
    <w:rsid w:val="00827750"/>
    <w:rsid w:val="00834A39"/>
    <w:rsid w:val="00837D32"/>
    <w:rsid w:val="00845CD4"/>
    <w:rsid w:val="00862791"/>
    <w:rsid w:val="00864358"/>
    <w:rsid w:val="00866947"/>
    <w:rsid w:val="00873089"/>
    <w:rsid w:val="00876D6D"/>
    <w:rsid w:val="00884BEE"/>
    <w:rsid w:val="00891B92"/>
    <w:rsid w:val="008B29BB"/>
    <w:rsid w:val="008C05DE"/>
    <w:rsid w:val="008C1971"/>
    <w:rsid w:val="008C20BE"/>
    <w:rsid w:val="008C31FB"/>
    <w:rsid w:val="008C3C4D"/>
    <w:rsid w:val="008D4B99"/>
    <w:rsid w:val="008E1B20"/>
    <w:rsid w:val="008E3691"/>
    <w:rsid w:val="008E480A"/>
    <w:rsid w:val="008E6393"/>
    <w:rsid w:val="008F6445"/>
    <w:rsid w:val="00900333"/>
    <w:rsid w:val="00900793"/>
    <w:rsid w:val="00914FB9"/>
    <w:rsid w:val="00925104"/>
    <w:rsid w:val="00940883"/>
    <w:rsid w:val="00943D44"/>
    <w:rsid w:val="00955B66"/>
    <w:rsid w:val="00955C57"/>
    <w:rsid w:val="00957253"/>
    <w:rsid w:val="00971D55"/>
    <w:rsid w:val="0097363B"/>
    <w:rsid w:val="009747D4"/>
    <w:rsid w:val="0098087A"/>
    <w:rsid w:val="009851C1"/>
    <w:rsid w:val="0098571D"/>
    <w:rsid w:val="00985FD0"/>
    <w:rsid w:val="009860BA"/>
    <w:rsid w:val="00987986"/>
    <w:rsid w:val="00990BE6"/>
    <w:rsid w:val="00992A5A"/>
    <w:rsid w:val="00993CFB"/>
    <w:rsid w:val="00995E3F"/>
    <w:rsid w:val="00996A08"/>
    <w:rsid w:val="009A09C3"/>
    <w:rsid w:val="009A128B"/>
    <w:rsid w:val="009B00D5"/>
    <w:rsid w:val="009B209F"/>
    <w:rsid w:val="009B5A90"/>
    <w:rsid w:val="009B739E"/>
    <w:rsid w:val="009C26B6"/>
    <w:rsid w:val="009C3AE7"/>
    <w:rsid w:val="009C5B8A"/>
    <w:rsid w:val="009D12C7"/>
    <w:rsid w:val="009D3273"/>
    <w:rsid w:val="009E31B7"/>
    <w:rsid w:val="009E3635"/>
    <w:rsid w:val="009E5D75"/>
    <w:rsid w:val="009F5D4B"/>
    <w:rsid w:val="009F6650"/>
    <w:rsid w:val="009F78F7"/>
    <w:rsid w:val="00A01B06"/>
    <w:rsid w:val="00A148E7"/>
    <w:rsid w:val="00A21F59"/>
    <w:rsid w:val="00A2240C"/>
    <w:rsid w:val="00A2266C"/>
    <w:rsid w:val="00A312DD"/>
    <w:rsid w:val="00A567F8"/>
    <w:rsid w:val="00A75D22"/>
    <w:rsid w:val="00A85961"/>
    <w:rsid w:val="00A8620E"/>
    <w:rsid w:val="00A9098A"/>
    <w:rsid w:val="00A94387"/>
    <w:rsid w:val="00AA2357"/>
    <w:rsid w:val="00AA4C83"/>
    <w:rsid w:val="00AA5D0A"/>
    <w:rsid w:val="00AA72E8"/>
    <w:rsid w:val="00AA762A"/>
    <w:rsid w:val="00AB1765"/>
    <w:rsid w:val="00AB46D8"/>
    <w:rsid w:val="00AC0366"/>
    <w:rsid w:val="00AC2CFA"/>
    <w:rsid w:val="00AC30A0"/>
    <w:rsid w:val="00AD3C64"/>
    <w:rsid w:val="00AD5B1A"/>
    <w:rsid w:val="00AD657C"/>
    <w:rsid w:val="00AD7D25"/>
    <w:rsid w:val="00AE01FA"/>
    <w:rsid w:val="00AF539A"/>
    <w:rsid w:val="00B03D8B"/>
    <w:rsid w:val="00B066F4"/>
    <w:rsid w:val="00B104C1"/>
    <w:rsid w:val="00B1297D"/>
    <w:rsid w:val="00B14541"/>
    <w:rsid w:val="00B15AD6"/>
    <w:rsid w:val="00B16899"/>
    <w:rsid w:val="00B22F6A"/>
    <w:rsid w:val="00B25869"/>
    <w:rsid w:val="00B26341"/>
    <w:rsid w:val="00B33ABB"/>
    <w:rsid w:val="00B35BE5"/>
    <w:rsid w:val="00B423E0"/>
    <w:rsid w:val="00B428FE"/>
    <w:rsid w:val="00B471F5"/>
    <w:rsid w:val="00B50854"/>
    <w:rsid w:val="00B60974"/>
    <w:rsid w:val="00B610A7"/>
    <w:rsid w:val="00B6370C"/>
    <w:rsid w:val="00B6481C"/>
    <w:rsid w:val="00B64F09"/>
    <w:rsid w:val="00B71560"/>
    <w:rsid w:val="00B749C8"/>
    <w:rsid w:val="00B96BF4"/>
    <w:rsid w:val="00BA2FA9"/>
    <w:rsid w:val="00BA53C9"/>
    <w:rsid w:val="00BA60A1"/>
    <w:rsid w:val="00BA6D49"/>
    <w:rsid w:val="00BA7A58"/>
    <w:rsid w:val="00BB06B6"/>
    <w:rsid w:val="00BB54E6"/>
    <w:rsid w:val="00BB7BDF"/>
    <w:rsid w:val="00BC67C9"/>
    <w:rsid w:val="00BC7623"/>
    <w:rsid w:val="00BC7998"/>
    <w:rsid w:val="00BC7B6C"/>
    <w:rsid w:val="00BD2EFB"/>
    <w:rsid w:val="00BD45D1"/>
    <w:rsid w:val="00BD5F70"/>
    <w:rsid w:val="00BE1F2B"/>
    <w:rsid w:val="00BE6475"/>
    <w:rsid w:val="00BF0343"/>
    <w:rsid w:val="00BF1D70"/>
    <w:rsid w:val="00BF4FD1"/>
    <w:rsid w:val="00C047CB"/>
    <w:rsid w:val="00C11D86"/>
    <w:rsid w:val="00C2121D"/>
    <w:rsid w:val="00C40D92"/>
    <w:rsid w:val="00C47041"/>
    <w:rsid w:val="00C55F5E"/>
    <w:rsid w:val="00C6297C"/>
    <w:rsid w:val="00C73C27"/>
    <w:rsid w:val="00C7682E"/>
    <w:rsid w:val="00C835D2"/>
    <w:rsid w:val="00C84CD3"/>
    <w:rsid w:val="00C9075F"/>
    <w:rsid w:val="00C92BCC"/>
    <w:rsid w:val="00C9322F"/>
    <w:rsid w:val="00C94F8F"/>
    <w:rsid w:val="00C96159"/>
    <w:rsid w:val="00CA3E60"/>
    <w:rsid w:val="00CB0ADE"/>
    <w:rsid w:val="00CB7FBF"/>
    <w:rsid w:val="00CC2766"/>
    <w:rsid w:val="00CC59E2"/>
    <w:rsid w:val="00CE5FF6"/>
    <w:rsid w:val="00CE6BAE"/>
    <w:rsid w:val="00CF4EAC"/>
    <w:rsid w:val="00CF749B"/>
    <w:rsid w:val="00D01D9D"/>
    <w:rsid w:val="00D130D8"/>
    <w:rsid w:val="00D23796"/>
    <w:rsid w:val="00D24DD4"/>
    <w:rsid w:val="00D26C3B"/>
    <w:rsid w:val="00D2742A"/>
    <w:rsid w:val="00D276DD"/>
    <w:rsid w:val="00D30CBD"/>
    <w:rsid w:val="00D35FED"/>
    <w:rsid w:val="00D57D04"/>
    <w:rsid w:val="00D61396"/>
    <w:rsid w:val="00D62B1A"/>
    <w:rsid w:val="00D67DC1"/>
    <w:rsid w:val="00D743B4"/>
    <w:rsid w:val="00D771A4"/>
    <w:rsid w:val="00D7786F"/>
    <w:rsid w:val="00D80945"/>
    <w:rsid w:val="00DA4042"/>
    <w:rsid w:val="00DA6BBD"/>
    <w:rsid w:val="00DA7D57"/>
    <w:rsid w:val="00DB46B9"/>
    <w:rsid w:val="00DC2DA8"/>
    <w:rsid w:val="00DC4DC9"/>
    <w:rsid w:val="00DC5A3B"/>
    <w:rsid w:val="00DD52B1"/>
    <w:rsid w:val="00DE07EB"/>
    <w:rsid w:val="00DE2D3A"/>
    <w:rsid w:val="00DE6E19"/>
    <w:rsid w:val="00DF535B"/>
    <w:rsid w:val="00DF7C22"/>
    <w:rsid w:val="00E001A6"/>
    <w:rsid w:val="00E06E64"/>
    <w:rsid w:val="00E10D60"/>
    <w:rsid w:val="00E1288E"/>
    <w:rsid w:val="00E133FE"/>
    <w:rsid w:val="00E16777"/>
    <w:rsid w:val="00E2179E"/>
    <w:rsid w:val="00E21BEF"/>
    <w:rsid w:val="00E222FE"/>
    <w:rsid w:val="00E348F4"/>
    <w:rsid w:val="00E422E4"/>
    <w:rsid w:val="00E4359F"/>
    <w:rsid w:val="00E46C29"/>
    <w:rsid w:val="00E53134"/>
    <w:rsid w:val="00E5349B"/>
    <w:rsid w:val="00E67559"/>
    <w:rsid w:val="00E67D65"/>
    <w:rsid w:val="00E70FF1"/>
    <w:rsid w:val="00E87569"/>
    <w:rsid w:val="00E93EC1"/>
    <w:rsid w:val="00E943A5"/>
    <w:rsid w:val="00E94AC0"/>
    <w:rsid w:val="00EC495E"/>
    <w:rsid w:val="00EC6606"/>
    <w:rsid w:val="00ED4646"/>
    <w:rsid w:val="00ED6AD2"/>
    <w:rsid w:val="00ED7E43"/>
    <w:rsid w:val="00EE67B0"/>
    <w:rsid w:val="00EF5A32"/>
    <w:rsid w:val="00EF78D9"/>
    <w:rsid w:val="00F02814"/>
    <w:rsid w:val="00F02E86"/>
    <w:rsid w:val="00F03EF2"/>
    <w:rsid w:val="00F04361"/>
    <w:rsid w:val="00F10857"/>
    <w:rsid w:val="00F125A8"/>
    <w:rsid w:val="00F140EF"/>
    <w:rsid w:val="00F23AE8"/>
    <w:rsid w:val="00F25FCA"/>
    <w:rsid w:val="00F43941"/>
    <w:rsid w:val="00F45379"/>
    <w:rsid w:val="00F4545E"/>
    <w:rsid w:val="00F46DBC"/>
    <w:rsid w:val="00F54A43"/>
    <w:rsid w:val="00F56BA9"/>
    <w:rsid w:val="00F57023"/>
    <w:rsid w:val="00F65B1E"/>
    <w:rsid w:val="00F74A03"/>
    <w:rsid w:val="00F83F4D"/>
    <w:rsid w:val="00F872D1"/>
    <w:rsid w:val="00F90E50"/>
    <w:rsid w:val="00F930AF"/>
    <w:rsid w:val="00F96A16"/>
    <w:rsid w:val="00F96EB4"/>
    <w:rsid w:val="00FA19A7"/>
    <w:rsid w:val="00FA2B44"/>
    <w:rsid w:val="00FA4999"/>
    <w:rsid w:val="00FA696C"/>
    <w:rsid w:val="00FB569E"/>
    <w:rsid w:val="00FB6DFC"/>
    <w:rsid w:val="00FC638F"/>
    <w:rsid w:val="00FC65B5"/>
    <w:rsid w:val="00FD0C6B"/>
    <w:rsid w:val="00FD6B93"/>
    <w:rsid w:val="00FD6F56"/>
    <w:rsid w:val="00FE24AA"/>
    <w:rsid w:val="00FE4CE1"/>
    <w:rsid w:val="00FF70FE"/>
    <w:rsid w:val="00FF7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835BBE"/>
  <w15:docId w15:val="{2A134D4F-C800-406B-AFC1-4A367FD7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143EF4"/>
    <w:pPr>
      <w:keepNext/>
      <w:spacing w:before="240" w:after="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143EF4"/>
    <w:pPr>
      <w:keepNext/>
      <w:spacing w:before="40" w:after="240"/>
      <w:outlineLvl w:val="1"/>
    </w:pPr>
    <w:rPr>
      <w:rFonts w:ascii="Segoe UI" w:eastAsiaTheme="majorEastAsia" w:hAnsi="Segoe UI" w:cs="Segoe UI"/>
      <w:b/>
      <w:color w:val="5B315E" w:themeColor="accent2"/>
      <w:sz w:val="32"/>
      <w:szCs w:val="32"/>
      <w:lang w:val="en-CA"/>
    </w:rPr>
  </w:style>
  <w:style w:type="paragraph" w:styleId="Heading3">
    <w:name w:val="heading 3"/>
    <w:basedOn w:val="Normal"/>
    <w:next w:val="Normal"/>
    <w:link w:val="Heading3Char"/>
    <w:uiPriority w:val="9"/>
    <w:unhideWhenUsed/>
    <w:qFormat/>
    <w:rsid w:val="00143EF4"/>
    <w:pPr>
      <w:keepNext/>
      <w:spacing w:before="40" w:after="120"/>
      <w:outlineLvl w:val="2"/>
    </w:pPr>
    <w:rPr>
      <w:rFonts w:ascii="Segoe UI Semibold" w:eastAsiaTheme="majorEastAsia" w:hAnsi="Segoe UI Semibold" w:cs="Segoe UI Semibold"/>
      <w:sz w:val="24"/>
      <w:szCs w:val="24"/>
      <w:lang w:val="en-CA"/>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F03EF2"/>
    <w:pPr>
      <w:spacing w:before="1200" w:after="0" w:line="1200" w:lineRule="exact"/>
      <w:contextualSpacing/>
    </w:pPr>
    <w:rPr>
      <w:rFonts w:ascii="Segoe UI Light" w:eastAsiaTheme="majorEastAsia" w:hAnsi="Segoe UI Light" w:cs="Segoe UI Light"/>
      <w:b/>
      <w:spacing w:val="-10"/>
      <w:kern w:val="28"/>
      <w:sz w:val="72"/>
      <w:szCs w:val="72"/>
      <w:lang w:val="en-CA"/>
    </w:rPr>
  </w:style>
  <w:style w:type="character" w:customStyle="1" w:styleId="TitleChar">
    <w:name w:val="Title Char"/>
    <w:basedOn w:val="DefaultParagraphFont"/>
    <w:link w:val="Title"/>
    <w:uiPriority w:val="10"/>
    <w:rsid w:val="00F03EF2"/>
    <w:rPr>
      <w:rFonts w:ascii="Segoe UI Light" w:eastAsiaTheme="majorEastAsia" w:hAnsi="Segoe UI Light" w:cs="Segoe UI Light"/>
      <w:b/>
      <w:color w:val="54575A" w:themeColor="text1"/>
      <w:spacing w:val="-10"/>
      <w:kern w:val="28"/>
      <w:sz w:val="72"/>
      <w:szCs w:val="72"/>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143EF4"/>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143EF4"/>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143EF4"/>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F46DBC"/>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483764"/>
    <w:pPr>
      <w:spacing w:after="100"/>
    </w:pPr>
  </w:style>
  <w:style w:type="paragraph" w:styleId="TOC2">
    <w:name w:val="toc 2"/>
    <w:basedOn w:val="Normal"/>
    <w:next w:val="Normal"/>
    <w:autoRedefine/>
    <w:uiPriority w:val="39"/>
    <w:unhideWhenUsed/>
    <w:rsid w:val="00483764"/>
    <w:pPr>
      <w:spacing w:after="100"/>
      <w:ind w:left="220"/>
    </w:pPr>
  </w:style>
  <w:style w:type="character" w:styleId="Hyperlink">
    <w:name w:val="Hyperlink"/>
    <w:basedOn w:val="DefaultParagraphFont"/>
    <w:uiPriority w:val="99"/>
    <w:unhideWhenUsed/>
    <w:rsid w:val="00483764"/>
    <w:rPr>
      <w:color w:val="0099A8" w:themeColor="hyperlink"/>
      <w:u w:val="single"/>
    </w:rPr>
  </w:style>
  <w:style w:type="paragraph" w:styleId="TOC3">
    <w:name w:val="toc 3"/>
    <w:basedOn w:val="Normal"/>
    <w:next w:val="Normal"/>
    <w:autoRedefine/>
    <w:uiPriority w:val="39"/>
    <w:unhideWhenUsed/>
    <w:rsid w:val="00495EB6"/>
    <w:pPr>
      <w:spacing w:after="100"/>
      <w:ind w:left="440"/>
    </w:pPr>
  </w:style>
  <w:style w:type="character" w:styleId="CommentReference">
    <w:name w:val="annotation reference"/>
    <w:basedOn w:val="DefaultParagraphFont"/>
    <w:uiPriority w:val="99"/>
    <w:semiHidden/>
    <w:unhideWhenUsed/>
    <w:rsid w:val="0026150F"/>
    <w:rPr>
      <w:sz w:val="16"/>
      <w:szCs w:val="16"/>
    </w:rPr>
  </w:style>
  <w:style w:type="paragraph" w:styleId="CommentText">
    <w:name w:val="annotation text"/>
    <w:basedOn w:val="Normal"/>
    <w:link w:val="CommentTextChar"/>
    <w:uiPriority w:val="99"/>
    <w:semiHidden/>
    <w:unhideWhenUsed/>
    <w:rsid w:val="0026150F"/>
    <w:pPr>
      <w:spacing w:line="240" w:lineRule="auto"/>
    </w:pPr>
    <w:rPr>
      <w:sz w:val="20"/>
      <w:szCs w:val="20"/>
    </w:rPr>
  </w:style>
  <w:style w:type="character" w:customStyle="1" w:styleId="CommentTextChar">
    <w:name w:val="Comment Text Char"/>
    <w:basedOn w:val="DefaultParagraphFont"/>
    <w:link w:val="CommentText"/>
    <w:uiPriority w:val="99"/>
    <w:semiHidden/>
    <w:rsid w:val="0026150F"/>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26150F"/>
    <w:rPr>
      <w:b/>
      <w:bCs/>
    </w:rPr>
  </w:style>
  <w:style w:type="character" w:customStyle="1" w:styleId="CommentSubjectChar">
    <w:name w:val="Comment Subject Char"/>
    <w:basedOn w:val="CommentTextChar"/>
    <w:link w:val="CommentSubject"/>
    <w:uiPriority w:val="99"/>
    <w:semiHidden/>
    <w:rsid w:val="0026150F"/>
    <w:rPr>
      <w:b/>
      <w:bCs/>
      <w:color w:val="54575A" w:themeColor="text1"/>
      <w:sz w:val="20"/>
      <w:szCs w:val="20"/>
      <w:lang w:val="fr-CA"/>
    </w:rPr>
  </w:style>
  <w:style w:type="table" w:customStyle="1" w:styleId="PlainTable11">
    <w:name w:val="Plain Table 11"/>
    <w:basedOn w:val="TableNormal"/>
    <w:uiPriority w:val="41"/>
    <w:rsid w:val="00A01B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B46D8"/>
    <w:rPr>
      <w:color w:val="A5A5A5" w:themeColor="followedHyperlink"/>
      <w:u w:val="single"/>
    </w:rPr>
  </w:style>
  <w:style w:type="paragraph" w:styleId="Revision">
    <w:name w:val="Revision"/>
    <w:hidden/>
    <w:uiPriority w:val="99"/>
    <w:semiHidden/>
    <w:rsid w:val="00D62B1A"/>
    <w:pPr>
      <w:spacing w:after="0" w:line="240" w:lineRule="auto"/>
    </w:pPr>
    <w:rPr>
      <w:color w:val="54575A" w:themeColor="text1"/>
      <w:lang w:val="fr-CA"/>
    </w:rPr>
  </w:style>
  <w:style w:type="paragraph" w:styleId="Caption">
    <w:name w:val="caption"/>
    <w:basedOn w:val="Normal"/>
    <w:next w:val="Normal"/>
    <w:uiPriority w:val="35"/>
    <w:unhideWhenUsed/>
    <w:qFormat/>
    <w:rsid w:val="00B25869"/>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801">
      <w:bodyDiv w:val="1"/>
      <w:marLeft w:val="0"/>
      <w:marRight w:val="0"/>
      <w:marTop w:val="0"/>
      <w:marBottom w:val="0"/>
      <w:divBdr>
        <w:top w:val="none" w:sz="0" w:space="0" w:color="auto"/>
        <w:left w:val="none" w:sz="0" w:space="0" w:color="auto"/>
        <w:bottom w:val="none" w:sz="0" w:space="0" w:color="auto"/>
        <w:right w:val="none" w:sz="0" w:space="0" w:color="auto"/>
      </w:divBdr>
    </w:div>
    <w:div w:id="1124469295">
      <w:bodyDiv w:val="1"/>
      <w:marLeft w:val="0"/>
      <w:marRight w:val="0"/>
      <w:marTop w:val="0"/>
      <w:marBottom w:val="0"/>
      <w:divBdr>
        <w:top w:val="none" w:sz="0" w:space="0" w:color="auto"/>
        <w:left w:val="none" w:sz="0" w:space="0" w:color="auto"/>
        <w:bottom w:val="none" w:sz="0" w:space="0" w:color="auto"/>
        <w:right w:val="none" w:sz="0" w:space="0" w:color="auto"/>
      </w:divBdr>
    </w:div>
    <w:div w:id="1672489012">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75ED-F070-4388-87A2-F05D2FC8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131</TotalTime>
  <Pages>9</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dbarbaga</dc:creator>
  <cp:lastModifiedBy>Daniel Spracklin</cp:lastModifiedBy>
  <cp:revision>47</cp:revision>
  <cp:lastPrinted>2019-07-11T17:58:00Z</cp:lastPrinted>
  <dcterms:created xsi:type="dcterms:W3CDTF">2020-09-08T19:07:00Z</dcterms:created>
  <dcterms:modified xsi:type="dcterms:W3CDTF">2020-12-03T11:12:00Z</dcterms:modified>
</cp:coreProperties>
</file>