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E01A1" w14:textId="77777777" w:rsidR="00E21BEF" w:rsidRPr="00143EF4" w:rsidRDefault="000C19EC" w:rsidP="008D7414">
      <w:pPr>
        <w:pStyle w:val="Title"/>
      </w:pPr>
      <w:r>
        <w:t>Public Service Commission</w:t>
      </w:r>
    </w:p>
    <w:p w14:paraId="6711E1EB" w14:textId="11270BDC" w:rsidR="00646A04" w:rsidRPr="00070197" w:rsidRDefault="006E0DB6" w:rsidP="00070197">
      <w:pPr>
        <w:pStyle w:val="Subtitle"/>
        <w:rPr>
          <w:b/>
          <w:lang w:val="en-CA"/>
        </w:rPr>
      </w:pPr>
      <w:r>
        <w:rPr>
          <w:b/>
          <w:lang w:val="en-CA"/>
        </w:rPr>
        <w:t xml:space="preserve">Citizenship of applicants </w:t>
      </w:r>
      <w:r w:rsidRPr="006E0DB6">
        <w:rPr>
          <w:b/>
          <w:lang w:val="en-CA"/>
        </w:rPr>
        <w:t>and external appointments</w:t>
      </w:r>
      <w:r w:rsidR="00646A04" w:rsidRPr="000C19EC">
        <w:rPr>
          <w:lang w:val="en-CA"/>
        </w:rPr>
        <w:br w:type="page"/>
      </w:r>
    </w:p>
    <w:p w14:paraId="3414F22D" w14:textId="77777777" w:rsidR="00590742" w:rsidRDefault="00590742" w:rsidP="006A5EA7">
      <w:pPr>
        <w:pStyle w:val="Heading2"/>
      </w:pPr>
      <w:bookmarkStart w:id="0" w:name="_Toc46902828"/>
      <w:r>
        <w:lastRenderedPageBreak/>
        <w:t>Background</w:t>
      </w:r>
    </w:p>
    <w:p w14:paraId="229B8137" w14:textId="77777777" w:rsidR="00590742" w:rsidRPr="00590742" w:rsidRDefault="00590742" w:rsidP="00590742">
      <w:pPr>
        <w:rPr>
          <w:lang w:val="en-CA"/>
        </w:rPr>
      </w:pPr>
      <w:r>
        <w:rPr>
          <w:lang w:val="en-CA"/>
        </w:rPr>
        <w:t xml:space="preserve">The </w:t>
      </w:r>
      <w:r>
        <w:rPr>
          <w:i/>
          <w:lang w:val="en-CA"/>
        </w:rPr>
        <w:t>Public Service Employment Act</w:t>
      </w:r>
      <w:r>
        <w:rPr>
          <w:lang w:val="en-CA"/>
        </w:rPr>
        <w:t xml:space="preserve"> grants </w:t>
      </w:r>
      <w:r w:rsidR="009851AE">
        <w:rPr>
          <w:lang w:val="en-CA"/>
        </w:rPr>
        <w:t>preference to Canadian citizens in advertised external appointment processes</w:t>
      </w:r>
      <w:r w:rsidR="00F9695A">
        <w:rPr>
          <w:lang w:val="en-CA"/>
        </w:rPr>
        <w:t xml:space="preserve"> (“jobs open to the public”)</w:t>
      </w:r>
      <w:r w:rsidR="009851AE">
        <w:rPr>
          <w:lang w:val="en-CA"/>
        </w:rPr>
        <w:t xml:space="preserve">. This report </w:t>
      </w:r>
      <w:r w:rsidR="00F9695A">
        <w:rPr>
          <w:lang w:val="en-CA"/>
        </w:rPr>
        <w:t>looks at how frequently non-citizens</w:t>
      </w:r>
      <w:r w:rsidR="00570F9A">
        <w:rPr>
          <w:lang w:val="en-CA"/>
        </w:rPr>
        <w:t xml:space="preserve"> and permanent residents</w:t>
      </w:r>
      <w:r w:rsidR="00F9695A">
        <w:rPr>
          <w:lang w:val="en-CA"/>
        </w:rPr>
        <w:t xml:space="preserve"> apply</w:t>
      </w:r>
      <w:r w:rsidR="005A715B">
        <w:rPr>
          <w:lang w:val="en-CA"/>
        </w:rPr>
        <w:t xml:space="preserve"> to and are appointed from</w:t>
      </w:r>
      <w:r w:rsidR="00F9695A">
        <w:rPr>
          <w:lang w:val="en-CA"/>
        </w:rPr>
        <w:t xml:space="preserve"> </w:t>
      </w:r>
      <w:r w:rsidR="009B3D4A">
        <w:rPr>
          <w:lang w:val="en-CA"/>
        </w:rPr>
        <w:t>jobs advertised to the public</w:t>
      </w:r>
      <w:r w:rsidR="00FF0D4F">
        <w:rPr>
          <w:lang w:val="en-CA"/>
        </w:rPr>
        <w:t>. It also explores</w:t>
      </w:r>
      <w:r w:rsidR="00B364B0">
        <w:rPr>
          <w:lang w:val="en-CA"/>
        </w:rPr>
        <w:t xml:space="preserve"> </w:t>
      </w:r>
      <w:r w:rsidR="00570F9A">
        <w:rPr>
          <w:lang w:val="en-CA"/>
        </w:rPr>
        <w:t>the employment equity representation of citizen, non-citizen and permanent resident applicants and appointments</w:t>
      </w:r>
      <w:r w:rsidR="005A715B">
        <w:rPr>
          <w:lang w:val="en-CA"/>
        </w:rPr>
        <w:t>.</w:t>
      </w:r>
    </w:p>
    <w:p w14:paraId="42B8DECA" w14:textId="77777777" w:rsidR="006A5EA7" w:rsidRDefault="006A5EA7" w:rsidP="006A5EA7">
      <w:pPr>
        <w:pStyle w:val="Heading2"/>
      </w:pPr>
      <w:r>
        <w:t xml:space="preserve">Citizenship of applicants and </w:t>
      </w:r>
      <w:r w:rsidR="00E67D65">
        <w:t xml:space="preserve">external </w:t>
      </w:r>
      <w:bookmarkEnd w:id="0"/>
      <w:r w:rsidR="00C25385">
        <w:t>hires</w:t>
      </w:r>
    </w:p>
    <w:p w14:paraId="6DE645CB" w14:textId="604DF010" w:rsidR="004C4EC5" w:rsidRDefault="00840073" w:rsidP="009F1265">
      <w:pPr>
        <w:pStyle w:val="ListParagraph"/>
        <w:numPr>
          <w:ilvl w:val="0"/>
          <w:numId w:val="30"/>
        </w:numPr>
        <w:spacing w:after="0"/>
        <w:ind w:hanging="357"/>
        <w:contextualSpacing w:val="0"/>
        <w:rPr>
          <w:lang w:val="en-CA"/>
        </w:rPr>
      </w:pPr>
      <w:r>
        <w:rPr>
          <w:lang w:val="en-CA"/>
        </w:rPr>
        <w:t>The number of applicants to</w:t>
      </w:r>
      <w:r w:rsidR="009F1265">
        <w:rPr>
          <w:lang w:val="en-CA"/>
        </w:rPr>
        <w:t xml:space="preserve"> </w:t>
      </w:r>
      <w:r>
        <w:rPr>
          <w:lang w:val="en-CA"/>
        </w:rPr>
        <w:t xml:space="preserve">jobs open </w:t>
      </w:r>
      <w:r w:rsidR="00A062E4">
        <w:rPr>
          <w:lang w:val="en-CA"/>
        </w:rPr>
        <w:t xml:space="preserve">to </w:t>
      </w:r>
      <w:r>
        <w:rPr>
          <w:lang w:val="en-CA"/>
        </w:rPr>
        <w:t>the public has increased in recent years.</w:t>
      </w:r>
    </w:p>
    <w:p w14:paraId="06ABB10D" w14:textId="28FF75A6" w:rsidR="004C4EC5" w:rsidRDefault="00830975" w:rsidP="00EB5482">
      <w:pPr>
        <w:pStyle w:val="ListParagraph"/>
        <w:numPr>
          <w:ilvl w:val="0"/>
          <w:numId w:val="30"/>
        </w:numPr>
        <w:spacing w:after="0"/>
        <w:ind w:hanging="357"/>
        <w:contextualSpacing w:val="0"/>
        <w:rPr>
          <w:lang w:val="en-CA"/>
        </w:rPr>
      </w:pPr>
      <w:r w:rsidRPr="00EB5482">
        <w:rPr>
          <w:lang w:val="en-CA"/>
        </w:rPr>
        <w:t>In 201</w:t>
      </w:r>
      <w:r w:rsidR="00F0375B" w:rsidRPr="00EB5482">
        <w:rPr>
          <w:lang w:val="en-CA"/>
        </w:rPr>
        <w:t>8</w:t>
      </w:r>
      <w:r w:rsidRPr="00EB5482">
        <w:rPr>
          <w:lang w:val="en-CA"/>
        </w:rPr>
        <w:t>-20</w:t>
      </w:r>
      <w:r w:rsidR="00F0375B" w:rsidRPr="00EB5482">
        <w:rPr>
          <w:lang w:val="en-CA"/>
        </w:rPr>
        <w:t>19</w:t>
      </w:r>
      <w:r w:rsidR="00840073" w:rsidRPr="00EB5482">
        <w:rPr>
          <w:lang w:val="en-CA"/>
        </w:rPr>
        <w:t xml:space="preserve">, </w:t>
      </w:r>
      <w:r w:rsidR="005D0D47" w:rsidRPr="00EB5482">
        <w:rPr>
          <w:lang w:val="en-CA"/>
        </w:rPr>
        <w:t>there were 3</w:t>
      </w:r>
      <w:r w:rsidR="003B3DBC" w:rsidRPr="00EB5482">
        <w:rPr>
          <w:lang w:val="en-CA"/>
        </w:rPr>
        <w:t>68</w:t>
      </w:r>
      <w:r w:rsidR="00F0375B" w:rsidRPr="00EB5482">
        <w:rPr>
          <w:lang w:val="en-CA"/>
        </w:rPr>
        <w:t>,</w:t>
      </w:r>
      <w:r w:rsidR="003B3DBC" w:rsidRPr="00EB5482">
        <w:rPr>
          <w:lang w:val="en-CA"/>
        </w:rPr>
        <w:t>763</w:t>
      </w:r>
      <w:r w:rsidRPr="00EB5482">
        <w:rPr>
          <w:lang w:val="en-CA"/>
        </w:rPr>
        <w:t xml:space="preserve"> unique applicants to jobs open to the public, an increase from 203,419 in 2015-2016</w:t>
      </w:r>
      <w:r w:rsidR="00840073" w:rsidRPr="00EB5482">
        <w:rPr>
          <w:lang w:val="en-CA"/>
        </w:rPr>
        <w:t>.</w:t>
      </w:r>
    </w:p>
    <w:p w14:paraId="09ABFD01" w14:textId="4707FC1D" w:rsidR="00014625" w:rsidRPr="00B75CA2" w:rsidRDefault="00F0375B" w:rsidP="00EB5482">
      <w:pPr>
        <w:pStyle w:val="ListParagraph"/>
        <w:numPr>
          <w:ilvl w:val="1"/>
          <w:numId w:val="30"/>
        </w:numPr>
        <w:spacing w:after="0"/>
        <w:ind w:hanging="357"/>
        <w:contextualSpacing w:val="0"/>
        <w:rPr>
          <w:lang w:val="en-CA"/>
        </w:rPr>
      </w:pPr>
      <w:r w:rsidRPr="00E349AA">
        <w:rPr>
          <w:lang w:val="en-CA"/>
        </w:rPr>
        <w:t>The share of non-citizen applicants to jobs advertised to the public has also increased over the same period</w:t>
      </w:r>
      <w:r w:rsidR="006D0722" w:rsidRPr="00014625">
        <w:rPr>
          <w:lang w:val="en-CA"/>
        </w:rPr>
        <w:t>,</w:t>
      </w:r>
      <w:r w:rsidRPr="00014625">
        <w:rPr>
          <w:lang w:val="en-CA"/>
        </w:rPr>
        <w:t xml:space="preserve"> going from 9.4% (19,013) in 2015</w:t>
      </w:r>
      <w:r w:rsidR="006D0722" w:rsidRPr="00014625">
        <w:rPr>
          <w:lang w:val="en-CA"/>
        </w:rPr>
        <w:t>-</w:t>
      </w:r>
      <w:r w:rsidRPr="00014625">
        <w:rPr>
          <w:lang w:val="en-CA"/>
        </w:rPr>
        <w:t>2016 to 14.5% (53,602</w:t>
      </w:r>
      <w:r w:rsidR="006D0722" w:rsidRPr="00014625">
        <w:rPr>
          <w:lang w:val="en-CA"/>
        </w:rPr>
        <w:t>)</w:t>
      </w:r>
      <w:r w:rsidRPr="00014625">
        <w:rPr>
          <w:lang w:val="en-CA"/>
        </w:rPr>
        <w:t xml:space="preserve"> in 2018-2019</w:t>
      </w:r>
      <w:r w:rsidRPr="00E349AA">
        <w:rPr>
          <w:lang w:val="en-CA"/>
        </w:rPr>
        <w:t>.</w:t>
      </w:r>
    </w:p>
    <w:p w14:paraId="7BC89D71" w14:textId="185FC053" w:rsidR="004C4EC5" w:rsidRDefault="004C4EC5" w:rsidP="00DC1D3C">
      <w:pPr>
        <w:pStyle w:val="ListParagraph"/>
        <w:numPr>
          <w:ilvl w:val="0"/>
          <w:numId w:val="30"/>
        </w:numPr>
        <w:rPr>
          <w:lang w:val="en-CA"/>
        </w:rPr>
      </w:pPr>
      <w:r w:rsidRPr="00F67801">
        <w:rPr>
          <w:lang w:val="en-CA"/>
        </w:rPr>
        <w:t xml:space="preserve">In 2018-2019, there were </w:t>
      </w:r>
      <w:r>
        <w:rPr>
          <w:lang w:val="en-CA"/>
        </w:rPr>
        <w:t>20,012</w:t>
      </w:r>
      <w:r w:rsidRPr="00F67801">
        <w:rPr>
          <w:lang w:val="en-CA"/>
        </w:rPr>
        <w:t xml:space="preserve"> appointments from jobs open to the public (</w:t>
      </w:r>
      <w:r>
        <w:rPr>
          <w:lang w:val="en-CA"/>
        </w:rPr>
        <w:t>“</w:t>
      </w:r>
      <w:r w:rsidRPr="00F67801">
        <w:rPr>
          <w:lang w:val="en-CA"/>
        </w:rPr>
        <w:t xml:space="preserve">external </w:t>
      </w:r>
      <w:r>
        <w:rPr>
          <w:lang w:val="en-CA"/>
        </w:rPr>
        <w:t>h</w:t>
      </w:r>
      <w:r w:rsidRPr="00F67801">
        <w:rPr>
          <w:lang w:val="en-CA"/>
        </w:rPr>
        <w:t>ires</w:t>
      </w:r>
      <w:r>
        <w:rPr>
          <w:lang w:val="en-CA"/>
        </w:rPr>
        <w:t>”</w:t>
      </w:r>
      <w:r w:rsidRPr="00F67801">
        <w:rPr>
          <w:lang w:val="en-CA"/>
        </w:rPr>
        <w:t>), an increase from 10,402 in 2015-2016.</w:t>
      </w:r>
    </w:p>
    <w:p w14:paraId="2BEEE322" w14:textId="1DA1886B" w:rsidR="005C5B54" w:rsidRDefault="002A523B" w:rsidP="002A523B">
      <w:pPr>
        <w:pStyle w:val="ListParagraph"/>
        <w:numPr>
          <w:ilvl w:val="1"/>
          <w:numId w:val="30"/>
        </w:numPr>
        <w:rPr>
          <w:lang w:val="en-CA"/>
        </w:rPr>
      </w:pPr>
      <w:r w:rsidRPr="001B0DF8">
        <w:rPr>
          <w:lang w:val="en-CA"/>
        </w:rPr>
        <w:t xml:space="preserve">In </w:t>
      </w:r>
      <w:r>
        <w:rPr>
          <w:lang w:val="en-CA"/>
        </w:rPr>
        <w:t>201</w:t>
      </w:r>
      <w:r w:rsidR="00B75CA2">
        <w:rPr>
          <w:lang w:val="en-CA"/>
        </w:rPr>
        <w:t>8</w:t>
      </w:r>
      <w:r w:rsidR="00D052B2">
        <w:rPr>
          <w:lang w:val="en-CA"/>
        </w:rPr>
        <w:t>-20</w:t>
      </w:r>
      <w:r w:rsidR="00B75CA2">
        <w:rPr>
          <w:lang w:val="en-CA"/>
        </w:rPr>
        <w:t>19</w:t>
      </w:r>
      <w:r>
        <w:rPr>
          <w:lang w:val="en-CA"/>
        </w:rPr>
        <w:t>, 2</w:t>
      </w:r>
      <w:r w:rsidRPr="001B0DF8">
        <w:rPr>
          <w:lang w:val="en-CA"/>
        </w:rPr>
        <w:t>.</w:t>
      </w:r>
      <w:r w:rsidR="00B75CA2">
        <w:rPr>
          <w:lang w:val="en-CA"/>
        </w:rPr>
        <w:t>5</w:t>
      </w:r>
      <w:r w:rsidRPr="001B0DF8">
        <w:rPr>
          <w:lang w:val="en-CA"/>
        </w:rPr>
        <w:t xml:space="preserve">% of </w:t>
      </w:r>
      <w:r>
        <w:rPr>
          <w:lang w:val="en-CA"/>
        </w:rPr>
        <w:t>hires</w:t>
      </w:r>
      <w:r w:rsidR="00D052B2">
        <w:rPr>
          <w:lang w:val="en-CA"/>
        </w:rPr>
        <w:t xml:space="preserve"> </w:t>
      </w:r>
      <w:r w:rsidR="003C661E">
        <w:rPr>
          <w:lang w:val="en-CA"/>
        </w:rPr>
        <w:t xml:space="preserve">(495 hires) </w:t>
      </w:r>
      <w:r w:rsidRPr="001B0DF8">
        <w:rPr>
          <w:lang w:val="en-CA"/>
        </w:rPr>
        <w:t>were non-citizens, an increase from</w:t>
      </w:r>
      <w:r>
        <w:rPr>
          <w:lang w:val="en-CA"/>
        </w:rPr>
        <w:t xml:space="preserve"> 1</w:t>
      </w:r>
      <w:r w:rsidRPr="001B0DF8">
        <w:rPr>
          <w:lang w:val="en-CA"/>
        </w:rPr>
        <w:t xml:space="preserve">.5% of </w:t>
      </w:r>
      <w:r>
        <w:rPr>
          <w:lang w:val="en-CA"/>
        </w:rPr>
        <w:t>hires (159</w:t>
      </w:r>
      <w:r w:rsidRPr="001B0DF8">
        <w:rPr>
          <w:lang w:val="en-CA"/>
        </w:rPr>
        <w:t xml:space="preserve"> </w:t>
      </w:r>
      <w:r>
        <w:rPr>
          <w:lang w:val="en-CA"/>
        </w:rPr>
        <w:t>hires</w:t>
      </w:r>
      <w:r w:rsidRPr="001B0DF8">
        <w:rPr>
          <w:lang w:val="en-CA"/>
        </w:rPr>
        <w:t>) in 2015-2016.</w:t>
      </w:r>
    </w:p>
    <w:p w14:paraId="558D9E0F" w14:textId="14A56122" w:rsidR="009561C7" w:rsidRPr="00A82DD5" w:rsidRDefault="00576805" w:rsidP="00A82DD5">
      <w:pPr>
        <w:pStyle w:val="ListParagraph"/>
        <w:numPr>
          <w:ilvl w:val="1"/>
          <w:numId w:val="30"/>
        </w:numPr>
        <w:rPr>
          <w:lang w:val="en-CA"/>
        </w:rPr>
      </w:pPr>
      <w:r>
        <w:rPr>
          <w:lang w:val="en-CA"/>
        </w:rPr>
        <w:t>Given the preference for the appointment of qualified Canadian citizens, non-citizens have a lower representation amongst hires than their representation as applicants.</w:t>
      </w:r>
      <w:r w:rsidR="009561C7" w:rsidRPr="00A82DD5">
        <w:rPr>
          <w:rFonts w:ascii="Segoe UI" w:hAnsi="Segoe UI" w:cs="Segoe UI"/>
          <w:b/>
          <w:sz w:val="32"/>
          <w:szCs w:val="32"/>
          <w:lang w:val="en-CA"/>
        </w:rPr>
        <w:br w:type="page"/>
      </w:r>
    </w:p>
    <w:p w14:paraId="068C5424" w14:textId="5FF50354" w:rsidR="00B75CA2" w:rsidRPr="007521EB" w:rsidRDefault="00B75CA2" w:rsidP="004E2B62">
      <w:pPr>
        <w:pStyle w:val="Heading2"/>
      </w:pPr>
      <w:bookmarkStart w:id="1" w:name="_GoBack"/>
      <w:r w:rsidRPr="007521EB">
        <w:lastRenderedPageBreak/>
        <w:t xml:space="preserve">Citizenship </w:t>
      </w:r>
      <w:r>
        <w:t>and employment equity</w:t>
      </w:r>
    </w:p>
    <w:p w14:paraId="392CD04F" w14:textId="52DE1A4D" w:rsidR="006B00B1" w:rsidRPr="00324774" w:rsidRDefault="006E432F" w:rsidP="00A17A1A">
      <w:pPr>
        <w:pStyle w:val="ListParagraph"/>
        <w:numPr>
          <w:ilvl w:val="0"/>
          <w:numId w:val="30"/>
        </w:numPr>
        <w:spacing w:after="0"/>
        <w:ind w:hanging="357"/>
        <w:contextualSpacing w:val="0"/>
        <w:rPr>
          <w:lang w:val="en-CA"/>
        </w:rPr>
      </w:pPr>
      <w:r>
        <w:rPr>
          <w:lang w:val="en-CA"/>
        </w:rPr>
        <w:t>V</w:t>
      </w:r>
      <w:r w:rsidRPr="003E710D">
        <w:rPr>
          <w:lang w:val="en-CA"/>
        </w:rPr>
        <w:t>isible minority applicants are more likely to be non-citizens than their counterparts</w:t>
      </w:r>
      <w:r>
        <w:rPr>
          <w:lang w:val="en-CA"/>
        </w:rPr>
        <w:t xml:space="preserve">. </w:t>
      </w:r>
      <w:r w:rsidRPr="006E432F">
        <w:rPr>
          <w:lang w:val="en-CA"/>
        </w:rPr>
        <w:t xml:space="preserve">Of all </w:t>
      </w:r>
      <w:r w:rsidRPr="00324774">
        <w:rPr>
          <w:lang w:val="en-CA"/>
        </w:rPr>
        <w:t>applicants, non-citizens account for 22.9% of visible minority applicants, compared to 12.1% of non-visible minority applicants; see Figure 1</w:t>
      </w:r>
      <w:r w:rsidR="00785E32" w:rsidRPr="00324774">
        <w:rPr>
          <w:lang w:val="en-CA"/>
        </w:rPr>
        <w:t>.</w:t>
      </w:r>
      <w:r w:rsidR="006B00B1" w:rsidRPr="00324774">
        <w:rPr>
          <w:rStyle w:val="FootnoteReference"/>
          <w:lang w:val="en-CA"/>
        </w:rPr>
        <w:footnoteReference w:id="1"/>
      </w:r>
    </w:p>
    <w:p w14:paraId="673707A4" w14:textId="77777777" w:rsidR="0086406D" w:rsidRPr="00324774" w:rsidRDefault="00976087" w:rsidP="004E2B62">
      <w:pPr>
        <w:keepNext/>
        <w:spacing w:before="320"/>
        <w:jc w:val="center"/>
        <w:rPr>
          <w:lang w:val="en-CA"/>
        </w:rPr>
      </w:pPr>
      <w:r w:rsidRPr="00324774">
        <w:rPr>
          <w:noProof/>
          <w:lang w:val="en-CA" w:eastAsia="en-CA"/>
        </w:rPr>
        <w:drawing>
          <wp:inline distT="0" distB="0" distL="0" distR="0" wp14:anchorId="6AC49B03" wp14:editId="72D47220">
            <wp:extent cx="5935545" cy="3676294"/>
            <wp:effectExtent l="0" t="0" r="8255" b="635"/>
            <wp:docPr id="4" name="Picture 4" descr="A bar chart with two bars. The chart shows the share of applicants to external processes who were Canadian citizens or non-citizens in 2018-2019. The two bars show these shares for applicants who self-declared as visible minorIties, or did not self-declare as visible minorities." title="Applicant share: visible minorities versus counter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alfara\AppData\Local\Microsoft\Windows\INetCache\Content.Outlook\WVNU71X6\20200916_1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45" cy="367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1F61" w14:textId="3E448A83" w:rsidR="0086406D" w:rsidRPr="00324774" w:rsidRDefault="0086406D" w:rsidP="0086406D">
      <w:pPr>
        <w:pStyle w:val="Caption"/>
        <w:jc w:val="center"/>
        <w:rPr>
          <w:lang w:val="en-CA"/>
        </w:rPr>
      </w:pPr>
      <w:r w:rsidRPr="00324774">
        <w:rPr>
          <w:lang w:val="en-CA"/>
        </w:rPr>
        <w:t xml:space="preserve">Figure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Figure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1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 xml:space="preserve">: Applicant shares: visible minorities </w:t>
      </w:r>
      <w:bookmarkEnd w:id="1"/>
      <w:r w:rsidRPr="00324774">
        <w:rPr>
          <w:lang w:val="en-CA"/>
        </w:rPr>
        <w:t>versus counterparts</w:t>
      </w:r>
    </w:p>
    <w:p w14:paraId="4357A5EE" w14:textId="55B5156A" w:rsidR="0086406D" w:rsidRPr="00324774" w:rsidRDefault="0086406D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1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Applicant shares: visible minorities versus counterparts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nt shares: visible minorities versus counterparts"/>
        <w:tblDescription w:val="A table showing the share of visible minority and non-visible minority applicants who were Canadian citizens or non-citizens in 2018-2019."/>
      </w:tblPr>
      <w:tblGrid>
        <w:gridCol w:w="3116"/>
        <w:gridCol w:w="3117"/>
        <w:gridCol w:w="3117"/>
      </w:tblGrid>
      <w:tr w:rsidR="0009392B" w:rsidRPr="00324774" w14:paraId="76B425C8" w14:textId="77777777" w:rsidTr="0009392B">
        <w:trPr>
          <w:tblHeader/>
        </w:trPr>
        <w:tc>
          <w:tcPr>
            <w:tcW w:w="3116" w:type="dxa"/>
          </w:tcPr>
          <w:p w14:paraId="635F1FAE" w14:textId="67BCCA53" w:rsidR="0009392B" w:rsidRPr="00324774" w:rsidRDefault="0009392B" w:rsidP="00EB5482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Employment equity group</w:t>
            </w:r>
          </w:p>
        </w:tc>
        <w:tc>
          <w:tcPr>
            <w:tcW w:w="3117" w:type="dxa"/>
          </w:tcPr>
          <w:p w14:paraId="534F5284" w14:textId="50AACC23" w:rsidR="0009392B" w:rsidRPr="00324774" w:rsidRDefault="0009392B" w:rsidP="00EB5482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Share of citizen applicants</w:t>
            </w:r>
          </w:p>
        </w:tc>
        <w:tc>
          <w:tcPr>
            <w:tcW w:w="3117" w:type="dxa"/>
          </w:tcPr>
          <w:p w14:paraId="251D78E8" w14:textId="41519066" w:rsidR="0009392B" w:rsidRPr="00324774" w:rsidRDefault="0009392B" w:rsidP="00EB5482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Share of non-citizen applicants</w:t>
            </w:r>
          </w:p>
        </w:tc>
      </w:tr>
      <w:tr w:rsidR="0009392B" w:rsidRPr="00324774" w14:paraId="21A67070" w14:textId="77777777" w:rsidTr="0009392B">
        <w:tc>
          <w:tcPr>
            <w:tcW w:w="3116" w:type="dxa"/>
          </w:tcPr>
          <w:p w14:paraId="781A7120" w14:textId="711D6E8C" w:rsidR="0009392B" w:rsidRPr="00324774" w:rsidRDefault="0009392B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minorities</w:t>
            </w:r>
          </w:p>
        </w:tc>
        <w:tc>
          <w:tcPr>
            <w:tcW w:w="3117" w:type="dxa"/>
          </w:tcPr>
          <w:p w14:paraId="2972C20D" w14:textId="19ADD605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77.1%</w:t>
            </w:r>
          </w:p>
        </w:tc>
        <w:tc>
          <w:tcPr>
            <w:tcW w:w="3117" w:type="dxa"/>
          </w:tcPr>
          <w:p w14:paraId="328B3614" w14:textId="3CF83650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22.9%</w:t>
            </w:r>
          </w:p>
        </w:tc>
      </w:tr>
      <w:tr w:rsidR="0009392B" w:rsidRPr="00324774" w14:paraId="3E1C88E7" w14:textId="77777777" w:rsidTr="0009392B">
        <w:tc>
          <w:tcPr>
            <w:tcW w:w="3116" w:type="dxa"/>
          </w:tcPr>
          <w:p w14:paraId="093443FE" w14:textId="1126D45E" w:rsidR="0009392B" w:rsidRPr="00324774" w:rsidRDefault="0009392B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Non-visible minorities</w:t>
            </w:r>
          </w:p>
        </w:tc>
        <w:tc>
          <w:tcPr>
            <w:tcW w:w="3117" w:type="dxa"/>
          </w:tcPr>
          <w:p w14:paraId="35212FCE" w14:textId="19487341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87.9%</w:t>
            </w:r>
          </w:p>
        </w:tc>
        <w:tc>
          <w:tcPr>
            <w:tcW w:w="3117" w:type="dxa"/>
          </w:tcPr>
          <w:p w14:paraId="5533C515" w14:textId="0B7A5670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12.1%</w:t>
            </w:r>
          </w:p>
        </w:tc>
      </w:tr>
    </w:tbl>
    <w:p w14:paraId="3CF846F7" w14:textId="77777777" w:rsidR="0086406D" w:rsidRPr="00324774" w:rsidRDefault="0086406D">
      <w:pPr>
        <w:keepLines w:val="0"/>
        <w:rPr>
          <w:lang w:val="en-CA"/>
        </w:rPr>
      </w:pPr>
      <w:r w:rsidRPr="00324774">
        <w:rPr>
          <w:lang w:val="en-CA"/>
        </w:rPr>
        <w:br w:type="page"/>
      </w:r>
    </w:p>
    <w:p w14:paraId="5582246A" w14:textId="67B66BA5" w:rsidR="009561C7" w:rsidRPr="00DB5A0C" w:rsidRDefault="003B6E72" w:rsidP="00EB5482">
      <w:pPr>
        <w:pStyle w:val="ListParagraph"/>
        <w:numPr>
          <w:ilvl w:val="0"/>
          <w:numId w:val="30"/>
        </w:numPr>
        <w:rPr>
          <w:lang w:val="en-CA"/>
        </w:rPr>
      </w:pPr>
      <w:r>
        <w:rPr>
          <w:lang w:val="en-CA"/>
        </w:rPr>
        <w:lastRenderedPageBreak/>
        <w:t xml:space="preserve">Further, </w:t>
      </w:r>
      <w:r w:rsidR="00DB5A0C" w:rsidRPr="00DB5A0C">
        <w:rPr>
          <w:lang w:val="en-CA"/>
        </w:rPr>
        <w:t xml:space="preserve">non-citizens are less likely to be hired than citizens. As a result, there are fewer non-citizen visible minority </w:t>
      </w:r>
      <w:r>
        <w:rPr>
          <w:lang w:val="en-CA"/>
        </w:rPr>
        <w:t>applicants that are appointed</w:t>
      </w:r>
      <w:r w:rsidR="00DB5A0C" w:rsidRPr="00DB5A0C">
        <w:rPr>
          <w:lang w:val="en-CA"/>
        </w:rPr>
        <w:t>.</w:t>
      </w:r>
    </w:p>
    <w:p w14:paraId="79BC225F" w14:textId="77777777" w:rsidR="00DB5A0C" w:rsidRPr="00DB5A0C" w:rsidRDefault="00DB5A0C" w:rsidP="00A17A1A">
      <w:pPr>
        <w:pStyle w:val="ListParagraph"/>
        <w:numPr>
          <w:ilvl w:val="0"/>
          <w:numId w:val="30"/>
        </w:numPr>
        <w:rPr>
          <w:lang w:val="en-CA"/>
        </w:rPr>
      </w:pPr>
      <w:r w:rsidRPr="00DB5A0C">
        <w:rPr>
          <w:lang w:val="en-CA"/>
        </w:rPr>
        <w:t>As seen in Figure 2, visible minorities represent 22.3% of all applicants and 20.7% of hires.</w:t>
      </w:r>
    </w:p>
    <w:p w14:paraId="417FA2B4" w14:textId="77777777" w:rsidR="00DB5A0C" w:rsidRPr="007306A1" w:rsidRDefault="00DB5A0C" w:rsidP="00EB5482">
      <w:pPr>
        <w:pStyle w:val="ListParagraph"/>
        <w:numPr>
          <w:ilvl w:val="1"/>
          <w:numId w:val="30"/>
        </w:numPr>
        <w:rPr>
          <w:lang w:val="en-CA"/>
        </w:rPr>
      </w:pPr>
      <w:r w:rsidRPr="00DB5A0C">
        <w:rPr>
          <w:lang w:val="en-CA"/>
        </w:rPr>
        <w:t>When the analysis is restricted to Canadian citizens, visible minorities represent 17.2% of applicants and 19.5% of hires.</w:t>
      </w:r>
    </w:p>
    <w:p w14:paraId="5891A789" w14:textId="77777777" w:rsidR="00DB5A0C" w:rsidRPr="00A63A51" w:rsidRDefault="00DB5A0C" w:rsidP="00EB5482">
      <w:pPr>
        <w:pStyle w:val="ListParagraph"/>
        <w:numPr>
          <w:ilvl w:val="1"/>
          <w:numId w:val="30"/>
        </w:numPr>
        <w:rPr>
          <w:lang w:val="en-CA"/>
        </w:rPr>
      </w:pPr>
      <w:r w:rsidRPr="00A63A51">
        <w:rPr>
          <w:lang w:val="en-CA"/>
        </w:rPr>
        <w:t xml:space="preserve">However, </w:t>
      </w:r>
      <w:r>
        <w:rPr>
          <w:lang w:val="en-CA"/>
        </w:rPr>
        <w:t xml:space="preserve">among non-citizens, </w:t>
      </w:r>
      <w:r w:rsidRPr="00A63A51">
        <w:rPr>
          <w:lang w:val="en-CA"/>
        </w:rPr>
        <w:t>visible minorit</w:t>
      </w:r>
      <w:r>
        <w:rPr>
          <w:lang w:val="en-CA"/>
        </w:rPr>
        <w:t>ies</w:t>
      </w:r>
      <w:r w:rsidRPr="00A63A51">
        <w:rPr>
          <w:lang w:val="en-CA"/>
        </w:rPr>
        <w:t xml:space="preserve"> represent 5.1% of all applicants but</w:t>
      </w:r>
      <w:r w:rsidRPr="007306A1">
        <w:rPr>
          <w:lang w:val="en-CA"/>
        </w:rPr>
        <w:t xml:space="preserve"> only 1.2% of all hires.</w:t>
      </w:r>
    </w:p>
    <w:p w14:paraId="66D50BEF" w14:textId="74778CB6" w:rsidR="00DB5A0C" w:rsidRPr="00324774" w:rsidRDefault="00DB5A0C" w:rsidP="00DB5A0C">
      <w:pPr>
        <w:pStyle w:val="ListParagraph"/>
        <w:numPr>
          <w:ilvl w:val="1"/>
          <w:numId w:val="30"/>
        </w:numPr>
        <w:rPr>
          <w:lang w:val="en-CA"/>
        </w:rPr>
      </w:pPr>
      <w:r w:rsidRPr="00324774">
        <w:rPr>
          <w:lang w:val="en-CA"/>
        </w:rPr>
        <w:t>Other factors</w:t>
      </w:r>
      <w:r w:rsidR="00E61973" w:rsidRPr="00324774">
        <w:rPr>
          <w:lang w:val="en-CA"/>
        </w:rPr>
        <w:t>,</w:t>
      </w:r>
      <w:r w:rsidRPr="00324774">
        <w:rPr>
          <w:lang w:val="en-CA"/>
        </w:rPr>
        <w:t xml:space="preserve"> such as foreign credentials</w:t>
      </w:r>
      <w:r w:rsidR="00E61973" w:rsidRPr="00324774">
        <w:rPr>
          <w:lang w:val="en-CA"/>
        </w:rPr>
        <w:t>,</w:t>
      </w:r>
      <w:r w:rsidRPr="00324774">
        <w:rPr>
          <w:lang w:val="en-CA"/>
        </w:rPr>
        <w:t xml:space="preserve"> may contribute to the drop-off of non-citizens between the application and appointment stage.</w:t>
      </w:r>
    </w:p>
    <w:p w14:paraId="38133731" w14:textId="77777777" w:rsidR="00894E9D" w:rsidRPr="00324774" w:rsidRDefault="009804CA" w:rsidP="004E2B62">
      <w:pPr>
        <w:pStyle w:val="ListParagraph"/>
        <w:keepNext/>
        <w:spacing w:before="400" w:after="0"/>
        <w:ind w:left="720"/>
        <w:contextualSpacing w:val="0"/>
        <w:jc w:val="center"/>
        <w:rPr>
          <w:lang w:val="en-CA"/>
        </w:rPr>
      </w:pPr>
      <w:r w:rsidRPr="00324774">
        <w:rPr>
          <w:noProof/>
          <w:lang w:val="en-CA" w:eastAsia="en-CA"/>
        </w:rPr>
        <w:drawing>
          <wp:inline distT="0" distB="0" distL="0" distR="0" wp14:anchorId="0A3632E6" wp14:editId="56E8CB1B">
            <wp:extent cx="5943599" cy="3681283"/>
            <wp:effectExtent l="0" t="0" r="635" b="0"/>
            <wp:docPr id="8" name="Picture 8" descr="A bar chart with two bars. The chart shows the applicants and hires who self-declared or self-identified as visible minorities in 2018-2019. The bars are broken down by applicants and hires who were citizens or non-citizens." title="Visible minorities as applicants and hires: citizens versus non-citiz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00916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368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4E657" w14:textId="39977412" w:rsidR="004F66FD" w:rsidRPr="00324774" w:rsidRDefault="00894E9D" w:rsidP="00894E9D">
      <w:pPr>
        <w:pStyle w:val="Caption"/>
        <w:jc w:val="center"/>
        <w:rPr>
          <w:lang w:val="en-CA"/>
        </w:rPr>
      </w:pPr>
      <w:r w:rsidRPr="00324774">
        <w:rPr>
          <w:lang w:val="en-CA"/>
        </w:rPr>
        <w:t xml:space="preserve">Figure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Figure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2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Visible minorities as applicants and hires: citizens versus non-citizens</w:t>
      </w:r>
    </w:p>
    <w:p w14:paraId="36ABAC02" w14:textId="1568A79D" w:rsidR="00894E9D" w:rsidRPr="00324774" w:rsidRDefault="00894E9D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2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Visible minorities as applicants and hires: citizens versus non-citizens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sible minorities as applicants and hires: citizens versus non-citizens"/>
        <w:tblDescription w:val="A table showing the share of visible minority applicants and visible minority hires in 2018-2019, broken down by Canadian citizen or non-citizen status."/>
      </w:tblPr>
      <w:tblGrid>
        <w:gridCol w:w="2591"/>
        <w:gridCol w:w="2337"/>
        <w:gridCol w:w="2337"/>
        <w:gridCol w:w="2085"/>
      </w:tblGrid>
      <w:tr w:rsidR="0009392B" w:rsidRPr="00324774" w14:paraId="6CB54CD7" w14:textId="4F7A1CDA" w:rsidTr="0009392B">
        <w:trPr>
          <w:tblHeader/>
        </w:trPr>
        <w:tc>
          <w:tcPr>
            <w:tcW w:w="2591" w:type="dxa"/>
          </w:tcPr>
          <w:p w14:paraId="35C40264" w14:textId="648EA8BA" w:rsidR="0009392B" w:rsidRPr="00324774" w:rsidRDefault="0009392B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2337" w:type="dxa"/>
          </w:tcPr>
          <w:p w14:paraId="3B9C780A" w14:textId="28871F80" w:rsidR="0009392B" w:rsidRPr="00324774" w:rsidRDefault="0009392B" w:rsidP="0009392B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Percent who were citizens</w:t>
            </w:r>
          </w:p>
        </w:tc>
        <w:tc>
          <w:tcPr>
            <w:tcW w:w="2337" w:type="dxa"/>
          </w:tcPr>
          <w:p w14:paraId="7CB5FCEF" w14:textId="37E09CD3" w:rsidR="0009392B" w:rsidRPr="00324774" w:rsidRDefault="0009392B" w:rsidP="0009392B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Percent who were non-citizens</w:t>
            </w:r>
          </w:p>
        </w:tc>
        <w:tc>
          <w:tcPr>
            <w:tcW w:w="2085" w:type="dxa"/>
          </w:tcPr>
          <w:p w14:paraId="1AB1B0F6" w14:textId="6697336E" w:rsidR="0009392B" w:rsidRPr="00324774" w:rsidRDefault="0009392B" w:rsidP="0009392B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Total percent</w:t>
            </w:r>
          </w:p>
        </w:tc>
      </w:tr>
      <w:tr w:rsidR="0009392B" w:rsidRPr="00324774" w14:paraId="7F102BCD" w14:textId="2DDE9812" w:rsidTr="0009392B">
        <w:tc>
          <w:tcPr>
            <w:tcW w:w="2591" w:type="dxa"/>
          </w:tcPr>
          <w:p w14:paraId="0251C33A" w14:textId="241C9729" w:rsidR="0009392B" w:rsidRPr="00324774" w:rsidRDefault="0009392B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applicants</w:t>
            </w:r>
          </w:p>
        </w:tc>
        <w:tc>
          <w:tcPr>
            <w:tcW w:w="2337" w:type="dxa"/>
          </w:tcPr>
          <w:p w14:paraId="15BB49EF" w14:textId="0389D3F0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17.2%</w:t>
            </w:r>
          </w:p>
        </w:tc>
        <w:tc>
          <w:tcPr>
            <w:tcW w:w="2337" w:type="dxa"/>
          </w:tcPr>
          <w:p w14:paraId="4D1022B4" w14:textId="507B50D7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5.1%</w:t>
            </w:r>
          </w:p>
        </w:tc>
        <w:tc>
          <w:tcPr>
            <w:tcW w:w="2085" w:type="dxa"/>
          </w:tcPr>
          <w:p w14:paraId="4F7CC80D" w14:textId="519CED6F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22.3%</w:t>
            </w:r>
          </w:p>
        </w:tc>
      </w:tr>
      <w:tr w:rsidR="0009392B" w:rsidRPr="00324774" w14:paraId="1BF266C0" w14:textId="01136894" w:rsidTr="0009392B">
        <w:tc>
          <w:tcPr>
            <w:tcW w:w="2591" w:type="dxa"/>
          </w:tcPr>
          <w:p w14:paraId="2A6D6490" w14:textId="5FBCA978" w:rsidR="0009392B" w:rsidRPr="00324774" w:rsidRDefault="0009392B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hires</w:t>
            </w:r>
          </w:p>
        </w:tc>
        <w:tc>
          <w:tcPr>
            <w:tcW w:w="2337" w:type="dxa"/>
          </w:tcPr>
          <w:p w14:paraId="41B7C35A" w14:textId="28C0DF73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19.5%</w:t>
            </w:r>
          </w:p>
        </w:tc>
        <w:tc>
          <w:tcPr>
            <w:tcW w:w="2337" w:type="dxa"/>
          </w:tcPr>
          <w:p w14:paraId="41CE21C5" w14:textId="15A4B657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1.2%</w:t>
            </w:r>
          </w:p>
        </w:tc>
        <w:tc>
          <w:tcPr>
            <w:tcW w:w="2085" w:type="dxa"/>
          </w:tcPr>
          <w:p w14:paraId="609F9EAD" w14:textId="0C4D9970" w:rsidR="0009392B" w:rsidRPr="00324774" w:rsidRDefault="0009392B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20.7%</w:t>
            </w:r>
          </w:p>
        </w:tc>
      </w:tr>
    </w:tbl>
    <w:p w14:paraId="5C0260F5" w14:textId="666987BC" w:rsidR="00DB5A0C" w:rsidRPr="00324774" w:rsidRDefault="004F0466" w:rsidP="004E2B62">
      <w:pPr>
        <w:pStyle w:val="Heading2"/>
      </w:pPr>
      <w:r w:rsidRPr="00324774">
        <w:br w:type="page"/>
      </w:r>
      <w:r w:rsidR="009F038F" w:rsidRPr="00324774">
        <w:lastRenderedPageBreak/>
        <w:t>Permanent residents</w:t>
      </w:r>
    </w:p>
    <w:p w14:paraId="624E70EB" w14:textId="7FC05183" w:rsidR="00976087" w:rsidRPr="00324774" w:rsidRDefault="00EE4199" w:rsidP="000E1CAB">
      <w:pPr>
        <w:rPr>
          <w:lang w:val="en-CA"/>
        </w:rPr>
      </w:pPr>
      <w:r w:rsidRPr="00324774">
        <w:rPr>
          <w:lang w:val="en-CA"/>
        </w:rPr>
        <w:t>There are</w:t>
      </w:r>
      <w:r w:rsidR="00976087" w:rsidRPr="00324774">
        <w:rPr>
          <w:lang w:val="en-CA"/>
        </w:rPr>
        <w:t xml:space="preserve"> different types of non-citizenship</w:t>
      </w:r>
      <w:r w:rsidRPr="00324774">
        <w:rPr>
          <w:lang w:val="en-CA"/>
        </w:rPr>
        <w:t>.</w:t>
      </w:r>
      <w:r w:rsidR="00976087" w:rsidRPr="00324774">
        <w:rPr>
          <w:rStyle w:val="FootnoteReference"/>
          <w:lang w:val="en-CA"/>
        </w:rPr>
        <w:footnoteReference w:id="2"/>
      </w:r>
      <w:r w:rsidR="00976087" w:rsidRPr="00324774">
        <w:rPr>
          <w:lang w:val="en-CA"/>
        </w:rPr>
        <w:t xml:space="preserve"> </w:t>
      </w:r>
      <w:r w:rsidRPr="00324774">
        <w:rPr>
          <w:lang w:val="en-CA"/>
        </w:rPr>
        <w:t>T</w:t>
      </w:r>
      <w:r w:rsidR="00976087" w:rsidRPr="00324774">
        <w:rPr>
          <w:lang w:val="en-CA"/>
        </w:rPr>
        <w:t xml:space="preserve">he following section </w:t>
      </w:r>
      <w:r w:rsidRPr="00324774">
        <w:rPr>
          <w:lang w:val="en-CA"/>
        </w:rPr>
        <w:t xml:space="preserve">describes applicant and appointments shares of </w:t>
      </w:r>
      <w:r w:rsidR="00976087" w:rsidRPr="00324774">
        <w:rPr>
          <w:lang w:val="en-CA"/>
        </w:rPr>
        <w:t>permanent residents compared to other non-citizens.</w:t>
      </w:r>
    </w:p>
    <w:p w14:paraId="764EC002" w14:textId="77777777" w:rsidR="000E1CAB" w:rsidRPr="00324774" w:rsidRDefault="000E1CAB" w:rsidP="004E2B62">
      <w:pPr>
        <w:pStyle w:val="Heading3"/>
      </w:pPr>
      <w:r w:rsidRPr="00324774">
        <w:t>Applicants</w:t>
      </w:r>
    </w:p>
    <w:p w14:paraId="4629085C" w14:textId="2243B2EE" w:rsidR="00BA6118" w:rsidRPr="00324774" w:rsidRDefault="00EE4199" w:rsidP="000E1CAB">
      <w:pPr>
        <w:pStyle w:val="ListParagraph"/>
        <w:numPr>
          <w:ilvl w:val="0"/>
          <w:numId w:val="30"/>
        </w:numPr>
        <w:spacing w:after="240"/>
        <w:ind w:left="714" w:hanging="357"/>
        <w:contextualSpacing w:val="0"/>
        <w:rPr>
          <w:lang w:val="en-CA"/>
        </w:rPr>
      </w:pPr>
      <w:r w:rsidRPr="00324774">
        <w:rPr>
          <w:lang w:val="en-CA"/>
        </w:rPr>
        <w:t>Most non-citizen applicants are permanent residents.</w:t>
      </w:r>
    </w:p>
    <w:p w14:paraId="2F32802C" w14:textId="506E562F" w:rsidR="000E1CAB" w:rsidRPr="00324774" w:rsidRDefault="000E1CAB" w:rsidP="00E90A87">
      <w:pPr>
        <w:pStyle w:val="ListParagraph"/>
        <w:numPr>
          <w:ilvl w:val="1"/>
          <w:numId w:val="30"/>
        </w:numPr>
        <w:spacing w:after="240"/>
        <w:contextualSpacing w:val="0"/>
        <w:rPr>
          <w:lang w:val="en-CA"/>
        </w:rPr>
      </w:pPr>
      <w:r w:rsidRPr="00324774">
        <w:rPr>
          <w:lang w:val="en-CA"/>
        </w:rPr>
        <w:t>In 201</w:t>
      </w:r>
      <w:r w:rsidR="006008EF" w:rsidRPr="00324774">
        <w:rPr>
          <w:lang w:val="en-CA"/>
        </w:rPr>
        <w:t>8</w:t>
      </w:r>
      <w:r w:rsidRPr="00324774">
        <w:rPr>
          <w:lang w:val="en-CA"/>
        </w:rPr>
        <w:t>-20</w:t>
      </w:r>
      <w:r w:rsidR="006008EF" w:rsidRPr="00324774">
        <w:rPr>
          <w:lang w:val="en-CA"/>
        </w:rPr>
        <w:t>19</w:t>
      </w:r>
      <w:r w:rsidRPr="00324774">
        <w:rPr>
          <w:lang w:val="en-CA"/>
        </w:rPr>
        <w:t>, of the 1</w:t>
      </w:r>
      <w:r w:rsidR="006008EF" w:rsidRPr="00324774">
        <w:rPr>
          <w:lang w:val="en-CA"/>
        </w:rPr>
        <w:t>4</w:t>
      </w:r>
      <w:r w:rsidRPr="00324774">
        <w:rPr>
          <w:lang w:val="en-CA"/>
        </w:rPr>
        <w:t>.</w:t>
      </w:r>
      <w:r w:rsidR="006008EF" w:rsidRPr="00324774">
        <w:rPr>
          <w:lang w:val="en-CA"/>
        </w:rPr>
        <w:t>5</w:t>
      </w:r>
      <w:r w:rsidRPr="00324774">
        <w:rPr>
          <w:lang w:val="en-CA"/>
        </w:rPr>
        <w:t>% of applicants who were non-citizens, over two-thirds (3</w:t>
      </w:r>
      <w:r w:rsidR="006008EF" w:rsidRPr="00324774">
        <w:rPr>
          <w:lang w:val="en-CA"/>
        </w:rPr>
        <w:t>7</w:t>
      </w:r>
      <w:r w:rsidRPr="00324774">
        <w:rPr>
          <w:lang w:val="en-CA"/>
        </w:rPr>
        <w:t>,</w:t>
      </w:r>
      <w:r w:rsidR="006008EF" w:rsidRPr="00324774">
        <w:rPr>
          <w:lang w:val="en-CA"/>
        </w:rPr>
        <w:t>716</w:t>
      </w:r>
      <w:r w:rsidRPr="00324774">
        <w:rPr>
          <w:lang w:val="en-CA"/>
        </w:rPr>
        <w:t xml:space="preserve"> applicants) were permanent residents, while the remaining applicants (1</w:t>
      </w:r>
      <w:r w:rsidR="006008EF" w:rsidRPr="00324774">
        <w:rPr>
          <w:lang w:val="en-CA"/>
        </w:rPr>
        <w:t>5</w:t>
      </w:r>
      <w:r w:rsidRPr="00324774">
        <w:rPr>
          <w:lang w:val="en-CA"/>
        </w:rPr>
        <w:t>,</w:t>
      </w:r>
      <w:r w:rsidR="006008EF" w:rsidRPr="00324774">
        <w:rPr>
          <w:lang w:val="en-CA"/>
        </w:rPr>
        <w:t>886</w:t>
      </w:r>
      <w:r w:rsidRPr="00324774">
        <w:rPr>
          <w:lang w:val="en-CA"/>
        </w:rPr>
        <w:t xml:space="preserve"> applicants) were not permanent residents</w:t>
      </w:r>
      <w:r w:rsidR="004B1D1C" w:rsidRPr="00324774">
        <w:rPr>
          <w:lang w:val="en-CA"/>
        </w:rPr>
        <w:t>.</w:t>
      </w:r>
    </w:p>
    <w:p w14:paraId="3F6BEE27" w14:textId="2EB41667" w:rsidR="000E1CAB" w:rsidRPr="00324774" w:rsidRDefault="000E1CAB" w:rsidP="000E1CAB">
      <w:pPr>
        <w:pStyle w:val="ListParagraph"/>
        <w:numPr>
          <w:ilvl w:val="0"/>
          <w:numId w:val="30"/>
        </w:numPr>
        <w:rPr>
          <w:lang w:val="en-CA"/>
        </w:rPr>
      </w:pPr>
      <w:r w:rsidRPr="00324774">
        <w:rPr>
          <w:lang w:val="en-CA"/>
        </w:rPr>
        <w:t xml:space="preserve">Visible minority representation </w:t>
      </w:r>
      <w:r w:rsidR="00343000" w:rsidRPr="00324774">
        <w:rPr>
          <w:lang w:val="en-CA"/>
        </w:rPr>
        <w:t xml:space="preserve">is highest among </w:t>
      </w:r>
      <w:r w:rsidRPr="00324774">
        <w:rPr>
          <w:lang w:val="en-CA"/>
        </w:rPr>
        <w:t>permanent resident applicants.</w:t>
      </w:r>
    </w:p>
    <w:p w14:paraId="4310EDE6" w14:textId="034A31EB" w:rsidR="00A2474A" w:rsidRPr="00324774" w:rsidRDefault="000E1CAB" w:rsidP="006008EF">
      <w:pPr>
        <w:pStyle w:val="ListParagraph"/>
        <w:numPr>
          <w:ilvl w:val="1"/>
          <w:numId w:val="30"/>
        </w:numPr>
        <w:rPr>
          <w:lang w:val="en-CA"/>
        </w:rPr>
      </w:pPr>
      <w:r w:rsidRPr="00324774">
        <w:rPr>
          <w:lang w:val="en-CA"/>
        </w:rPr>
        <w:t>In 20</w:t>
      </w:r>
      <w:r w:rsidR="006008EF" w:rsidRPr="00324774">
        <w:rPr>
          <w:lang w:val="en-CA"/>
        </w:rPr>
        <w:t>18</w:t>
      </w:r>
      <w:r w:rsidRPr="00324774">
        <w:rPr>
          <w:lang w:val="en-CA"/>
        </w:rPr>
        <w:t>-20</w:t>
      </w:r>
      <w:r w:rsidR="006008EF" w:rsidRPr="00324774">
        <w:rPr>
          <w:lang w:val="en-CA"/>
        </w:rPr>
        <w:t>19</w:t>
      </w:r>
      <w:r w:rsidRPr="00324774">
        <w:rPr>
          <w:lang w:val="en-CA"/>
        </w:rPr>
        <w:t xml:space="preserve">, </w:t>
      </w:r>
      <w:r w:rsidR="006008EF" w:rsidRPr="00324774">
        <w:rPr>
          <w:lang w:val="en-CA"/>
        </w:rPr>
        <w:t>38</w:t>
      </w:r>
      <w:r w:rsidRPr="00324774">
        <w:rPr>
          <w:lang w:val="en-CA"/>
        </w:rPr>
        <w:t>.</w:t>
      </w:r>
      <w:r w:rsidR="006008EF" w:rsidRPr="00324774">
        <w:rPr>
          <w:lang w:val="en-CA"/>
        </w:rPr>
        <w:t>4</w:t>
      </w:r>
      <w:r w:rsidRPr="00324774">
        <w:rPr>
          <w:lang w:val="en-CA"/>
        </w:rPr>
        <w:t>% of permanent resident applicants to external job advertisements were visible minorities</w:t>
      </w:r>
      <w:r w:rsidR="00EE4199" w:rsidRPr="00324774">
        <w:rPr>
          <w:lang w:val="en-CA"/>
        </w:rPr>
        <w:t xml:space="preserve">, compared to </w:t>
      </w:r>
      <w:r w:rsidR="00DF0123" w:rsidRPr="00324774">
        <w:rPr>
          <w:lang w:val="en-CA"/>
        </w:rPr>
        <w:t>20.1</w:t>
      </w:r>
      <w:r w:rsidR="00EE4199" w:rsidRPr="00324774">
        <w:rPr>
          <w:lang w:val="en-CA"/>
        </w:rPr>
        <w:t xml:space="preserve">% for citizens and </w:t>
      </w:r>
      <w:r w:rsidR="00DF0123" w:rsidRPr="00324774">
        <w:rPr>
          <w:lang w:val="en-CA"/>
        </w:rPr>
        <w:t>27.5</w:t>
      </w:r>
      <w:r w:rsidR="00EE4199" w:rsidRPr="00324774">
        <w:rPr>
          <w:lang w:val="en-CA"/>
        </w:rPr>
        <w:t>% for other non-citizens</w:t>
      </w:r>
      <w:r w:rsidRPr="00324774">
        <w:rPr>
          <w:lang w:val="en-CA"/>
        </w:rPr>
        <w:t>.</w:t>
      </w:r>
    </w:p>
    <w:p w14:paraId="7B8372C8" w14:textId="5069BD9E" w:rsidR="000E1CAB" w:rsidRPr="00324774" w:rsidRDefault="00976087" w:rsidP="004E2B62">
      <w:pPr>
        <w:pStyle w:val="Heading3"/>
      </w:pPr>
      <w:r w:rsidRPr="00324774">
        <w:t>Appointments</w:t>
      </w:r>
    </w:p>
    <w:p w14:paraId="7CD767E0" w14:textId="37AF82C0" w:rsidR="00BA6118" w:rsidRPr="00324774" w:rsidRDefault="00EE4199" w:rsidP="00AC2464">
      <w:pPr>
        <w:pStyle w:val="ListParagraph"/>
        <w:numPr>
          <w:ilvl w:val="0"/>
          <w:numId w:val="30"/>
        </w:numPr>
        <w:contextualSpacing w:val="0"/>
        <w:rPr>
          <w:lang w:val="en-CA"/>
        </w:rPr>
      </w:pPr>
      <w:r w:rsidRPr="00324774">
        <w:rPr>
          <w:lang w:val="en-CA"/>
        </w:rPr>
        <w:t>Most non-citizen hires are permanent residents</w:t>
      </w:r>
      <w:r w:rsidR="00BA6118" w:rsidRPr="00324774">
        <w:rPr>
          <w:lang w:val="en-CA"/>
        </w:rPr>
        <w:t>.</w:t>
      </w:r>
    </w:p>
    <w:p w14:paraId="6EB8FB14" w14:textId="77777777" w:rsidR="00D72CA2" w:rsidRPr="00324774" w:rsidRDefault="000E1CAB" w:rsidP="00A17A1A">
      <w:pPr>
        <w:pStyle w:val="ListParagraph"/>
        <w:numPr>
          <w:ilvl w:val="1"/>
          <w:numId w:val="30"/>
        </w:numPr>
        <w:contextualSpacing w:val="0"/>
        <w:rPr>
          <w:lang w:val="en-CA"/>
        </w:rPr>
      </w:pPr>
      <w:r w:rsidRPr="00324774">
        <w:rPr>
          <w:lang w:val="en-CA"/>
        </w:rPr>
        <w:t xml:space="preserve">In 2018-2019, of the 2.5% of hires who were non-citizens, over three-quarters (387 hires) were permanent residents, while the remaining hires (108 hires) were </w:t>
      </w:r>
      <w:r w:rsidR="008440C2" w:rsidRPr="00324774">
        <w:rPr>
          <w:lang w:val="en-CA"/>
        </w:rPr>
        <w:t>other non-citizens</w:t>
      </w:r>
      <w:r w:rsidRPr="00324774">
        <w:rPr>
          <w:lang w:val="en-CA"/>
        </w:rPr>
        <w:t>.</w:t>
      </w:r>
    </w:p>
    <w:p w14:paraId="49850E19" w14:textId="4C0D79B4" w:rsidR="000E1CAB" w:rsidRPr="00324774" w:rsidRDefault="000E1CAB" w:rsidP="00AC2464">
      <w:pPr>
        <w:pStyle w:val="ListParagraph"/>
        <w:numPr>
          <w:ilvl w:val="0"/>
          <w:numId w:val="30"/>
        </w:numPr>
        <w:contextualSpacing w:val="0"/>
        <w:rPr>
          <w:lang w:val="en-CA"/>
        </w:rPr>
      </w:pPr>
      <w:r w:rsidRPr="00324774">
        <w:rPr>
          <w:lang w:val="en-CA"/>
        </w:rPr>
        <w:t xml:space="preserve">Visible minority representation </w:t>
      </w:r>
      <w:r w:rsidR="00343000" w:rsidRPr="00324774">
        <w:rPr>
          <w:lang w:val="en-CA"/>
        </w:rPr>
        <w:t>is highest among</w:t>
      </w:r>
      <w:r w:rsidR="0024647A" w:rsidRPr="00324774">
        <w:rPr>
          <w:lang w:val="en-CA"/>
        </w:rPr>
        <w:t xml:space="preserve"> hires who are</w:t>
      </w:r>
      <w:r w:rsidR="00343000" w:rsidRPr="00324774">
        <w:rPr>
          <w:lang w:val="en-CA"/>
        </w:rPr>
        <w:t xml:space="preserve"> </w:t>
      </w:r>
      <w:r w:rsidRPr="00324774">
        <w:rPr>
          <w:lang w:val="en-CA"/>
        </w:rPr>
        <w:t>permanent residents.</w:t>
      </w:r>
    </w:p>
    <w:p w14:paraId="107ABB36" w14:textId="3C02D2F2" w:rsidR="004B1D1C" w:rsidRPr="00324774" w:rsidRDefault="000E1CAB" w:rsidP="00AC2464">
      <w:pPr>
        <w:pStyle w:val="ListParagraph"/>
        <w:numPr>
          <w:ilvl w:val="1"/>
          <w:numId w:val="30"/>
        </w:numPr>
        <w:spacing w:line="240" w:lineRule="auto"/>
        <w:rPr>
          <w:lang w:val="en-CA"/>
        </w:rPr>
      </w:pPr>
      <w:r w:rsidRPr="00324774">
        <w:rPr>
          <w:lang w:val="en-CA"/>
        </w:rPr>
        <w:t>In 2018-2019, 48.3% of hires who were permanent residents were visible minorities</w:t>
      </w:r>
      <w:r w:rsidR="00EE4199" w:rsidRPr="00324774">
        <w:rPr>
          <w:lang w:val="en-CA"/>
        </w:rPr>
        <w:t xml:space="preserve">, compared to </w:t>
      </w:r>
      <w:r w:rsidR="00DF0123" w:rsidRPr="00324774">
        <w:rPr>
          <w:lang w:val="en-CA"/>
        </w:rPr>
        <w:t>20</w:t>
      </w:r>
      <w:r w:rsidR="00EE4199" w:rsidRPr="00324774">
        <w:rPr>
          <w:lang w:val="en-CA"/>
        </w:rPr>
        <w:t xml:space="preserve">% for citizens and </w:t>
      </w:r>
      <w:r w:rsidR="00DF0123" w:rsidRPr="00324774">
        <w:rPr>
          <w:lang w:val="en-CA"/>
        </w:rPr>
        <w:t>44.4</w:t>
      </w:r>
      <w:r w:rsidR="00EE4199" w:rsidRPr="00324774">
        <w:rPr>
          <w:lang w:val="en-CA"/>
        </w:rPr>
        <w:t>% for other non-citizens.</w:t>
      </w:r>
    </w:p>
    <w:p w14:paraId="6C50BAB8" w14:textId="77777777" w:rsidR="00894E9D" w:rsidRPr="00324774" w:rsidRDefault="004B1D1C" w:rsidP="00894E9D">
      <w:pPr>
        <w:keepNext/>
        <w:rPr>
          <w:lang w:val="en-CA"/>
        </w:rPr>
      </w:pPr>
      <w:r w:rsidRPr="00324774">
        <w:rPr>
          <w:noProof/>
          <w:lang w:val="en-CA" w:eastAsia="en-CA"/>
        </w:rPr>
        <w:lastRenderedPageBreak/>
        <w:drawing>
          <wp:inline distT="0" distB="0" distL="0" distR="0" wp14:anchorId="47CA27A1" wp14:editId="6EE66959">
            <wp:extent cx="5943295" cy="3681095"/>
            <wp:effectExtent l="0" t="0" r="635" b="0"/>
            <wp:docPr id="6" name="Picture 6" descr="A line chart with three sub-charts. Each sub-chart shows the representation of visible minority applicants and appointments from 2015-2016 to 2018-2019 for Canadian citizens, permanent residents, and other non-citizens. The workforce availability for visible minorities is included as a dotted line in all three sub-charts." title="Visible minority representation by citize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izen_non_citizen_pr_v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9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D032" w14:textId="45CB5927" w:rsidR="00283A33" w:rsidRPr="00324774" w:rsidRDefault="00894E9D" w:rsidP="00894E9D">
      <w:pPr>
        <w:pStyle w:val="Caption"/>
        <w:jc w:val="center"/>
        <w:rPr>
          <w:lang w:val="en-CA"/>
        </w:rPr>
      </w:pPr>
      <w:r w:rsidRPr="00324774">
        <w:rPr>
          <w:lang w:val="en-CA"/>
        </w:rPr>
        <w:t xml:space="preserve">Figure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Figure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3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Visible minority representation by citizenship</w:t>
      </w:r>
    </w:p>
    <w:p w14:paraId="4251082D" w14:textId="271E2336" w:rsidR="00894E9D" w:rsidRPr="00324774" w:rsidRDefault="00894E9D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3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Visible minority representation by citizenship — Canadian 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sible minority representation by citizenship — Canadian citizens"/>
        <w:tblDescription w:val="A table showing the representation of citizen visible minoritie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E921FC" w:rsidRPr="00324774" w14:paraId="3EA95866" w14:textId="77777777" w:rsidTr="00E921FC">
        <w:trPr>
          <w:tblHeader/>
        </w:trPr>
        <w:tc>
          <w:tcPr>
            <w:tcW w:w="2275" w:type="dxa"/>
          </w:tcPr>
          <w:p w14:paraId="33B47CD0" w14:textId="77777777" w:rsidR="00E921FC" w:rsidRPr="00324774" w:rsidRDefault="00E921F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2E251680" w14:textId="5A56EC6E" w:rsidR="00E921FC" w:rsidRPr="00324774" w:rsidRDefault="00E921F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5E57B6CF" w14:textId="53B92A3A" w:rsidR="00E921FC" w:rsidRPr="00324774" w:rsidRDefault="00E921F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5FDCE54B" w14:textId="6AE5B82F" w:rsidR="00E921FC" w:rsidRPr="00324774" w:rsidRDefault="00E921F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38556250" w14:textId="675D14C8" w:rsidR="00E921FC" w:rsidRPr="00324774" w:rsidRDefault="00E921F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E921FC" w:rsidRPr="00324774" w14:paraId="3BF7C4C7" w14:textId="77777777" w:rsidTr="00E921FC">
        <w:tc>
          <w:tcPr>
            <w:tcW w:w="2275" w:type="dxa"/>
          </w:tcPr>
          <w:p w14:paraId="01B129E2" w14:textId="4BDA268D" w:rsidR="00E921FC" w:rsidRPr="00324774" w:rsidRDefault="00E921FC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Applicants</w:t>
            </w:r>
          </w:p>
        </w:tc>
        <w:tc>
          <w:tcPr>
            <w:tcW w:w="1869" w:type="dxa"/>
          </w:tcPr>
          <w:p w14:paraId="04A07B01" w14:textId="4CB44CB5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19.8%</w:t>
            </w:r>
          </w:p>
        </w:tc>
        <w:tc>
          <w:tcPr>
            <w:tcW w:w="1634" w:type="dxa"/>
          </w:tcPr>
          <w:p w14:paraId="1C5CAE69" w14:textId="3BEF92AC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19.2%</w:t>
            </w:r>
          </w:p>
        </w:tc>
        <w:tc>
          <w:tcPr>
            <w:tcW w:w="1869" w:type="dxa"/>
          </w:tcPr>
          <w:p w14:paraId="1B9B75D0" w14:textId="70DA9EEF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20.0%</w:t>
            </w:r>
          </w:p>
        </w:tc>
        <w:tc>
          <w:tcPr>
            <w:tcW w:w="1703" w:type="dxa"/>
          </w:tcPr>
          <w:p w14:paraId="3603699F" w14:textId="0E10177C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20.1%</w:t>
            </w:r>
          </w:p>
        </w:tc>
      </w:tr>
      <w:tr w:rsidR="00E921FC" w:rsidRPr="00324774" w14:paraId="74BC3905" w14:textId="77777777" w:rsidTr="00E921FC">
        <w:tc>
          <w:tcPr>
            <w:tcW w:w="2275" w:type="dxa"/>
          </w:tcPr>
          <w:p w14:paraId="2B44D784" w14:textId="38BB0BD4" w:rsidR="00E921FC" w:rsidRPr="00324774" w:rsidRDefault="00E921FC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Appointments</w:t>
            </w:r>
          </w:p>
        </w:tc>
        <w:tc>
          <w:tcPr>
            <w:tcW w:w="1869" w:type="dxa"/>
          </w:tcPr>
          <w:p w14:paraId="0B0CB8E6" w14:textId="1A61AFD0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18.7%</w:t>
            </w:r>
          </w:p>
        </w:tc>
        <w:tc>
          <w:tcPr>
            <w:tcW w:w="1634" w:type="dxa"/>
          </w:tcPr>
          <w:p w14:paraId="30C8CF74" w14:textId="30A28825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19.0%</w:t>
            </w:r>
          </w:p>
        </w:tc>
        <w:tc>
          <w:tcPr>
            <w:tcW w:w="1869" w:type="dxa"/>
          </w:tcPr>
          <w:p w14:paraId="021E1026" w14:textId="664DB527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18.3%</w:t>
            </w:r>
          </w:p>
        </w:tc>
        <w:tc>
          <w:tcPr>
            <w:tcW w:w="1703" w:type="dxa"/>
          </w:tcPr>
          <w:p w14:paraId="565E24F2" w14:textId="4E2B7E78" w:rsidR="00E921FC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20.0%</w:t>
            </w:r>
          </w:p>
        </w:tc>
      </w:tr>
    </w:tbl>
    <w:p w14:paraId="2D87A0AD" w14:textId="191FA998" w:rsidR="00894E9D" w:rsidRPr="00324774" w:rsidRDefault="00894E9D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4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Visible minority representation by citizenship — permanent residents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sible minority representation by citizenship — permanent residents"/>
        <w:tblDescription w:val="A table showing the representation of permanent resident visible minoritie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B6735A" w:rsidRPr="00324774" w14:paraId="256471B5" w14:textId="77777777" w:rsidTr="005155C1">
        <w:trPr>
          <w:tblHeader/>
        </w:trPr>
        <w:tc>
          <w:tcPr>
            <w:tcW w:w="2275" w:type="dxa"/>
          </w:tcPr>
          <w:p w14:paraId="3C741093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4BACA627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396EFC56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71D344BC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5100C3CD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B6735A" w:rsidRPr="00324774" w14:paraId="37D6795C" w14:textId="77777777" w:rsidTr="005155C1">
        <w:tc>
          <w:tcPr>
            <w:tcW w:w="2275" w:type="dxa"/>
          </w:tcPr>
          <w:p w14:paraId="196AE541" w14:textId="77777777" w:rsidR="00B6735A" w:rsidRPr="00324774" w:rsidRDefault="00B6735A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Applicants</w:t>
            </w:r>
          </w:p>
        </w:tc>
        <w:tc>
          <w:tcPr>
            <w:tcW w:w="1869" w:type="dxa"/>
          </w:tcPr>
          <w:p w14:paraId="34E9A071" w14:textId="759FB19C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39.7%</w:t>
            </w:r>
          </w:p>
        </w:tc>
        <w:tc>
          <w:tcPr>
            <w:tcW w:w="1634" w:type="dxa"/>
          </w:tcPr>
          <w:p w14:paraId="01BCE0E0" w14:textId="0A6D9CB8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41.0%</w:t>
            </w:r>
          </w:p>
        </w:tc>
        <w:tc>
          <w:tcPr>
            <w:tcW w:w="1869" w:type="dxa"/>
          </w:tcPr>
          <w:p w14:paraId="460BB256" w14:textId="2A21F9D0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42.1%</w:t>
            </w:r>
          </w:p>
        </w:tc>
        <w:tc>
          <w:tcPr>
            <w:tcW w:w="1703" w:type="dxa"/>
          </w:tcPr>
          <w:p w14:paraId="49C57997" w14:textId="74797887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38.4%</w:t>
            </w:r>
          </w:p>
        </w:tc>
      </w:tr>
      <w:tr w:rsidR="00B6735A" w:rsidRPr="00324774" w14:paraId="3F73648E" w14:textId="77777777" w:rsidTr="005155C1">
        <w:tc>
          <w:tcPr>
            <w:tcW w:w="2275" w:type="dxa"/>
          </w:tcPr>
          <w:p w14:paraId="39FAA0A7" w14:textId="77777777" w:rsidR="00B6735A" w:rsidRPr="00324774" w:rsidRDefault="00B6735A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Appointments</w:t>
            </w:r>
          </w:p>
        </w:tc>
        <w:tc>
          <w:tcPr>
            <w:tcW w:w="1869" w:type="dxa"/>
          </w:tcPr>
          <w:p w14:paraId="5EF20587" w14:textId="7311B652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45.3%</w:t>
            </w:r>
          </w:p>
        </w:tc>
        <w:tc>
          <w:tcPr>
            <w:tcW w:w="1634" w:type="dxa"/>
          </w:tcPr>
          <w:p w14:paraId="05CAE43D" w14:textId="098C5B8F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48.9%</w:t>
            </w:r>
          </w:p>
        </w:tc>
        <w:tc>
          <w:tcPr>
            <w:tcW w:w="1869" w:type="dxa"/>
          </w:tcPr>
          <w:p w14:paraId="53A2A39E" w14:textId="68A1227C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44.9%</w:t>
            </w:r>
          </w:p>
        </w:tc>
        <w:tc>
          <w:tcPr>
            <w:tcW w:w="1703" w:type="dxa"/>
          </w:tcPr>
          <w:p w14:paraId="216BCBBA" w14:textId="08B4EF54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48.3%</w:t>
            </w:r>
          </w:p>
        </w:tc>
      </w:tr>
    </w:tbl>
    <w:p w14:paraId="7392BD93" w14:textId="18E93F99" w:rsidR="00894E9D" w:rsidRPr="00324774" w:rsidRDefault="00894E9D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="00E15FE9" w:rsidRPr="00324774">
        <w:rPr>
          <w:noProof/>
          <w:lang w:val="en-CA"/>
        </w:rPr>
        <w:t>5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Visible minority representation by citizenship — other non-citizens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sible minority representation by citizenship — other non-citizens"/>
        <w:tblDescription w:val="A table showing the representation of other non-citizen visible minoritie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B6735A" w:rsidRPr="00324774" w14:paraId="1E99360A" w14:textId="77777777" w:rsidTr="005155C1">
        <w:trPr>
          <w:tblHeader/>
        </w:trPr>
        <w:tc>
          <w:tcPr>
            <w:tcW w:w="2275" w:type="dxa"/>
          </w:tcPr>
          <w:p w14:paraId="0A0C97EC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202CEAA4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76324800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02013193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02D77467" w14:textId="77777777" w:rsidR="00B6735A" w:rsidRPr="00324774" w:rsidRDefault="00B6735A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B6735A" w:rsidRPr="00324774" w14:paraId="34918BAA" w14:textId="77777777" w:rsidTr="005155C1">
        <w:tc>
          <w:tcPr>
            <w:tcW w:w="2275" w:type="dxa"/>
          </w:tcPr>
          <w:p w14:paraId="76BAE4F5" w14:textId="77777777" w:rsidR="00B6735A" w:rsidRPr="00324774" w:rsidRDefault="00B6735A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Applicants</w:t>
            </w:r>
          </w:p>
        </w:tc>
        <w:tc>
          <w:tcPr>
            <w:tcW w:w="1869" w:type="dxa"/>
          </w:tcPr>
          <w:p w14:paraId="7AEE8090" w14:textId="204E1BCB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26.9%</w:t>
            </w:r>
          </w:p>
        </w:tc>
        <w:tc>
          <w:tcPr>
            <w:tcW w:w="1634" w:type="dxa"/>
          </w:tcPr>
          <w:p w14:paraId="2AC7145E" w14:textId="6F8D1003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28.0%</w:t>
            </w:r>
          </w:p>
        </w:tc>
        <w:tc>
          <w:tcPr>
            <w:tcW w:w="1869" w:type="dxa"/>
          </w:tcPr>
          <w:p w14:paraId="32651DF6" w14:textId="11AC380E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28.0%</w:t>
            </w:r>
          </w:p>
        </w:tc>
        <w:tc>
          <w:tcPr>
            <w:tcW w:w="1703" w:type="dxa"/>
          </w:tcPr>
          <w:p w14:paraId="6C3B289A" w14:textId="16EF3965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27.5%</w:t>
            </w:r>
          </w:p>
        </w:tc>
      </w:tr>
      <w:tr w:rsidR="00B6735A" w:rsidRPr="00324774" w14:paraId="073948E3" w14:textId="77777777" w:rsidTr="005155C1">
        <w:tc>
          <w:tcPr>
            <w:tcW w:w="2275" w:type="dxa"/>
          </w:tcPr>
          <w:p w14:paraId="4EA7CC01" w14:textId="77777777" w:rsidR="00B6735A" w:rsidRPr="00324774" w:rsidRDefault="00B6735A" w:rsidP="008A0AC0">
            <w:pPr>
              <w:rPr>
                <w:lang w:val="en-CA"/>
              </w:rPr>
            </w:pPr>
            <w:r w:rsidRPr="00324774">
              <w:rPr>
                <w:lang w:val="en-CA"/>
              </w:rPr>
              <w:t>Appointments</w:t>
            </w:r>
          </w:p>
        </w:tc>
        <w:tc>
          <w:tcPr>
            <w:tcW w:w="1869" w:type="dxa"/>
          </w:tcPr>
          <w:p w14:paraId="164A14A3" w14:textId="72799607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33.3%</w:t>
            </w:r>
          </w:p>
        </w:tc>
        <w:tc>
          <w:tcPr>
            <w:tcW w:w="1634" w:type="dxa"/>
          </w:tcPr>
          <w:p w14:paraId="330675A0" w14:textId="1DF3D8B7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32.4%</w:t>
            </w:r>
          </w:p>
        </w:tc>
        <w:tc>
          <w:tcPr>
            <w:tcW w:w="1869" w:type="dxa"/>
          </w:tcPr>
          <w:p w14:paraId="19DB4EBF" w14:textId="2ECDA033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25.5%</w:t>
            </w:r>
          </w:p>
        </w:tc>
        <w:tc>
          <w:tcPr>
            <w:tcW w:w="1703" w:type="dxa"/>
          </w:tcPr>
          <w:p w14:paraId="0D68C424" w14:textId="21879574" w:rsidR="00B6735A" w:rsidRPr="00324774" w:rsidRDefault="00B9716E" w:rsidP="008A0AC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44.4%</w:t>
            </w:r>
          </w:p>
        </w:tc>
      </w:tr>
    </w:tbl>
    <w:p w14:paraId="4CCE6B2F" w14:textId="77777777" w:rsidR="001E059A" w:rsidRPr="00324774" w:rsidRDefault="001E059A">
      <w:pPr>
        <w:keepLines w:val="0"/>
        <w:rPr>
          <w:rFonts w:ascii="Segoe UI" w:eastAsiaTheme="majorEastAsia" w:hAnsi="Segoe UI" w:cs="Segoe UI"/>
          <w:b/>
          <w:color w:val="5B315E" w:themeColor="accent2"/>
          <w:sz w:val="20"/>
          <w:szCs w:val="32"/>
          <w:lang w:val="en-CA"/>
        </w:rPr>
      </w:pPr>
      <w:r w:rsidRPr="00324774">
        <w:rPr>
          <w:rFonts w:ascii="Segoe UI" w:eastAsiaTheme="majorEastAsia" w:hAnsi="Segoe UI" w:cs="Segoe UI"/>
          <w:b/>
          <w:color w:val="5B315E" w:themeColor="accent2"/>
          <w:sz w:val="20"/>
          <w:szCs w:val="32"/>
          <w:lang w:val="en-CA"/>
        </w:rPr>
        <w:br w:type="page"/>
      </w:r>
    </w:p>
    <w:p w14:paraId="5AA26776" w14:textId="77777777" w:rsidR="00CE6BAE" w:rsidRPr="00324774" w:rsidRDefault="00992A5A" w:rsidP="00283A33">
      <w:pPr>
        <w:pStyle w:val="Heading2"/>
      </w:pPr>
      <w:r w:rsidRPr="00324774">
        <w:lastRenderedPageBreak/>
        <w:t>Methodology</w:t>
      </w:r>
    </w:p>
    <w:p w14:paraId="236809E3" w14:textId="26317891" w:rsidR="0046539C" w:rsidRPr="00324774" w:rsidRDefault="0046539C" w:rsidP="00992A5A">
      <w:pPr>
        <w:rPr>
          <w:lang w:val="en-CA"/>
        </w:rPr>
      </w:pPr>
      <w:r w:rsidRPr="00324774">
        <w:rPr>
          <w:lang w:val="en-CA"/>
        </w:rPr>
        <w:t>For this analysis, all jobs open to the public for indeterminate and term positions for a duration of three months or greater that closed between</w:t>
      </w:r>
      <w:r w:rsidR="003F3512" w:rsidRPr="00324774">
        <w:rPr>
          <w:lang w:val="en-CA"/>
        </w:rPr>
        <w:t xml:space="preserve"> April 1, 201</w:t>
      </w:r>
      <w:r w:rsidR="00AA0232" w:rsidRPr="00324774">
        <w:rPr>
          <w:lang w:val="en-CA"/>
        </w:rPr>
        <w:t>5</w:t>
      </w:r>
      <w:r w:rsidR="003F3512" w:rsidRPr="00324774">
        <w:rPr>
          <w:lang w:val="en-CA"/>
        </w:rPr>
        <w:t xml:space="preserve"> and March 31, 20</w:t>
      </w:r>
      <w:r w:rsidR="00EE4199" w:rsidRPr="00324774">
        <w:rPr>
          <w:lang w:val="en-CA"/>
        </w:rPr>
        <w:t>19</w:t>
      </w:r>
      <w:r w:rsidRPr="00324774">
        <w:rPr>
          <w:lang w:val="en-CA"/>
        </w:rPr>
        <w:t xml:space="preserve"> were evaluated. Similarly, all external hires</w:t>
      </w:r>
      <w:r w:rsidR="00E01026" w:rsidRPr="00324774">
        <w:rPr>
          <w:lang w:val="en-CA"/>
        </w:rPr>
        <w:t xml:space="preserve"> </w:t>
      </w:r>
      <w:r w:rsidRPr="00324774">
        <w:rPr>
          <w:lang w:val="en-CA"/>
        </w:rPr>
        <w:t>for indeterminate and term positions for a duration of three months or greater between April 1, 201</w:t>
      </w:r>
      <w:r w:rsidR="00AA0232" w:rsidRPr="00324774">
        <w:rPr>
          <w:lang w:val="en-CA"/>
        </w:rPr>
        <w:t>5</w:t>
      </w:r>
      <w:r w:rsidR="00143AEE" w:rsidRPr="00324774">
        <w:rPr>
          <w:lang w:val="en-CA"/>
        </w:rPr>
        <w:t xml:space="preserve"> and March 31, 20</w:t>
      </w:r>
      <w:r w:rsidR="00EE4199" w:rsidRPr="00324774">
        <w:rPr>
          <w:lang w:val="en-CA"/>
        </w:rPr>
        <w:t>19</w:t>
      </w:r>
      <w:r w:rsidRPr="00324774">
        <w:rPr>
          <w:lang w:val="en-CA"/>
        </w:rPr>
        <w:t xml:space="preserve"> are included.</w:t>
      </w:r>
    </w:p>
    <w:p w14:paraId="69501225" w14:textId="7B34073E" w:rsidR="00F96EB4" w:rsidRPr="00324774" w:rsidRDefault="00992A5A" w:rsidP="00992A5A">
      <w:pPr>
        <w:rPr>
          <w:lang w:val="en-CA"/>
        </w:rPr>
      </w:pPr>
      <w:r w:rsidRPr="00324774">
        <w:rPr>
          <w:lang w:val="en-CA"/>
        </w:rPr>
        <w:t xml:space="preserve">We assess </w:t>
      </w:r>
      <w:r w:rsidR="0097330E" w:rsidRPr="00324774">
        <w:rPr>
          <w:lang w:val="en-CA"/>
        </w:rPr>
        <w:t xml:space="preserve">the citizenship of hires </w:t>
      </w:r>
      <w:r w:rsidRPr="00324774">
        <w:rPr>
          <w:lang w:val="en-CA"/>
        </w:rPr>
        <w:t xml:space="preserve">by matching existing public servants to </w:t>
      </w:r>
      <w:r w:rsidR="007A5042" w:rsidRPr="00324774">
        <w:rPr>
          <w:lang w:val="en-CA"/>
        </w:rPr>
        <w:t>Public Service Resourcing System (</w:t>
      </w:r>
      <w:r w:rsidRPr="00324774">
        <w:rPr>
          <w:lang w:val="en-CA"/>
        </w:rPr>
        <w:t>PSRS</w:t>
      </w:r>
      <w:r w:rsidR="007A5042" w:rsidRPr="00324774">
        <w:rPr>
          <w:lang w:val="en-CA"/>
        </w:rPr>
        <w:t>)</w:t>
      </w:r>
      <w:r w:rsidRPr="00324774">
        <w:rPr>
          <w:lang w:val="en-CA"/>
        </w:rPr>
        <w:t xml:space="preserve"> applications using a deterministic record linkage process.</w:t>
      </w:r>
      <w:r w:rsidR="0019410D" w:rsidRPr="00324774">
        <w:rPr>
          <w:lang w:val="en-CA"/>
        </w:rPr>
        <w:t xml:space="preserve"> </w:t>
      </w:r>
      <w:r w:rsidR="00143AEE" w:rsidRPr="00324774">
        <w:rPr>
          <w:lang w:val="en-CA"/>
        </w:rPr>
        <w:t>In 201</w:t>
      </w:r>
      <w:r w:rsidR="00EE4199" w:rsidRPr="00324774">
        <w:rPr>
          <w:lang w:val="en-CA"/>
        </w:rPr>
        <w:t>8</w:t>
      </w:r>
      <w:r w:rsidR="00143AEE" w:rsidRPr="00324774">
        <w:rPr>
          <w:lang w:val="en-CA"/>
        </w:rPr>
        <w:t>-20</w:t>
      </w:r>
      <w:r w:rsidR="00EE4199" w:rsidRPr="00324774">
        <w:rPr>
          <w:lang w:val="en-CA"/>
        </w:rPr>
        <w:t>19</w:t>
      </w:r>
      <w:r w:rsidR="00143AEE" w:rsidRPr="00324774">
        <w:rPr>
          <w:lang w:val="en-CA"/>
        </w:rPr>
        <w:t>, t</w:t>
      </w:r>
      <w:r w:rsidR="00F96EB4" w:rsidRPr="00324774">
        <w:rPr>
          <w:lang w:val="en-CA"/>
        </w:rPr>
        <w:t xml:space="preserve">he match rate </w:t>
      </w:r>
      <w:r w:rsidR="0097330E" w:rsidRPr="00324774">
        <w:rPr>
          <w:lang w:val="en-CA"/>
        </w:rPr>
        <w:t xml:space="preserve">of the record linkage process </w:t>
      </w:r>
      <w:r w:rsidR="007A5042" w:rsidRPr="00324774">
        <w:rPr>
          <w:lang w:val="en-CA"/>
        </w:rPr>
        <w:t xml:space="preserve">was </w:t>
      </w:r>
      <w:r w:rsidR="00F96EB4" w:rsidRPr="00324774">
        <w:rPr>
          <w:lang w:val="en-CA"/>
        </w:rPr>
        <w:t>8</w:t>
      </w:r>
      <w:r w:rsidR="00EE4199" w:rsidRPr="00324774">
        <w:rPr>
          <w:lang w:val="en-CA"/>
        </w:rPr>
        <w:t>6</w:t>
      </w:r>
      <w:r w:rsidR="00F96EB4" w:rsidRPr="00324774">
        <w:rPr>
          <w:lang w:val="en-CA"/>
        </w:rPr>
        <w:t>%.</w:t>
      </w:r>
    </w:p>
    <w:p w14:paraId="3FD4F6A0" w14:textId="77777777" w:rsidR="00F96A16" w:rsidRPr="00324774" w:rsidRDefault="00247D7B" w:rsidP="00A21F59">
      <w:pPr>
        <w:rPr>
          <w:lang w:val="en-CA"/>
        </w:rPr>
      </w:pPr>
      <w:r w:rsidRPr="00324774">
        <w:rPr>
          <w:lang w:val="en-CA"/>
        </w:rPr>
        <w:t xml:space="preserve">We assess the employment equity status of applicants by looking at their self-declaration on the PSRS application. </w:t>
      </w:r>
      <w:r w:rsidR="00AA0232" w:rsidRPr="00324774">
        <w:rPr>
          <w:lang w:val="en-CA"/>
        </w:rPr>
        <w:t xml:space="preserve">Information on women applicants is only available as of April 1, 2016. </w:t>
      </w:r>
      <w:r w:rsidRPr="00324774">
        <w:rPr>
          <w:lang w:val="en-CA"/>
        </w:rPr>
        <w:t>For hires, we look to their self-identification as collected by the Treasury Board Secretariat in the Employment Equity Data Bank</w:t>
      </w:r>
      <w:r w:rsidR="00B7733B" w:rsidRPr="00324774">
        <w:rPr>
          <w:lang w:val="en-CA"/>
        </w:rPr>
        <w:t xml:space="preserve"> (EEDB)</w:t>
      </w:r>
      <w:r w:rsidRPr="00324774">
        <w:rPr>
          <w:lang w:val="en-CA"/>
        </w:rPr>
        <w:t>.</w:t>
      </w:r>
      <w:r w:rsidR="00B7733B" w:rsidRPr="00324774">
        <w:rPr>
          <w:lang w:val="en-CA"/>
        </w:rPr>
        <w:t xml:space="preserve"> The most recent available data from the EEDB is up to March 31, 2019.</w:t>
      </w:r>
    </w:p>
    <w:p w14:paraId="68062227" w14:textId="77777777" w:rsidR="00B7733B" w:rsidRPr="00324774" w:rsidRDefault="00B7733B" w:rsidP="00A21F59">
      <w:pPr>
        <w:rPr>
          <w:lang w:val="en-CA"/>
        </w:rPr>
      </w:pPr>
      <w:r w:rsidRPr="00324774">
        <w:rPr>
          <w:lang w:val="en-CA"/>
        </w:rPr>
        <w:t>The workforce availability (WFA) based on the 2016 Census was first publicly released in the 2018-2019 Report on Employment Equity. All fiscal years before 2018-2019 in this report are compared to the WFA based on the 2011 Census.</w:t>
      </w:r>
    </w:p>
    <w:p w14:paraId="183589C7" w14:textId="0ED68816" w:rsidR="00E15FE9" w:rsidRPr="00324774" w:rsidRDefault="00E15FE9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6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Workforce availability (WFA)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orkforce availability"/>
        <w:tblDescription w:val="A table showing the workforce availability from 2011 and 2016 for each employment equity group."/>
      </w:tblPr>
      <w:tblGrid>
        <w:gridCol w:w="3116"/>
        <w:gridCol w:w="3117"/>
        <w:gridCol w:w="3117"/>
      </w:tblGrid>
      <w:tr w:rsidR="00B7733B" w:rsidRPr="00324774" w14:paraId="343F38DA" w14:textId="77777777" w:rsidTr="00CA77B7">
        <w:trPr>
          <w:tblHeader/>
        </w:trPr>
        <w:tc>
          <w:tcPr>
            <w:tcW w:w="3116" w:type="dxa"/>
          </w:tcPr>
          <w:p w14:paraId="400412A4" w14:textId="77777777" w:rsidR="00B7733B" w:rsidRPr="00324774" w:rsidRDefault="00B7733B" w:rsidP="00B7733B">
            <w:pPr>
              <w:rPr>
                <w:lang w:val="en-CA"/>
              </w:rPr>
            </w:pPr>
            <w:r w:rsidRPr="00324774">
              <w:rPr>
                <w:lang w:val="en-CA"/>
              </w:rPr>
              <w:t>Employment equity designated groups</w:t>
            </w:r>
          </w:p>
        </w:tc>
        <w:tc>
          <w:tcPr>
            <w:tcW w:w="3117" w:type="dxa"/>
          </w:tcPr>
          <w:p w14:paraId="774BF77D" w14:textId="77777777" w:rsidR="00B7733B" w:rsidRPr="00324774" w:rsidRDefault="00B7733B" w:rsidP="00B7733B">
            <w:pPr>
              <w:rPr>
                <w:lang w:val="en-CA"/>
              </w:rPr>
            </w:pPr>
            <w:r w:rsidRPr="00324774">
              <w:rPr>
                <w:lang w:val="en-CA"/>
              </w:rPr>
              <w:t>Previous WFA benchmark (2011 Census)</w:t>
            </w:r>
          </w:p>
        </w:tc>
        <w:tc>
          <w:tcPr>
            <w:tcW w:w="3117" w:type="dxa"/>
          </w:tcPr>
          <w:p w14:paraId="3862756A" w14:textId="77777777" w:rsidR="00B7733B" w:rsidRPr="00324774" w:rsidRDefault="00B7733B" w:rsidP="00B7733B">
            <w:pPr>
              <w:rPr>
                <w:lang w:val="en-CA"/>
              </w:rPr>
            </w:pPr>
            <w:r w:rsidRPr="00324774">
              <w:rPr>
                <w:lang w:val="en-CA"/>
              </w:rPr>
              <w:t>WFA benchmark (2016 Census)</w:t>
            </w:r>
          </w:p>
        </w:tc>
      </w:tr>
      <w:tr w:rsidR="00B7733B" w:rsidRPr="00324774" w14:paraId="5B949916" w14:textId="77777777" w:rsidTr="00B7733B">
        <w:tc>
          <w:tcPr>
            <w:tcW w:w="3116" w:type="dxa"/>
          </w:tcPr>
          <w:p w14:paraId="7874D8C3" w14:textId="77777777" w:rsidR="00B7733B" w:rsidRPr="00324774" w:rsidRDefault="00B7733B" w:rsidP="00A21F59">
            <w:pPr>
              <w:rPr>
                <w:lang w:val="en-CA"/>
              </w:rPr>
            </w:pPr>
            <w:r w:rsidRPr="00324774">
              <w:rPr>
                <w:lang w:val="en-CA"/>
              </w:rPr>
              <w:t>Women</w:t>
            </w:r>
          </w:p>
        </w:tc>
        <w:tc>
          <w:tcPr>
            <w:tcW w:w="3117" w:type="dxa"/>
          </w:tcPr>
          <w:p w14:paraId="35AC9B50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52.5%</w:t>
            </w:r>
          </w:p>
        </w:tc>
        <w:tc>
          <w:tcPr>
            <w:tcW w:w="3117" w:type="dxa"/>
          </w:tcPr>
          <w:p w14:paraId="39CF2A40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52.7%</w:t>
            </w:r>
          </w:p>
        </w:tc>
      </w:tr>
      <w:tr w:rsidR="00B7733B" w:rsidRPr="00324774" w14:paraId="532A982D" w14:textId="77777777" w:rsidTr="00B7733B">
        <w:tc>
          <w:tcPr>
            <w:tcW w:w="3116" w:type="dxa"/>
          </w:tcPr>
          <w:p w14:paraId="6EC1D7E7" w14:textId="77777777" w:rsidR="00B7733B" w:rsidRPr="00324774" w:rsidRDefault="00B7733B" w:rsidP="00A21F59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</w:t>
            </w:r>
          </w:p>
        </w:tc>
        <w:tc>
          <w:tcPr>
            <w:tcW w:w="3117" w:type="dxa"/>
          </w:tcPr>
          <w:p w14:paraId="1D849CE0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3.4%</w:t>
            </w:r>
          </w:p>
        </w:tc>
        <w:tc>
          <w:tcPr>
            <w:tcW w:w="3117" w:type="dxa"/>
          </w:tcPr>
          <w:p w14:paraId="0382FCD8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4.0%</w:t>
            </w:r>
          </w:p>
        </w:tc>
      </w:tr>
      <w:tr w:rsidR="00B7733B" w:rsidRPr="00324774" w14:paraId="148AD7EF" w14:textId="77777777" w:rsidTr="00B7733B">
        <w:tc>
          <w:tcPr>
            <w:tcW w:w="3116" w:type="dxa"/>
          </w:tcPr>
          <w:p w14:paraId="241CC88C" w14:textId="77777777" w:rsidR="00B7733B" w:rsidRPr="00324774" w:rsidRDefault="00B7733B" w:rsidP="00A21F59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</w:t>
            </w:r>
          </w:p>
        </w:tc>
        <w:tc>
          <w:tcPr>
            <w:tcW w:w="3117" w:type="dxa"/>
          </w:tcPr>
          <w:p w14:paraId="7F46604C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4.4%</w:t>
            </w:r>
          </w:p>
        </w:tc>
        <w:tc>
          <w:tcPr>
            <w:tcW w:w="3117" w:type="dxa"/>
          </w:tcPr>
          <w:p w14:paraId="49E941B7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9.0%</w:t>
            </w:r>
          </w:p>
        </w:tc>
      </w:tr>
      <w:tr w:rsidR="00B7733B" w:rsidRPr="00324774" w14:paraId="1AEE028F" w14:textId="77777777" w:rsidTr="00B7733B">
        <w:tc>
          <w:tcPr>
            <w:tcW w:w="3116" w:type="dxa"/>
          </w:tcPr>
          <w:p w14:paraId="2D8AA61F" w14:textId="77777777" w:rsidR="00B7733B" w:rsidRPr="00324774" w:rsidRDefault="00B7733B" w:rsidP="00A21F59">
            <w:pPr>
              <w:rPr>
                <w:lang w:val="en-CA"/>
              </w:rPr>
            </w:pPr>
            <w:r w:rsidRPr="00324774">
              <w:rPr>
                <w:lang w:val="en-CA"/>
              </w:rPr>
              <w:t>Members of visible minorities</w:t>
            </w:r>
          </w:p>
        </w:tc>
        <w:tc>
          <w:tcPr>
            <w:tcW w:w="3117" w:type="dxa"/>
          </w:tcPr>
          <w:p w14:paraId="3B13B2E0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13.0%</w:t>
            </w:r>
          </w:p>
        </w:tc>
        <w:tc>
          <w:tcPr>
            <w:tcW w:w="3117" w:type="dxa"/>
          </w:tcPr>
          <w:p w14:paraId="7DC21D61" w14:textId="77777777" w:rsidR="00B7733B" w:rsidRPr="00324774" w:rsidRDefault="00B7733B" w:rsidP="00B7733B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15.3%</w:t>
            </w:r>
          </w:p>
        </w:tc>
      </w:tr>
    </w:tbl>
    <w:p w14:paraId="6360A3A5" w14:textId="6A4C7532" w:rsidR="00312992" w:rsidRPr="00324774" w:rsidRDefault="00B7733B" w:rsidP="00E15FE9">
      <w:pPr>
        <w:rPr>
          <w:rFonts w:ascii="Segoe UI" w:eastAsiaTheme="majorEastAsia" w:hAnsi="Segoe UI" w:cs="Segoe UI"/>
          <w:b/>
          <w:color w:val="5B315E" w:themeColor="accent2"/>
          <w:sz w:val="32"/>
          <w:szCs w:val="32"/>
          <w:lang w:val="en-CA"/>
        </w:rPr>
      </w:pPr>
      <w:r w:rsidRPr="00324774">
        <w:rPr>
          <w:lang w:val="en-CA"/>
        </w:rPr>
        <w:t>Source: Treasury Board Secretariat, Employment Equity in the Public Service of Canada for Fiscal Year 2018 to 2019</w:t>
      </w:r>
      <w:r w:rsidR="00312992" w:rsidRPr="00324774">
        <w:rPr>
          <w:lang w:val="en-CA"/>
        </w:rPr>
        <w:br w:type="page"/>
      </w:r>
    </w:p>
    <w:p w14:paraId="0D72DEB7" w14:textId="77777777" w:rsidR="00312992" w:rsidRPr="00324774" w:rsidRDefault="00312992" w:rsidP="00AC2464">
      <w:pPr>
        <w:pStyle w:val="Heading2"/>
      </w:pPr>
      <w:r w:rsidRPr="00324774">
        <w:lastRenderedPageBreak/>
        <w:t>Annex</w:t>
      </w:r>
    </w:p>
    <w:p w14:paraId="0AD6C9EE" w14:textId="77777777" w:rsidR="00312992" w:rsidRPr="00324774" w:rsidRDefault="00312992" w:rsidP="00AC2464">
      <w:pPr>
        <w:rPr>
          <w:sz w:val="20"/>
          <w:lang w:val="en-CA"/>
        </w:rPr>
      </w:pPr>
      <w:r w:rsidRPr="00324774">
        <w:rPr>
          <w:sz w:val="20"/>
          <w:lang w:val="en-CA"/>
        </w:rPr>
        <w:t>Note: applicant data for women cannot be reported prior to 2016-2017 due to a change in data capture.</w:t>
      </w:r>
    </w:p>
    <w:p w14:paraId="357F8029" w14:textId="77777777" w:rsidR="00E15FE9" w:rsidRPr="00324774" w:rsidRDefault="00312992" w:rsidP="00E15FE9">
      <w:pPr>
        <w:keepNext/>
        <w:jc w:val="center"/>
        <w:rPr>
          <w:lang w:val="en-CA"/>
        </w:rPr>
      </w:pPr>
      <w:r w:rsidRPr="00324774">
        <w:rPr>
          <w:noProof/>
          <w:lang w:val="en-CA" w:eastAsia="en-CA"/>
        </w:rPr>
        <w:drawing>
          <wp:inline distT="0" distB="0" distL="0" distR="0" wp14:anchorId="278FD710" wp14:editId="640514F8">
            <wp:extent cx="5495925" cy="6808013"/>
            <wp:effectExtent l="0" t="0" r="0" b="0"/>
            <wp:docPr id="2" name="Picture 2" descr="A set of line charts. Each chart shows the representation of applicants and appointments from the four employment equity groups from 2015-2016 to 2018-2019 for Canadian citizens and non-citizens. The workforce availability for each employment equity group is included as a dotted line in each chart." title="Representation by citizenship and employment equity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5_citizen_non_citizen_by_e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939" cy="681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683E" w14:textId="64B8096F" w:rsidR="004E2B62" w:rsidRPr="00324774" w:rsidRDefault="00E15FE9" w:rsidP="004E2B62">
      <w:pPr>
        <w:pStyle w:val="Caption"/>
        <w:jc w:val="center"/>
        <w:rPr>
          <w:i w:val="0"/>
          <w:iCs w:val="0"/>
          <w:lang w:val="en-CA"/>
        </w:rPr>
      </w:pPr>
      <w:r w:rsidRPr="00324774">
        <w:rPr>
          <w:lang w:val="en-CA"/>
        </w:rPr>
        <w:t xml:space="preserve">Figure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Figure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4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</w:t>
      </w:r>
      <w:r w:rsidR="004E2B62" w:rsidRPr="00324774">
        <w:rPr>
          <w:lang w:val="en-CA"/>
        </w:rPr>
        <w:br w:type="page"/>
      </w:r>
    </w:p>
    <w:p w14:paraId="37AAD5B2" w14:textId="06C47E8F" w:rsidR="00E15FE9" w:rsidRPr="00324774" w:rsidRDefault="00E15FE9" w:rsidP="00E15FE9">
      <w:pPr>
        <w:pStyle w:val="Caption"/>
        <w:keepNext/>
        <w:jc w:val="center"/>
        <w:rPr>
          <w:lang w:val="en-CA"/>
        </w:rPr>
      </w:pPr>
      <w:r w:rsidRPr="00324774">
        <w:rPr>
          <w:lang w:val="en-CA"/>
        </w:rPr>
        <w:lastRenderedPageBreak/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7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 — Canadian 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 equity representation by citizenship — Canadian citizens"/>
        <w:tblDescription w:val="A table showing the representation of citizens in employment equity group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7B68CC" w:rsidRPr="00324774" w14:paraId="1C8E7FE5" w14:textId="77777777" w:rsidTr="005155C1">
        <w:trPr>
          <w:tblHeader/>
        </w:trPr>
        <w:tc>
          <w:tcPr>
            <w:tcW w:w="2275" w:type="dxa"/>
          </w:tcPr>
          <w:p w14:paraId="546955BF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680B6EE7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19AA910D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3F8B603C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60F7C6B2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7B68CC" w:rsidRPr="00324774" w14:paraId="1BBC5053" w14:textId="77777777" w:rsidTr="005155C1">
        <w:tc>
          <w:tcPr>
            <w:tcW w:w="2275" w:type="dxa"/>
          </w:tcPr>
          <w:p w14:paraId="21CD36E1" w14:textId="23355D41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applicants</w:t>
            </w:r>
          </w:p>
        </w:tc>
        <w:tc>
          <w:tcPr>
            <w:tcW w:w="1869" w:type="dxa"/>
          </w:tcPr>
          <w:p w14:paraId="58BF228A" w14:textId="3D8291CF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3.7%</w:t>
            </w:r>
          </w:p>
        </w:tc>
        <w:tc>
          <w:tcPr>
            <w:tcW w:w="1634" w:type="dxa"/>
          </w:tcPr>
          <w:p w14:paraId="379CE8F1" w14:textId="26A72A03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3.6%</w:t>
            </w:r>
          </w:p>
        </w:tc>
        <w:tc>
          <w:tcPr>
            <w:tcW w:w="1869" w:type="dxa"/>
          </w:tcPr>
          <w:p w14:paraId="19A1331B" w14:textId="4ECE9286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3.6%</w:t>
            </w:r>
          </w:p>
        </w:tc>
        <w:tc>
          <w:tcPr>
            <w:tcW w:w="1703" w:type="dxa"/>
          </w:tcPr>
          <w:p w14:paraId="58324635" w14:textId="757E6079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3.4%</w:t>
            </w:r>
          </w:p>
        </w:tc>
      </w:tr>
      <w:tr w:rsidR="007B68CC" w:rsidRPr="00324774" w14:paraId="2430CB79" w14:textId="77777777" w:rsidTr="005155C1">
        <w:tc>
          <w:tcPr>
            <w:tcW w:w="2275" w:type="dxa"/>
          </w:tcPr>
          <w:p w14:paraId="2262374D" w14:textId="5C5209FE" w:rsidR="007B68CC" w:rsidRPr="00324774" w:rsidRDefault="007B68CC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appointments</w:t>
            </w:r>
          </w:p>
        </w:tc>
        <w:tc>
          <w:tcPr>
            <w:tcW w:w="1869" w:type="dxa"/>
          </w:tcPr>
          <w:p w14:paraId="2CF052D3" w14:textId="0681CAE5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4.1%</w:t>
            </w:r>
          </w:p>
        </w:tc>
        <w:tc>
          <w:tcPr>
            <w:tcW w:w="1634" w:type="dxa"/>
          </w:tcPr>
          <w:p w14:paraId="1AA637EE" w14:textId="39424FD5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4.6%</w:t>
            </w:r>
          </w:p>
        </w:tc>
        <w:tc>
          <w:tcPr>
            <w:tcW w:w="1869" w:type="dxa"/>
          </w:tcPr>
          <w:p w14:paraId="75BC5FAD" w14:textId="53852CC3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4.1%</w:t>
            </w:r>
          </w:p>
        </w:tc>
        <w:tc>
          <w:tcPr>
            <w:tcW w:w="1703" w:type="dxa"/>
          </w:tcPr>
          <w:p w14:paraId="56AF7538" w14:textId="18D8A940" w:rsidR="007B68CC" w:rsidRPr="00324774" w:rsidRDefault="00E5517D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4.3%</w:t>
            </w:r>
          </w:p>
        </w:tc>
      </w:tr>
      <w:tr w:rsidR="007B68CC" w:rsidRPr="00324774" w14:paraId="738318B5" w14:textId="77777777" w:rsidTr="005155C1">
        <w:tc>
          <w:tcPr>
            <w:tcW w:w="2275" w:type="dxa"/>
          </w:tcPr>
          <w:p w14:paraId="551506BA" w14:textId="25010670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applicants</w:t>
            </w:r>
          </w:p>
        </w:tc>
        <w:tc>
          <w:tcPr>
            <w:tcW w:w="1869" w:type="dxa"/>
          </w:tcPr>
          <w:p w14:paraId="22AFE3D1" w14:textId="35B2B6C2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2.8%</w:t>
            </w:r>
          </w:p>
        </w:tc>
        <w:tc>
          <w:tcPr>
            <w:tcW w:w="1634" w:type="dxa"/>
          </w:tcPr>
          <w:p w14:paraId="50C37F06" w14:textId="3E775329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2.9%</w:t>
            </w:r>
          </w:p>
        </w:tc>
        <w:tc>
          <w:tcPr>
            <w:tcW w:w="1869" w:type="dxa"/>
          </w:tcPr>
          <w:p w14:paraId="76ECE88F" w14:textId="340E75D7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3.1%</w:t>
            </w:r>
          </w:p>
        </w:tc>
        <w:tc>
          <w:tcPr>
            <w:tcW w:w="1703" w:type="dxa"/>
          </w:tcPr>
          <w:p w14:paraId="79A2BEEA" w14:textId="7C6FDF02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3.0%</w:t>
            </w:r>
          </w:p>
        </w:tc>
      </w:tr>
      <w:tr w:rsidR="007B68CC" w:rsidRPr="00324774" w14:paraId="07EC64E9" w14:textId="77777777" w:rsidTr="005155C1">
        <w:tc>
          <w:tcPr>
            <w:tcW w:w="2275" w:type="dxa"/>
          </w:tcPr>
          <w:p w14:paraId="1E756CAA" w14:textId="50228A95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appointments</w:t>
            </w:r>
          </w:p>
        </w:tc>
        <w:tc>
          <w:tcPr>
            <w:tcW w:w="1869" w:type="dxa"/>
          </w:tcPr>
          <w:p w14:paraId="19D66B1C" w14:textId="070DC943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3.3%</w:t>
            </w:r>
          </w:p>
        </w:tc>
        <w:tc>
          <w:tcPr>
            <w:tcW w:w="1634" w:type="dxa"/>
          </w:tcPr>
          <w:p w14:paraId="51D7D13C" w14:textId="1319509C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4.0%</w:t>
            </w:r>
          </w:p>
        </w:tc>
        <w:tc>
          <w:tcPr>
            <w:tcW w:w="1869" w:type="dxa"/>
          </w:tcPr>
          <w:p w14:paraId="5F82D040" w14:textId="5FE83D5D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3.7%</w:t>
            </w:r>
          </w:p>
        </w:tc>
        <w:tc>
          <w:tcPr>
            <w:tcW w:w="1703" w:type="dxa"/>
          </w:tcPr>
          <w:p w14:paraId="387BFED8" w14:textId="7989140E" w:rsidR="00E5517D" w:rsidRPr="00324774" w:rsidRDefault="00E5517D" w:rsidP="00A82DD5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3.8%</w:t>
            </w:r>
          </w:p>
        </w:tc>
      </w:tr>
      <w:tr w:rsidR="007B68CC" w:rsidRPr="00324774" w14:paraId="5D4A543E" w14:textId="77777777" w:rsidTr="005155C1">
        <w:tc>
          <w:tcPr>
            <w:tcW w:w="2275" w:type="dxa"/>
          </w:tcPr>
          <w:p w14:paraId="392462F2" w14:textId="0E1361B9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applicants</w:t>
            </w:r>
          </w:p>
        </w:tc>
        <w:tc>
          <w:tcPr>
            <w:tcW w:w="1869" w:type="dxa"/>
          </w:tcPr>
          <w:p w14:paraId="43F4C2EB" w14:textId="2CEF9D97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19.8%</w:t>
            </w:r>
          </w:p>
        </w:tc>
        <w:tc>
          <w:tcPr>
            <w:tcW w:w="1634" w:type="dxa"/>
          </w:tcPr>
          <w:p w14:paraId="1FE68585" w14:textId="7F7D7D2C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19.2%</w:t>
            </w:r>
          </w:p>
        </w:tc>
        <w:tc>
          <w:tcPr>
            <w:tcW w:w="1869" w:type="dxa"/>
          </w:tcPr>
          <w:p w14:paraId="699CF21E" w14:textId="0C380097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20.0%</w:t>
            </w:r>
          </w:p>
        </w:tc>
        <w:tc>
          <w:tcPr>
            <w:tcW w:w="1703" w:type="dxa"/>
          </w:tcPr>
          <w:p w14:paraId="45014895" w14:textId="5B7B6138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20.1%</w:t>
            </w:r>
          </w:p>
        </w:tc>
      </w:tr>
      <w:tr w:rsidR="007B68CC" w:rsidRPr="00324774" w14:paraId="18C319E6" w14:textId="77777777" w:rsidTr="005155C1">
        <w:tc>
          <w:tcPr>
            <w:tcW w:w="2275" w:type="dxa"/>
          </w:tcPr>
          <w:p w14:paraId="68E9A9E9" w14:textId="39D192AC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appointments</w:t>
            </w:r>
          </w:p>
        </w:tc>
        <w:tc>
          <w:tcPr>
            <w:tcW w:w="1869" w:type="dxa"/>
          </w:tcPr>
          <w:p w14:paraId="67283984" w14:textId="274D7C4F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18.7%</w:t>
            </w:r>
          </w:p>
        </w:tc>
        <w:tc>
          <w:tcPr>
            <w:tcW w:w="1634" w:type="dxa"/>
          </w:tcPr>
          <w:p w14:paraId="0D33700C" w14:textId="62A6A9CE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19.0%</w:t>
            </w:r>
          </w:p>
        </w:tc>
        <w:tc>
          <w:tcPr>
            <w:tcW w:w="1869" w:type="dxa"/>
          </w:tcPr>
          <w:p w14:paraId="095E2FD7" w14:textId="2ECD2C23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18.3%</w:t>
            </w:r>
          </w:p>
        </w:tc>
        <w:tc>
          <w:tcPr>
            <w:tcW w:w="1703" w:type="dxa"/>
          </w:tcPr>
          <w:p w14:paraId="7D5DF669" w14:textId="10230E90" w:rsidR="007B68CC" w:rsidRPr="00324774" w:rsidRDefault="007B68CC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20.0%</w:t>
            </w:r>
          </w:p>
        </w:tc>
      </w:tr>
      <w:tr w:rsidR="007B68CC" w:rsidRPr="00324774" w14:paraId="648A9EE4" w14:textId="77777777" w:rsidTr="00CA0046">
        <w:trPr>
          <w:trHeight w:val="486"/>
        </w:trPr>
        <w:tc>
          <w:tcPr>
            <w:tcW w:w="2275" w:type="dxa"/>
          </w:tcPr>
          <w:p w14:paraId="6619BAC1" w14:textId="00373A66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applicants</w:t>
            </w:r>
          </w:p>
        </w:tc>
        <w:tc>
          <w:tcPr>
            <w:tcW w:w="1869" w:type="dxa"/>
          </w:tcPr>
          <w:p w14:paraId="041E648B" w14:textId="6C93EE65" w:rsidR="007B68CC" w:rsidRPr="00324774" w:rsidRDefault="007B68CC" w:rsidP="007B68CC">
            <w:pPr>
              <w:jc w:val="right"/>
              <w:rPr>
                <w:lang w:val="en-CA"/>
              </w:rPr>
            </w:pPr>
          </w:p>
        </w:tc>
        <w:tc>
          <w:tcPr>
            <w:tcW w:w="1634" w:type="dxa"/>
          </w:tcPr>
          <w:p w14:paraId="1D03E797" w14:textId="4FD03D49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55.6%</w:t>
            </w:r>
          </w:p>
        </w:tc>
        <w:tc>
          <w:tcPr>
            <w:tcW w:w="1869" w:type="dxa"/>
          </w:tcPr>
          <w:p w14:paraId="39D83D16" w14:textId="493314C9" w:rsidR="00E5517D" w:rsidRPr="00324774" w:rsidRDefault="00E5517D" w:rsidP="00E5517D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55.4%</w:t>
            </w:r>
          </w:p>
        </w:tc>
        <w:tc>
          <w:tcPr>
            <w:tcW w:w="1703" w:type="dxa"/>
          </w:tcPr>
          <w:p w14:paraId="37AC356E" w14:textId="0D8A62D1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57.0%</w:t>
            </w:r>
          </w:p>
        </w:tc>
      </w:tr>
      <w:tr w:rsidR="007B68CC" w:rsidRPr="00324774" w14:paraId="753BB020" w14:textId="77777777" w:rsidTr="005155C1">
        <w:tc>
          <w:tcPr>
            <w:tcW w:w="2275" w:type="dxa"/>
          </w:tcPr>
          <w:p w14:paraId="7A3049E1" w14:textId="0FFEF414" w:rsidR="007B68CC" w:rsidRPr="00324774" w:rsidRDefault="007B68CC" w:rsidP="007B68CC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appointments</w:t>
            </w:r>
          </w:p>
        </w:tc>
        <w:tc>
          <w:tcPr>
            <w:tcW w:w="1869" w:type="dxa"/>
          </w:tcPr>
          <w:p w14:paraId="298F445C" w14:textId="10FD93CA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58.4%</w:t>
            </w:r>
          </w:p>
        </w:tc>
        <w:tc>
          <w:tcPr>
            <w:tcW w:w="1634" w:type="dxa"/>
          </w:tcPr>
          <w:p w14:paraId="783E4E91" w14:textId="6B1B7822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57.9%</w:t>
            </w:r>
          </w:p>
        </w:tc>
        <w:tc>
          <w:tcPr>
            <w:tcW w:w="1869" w:type="dxa"/>
          </w:tcPr>
          <w:p w14:paraId="09590604" w14:textId="17DCA2B2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58.6%</w:t>
            </w:r>
          </w:p>
        </w:tc>
        <w:tc>
          <w:tcPr>
            <w:tcW w:w="1703" w:type="dxa"/>
          </w:tcPr>
          <w:p w14:paraId="37488C50" w14:textId="5EDC7CA4" w:rsidR="007B68CC" w:rsidRPr="00324774" w:rsidRDefault="00E5517D" w:rsidP="007B68C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57.0%</w:t>
            </w:r>
          </w:p>
        </w:tc>
      </w:tr>
    </w:tbl>
    <w:p w14:paraId="5D6EE89A" w14:textId="17B2C35C" w:rsidR="00E15FE9" w:rsidRPr="00324774" w:rsidRDefault="00E15FE9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8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 — non-citizens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sible minority representation by citizenship — non-citizens"/>
        <w:tblDescription w:val="A table showing the representation of non-citizens in employment equity group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7B68CC" w:rsidRPr="00324774" w14:paraId="64E3FA1A" w14:textId="77777777" w:rsidTr="005155C1">
        <w:trPr>
          <w:tblHeader/>
        </w:trPr>
        <w:tc>
          <w:tcPr>
            <w:tcW w:w="2275" w:type="dxa"/>
          </w:tcPr>
          <w:p w14:paraId="051E10DA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6D792587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5BA19DEF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6234B742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1B674C39" w14:textId="77777777" w:rsidR="007B68CC" w:rsidRPr="00324774" w:rsidRDefault="007B68CC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495C88" w:rsidRPr="00324774" w14:paraId="22D91C91" w14:textId="77777777" w:rsidTr="005155C1">
        <w:tc>
          <w:tcPr>
            <w:tcW w:w="2275" w:type="dxa"/>
          </w:tcPr>
          <w:p w14:paraId="18FE97A8" w14:textId="2458373F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applicants</w:t>
            </w:r>
          </w:p>
        </w:tc>
        <w:tc>
          <w:tcPr>
            <w:tcW w:w="1869" w:type="dxa"/>
          </w:tcPr>
          <w:p w14:paraId="7A0CC432" w14:textId="37AFEA5D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1.1%</w:t>
            </w:r>
          </w:p>
        </w:tc>
        <w:tc>
          <w:tcPr>
            <w:tcW w:w="1634" w:type="dxa"/>
          </w:tcPr>
          <w:p w14:paraId="56CFACE5" w14:textId="259FBB3C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1.0%</w:t>
            </w:r>
          </w:p>
        </w:tc>
        <w:tc>
          <w:tcPr>
            <w:tcW w:w="1869" w:type="dxa"/>
          </w:tcPr>
          <w:p w14:paraId="7828BB68" w14:textId="252ECE25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1.2%</w:t>
            </w:r>
          </w:p>
        </w:tc>
        <w:tc>
          <w:tcPr>
            <w:tcW w:w="1703" w:type="dxa"/>
          </w:tcPr>
          <w:p w14:paraId="4DAA8C67" w14:textId="69191538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1.2%</w:t>
            </w:r>
          </w:p>
        </w:tc>
      </w:tr>
      <w:tr w:rsidR="00495C88" w:rsidRPr="00324774" w14:paraId="327C89FA" w14:textId="77777777" w:rsidTr="005155C1">
        <w:tc>
          <w:tcPr>
            <w:tcW w:w="2275" w:type="dxa"/>
          </w:tcPr>
          <w:p w14:paraId="7E29B5A6" w14:textId="71D15C9F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appointments</w:t>
            </w:r>
          </w:p>
        </w:tc>
        <w:tc>
          <w:tcPr>
            <w:tcW w:w="1869" w:type="dxa"/>
          </w:tcPr>
          <w:p w14:paraId="212A8C61" w14:textId="17F9ADD8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2.5%</w:t>
            </w:r>
          </w:p>
        </w:tc>
        <w:tc>
          <w:tcPr>
            <w:tcW w:w="1634" w:type="dxa"/>
          </w:tcPr>
          <w:p w14:paraId="78582E71" w14:textId="165FE48B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1.4%</w:t>
            </w:r>
          </w:p>
        </w:tc>
        <w:tc>
          <w:tcPr>
            <w:tcW w:w="1869" w:type="dxa"/>
          </w:tcPr>
          <w:p w14:paraId="69FA90A5" w14:textId="2C76E030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2.8%</w:t>
            </w:r>
          </w:p>
        </w:tc>
        <w:tc>
          <w:tcPr>
            <w:tcW w:w="1703" w:type="dxa"/>
          </w:tcPr>
          <w:p w14:paraId="4C8C03D9" w14:textId="2A11F664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2.2%</w:t>
            </w:r>
          </w:p>
        </w:tc>
      </w:tr>
      <w:tr w:rsidR="00495C88" w:rsidRPr="00324774" w14:paraId="207EC20F" w14:textId="77777777" w:rsidTr="005155C1">
        <w:tc>
          <w:tcPr>
            <w:tcW w:w="2275" w:type="dxa"/>
          </w:tcPr>
          <w:p w14:paraId="044DEB26" w14:textId="07DB3C39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applicants</w:t>
            </w:r>
          </w:p>
        </w:tc>
        <w:tc>
          <w:tcPr>
            <w:tcW w:w="1869" w:type="dxa"/>
          </w:tcPr>
          <w:p w14:paraId="3C42BD16" w14:textId="6F89AF43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  <w:tc>
          <w:tcPr>
            <w:tcW w:w="1634" w:type="dxa"/>
          </w:tcPr>
          <w:p w14:paraId="675CDC3E" w14:textId="1D3A2986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0.9%</w:t>
            </w:r>
          </w:p>
        </w:tc>
        <w:tc>
          <w:tcPr>
            <w:tcW w:w="1869" w:type="dxa"/>
          </w:tcPr>
          <w:p w14:paraId="707A1BE6" w14:textId="089F9986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1.0%</w:t>
            </w:r>
          </w:p>
        </w:tc>
        <w:tc>
          <w:tcPr>
            <w:tcW w:w="1703" w:type="dxa"/>
          </w:tcPr>
          <w:p w14:paraId="178D3D8B" w14:textId="53E943B6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</w:tr>
      <w:tr w:rsidR="00495C88" w:rsidRPr="00324774" w14:paraId="7070991A" w14:textId="77777777" w:rsidTr="005155C1">
        <w:tc>
          <w:tcPr>
            <w:tcW w:w="2275" w:type="dxa"/>
          </w:tcPr>
          <w:p w14:paraId="43D7A3B9" w14:textId="00A1FEF3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appointments</w:t>
            </w:r>
          </w:p>
        </w:tc>
        <w:tc>
          <w:tcPr>
            <w:tcW w:w="1869" w:type="dxa"/>
          </w:tcPr>
          <w:p w14:paraId="42B0D523" w14:textId="54D1B93E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2.5%</w:t>
            </w:r>
          </w:p>
        </w:tc>
        <w:tc>
          <w:tcPr>
            <w:tcW w:w="1634" w:type="dxa"/>
          </w:tcPr>
          <w:p w14:paraId="14ED6CE5" w14:textId="78308E70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0.4%</w:t>
            </w:r>
          </w:p>
        </w:tc>
        <w:tc>
          <w:tcPr>
            <w:tcW w:w="1869" w:type="dxa"/>
          </w:tcPr>
          <w:p w14:paraId="7377441C" w14:textId="2F0AC595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0.9%</w:t>
            </w:r>
          </w:p>
        </w:tc>
        <w:tc>
          <w:tcPr>
            <w:tcW w:w="1703" w:type="dxa"/>
          </w:tcPr>
          <w:p w14:paraId="417CEBD8" w14:textId="5652EF5C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1.2%</w:t>
            </w:r>
          </w:p>
        </w:tc>
      </w:tr>
      <w:tr w:rsidR="00495C88" w:rsidRPr="00324774" w14:paraId="3CF1D769" w14:textId="77777777" w:rsidTr="005155C1">
        <w:tc>
          <w:tcPr>
            <w:tcW w:w="2275" w:type="dxa"/>
          </w:tcPr>
          <w:p w14:paraId="4900B168" w14:textId="61BE5225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applicants</w:t>
            </w:r>
          </w:p>
        </w:tc>
        <w:tc>
          <w:tcPr>
            <w:tcW w:w="1869" w:type="dxa"/>
          </w:tcPr>
          <w:p w14:paraId="3AA2B3DB" w14:textId="6D83B860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36.5%</w:t>
            </w:r>
          </w:p>
        </w:tc>
        <w:tc>
          <w:tcPr>
            <w:tcW w:w="1634" w:type="dxa"/>
          </w:tcPr>
          <w:p w14:paraId="0EDAA091" w14:textId="39D904E0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37.5%</w:t>
            </w:r>
          </w:p>
        </w:tc>
        <w:tc>
          <w:tcPr>
            <w:tcW w:w="1869" w:type="dxa"/>
          </w:tcPr>
          <w:p w14:paraId="744EA381" w14:textId="7428E3A5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37.7%</w:t>
            </w:r>
          </w:p>
        </w:tc>
        <w:tc>
          <w:tcPr>
            <w:tcW w:w="1703" w:type="dxa"/>
          </w:tcPr>
          <w:p w14:paraId="07E37AFC" w14:textId="7A9E9098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35.1%</w:t>
            </w:r>
          </w:p>
        </w:tc>
      </w:tr>
      <w:tr w:rsidR="00495C88" w:rsidRPr="00324774" w14:paraId="7420F021" w14:textId="77777777" w:rsidTr="005155C1">
        <w:tc>
          <w:tcPr>
            <w:tcW w:w="2275" w:type="dxa"/>
          </w:tcPr>
          <w:p w14:paraId="1A72A77D" w14:textId="5D62332D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appointments</w:t>
            </w:r>
          </w:p>
        </w:tc>
        <w:tc>
          <w:tcPr>
            <w:tcW w:w="1869" w:type="dxa"/>
          </w:tcPr>
          <w:p w14:paraId="3B903622" w14:textId="1535E052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44.7%</w:t>
            </w:r>
          </w:p>
        </w:tc>
        <w:tc>
          <w:tcPr>
            <w:tcW w:w="1634" w:type="dxa"/>
          </w:tcPr>
          <w:p w14:paraId="26799A62" w14:textId="5BE3461A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46.2%</w:t>
            </w:r>
          </w:p>
        </w:tc>
        <w:tc>
          <w:tcPr>
            <w:tcW w:w="1869" w:type="dxa"/>
          </w:tcPr>
          <w:p w14:paraId="222467E3" w14:textId="19714E4B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41.8%</w:t>
            </w:r>
          </w:p>
        </w:tc>
        <w:tc>
          <w:tcPr>
            <w:tcW w:w="1703" w:type="dxa"/>
          </w:tcPr>
          <w:p w14:paraId="69B23179" w14:textId="7C385616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47.5%</w:t>
            </w:r>
          </w:p>
        </w:tc>
      </w:tr>
      <w:tr w:rsidR="00495C88" w:rsidRPr="00324774" w14:paraId="2D41AD49" w14:textId="77777777" w:rsidTr="00CA0046">
        <w:trPr>
          <w:trHeight w:val="575"/>
        </w:trPr>
        <w:tc>
          <w:tcPr>
            <w:tcW w:w="2275" w:type="dxa"/>
          </w:tcPr>
          <w:p w14:paraId="78574CA0" w14:textId="1B523392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applicants</w:t>
            </w:r>
          </w:p>
        </w:tc>
        <w:tc>
          <w:tcPr>
            <w:tcW w:w="1869" w:type="dxa"/>
          </w:tcPr>
          <w:p w14:paraId="48237DAD" w14:textId="77777777" w:rsidR="00495C88" w:rsidRPr="00324774" w:rsidRDefault="00495C88" w:rsidP="00495C88">
            <w:pPr>
              <w:jc w:val="right"/>
              <w:rPr>
                <w:lang w:val="en-CA"/>
              </w:rPr>
            </w:pPr>
          </w:p>
        </w:tc>
        <w:tc>
          <w:tcPr>
            <w:tcW w:w="1634" w:type="dxa"/>
          </w:tcPr>
          <w:p w14:paraId="149930E3" w14:textId="1D8CECD4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43.4%</w:t>
            </w:r>
          </w:p>
        </w:tc>
        <w:tc>
          <w:tcPr>
            <w:tcW w:w="1869" w:type="dxa"/>
          </w:tcPr>
          <w:p w14:paraId="53F5428A" w14:textId="1DCD35EF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42.3%</w:t>
            </w:r>
          </w:p>
        </w:tc>
        <w:tc>
          <w:tcPr>
            <w:tcW w:w="1703" w:type="dxa"/>
          </w:tcPr>
          <w:p w14:paraId="03068C51" w14:textId="32475D38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44.1%</w:t>
            </w:r>
          </w:p>
        </w:tc>
      </w:tr>
      <w:tr w:rsidR="00495C88" w:rsidRPr="00324774" w14:paraId="01FBD5CB" w14:textId="77777777" w:rsidTr="005155C1">
        <w:tc>
          <w:tcPr>
            <w:tcW w:w="2275" w:type="dxa"/>
          </w:tcPr>
          <w:p w14:paraId="626A2B80" w14:textId="3B9122EF" w:rsidR="00495C88" w:rsidRPr="00324774" w:rsidRDefault="00495C88" w:rsidP="00495C88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appointments</w:t>
            </w:r>
          </w:p>
        </w:tc>
        <w:tc>
          <w:tcPr>
            <w:tcW w:w="1869" w:type="dxa"/>
          </w:tcPr>
          <w:p w14:paraId="1E13B667" w14:textId="4266499F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50.3%</w:t>
            </w:r>
          </w:p>
        </w:tc>
        <w:tc>
          <w:tcPr>
            <w:tcW w:w="1634" w:type="dxa"/>
          </w:tcPr>
          <w:p w14:paraId="754957BE" w14:textId="692332F9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46.7%</w:t>
            </w:r>
          </w:p>
        </w:tc>
        <w:tc>
          <w:tcPr>
            <w:tcW w:w="1869" w:type="dxa"/>
          </w:tcPr>
          <w:p w14:paraId="19B81B6C" w14:textId="49190B3E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47.7%</w:t>
            </w:r>
          </w:p>
        </w:tc>
        <w:tc>
          <w:tcPr>
            <w:tcW w:w="1703" w:type="dxa"/>
          </w:tcPr>
          <w:p w14:paraId="4700BA67" w14:textId="60D1199F" w:rsidR="00495C88" w:rsidRPr="00324774" w:rsidRDefault="00521765" w:rsidP="00495C88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51.7%</w:t>
            </w:r>
          </w:p>
        </w:tc>
      </w:tr>
    </w:tbl>
    <w:p w14:paraId="374172CC" w14:textId="77777777" w:rsidR="00E15FE9" w:rsidRPr="00324774" w:rsidRDefault="00E15FE9">
      <w:pPr>
        <w:keepLines w:val="0"/>
        <w:rPr>
          <w:rFonts w:ascii="Segoe UI" w:eastAsiaTheme="majorEastAsia" w:hAnsi="Segoe UI" w:cs="Segoe UI"/>
          <w:b/>
          <w:color w:val="5B315E" w:themeColor="accent2"/>
          <w:sz w:val="20"/>
          <w:szCs w:val="32"/>
          <w:lang w:val="en-CA"/>
        </w:rPr>
      </w:pPr>
      <w:r w:rsidRPr="00324774">
        <w:rPr>
          <w:rFonts w:ascii="Segoe UI" w:eastAsiaTheme="majorEastAsia" w:hAnsi="Segoe UI" w:cs="Segoe UI"/>
          <w:b/>
          <w:color w:val="5B315E" w:themeColor="accent2"/>
          <w:sz w:val="20"/>
          <w:szCs w:val="32"/>
          <w:lang w:val="en-CA"/>
        </w:rPr>
        <w:br w:type="page"/>
      </w:r>
    </w:p>
    <w:p w14:paraId="2E1DAD13" w14:textId="77777777" w:rsidR="00E15FE9" w:rsidRPr="00324774" w:rsidRDefault="00312992" w:rsidP="00E15FE9">
      <w:pPr>
        <w:keepNext/>
        <w:jc w:val="center"/>
        <w:rPr>
          <w:lang w:val="en-CA"/>
        </w:rPr>
      </w:pPr>
      <w:r w:rsidRPr="00324774">
        <w:rPr>
          <w:noProof/>
          <w:lang w:val="en-CA" w:eastAsia="en-CA"/>
        </w:rPr>
        <w:lastRenderedPageBreak/>
        <w:drawing>
          <wp:inline distT="0" distB="0" distL="0" distR="0" wp14:anchorId="5AB154C1" wp14:editId="4FFA4247">
            <wp:extent cx="5133975" cy="6359525"/>
            <wp:effectExtent l="0" t="0" r="9525" b="3175"/>
            <wp:docPr id="1" name="Picture 1" descr="A set of line charts. Each chart shows the representation of applicants and appointments from the four employment equity groups from 2015-2016 to 2018-2019 for Canadian citizens, permanent residents and other non-citizens. The workforce availability for each employment equity group is included as a dotted line in each chart." title="Representation by citizenship and employment equity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_citizen_non_citizen_pr_by_e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35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25CE" w14:textId="2FDBB998" w:rsidR="00566E48" w:rsidRPr="00324774" w:rsidRDefault="00E15FE9" w:rsidP="004E2B62">
      <w:pPr>
        <w:pStyle w:val="Caption"/>
        <w:jc w:val="center"/>
        <w:rPr>
          <w:lang w:val="en-CA"/>
        </w:rPr>
      </w:pPr>
      <w:r w:rsidRPr="00324774">
        <w:rPr>
          <w:lang w:val="en-CA"/>
        </w:rPr>
        <w:t xml:space="preserve">Figure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Figure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5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</w:t>
      </w:r>
      <w:r w:rsidR="00566E48" w:rsidRPr="00324774">
        <w:rPr>
          <w:lang w:val="en-CA"/>
        </w:rPr>
        <w:br w:type="page"/>
      </w:r>
    </w:p>
    <w:p w14:paraId="19816F83" w14:textId="7C63E922" w:rsidR="00E15FE9" w:rsidRPr="00324774" w:rsidRDefault="00E15FE9" w:rsidP="00E15FE9">
      <w:pPr>
        <w:pStyle w:val="Caption"/>
        <w:keepNext/>
        <w:jc w:val="center"/>
        <w:rPr>
          <w:lang w:val="en-CA"/>
        </w:rPr>
      </w:pPr>
      <w:r w:rsidRPr="00324774">
        <w:rPr>
          <w:lang w:val="en-CA"/>
        </w:rPr>
        <w:lastRenderedPageBreak/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9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 — Canadian 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 equity representation by citizenship — Canadian citizens"/>
        <w:tblDescription w:val="A table showing the representation of citizens in employment equity group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566E48" w:rsidRPr="00324774" w14:paraId="44B4E1E7" w14:textId="77777777" w:rsidTr="005155C1">
        <w:trPr>
          <w:tblHeader/>
        </w:trPr>
        <w:tc>
          <w:tcPr>
            <w:tcW w:w="2275" w:type="dxa"/>
          </w:tcPr>
          <w:p w14:paraId="7E4E93BB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27867528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6C493BB2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50841665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765C0EE8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566E48" w:rsidRPr="00324774" w14:paraId="4F3FF375" w14:textId="77777777" w:rsidTr="005155C1">
        <w:tc>
          <w:tcPr>
            <w:tcW w:w="2275" w:type="dxa"/>
          </w:tcPr>
          <w:p w14:paraId="6A4B2C10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applicants</w:t>
            </w:r>
          </w:p>
        </w:tc>
        <w:tc>
          <w:tcPr>
            <w:tcW w:w="1869" w:type="dxa"/>
          </w:tcPr>
          <w:p w14:paraId="60E65726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3.7%</w:t>
            </w:r>
          </w:p>
        </w:tc>
        <w:tc>
          <w:tcPr>
            <w:tcW w:w="1634" w:type="dxa"/>
          </w:tcPr>
          <w:p w14:paraId="7FAA37E0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3.6%</w:t>
            </w:r>
          </w:p>
        </w:tc>
        <w:tc>
          <w:tcPr>
            <w:tcW w:w="1869" w:type="dxa"/>
          </w:tcPr>
          <w:p w14:paraId="402E7BDE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3.6%</w:t>
            </w:r>
          </w:p>
        </w:tc>
        <w:tc>
          <w:tcPr>
            <w:tcW w:w="1703" w:type="dxa"/>
          </w:tcPr>
          <w:p w14:paraId="5252D847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3.4%</w:t>
            </w:r>
          </w:p>
        </w:tc>
      </w:tr>
      <w:tr w:rsidR="00566E48" w:rsidRPr="00324774" w14:paraId="2475E097" w14:textId="77777777" w:rsidTr="005155C1">
        <w:tc>
          <w:tcPr>
            <w:tcW w:w="2275" w:type="dxa"/>
          </w:tcPr>
          <w:p w14:paraId="636BBD46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appointments</w:t>
            </w:r>
          </w:p>
        </w:tc>
        <w:tc>
          <w:tcPr>
            <w:tcW w:w="1869" w:type="dxa"/>
          </w:tcPr>
          <w:p w14:paraId="3749043E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4.1%</w:t>
            </w:r>
          </w:p>
        </w:tc>
        <w:tc>
          <w:tcPr>
            <w:tcW w:w="1634" w:type="dxa"/>
          </w:tcPr>
          <w:p w14:paraId="073481E3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4.6%</w:t>
            </w:r>
          </w:p>
        </w:tc>
        <w:tc>
          <w:tcPr>
            <w:tcW w:w="1869" w:type="dxa"/>
          </w:tcPr>
          <w:p w14:paraId="0467A042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4.1%</w:t>
            </w:r>
          </w:p>
        </w:tc>
        <w:tc>
          <w:tcPr>
            <w:tcW w:w="1703" w:type="dxa"/>
          </w:tcPr>
          <w:p w14:paraId="167BBFB3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4.3%</w:t>
            </w:r>
          </w:p>
        </w:tc>
      </w:tr>
      <w:tr w:rsidR="00566E48" w:rsidRPr="00324774" w14:paraId="5CB5BD5A" w14:textId="77777777" w:rsidTr="005155C1">
        <w:tc>
          <w:tcPr>
            <w:tcW w:w="2275" w:type="dxa"/>
          </w:tcPr>
          <w:p w14:paraId="5935BAEC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applicants</w:t>
            </w:r>
          </w:p>
        </w:tc>
        <w:tc>
          <w:tcPr>
            <w:tcW w:w="1869" w:type="dxa"/>
          </w:tcPr>
          <w:p w14:paraId="7D50E72B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2.8%</w:t>
            </w:r>
          </w:p>
        </w:tc>
        <w:tc>
          <w:tcPr>
            <w:tcW w:w="1634" w:type="dxa"/>
          </w:tcPr>
          <w:p w14:paraId="23C14AFE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2.9%</w:t>
            </w:r>
          </w:p>
        </w:tc>
        <w:tc>
          <w:tcPr>
            <w:tcW w:w="1869" w:type="dxa"/>
          </w:tcPr>
          <w:p w14:paraId="4966BB2E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3.1%</w:t>
            </w:r>
          </w:p>
        </w:tc>
        <w:tc>
          <w:tcPr>
            <w:tcW w:w="1703" w:type="dxa"/>
          </w:tcPr>
          <w:p w14:paraId="0527A370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3.0%</w:t>
            </w:r>
          </w:p>
        </w:tc>
      </w:tr>
      <w:tr w:rsidR="00566E48" w:rsidRPr="00324774" w14:paraId="24BC1D49" w14:textId="77777777" w:rsidTr="005155C1">
        <w:tc>
          <w:tcPr>
            <w:tcW w:w="2275" w:type="dxa"/>
          </w:tcPr>
          <w:p w14:paraId="432E1257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appointments</w:t>
            </w:r>
          </w:p>
        </w:tc>
        <w:tc>
          <w:tcPr>
            <w:tcW w:w="1869" w:type="dxa"/>
          </w:tcPr>
          <w:p w14:paraId="59827BFB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3.3%</w:t>
            </w:r>
          </w:p>
        </w:tc>
        <w:tc>
          <w:tcPr>
            <w:tcW w:w="1634" w:type="dxa"/>
          </w:tcPr>
          <w:p w14:paraId="7DDB26FE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4.0%</w:t>
            </w:r>
          </w:p>
        </w:tc>
        <w:tc>
          <w:tcPr>
            <w:tcW w:w="1869" w:type="dxa"/>
          </w:tcPr>
          <w:p w14:paraId="5B73E42B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3.7%</w:t>
            </w:r>
          </w:p>
        </w:tc>
        <w:tc>
          <w:tcPr>
            <w:tcW w:w="1703" w:type="dxa"/>
          </w:tcPr>
          <w:p w14:paraId="4AFE9C39" w14:textId="646E8AC2" w:rsidR="00566E48" w:rsidRPr="00324774" w:rsidRDefault="00566E48" w:rsidP="00A82DD5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3.8%</w:t>
            </w:r>
          </w:p>
        </w:tc>
      </w:tr>
      <w:tr w:rsidR="00566E48" w:rsidRPr="00324774" w14:paraId="7426002C" w14:textId="77777777" w:rsidTr="005155C1">
        <w:tc>
          <w:tcPr>
            <w:tcW w:w="2275" w:type="dxa"/>
          </w:tcPr>
          <w:p w14:paraId="5FBC468B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applicants</w:t>
            </w:r>
          </w:p>
        </w:tc>
        <w:tc>
          <w:tcPr>
            <w:tcW w:w="1869" w:type="dxa"/>
          </w:tcPr>
          <w:p w14:paraId="54EB3835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19.8%</w:t>
            </w:r>
          </w:p>
        </w:tc>
        <w:tc>
          <w:tcPr>
            <w:tcW w:w="1634" w:type="dxa"/>
          </w:tcPr>
          <w:p w14:paraId="5ED830CE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19.2%</w:t>
            </w:r>
          </w:p>
        </w:tc>
        <w:tc>
          <w:tcPr>
            <w:tcW w:w="1869" w:type="dxa"/>
          </w:tcPr>
          <w:p w14:paraId="26D529BA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20.0%</w:t>
            </w:r>
          </w:p>
        </w:tc>
        <w:tc>
          <w:tcPr>
            <w:tcW w:w="1703" w:type="dxa"/>
          </w:tcPr>
          <w:p w14:paraId="5AAE84B5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20.1%</w:t>
            </w:r>
          </w:p>
        </w:tc>
      </w:tr>
      <w:tr w:rsidR="00566E48" w:rsidRPr="00324774" w14:paraId="3132E156" w14:textId="77777777" w:rsidTr="005155C1">
        <w:tc>
          <w:tcPr>
            <w:tcW w:w="2275" w:type="dxa"/>
          </w:tcPr>
          <w:p w14:paraId="70E191D1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appointments</w:t>
            </w:r>
          </w:p>
        </w:tc>
        <w:tc>
          <w:tcPr>
            <w:tcW w:w="1869" w:type="dxa"/>
          </w:tcPr>
          <w:p w14:paraId="18A3E641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18.7%</w:t>
            </w:r>
          </w:p>
        </w:tc>
        <w:tc>
          <w:tcPr>
            <w:tcW w:w="1634" w:type="dxa"/>
          </w:tcPr>
          <w:p w14:paraId="62C511AB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19.0%</w:t>
            </w:r>
          </w:p>
        </w:tc>
        <w:tc>
          <w:tcPr>
            <w:tcW w:w="1869" w:type="dxa"/>
          </w:tcPr>
          <w:p w14:paraId="3D43C6F4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18.3%</w:t>
            </w:r>
          </w:p>
        </w:tc>
        <w:tc>
          <w:tcPr>
            <w:tcW w:w="1703" w:type="dxa"/>
          </w:tcPr>
          <w:p w14:paraId="6C3465D1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20.0%</w:t>
            </w:r>
          </w:p>
        </w:tc>
      </w:tr>
      <w:tr w:rsidR="00566E48" w:rsidRPr="00324774" w14:paraId="02EFA0D0" w14:textId="77777777" w:rsidTr="00CA0046">
        <w:trPr>
          <w:trHeight w:val="486"/>
        </w:trPr>
        <w:tc>
          <w:tcPr>
            <w:tcW w:w="2275" w:type="dxa"/>
          </w:tcPr>
          <w:p w14:paraId="07FB74FD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applicants</w:t>
            </w:r>
          </w:p>
        </w:tc>
        <w:tc>
          <w:tcPr>
            <w:tcW w:w="1869" w:type="dxa"/>
          </w:tcPr>
          <w:p w14:paraId="54C3D218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</w:p>
        </w:tc>
        <w:tc>
          <w:tcPr>
            <w:tcW w:w="1634" w:type="dxa"/>
          </w:tcPr>
          <w:p w14:paraId="775FC7CB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55.6%</w:t>
            </w:r>
          </w:p>
        </w:tc>
        <w:tc>
          <w:tcPr>
            <w:tcW w:w="1869" w:type="dxa"/>
          </w:tcPr>
          <w:p w14:paraId="3080B839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55.4%</w:t>
            </w:r>
          </w:p>
        </w:tc>
        <w:tc>
          <w:tcPr>
            <w:tcW w:w="1703" w:type="dxa"/>
          </w:tcPr>
          <w:p w14:paraId="552837C0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57.0%</w:t>
            </w:r>
          </w:p>
        </w:tc>
      </w:tr>
      <w:tr w:rsidR="00566E48" w:rsidRPr="00324774" w14:paraId="23854C10" w14:textId="77777777" w:rsidTr="005155C1">
        <w:tc>
          <w:tcPr>
            <w:tcW w:w="2275" w:type="dxa"/>
          </w:tcPr>
          <w:p w14:paraId="3DF8F9CB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appointments</w:t>
            </w:r>
          </w:p>
        </w:tc>
        <w:tc>
          <w:tcPr>
            <w:tcW w:w="1869" w:type="dxa"/>
          </w:tcPr>
          <w:p w14:paraId="1393BD5D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58.4%</w:t>
            </w:r>
          </w:p>
        </w:tc>
        <w:tc>
          <w:tcPr>
            <w:tcW w:w="1634" w:type="dxa"/>
          </w:tcPr>
          <w:p w14:paraId="25D45062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57.9%</w:t>
            </w:r>
          </w:p>
        </w:tc>
        <w:tc>
          <w:tcPr>
            <w:tcW w:w="1869" w:type="dxa"/>
          </w:tcPr>
          <w:p w14:paraId="5D1C90E6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58.6%</w:t>
            </w:r>
          </w:p>
        </w:tc>
        <w:tc>
          <w:tcPr>
            <w:tcW w:w="1703" w:type="dxa"/>
          </w:tcPr>
          <w:p w14:paraId="2BEFA478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57.0%</w:t>
            </w:r>
          </w:p>
        </w:tc>
      </w:tr>
    </w:tbl>
    <w:p w14:paraId="764D30B3" w14:textId="5C09118E" w:rsidR="00E15FE9" w:rsidRPr="00324774" w:rsidRDefault="00E15FE9" w:rsidP="004E2B62">
      <w:pPr>
        <w:pStyle w:val="Caption"/>
        <w:keepNext/>
        <w:spacing w:before="400"/>
        <w:jc w:val="center"/>
        <w:rPr>
          <w:lang w:val="en-CA"/>
        </w:rPr>
      </w:pPr>
      <w:r w:rsidRPr="00324774">
        <w:rPr>
          <w:lang w:val="en-CA"/>
        </w:rPr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10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 — permanent residents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 equity representation by citizenship — permanent residents"/>
        <w:tblDescription w:val="A table showing the representation of permanent residents in employment equity group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566E48" w:rsidRPr="00324774" w14:paraId="0AFC2AA5" w14:textId="77777777" w:rsidTr="005155C1">
        <w:trPr>
          <w:tblHeader/>
        </w:trPr>
        <w:tc>
          <w:tcPr>
            <w:tcW w:w="2275" w:type="dxa"/>
          </w:tcPr>
          <w:p w14:paraId="3527A171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4C6947B0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7DF00A65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7CCBAE43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2CE93DFF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566E48" w:rsidRPr="00324774" w14:paraId="0F7D2695" w14:textId="77777777" w:rsidTr="005155C1">
        <w:tc>
          <w:tcPr>
            <w:tcW w:w="2275" w:type="dxa"/>
          </w:tcPr>
          <w:p w14:paraId="06FCA89A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applicants</w:t>
            </w:r>
          </w:p>
        </w:tc>
        <w:tc>
          <w:tcPr>
            <w:tcW w:w="1869" w:type="dxa"/>
          </w:tcPr>
          <w:p w14:paraId="25DCD950" w14:textId="641B77B4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  <w:tc>
          <w:tcPr>
            <w:tcW w:w="1634" w:type="dxa"/>
          </w:tcPr>
          <w:p w14:paraId="2489A2D6" w14:textId="683DF897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0.7%</w:t>
            </w:r>
          </w:p>
        </w:tc>
        <w:tc>
          <w:tcPr>
            <w:tcW w:w="1869" w:type="dxa"/>
          </w:tcPr>
          <w:p w14:paraId="4F38BE3D" w14:textId="695F894E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0.7%</w:t>
            </w:r>
          </w:p>
        </w:tc>
        <w:tc>
          <w:tcPr>
            <w:tcW w:w="1703" w:type="dxa"/>
          </w:tcPr>
          <w:p w14:paraId="4EE70379" w14:textId="2E22DEFC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</w:tr>
      <w:tr w:rsidR="00566E48" w:rsidRPr="00324774" w14:paraId="0FB1C6F3" w14:textId="77777777" w:rsidTr="005155C1">
        <w:tc>
          <w:tcPr>
            <w:tcW w:w="2275" w:type="dxa"/>
          </w:tcPr>
          <w:p w14:paraId="4F3DCBA3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appointments</w:t>
            </w:r>
          </w:p>
        </w:tc>
        <w:tc>
          <w:tcPr>
            <w:tcW w:w="1869" w:type="dxa"/>
          </w:tcPr>
          <w:p w14:paraId="10BA1E2F" w14:textId="4C648F4F" w:rsidR="00AD03F0" w:rsidRPr="00324774" w:rsidRDefault="00AD03F0" w:rsidP="00AD03F0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2.0%</w:t>
            </w:r>
          </w:p>
        </w:tc>
        <w:tc>
          <w:tcPr>
            <w:tcW w:w="1634" w:type="dxa"/>
          </w:tcPr>
          <w:p w14:paraId="4F24AF1D" w14:textId="27AD0C17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1.7%</w:t>
            </w:r>
          </w:p>
        </w:tc>
        <w:tc>
          <w:tcPr>
            <w:tcW w:w="1869" w:type="dxa"/>
          </w:tcPr>
          <w:p w14:paraId="4D5ED4A9" w14:textId="1942E188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2.2%</w:t>
            </w:r>
          </w:p>
        </w:tc>
        <w:tc>
          <w:tcPr>
            <w:tcW w:w="1703" w:type="dxa"/>
          </w:tcPr>
          <w:p w14:paraId="4A112B2A" w14:textId="57C1C670" w:rsidR="00566E48" w:rsidRPr="00324774" w:rsidRDefault="00AD03F0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1.3%</w:t>
            </w:r>
          </w:p>
        </w:tc>
      </w:tr>
      <w:tr w:rsidR="00566E48" w:rsidRPr="00324774" w14:paraId="3595048F" w14:textId="77777777" w:rsidTr="005155C1">
        <w:tc>
          <w:tcPr>
            <w:tcW w:w="2275" w:type="dxa"/>
          </w:tcPr>
          <w:p w14:paraId="3229FFD7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applicants</w:t>
            </w:r>
          </w:p>
        </w:tc>
        <w:tc>
          <w:tcPr>
            <w:tcW w:w="1869" w:type="dxa"/>
          </w:tcPr>
          <w:p w14:paraId="1048B15A" w14:textId="4AE3640B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0.9%</w:t>
            </w:r>
          </w:p>
        </w:tc>
        <w:tc>
          <w:tcPr>
            <w:tcW w:w="1634" w:type="dxa"/>
          </w:tcPr>
          <w:p w14:paraId="4FC87FCB" w14:textId="64B04754" w:rsidR="00D47CDF" w:rsidRPr="00324774" w:rsidRDefault="00D47CDF" w:rsidP="00D47CDF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1.0%</w:t>
            </w:r>
          </w:p>
        </w:tc>
        <w:tc>
          <w:tcPr>
            <w:tcW w:w="1869" w:type="dxa"/>
          </w:tcPr>
          <w:p w14:paraId="59DB6E21" w14:textId="32574CFF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0.9%</w:t>
            </w:r>
          </w:p>
        </w:tc>
        <w:tc>
          <w:tcPr>
            <w:tcW w:w="1703" w:type="dxa"/>
          </w:tcPr>
          <w:p w14:paraId="521CCA98" w14:textId="778EA436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</w:tr>
      <w:tr w:rsidR="00566E48" w:rsidRPr="00324774" w14:paraId="06D4912D" w14:textId="77777777" w:rsidTr="005155C1">
        <w:tc>
          <w:tcPr>
            <w:tcW w:w="2275" w:type="dxa"/>
          </w:tcPr>
          <w:p w14:paraId="30DCA589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appointments</w:t>
            </w:r>
          </w:p>
        </w:tc>
        <w:tc>
          <w:tcPr>
            <w:tcW w:w="1869" w:type="dxa"/>
          </w:tcPr>
          <w:p w14:paraId="1BC74C78" w14:textId="6488E262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2.7%</w:t>
            </w:r>
          </w:p>
        </w:tc>
        <w:tc>
          <w:tcPr>
            <w:tcW w:w="1634" w:type="dxa"/>
          </w:tcPr>
          <w:p w14:paraId="47CD46F3" w14:textId="1A001830" w:rsidR="00D47CDF" w:rsidRPr="00324774" w:rsidRDefault="00D47CDF" w:rsidP="00D47CDF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0.6%</w:t>
            </w:r>
          </w:p>
        </w:tc>
        <w:tc>
          <w:tcPr>
            <w:tcW w:w="1869" w:type="dxa"/>
          </w:tcPr>
          <w:p w14:paraId="2927AA53" w14:textId="677E76B2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0.7%</w:t>
            </w:r>
          </w:p>
        </w:tc>
        <w:tc>
          <w:tcPr>
            <w:tcW w:w="1703" w:type="dxa"/>
          </w:tcPr>
          <w:p w14:paraId="224687CD" w14:textId="5A9AA52A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1.0%</w:t>
            </w:r>
          </w:p>
        </w:tc>
      </w:tr>
      <w:tr w:rsidR="00566E48" w:rsidRPr="00324774" w14:paraId="2DD5CC0A" w14:textId="77777777" w:rsidTr="005155C1">
        <w:tc>
          <w:tcPr>
            <w:tcW w:w="2275" w:type="dxa"/>
          </w:tcPr>
          <w:p w14:paraId="23D22CB0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applicants</w:t>
            </w:r>
          </w:p>
        </w:tc>
        <w:tc>
          <w:tcPr>
            <w:tcW w:w="1869" w:type="dxa"/>
          </w:tcPr>
          <w:p w14:paraId="51091E66" w14:textId="2847345F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39.7%</w:t>
            </w:r>
          </w:p>
        </w:tc>
        <w:tc>
          <w:tcPr>
            <w:tcW w:w="1634" w:type="dxa"/>
          </w:tcPr>
          <w:p w14:paraId="65E00D50" w14:textId="4AE893D4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41.0%</w:t>
            </w:r>
          </w:p>
        </w:tc>
        <w:tc>
          <w:tcPr>
            <w:tcW w:w="1869" w:type="dxa"/>
          </w:tcPr>
          <w:p w14:paraId="5F6BA33B" w14:textId="1546AE78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42.1%</w:t>
            </w:r>
          </w:p>
        </w:tc>
        <w:tc>
          <w:tcPr>
            <w:tcW w:w="1703" w:type="dxa"/>
          </w:tcPr>
          <w:p w14:paraId="3F620139" w14:textId="53D44EB4" w:rsidR="00566E48" w:rsidRPr="00324774" w:rsidRDefault="00D47CDF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38.4%</w:t>
            </w:r>
          </w:p>
        </w:tc>
      </w:tr>
      <w:tr w:rsidR="00566E48" w:rsidRPr="00324774" w14:paraId="435614BF" w14:textId="77777777" w:rsidTr="005155C1">
        <w:tc>
          <w:tcPr>
            <w:tcW w:w="2275" w:type="dxa"/>
          </w:tcPr>
          <w:p w14:paraId="7E01576C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appointments</w:t>
            </w:r>
          </w:p>
        </w:tc>
        <w:tc>
          <w:tcPr>
            <w:tcW w:w="1869" w:type="dxa"/>
          </w:tcPr>
          <w:p w14:paraId="1483C87E" w14:textId="5F9CEEE8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45.3%</w:t>
            </w:r>
          </w:p>
        </w:tc>
        <w:tc>
          <w:tcPr>
            <w:tcW w:w="1634" w:type="dxa"/>
          </w:tcPr>
          <w:p w14:paraId="1EAF3FCD" w14:textId="4D767E89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48.9%</w:t>
            </w:r>
          </w:p>
        </w:tc>
        <w:tc>
          <w:tcPr>
            <w:tcW w:w="1869" w:type="dxa"/>
          </w:tcPr>
          <w:p w14:paraId="442F4D86" w14:textId="1158A031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44.9%</w:t>
            </w:r>
          </w:p>
        </w:tc>
        <w:tc>
          <w:tcPr>
            <w:tcW w:w="1703" w:type="dxa"/>
          </w:tcPr>
          <w:p w14:paraId="65BDF468" w14:textId="2D52D3F0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48.3%</w:t>
            </w:r>
          </w:p>
        </w:tc>
      </w:tr>
      <w:tr w:rsidR="00566E48" w:rsidRPr="00324774" w14:paraId="3944CEFB" w14:textId="77777777" w:rsidTr="00CA0046">
        <w:trPr>
          <w:trHeight w:val="534"/>
        </w:trPr>
        <w:tc>
          <w:tcPr>
            <w:tcW w:w="2275" w:type="dxa"/>
          </w:tcPr>
          <w:p w14:paraId="5866AA7E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applicants</w:t>
            </w:r>
          </w:p>
        </w:tc>
        <w:tc>
          <w:tcPr>
            <w:tcW w:w="1869" w:type="dxa"/>
          </w:tcPr>
          <w:p w14:paraId="75A78C12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</w:p>
        </w:tc>
        <w:tc>
          <w:tcPr>
            <w:tcW w:w="1634" w:type="dxa"/>
          </w:tcPr>
          <w:p w14:paraId="37B588BF" w14:textId="64CA6F8B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44.6%</w:t>
            </w:r>
          </w:p>
        </w:tc>
        <w:tc>
          <w:tcPr>
            <w:tcW w:w="1869" w:type="dxa"/>
          </w:tcPr>
          <w:p w14:paraId="4A4BEB1E" w14:textId="7A525D35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44.7%</w:t>
            </w:r>
          </w:p>
        </w:tc>
        <w:tc>
          <w:tcPr>
            <w:tcW w:w="1703" w:type="dxa"/>
          </w:tcPr>
          <w:p w14:paraId="5D87AEAB" w14:textId="30F793C0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46.4%</w:t>
            </w:r>
          </w:p>
        </w:tc>
      </w:tr>
      <w:tr w:rsidR="00566E48" w:rsidRPr="00324774" w14:paraId="6D69C1FF" w14:textId="77777777" w:rsidTr="005155C1">
        <w:tc>
          <w:tcPr>
            <w:tcW w:w="2275" w:type="dxa"/>
          </w:tcPr>
          <w:p w14:paraId="1FC54C80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appointments</w:t>
            </w:r>
          </w:p>
        </w:tc>
        <w:tc>
          <w:tcPr>
            <w:tcW w:w="1869" w:type="dxa"/>
          </w:tcPr>
          <w:p w14:paraId="6F1491C1" w14:textId="443A1F78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50.7%</w:t>
            </w:r>
          </w:p>
        </w:tc>
        <w:tc>
          <w:tcPr>
            <w:tcW w:w="1634" w:type="dxa"/>
          </w:tcPr>
          <w:p w14:paraId="03288F5B" w14:textId="04D6052E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48.3%</w:t>
            </w:r>
          </w:p>
        </w:tc>
        <w:tc>
          <w:tcPr>
            <w:tcW w:w="1869" w:type="dxa"/>
          </w:tcPr>
          <w:p w14:paraId="46103B73" w14:textId="21916D3C" w:rsidR="00566E48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47.4%</w:t>
            </w:r>
          </w:p>
        </w:tc>
        <w:tc>
          <w:tcPr>
            <w:tcW w:w="1703" w:type="dxa"/>
          </w:tcPr>
          <w:p w14:paraId="77C576C1" w14:textId="237182B3" w:rsidR="00A90485" w:rsidRPr="00324774" w:rsidRDefault="00A90485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53.5%</w:t>
            </w:r>
          </w:p>
        </w:tc>
      </w:tr>
    </w:tbl>
    <w:p w14:paraId="40859A8D" w14:textId="77777777" w:rsidR="004E2B62" w:rsidRPr="00324774" w:rsidRDefault="004E2B62">
      <w:pPr>
        <w:keepLines w:val="0"/>
        <w:rPr>
          <w:lang w:val="en-CA"/>
        </w:rPr>
      </w:pPr>
      <w:r w:rsidRPr="00324774">
        <w:rPr>
          <w:lang w:val="en-CA"/>
        </w:rPr>
        <w:br w:type="page"/>
      </w:r>
    </w:p>
    <w:p w14:paraId="68D971C0" w14:textId="54B4FCFF" w:rsidR="00E15FE9" w:rsidRPr="00324774" w:rsidRDefault="00E15FE9" w:rsidP="00E15FE9">
      <w:pPr>
        <w:pStyle w:val="Caption"/>
        <w:keepNext/>
        <w:jc w:val="center"/>
        <w:rPr>
          <w:lang w:val="en-CA"/>
        </w:rPr>
      </w:pPr>
      <w:r w:rsidRPr="00324774">
        <w:rPr>
          <w:lang w:val="en-CA"/>
        </w:rPr>
        <w:lastRenderedPageBreak/>
        <w:t xml:space="preserve">Table </w:t>
      </w:r>
      <w:r w:rsidRPr="00324774">
        <w:rPr>
          <w:lang w:val="en-CA"/>
        </w:rPr>
        <w:fldChar w:fldCharType="begin"/>
      </w:r>
      <w:r w:rsidRPr="00324774">
        <w:rPr>
          <w:lang w:val="en-CA"/>
        </w:rPr>
        <w:instrText xml:space="preserve"> SEQ Table \* ARABIC </w:instrText>
      </w:r>
      <w:r w:rsidRPr="00324774">
        <w:rPr>
          <w:lang w:val="en-CA"/>
        </w:rPr>
        <w:fldChar w:fldCharType="separate"/>
      </w:r>
      <w:r w:rsidRPr="00324774">
        <w:rPr>
          <w:noProof/>
          <w:lang w:val="en-CA"/>
        </w:rPr>
        <w:t>11</w:t>
      </w:r>
      <w:r w:rsidRPr="00324774">
        <w:rPr>
          <w:lang w:val="en-CA"/>
        </w:rPr>
        <w:fldChar w:fldCharType="end"/>
      </w:r>
      <w:r w:rsidRPr="00324774">
        <w:rPr>
          <w:lang w:val="en-CA"/>
        </w:rPr>
        <w:t>: Employment equity representation by citizenship — other non-citizens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 equity representation by citizenship — other non-citizens"/>
        <w:tblDescription w:val="A table showing the representation of other non-citizens in employment equity groups among applicants and appointments from 2015-2016 to 2018-2019."/>
      </w:tblPr>
      <w:tblGrid>
        <w:gridCol w:w="2275"/>
        <w:gridCol w:w="1869"/>
        <w:gridCol w:w="1634"/>
        <w:gridCol w:w="1869"/>
        <w:gridCol w:w="1703"/>
      </w:tblGrid>
      <w:tr w:rsidR="00566E48" w:rsidRPr="00324774" w14:paraId="21EE0837" w14:textId="77777777" w:rsidTr="005155C1">
        <w:trPr>
          <w:tblHeader/>
        </w:trPr>
        <w:tc>
          <w:tcPr>
            <w:tcW w:w="2275" w:type="dxa"/>
          </w:tcPr>
          <w:p w14:paraId="609159E6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Representation type</w:t>
            </w:r>
          </w:p>
        </w:tc>
        <w:tc>
          <w:tcPr>
            <w:tcW w:w="1869" w:type="dxa"/>
          </w:tcPr>
          <w:p w14:paraId="4332BB86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2015-2016</w:t>
            </w:r>
          </w:p>
        </w:tc>
        <w:tc>
          <w:tcPr>
            <w:tcW w:w="1634" w:type="dxa"/>
          </w:tcPr>
          <w:p w14:paraId="0C50DDE6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2016-2017</w:t>
            </w:r>
          </w:p>
        </w:tc>
        <w:tc>
          <w:tcPr>
            <w:tcW w:w="1869" w:type="dxa"/>
          </w:tcPr>
          <w:p w14:paraId="155D6858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2017-2018</w:t>
            </w:r>
          </w:p>
        </w:tc>
        <w:tc>
          <w:tcPr>
            <w:tcW w:w="1703" w:type="dxa"/>
          </w:tcPr>
          <w:p w14:paraId="3B78BCC1" w14:textId="77777777" w:rsidR="00566E48" w:rsidRPr="00324774" w:rsidRDefault="00566E48" w:rsidP="005155C1">
            <w:pPr>
              <w:jc w:val="center"/>
              <w:rPr>
                <w:lang w:val="en-CA"/>
              </w:rPr>
            </w:pPr>
            <w:r w:rsidRPr="00324774">
              <w:rPr>
                <w:lang w:val="en-CA"/>
              </w:rPr>
              <w:t>2018-2019</w:t>
            </w:r>
          </w:p>
        </w:tc>
      </w:tr>
      <w:tr w:rsidR="00566E48" w:rsidRPr="00324774" w14:paraId="2DE374FF" w14:textId="77777777" w:rsidTr="005155C1">
        <w:tc>
          <w:tcPr>
            <w:tcW w:w="2275" w:type="dxa"/>
          </w:tcPr>
          <w:p w14:paraId="43BDE020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applicants</w:t>
            </w:r>
          </w:p>
        </w:tc>
        <w:tc>
          <w:tcPr>
            <w:tcW w:w="1869" w:type="dxa"/>
          </w:tcPr>
          <w:p w14:paraId="664C03AA" w14:textId="6CC86905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2.2%</w:t>
            </w:r>
          </w:p>
        </w:tc>
        <w:tc>
          <w:tcPr>
            <w:tcW w:w="1634" w:type="dxa"/>
          </w:tcPr>
          <w:p w14:paraId="0D357B02" w14:textId="2B47EEAB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1.7%</w:t>
            </w:r>
          </w:p>
        </w:tc>
        <w:tc>
          <w:tcPr>
            <w:tcW w:w="1869" w:type="dxa"/>
          </w:tcPr>
          <w:p w14:paraId="57BCC4EE" w14:textId="354C31B7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2.3%</w:t>
            </w:r>
          </w:p>
        </w:tc>
        <w:tc>
          <w:tcPr>
            <w:tcW w:w="1703" w:type="dxa"/>
          </w:tcPr>
          <w:p w14:paraId="7FDBCA0E" w14:textId="467E9183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2.2%</w:t>
            </w:r>
          </w:p>
        </w:tc>
      </w:tr>
      <w:tr w:rsidR="00566E48" w:rsidRPr="00324774" w14:paraId="663F687A" w14:textId="77777777" w:rsidTr="005155C1">
        <w:tc>
          <w:tcPr>
            <w:tcW w:w="2275" w:type="dxa"/>
          </w:tcPr>
          <w:p w14:paraId="0A0C227F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Indigenous peoples appointments</w:t>
            </w:r>
          </w:p>
        </w:tc>
        <w:tc>
          <w:tcPr>
            <w:tcW w:w="1869" w:type="dxa"/>
          </w:tcPr>
          <w:p w14:paraId="0E941D09" w14:textId="54431AB1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11.1%</w:t>
            </w:r>
          </w:p>
        </w:tc>
        <w:tc>
          <w:tcPr>
            <w:tcW w:w="1634" w:type="dxa"/>
          </w:tcPr>
          <w:p w14:paraId="632A8CE7" w14:textId="13D42619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0%</w:t>
            </w:r>
          </w:p>
        </w:tc>
        <w:tc>
          <w:tcPr>
            <w:tcW w:w="1869" w:type="dxa"/>
          </w:tcPr>
          <w:p w14:paraId="726C6151" w14:textId="79AF8BAE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5.9%</w:t>
            </w:r>
          </w:p>
        </w:tc>
        <w:tc>
          <w:tcPr>
            <w:tcW w:w="1703" w:type="dxa"/>
          </w:tcPr>
          <w:p w14:paraId="42DE53BE" w14:textId="0B6CD6DC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5.6%</w:t>
            </w:r>
          </w:p>
        </w:tc>
      </w:tr>
      <w:tr w:rsidR="00566E48" w:rsidRPr="00324774" w14:paraId="1C0C5AFF" w14:textId="77777777" w:rsidTr="005155C1">
        <w:tc>
          <w:tcPr>
            <w:tcW w:w="2275" w:type="dxa"/>
          </w:tcPr>
          <w:p w14:paraId="299802F6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applicants</w:t>
            </w:r>
          </w:p>
        </w:tc>
        <w:tc>
          <w:tcPr>
            <w:tcW w:w="1869" w:type="dxa"/>
          </w:tcPr>
          <w:p w14:paraId="47B66DC2" w14:textId="5FB7DFFC" w:rsidR="009941FC" w:rsidRPr="00324774" w:rsidRDefault="009941FC" w:rsidP="009941FC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0.6%</w:t>
            </w:r>
          </w:p>
        </w:tc>
        <w:tc>
          <w:tcPr>
            <w:tcW w:w="1634" w:type="dxa"/>
          </w:tcPr>
          <w:p w14:paraId="3C9D95E0" w14:textId="2F9C40F6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  <w:tc>
          <w:tcPr>
            <w:tcW w:w="1869" w:type="dxa"/>
          </w:tcPr>
          <w:p w14:paraId="048B8985" w14:textId="77C90547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1.1%</w:t>
            </w:r>
          </w:p>
        </w:tc>
        <w:tc>
          <w:tcPr>
            <w:tcW w:w="1703" w:type="dxa"/>
          </w:tcPr>
          <w:p w14:paraId="7827704E" w14:textId="369C7028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0.8%</w:t>
            </w:r>
          </w:p>
        </w:tc>
      </w:tr>
      <w:tr w:rsidR="00566E48" w:rsidRPr="00324774" w14:paraId="204B7293" w14:textId="77777777" w:rsidTr="005155C1">
        <w:tc>
          <w:tcPr>
            <w:tcW w:w="2275" w:type="dxa"/>
          </w:tcPr>
          <w:p w14:paraId="210BA974" w14:textId="53BF12F4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Persons with disabilities appointments</w:t>
            </w:r>
          </w:p>
        </w:tc>
        <w:tc>
          <w:tcPr>
            <w:tcW w:w="1869" w:type="dxa"/>
          </w:tcPr>
          <w:p w14:paraId="57707F30" w14:textId="02EA5AE6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</w:t>
            </w:r>
          </w:p>
        </w:tc>
        <w:tc>
          <w:tcPr>
            <w:tcW w:w="1634" w:type="dxa"/>
          </w:tcPr>
          <w:p w14:paraId="11CC292F" w14:textId="3B497B5A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0</w:t>
            </w:r>
          </w:p>
        </w:tc>
        <w:tc>
          <w:tcPr>
            <w:tcW w:w="1869" w:type="dxa"/>
          </w:tcPr>
          <w:p w14:paraId="6054B442" w14:textId="42EE4370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2.0%</w:t>
            </w:r>
          </w:p>
        </w:tc>
        <w:tc>
          <w:tcPr>
            <w:tcW w:w="1703" w:type="dxa"/>
          </w:tcPr>
          <w:p w14:paraId="4B914D33" w14:textId="2D6AE89F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1.9%</w:t>
            </w:r>
          </w:p>
        </w:tc>
      </w:tr>
      <w:tr w:rsidR="00566E48" w:rsidRPr="00324774" w14:paraId="4AD4068A" w14:textId="77777777" w:rsidTr="005155C1">
        <w:tc>
          <w:tcPr>
            <w:tcW w:w="2275" w:type="dxa"/>
          </w:tcPr>
          <w:p w14:paraId="09772B1A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applicants</w:t>
            </w:r>
          </w:p>
        </w:tc>
        <w:tc>
          <w:tcPr>
            <w:tcW w:w="1869" w:type="dxa"/>
          </w:tcPr>
          <w:p w14:paraId="3BBD32AD" w14:textId="05018571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26.9%</w:t>
            </w:r>
          </w:p>
        </w:tc>
        <w:tc>
          <w:tcPr>
            <w:tcW w:w="1634" w:type="dxa"/>
          </w:tcPr>
          <w:p w14:paraId="644DF375" w14:textId="15D9A200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28.0%</w:t>
            </w:r>
          </w:p>
        </w:tc>
        <w:tc>
          <w:tcPr>
            <w:tcW w:w="1869" w:type="dxa"/>
          </w:tcPr>
          <w:p w14:paraId="1D81BCD4" w14:textId="477A6339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28.0%</w:t>
            </w:r>
          </w:p>
        </w:tc>
        <w:tc>
          <w:tcPr>
            <w:tcW w:w="1703" w:type="dxa"/>
          </w:tcPr>
          <w:p w14:paraId="1535C505" w14:textId="1B5C2D93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27.5%</w:t>
            </w:r>
          </w:p>
        </w:tc>
      </w:tr>
      <w:tr w:rsidR="00566E48" w:rsidRPr="00324774" w14:paraId="2969E835" w14:textId="77777777" w:rsidTr="005155C1">
        <w:tc>
          <w:tcPr>
            <w:tcW w:w="2275" w:type="dxa"/>
          </w:tcPr>
          <w:p w14:paraId="430BBF0A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Visible minority appointments</w:t>
            </w:r>
          </w:p>
        </w:tc>
        <w:tc>
          <w:tcPr>
            <w:tcW w:w="1869" w:type="dxa"/>
          </w:tcPr>
          <w:p w14:paraId="34ACB37B" w14:textId="35628F42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33.3%</w:t>
            </w:r>
          </w:p>
        </w:tc>
        <w:tc>
          <w:tcPr>
            <w:tcW w:w="1634" w:type="dxa"/>
          </w:tcPr>
          <w:p w14:paraId="606E4F25" w14:textId="7D7356E1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32.4%</w:t>
            </w:r>
          </w:p>
        </w:tc>
        <w:tc>
          <w:tcPr>
            <w:tcW w:w="1869" w:type="dxa"/>
          </w:tcPr>
          <w:p w14:paraId="02DF3A01" w14:textId="419F6834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25.5%</w:t>
            </w:r>
          </w:p>
        </w:tc>
        <w:tc>
          <w:tcPr>
            <w:tcW w:w="1703" w:type="dxa"/>
          </w:tcPr>
          <w:p w14:paraId="48C0D9A2" w14:textId="6981F5F7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44.4%</w:t>
            </w:r>
          </w:p>
        </w:tc>
      </w:tr>
      <w:tr w:rsidR="00566E48" w:rsidRPr="00324774" w14:paraId="47CBF701" w14:textId="77777777" w:rsidTr="00CA0046">
        <w:trPr>
          <w:trHeight w:val="486"/>
        </w:trPr>
        <w:tc>
          <w:tcPr>
            <w:tcW w:w="2275" w:type="dxa"/>
          </w:tcPr>
          <w:p w14:paraId="5EFE0741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applicants</w:t>
            </w:r>
          </w:p>
        </w:tc>
        <w:tc>
          <w:tcPr>
            <w:tcW w:w="1869" w:type="dxa"/>
          </w:tcPr>
          <w:p w14:paraId="526925D3" w14:textId="77777777" w:rsidR="00566E48" w:rsidRPr="00324774" w:rsidRDefault="00566E48" w:rsidP="005155C1">
            <w:pPr>
              <w:jc w:val="right"/>
              <w:rPr>
                <w:lang w:val="en-CA"/>
              </w:rPr>
            </w:pPr>
          </w:p>
        </w:tc>
        <w:tc>
          <w:tcPr>
            <w:tcW w:w="1634" w:type="dxa"/>
          </w:tcPr>
          <w:p w14:paraId="26DCE7FF" w14:textId="106D5C19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40.2%</w:t>
            </w:r>
          </w:p>
        </w:tc>
        <w:tc>
          <w:tcPr>
            <w:tcW w:w="1869" w:type="dxa"/>
          </w:tcPr>
          <w:p w14:paraId="03BCDB09" w14:textId="723B5BC8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36.8%</w:t>
            </w:r>
          </w:p>
        </w:tc>
        <w:tc>
          <w:tcPr>
            <w:tcW w:w="1703" w:type="dxa"/>
          </w:tcPr>
          <w:p w14:paraId="7F2BA0FD" w14:textId="7072EBAC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38.8%</w:t>
            </w:r>
          </w:p>
        </w:tc>
      </w:tr>
      <w:tr w:rsidR="00566E48" w:rsidRPr="00324774" w14:paraId="40F5CE19" w14:textId="77777777" w:rsidTr="005155C1">
        <w:tc>
          <w:tcPr>
            <w:tcW w:w="2275" w:type="dxa"/>
          </w:tcPr>
          <w:p w14:paraId="76CFCD2F" w14:textId="77777777" w:rsidR="00566E48" w:rsidRPr="00324774" w:rsidRDefault="00566E48" w:rsidP="005155C1">
            <w:pPr>
              <w:rPr>
                <w:lang w:val="en-CA"/>
              </w:rPr>
            </w:pPr>
            <w:r w:rsidRPr="00324774">
              <w:rPr>
                <w:lang w:val="en-CA"/>
              </w:rPr>
              <w:t>Women appointments</w:t>
            </w:r>
          </w:p>
        </w:tc>
        <w:tc>
          <w:tcPr>
            <w:tcW w:w="1869" w:type="dxa"/>
          </w:tcPr>
          <w:p w14:paraId="1CFF6C87" w14:textId="03C80E2A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44.4%</w:t>
            </w:r>
          </w:p>
        </w:tc>
        <w:tc>
          <w:tcPr>
            <w:tcW w:w="1634" w:type="dxa"/>
          </w:tcPr>
          <w:p w14:paraId="0DF3329D" w14:textId="2CD40B4B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38.2%</w:t>
            </w:r>
          </w:p>
        </w:tc>
        <w:tc>
          <w:tcPr>
            <w:tcW w:w="1869" w:type="dxa"/>
          </w:tcPr>
          <w:p w14:paraId="45E97405" w14:textId="5DC21243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49.0%</w:t>
            </w:r>
          </w:p>
        </w:tc>
        <w:tc>
          <w:tcPr>
            <w:tcW w:w="1703" w:type="dxa"/>
          </w:tcPr>
          <w:p w14:paraId="2814CC7E" w14:textId="79438242" w:rsidR="00566E48" w:rsidRPr="00324774" w:rsidRDefault="009941FC" w:rsidP="005155C1">
            <w:pPr>
              <w:jc w:val="right"/>
              <w:rPr>
                <w:lang w:val="en-CA"/>
              </w:rPr>
            </w:pPr>
            <w:r w:rsidRPr="00324774">
              <w:rPr>
                <w:lang w:val="en-CA"/>
              </w:rPr>
              <w:t>45.4%</w:t>
            </w:r>
          </w:p>
        </w:tc>
      </w:tr>
    </w:tbl>
    <w:p w14:paraId="3ECAEAAB" w14:textId="77777777" w:rsidR="00566E48" w:rsidRPr="00324774" w:rsidRDefault="00566E48" w:rsidP="00A82DD5">
      <w:pPr>
        <w:rPr>
          <w:lang w:val="en-CA"/>
        </w:rPr>
      </w:pPr>
    </w:p>
    <w:sectPr w:rsidR="00566E48" w:rsidRPr="00324774" w:rsidSect="00DE7DAD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1440" w:bottom="1985" w:left="1440" w:header="709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3B3EE" w14:textId="77777777" w:rsidR="003A34A2" w:rsidRDefault="003A34A2" w:rsidP="00A2240C">
      <w:r>
        <w:separator/>
      </w:r>
    </w:p>
  </w:endnote>
  <w:endnote w:type="continuationSeparator" w:id="0">
    <w:p w14:paraId="126ADCA9" w14:textId="77777777" w:rsidR="003A34A2" w:rsidRDefault="003A34A2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0B9E4" w14:textId="77777777" w:rsidR="00646A04" w:rsidRDefault="00646A04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0F3D6630" wp14:editId="4186069F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527" name="Picture 5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697">
          <w:rPr>
            <w:noProof/>
          </w:rPr>
          <w:t>1</w:t>
        </w:r>
        <w:r>
          <w:rPr>
            <w:noProof/>
          </w:rPr>
          <w:fldChar w:fldCharType="end"/>
        </w:r>
      </w:p>
      <w:p w14:paraId="46482A28" w14:textId="77777777" w:rsidR="00646A04" w:rsidRDefault="00324774" w:rsidP="00A2240C">
        <w:pPr>
          <w:pStyle w:val="Footer"/>
        </w:pPr>
      </w:p>
    </w:sdtContent>
  </w:sdt>
  <w:p w14:paraId="59862190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D2AF" w14:textId="11EAA4B1" w:rsidR="00CB0ADE" w:rsidRPr="00143EF4" w:rsidRDefault="00CB0ADE" w:rsidP="00A2240C">
    <w:pPr>
      <w:pStyle w:val="Footer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DB8CAAB" wp14:editId="7BC0CDC1">
          <wp:simplePos x="0" y="0"/>
          <wp:positionH relativeFrom="column">
            <wp:posOffset>-967563</wp:posOffset>
          </wp:positionH>
          <wp:positionV relativeFrom="page">
            <wp:posOffset>9388549</wp:posOffset>
          </wp:positionV>
          <wp:extent cx="7830000" cy="643620"/>
          <wp:effectExtent l="0" t="0" r="0" b="4445"/>
          <wp:wrapNone/>
          <wp:docPr id="528" name="Picture 5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000" cy="6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 w:rsidRPr="00143EF4">
      <w:rPr>
        <w:lang w:val="en-CA"/>
      </w:rPr>
      <w:instrText xml:space="preserve"> PAGE   \* MERGEFORMAT </w:instrText>
    </w:r>
    <w:r>
      <w:fldChar w:fldCharType="separate"/>
    </w:r>
    <w:r w:rsidR="00324774">
      <w:rPr>
        <w:noProof/>
        <w:lang w:val="en-CA"/>
      </w:rPr>
      <w:t>12</w:t>
    </w:r>
    <w:r>
      <w:rPr>
        <w:noProof/>
      </w:rPr>
      <w:fldChar w:fldCharType="end"/>
    </w:r>
    <w:r w:rsidRPr="00143EF4">
      <w:rPr>
        <w:noProof/>
        <w:lang w:val="en-CA"/>
      </w:rPr>
      <w:t xml:space="preserve"> </w:t>
    </w:r>
    <w:r w:rsidR="00067BCD" w:rsidRPr="00143EF4">
      <w:rPr>
        <w:noProof/>
        <w:lang w:val="en-CA"/>
      </w:rPr>
      <w:t>–</w:t>
    </w:r>
    <w:r w:rsidR="00332C01">
      <w:rPr>
        <w:noProof/>
        <w:lang w:val="en-CA"/>
      </w:rPr>
      <w:t xml:space="preserve"> </w:t>
    </w:r>
    <w:r w:rsidR="00143EF4" w:rsidRPr="00143EF4">
      <w:rPr>
        <w:lang w:val="en-CA"/>
      </w:rPr>
      <w:t>Public Service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8EB5" w14:textId="0D40F7D4" w:rsidR="0010662E" w:rsidRPr="00C67BFD" w:rsidRDefault="00C67BFD" w:rsidP="00C67BFD">
    <w:pPr>
      <w:rPr>
        <w:color w:val="auto"/>
      </w:rPr>
    </w:pPr>
    <w:r w:rsidRPr="002730C9">
      <w:rPr>
        <w:color w:val="auto"/>
      </w:rPr>
      <w:t xml:space="preserve">Last Update: </w:t>
    </w:r>
    <w:proofErr w:type="spellStart"/>
    <w:r>
      <w:rPr>
        <w:color w:val="auto"/>
      </w:rPr>
      <w:t>November</w:t>
    </w:r>
    <w:proofErr w:type="spellEnd"/>
    <w:r w:rsidRPr="002730C9">
      <w:rPr>
        <w:color w:val="auto"/>
      </w:rPr>
      <w:t xml:space="preserve"> </w:t>
    </w:r>
    <w:r>
      <w:rPr>
        <w:color w:val="auto"/>
      </w:rPr>
      <w:t>18</w:t>
    </w:r>
    <w:r w:rsidRPr="002730C9">
      <w:rPr>
        <w:color w:val="auto"/>
      </w:rPr>
      <w:t xml:space="preserve">, 2020 / </w:t>
    </w:r>
    <w:proofErr w:type="spellStart"/>
    <w:r w:rsidRPr="002730C9">
      <w:rPr>
        <w:color w:val="auto"/>
      </w:rPr>
      <w:t>GCDocs</w:t>
    </w:r>
    <w:proofErr w:type="spellEnd"/>
    <w:r w:rsidRPr="002730C9">
      <w:rPr>
        <w:color w:val="auto"/>
      </w:rPr>
      <w:t xml:space="preserve"> # </w:t>
    </w:r>
    <w:r w:rsidRPr="00B53086">
      <w:rPr>
        <w:color w:val="auto"/>
      </w:rPr>
      <w:t>10893360</w:t>
    </w:r>
    <w:r w:rsidR="0010662E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ADC6C08" wp14:editId="2C126B55">
          <wp:simplePos x="0" y="0"/>
          <wp:positionH relativeFrom="column">
            <wp:posOffset>-892175</wp:posOffset>
          </wp:positionH>
          <wp:positionV relativeFrom="page">
            <wp:posOffset>5787228</wp:posOffset>
          </wp:positionV>
          <wp:extent cx="7800212" cy="3891600"/>
          <wp:effectExtent l="0" t="0" r="0" b="0"/>
          <wp:wrapNone/>
          <wp:docPr id="530" name="Picture 53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Footer-colo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2" cy="38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1DB93" w14:textId="77777777" w:rsidR="003A34A2" w:rsidRDefault="003A34A2" w:rsidP="00A2240C">
      <w:r>
        <w:separator/>
      </w:r>
    </w:p>
  </w:footnote>
  <w:footnote w:type="continuationSeparator" w:id="0">
    <w:p w14:paraId="7F8CBECC" w14:textId="77777777" w:rsidR="003A34A2" w:rsidRDefault="003A34A2" w:rsidP="00A2240C">
      <w:r>
        <w:continuationSeparator/>
      </w:r>
    </w:p>
  </w:footnote>
  <w:footnote w:id="1">
    <w:p w14:paraId="1BFDF761" w14:textId="59030660" w:rsidR="006B00B1" w:rsidRPr="00F67801" w:rsidRDefault="006B00B1" w:rsidP="006B00B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F67801">
        <w:rPr>
          <w:lang w:val="en-CA"/>
        </w:rPr>
        <w:t xml:space="preserve"> </w:t>
      </w:r>
      <w:r>
        <w:rPr>
          <w:lang w:val="en-CA"/>
        </w:rPr>
        <w:t>Trends for other employment equity groups are available in Annex A.</w:t>
      </w:r>
    </w:p>
  </w:footnote>
  <w:footnote w:id="2">
    <w:p w14:paraId="28D87B81" w14:textId="77777777" w:rsidR="00976087" w:rsidRPr="00AF0ECA" w:rsidRDefault="00976087" w:rsidP="0097608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AF0ECA">
        <w:rPr>
          <w:lang w:val="en-CA"/>
        </w:rPr>
        <w:t xml:space="preserve"> </w:t>
      </w:r>
      <w:r>
        <w:rPr>
          <w:lang w:val="en-CA"/>
        </w:rPr>
        <w:t>Individuals are given four options when providing information on their citizenship status when applying to federal public service jobs: Canadian Citizen, Permanent Resident, Work Permit, and Other.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BDA59" w14:textId="77777777" w:rsidR="0010662E" w:rsidRDefault="0010662E" w:rsidP="00A2240C">
    <w:pPr>
      <w:pStyle w:val="Header"/>
    </w:pPr>
    <w:r>
      <w:rPr>
        <w:noProof/>
        <w:lang w:val="en-CA" w:eastAsia="en-CA"/>
      </w:rPr>
      <w:drawing>
        <wp:inline distT="0" distB="0" distL="0" distR="0" wp14:anchorId="55D62F7F" wp14:editId="43FF95A0">
          <wp:extent cx="4510800" cy="267086"/>
          <wp:effectExtent l="0" t="0" r="0" b="0"/>
          <wp:docPr id="529" name="Picture 52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C8"/>
    <w:multiLevelType w:val="hybridMultilevel"/>
    <w:tmpl w:val="E6120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4E9D"/>
    <w:multiLevelType w:val="hybridMultilevel"/>
    <w:tmpl w:val="5F2A6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D72"/>
    <w:multiLevelType w:val="hybridMultilevel"/>
    <w:tmpl w:val="8222F396"/>
    <w:lvl w:ilvl="0" w:tplc="10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0E951543"/>
    <w:multiLevelType w:val="hybridMultilevel"/>
    <w:tmpl w:val="DA126D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B4851"/>
    <w:multiLevelType w:val="hybridMultilevel"/>
    <w:tmpl w:val="41C6BA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F182C"/>
    <w:multiLevelType w:val="hybridMultilevel"/>
    <w:tmpl w:val="43CE8E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F6"/>
    <w:multiLevelType w:val="hybridMultilevel"/>
    <w:tmpl w:val="DB746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C"/>
    <w:multiLevelType w:val="hybridMultilevel"/>
    <w:tmpl w:val="47421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0748"/>
    <w:multiLevelType w:val="hybridMultilevel"/>
    <w:tmpl w:val="FDF6665A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216618F"/>
    <w:multiLevelType w:val="hybridMultilevel"/>
    <w:tmpl w:val="F7ECD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C3C24"/>
    <w:multiLevelType w:val="hybridMultilevel"/>
    <w:tmpl w:val="C24A0D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43739"/>
    <w:multiLevelType w:val="hybridMultilevel"/>
    <w:tmpl w:val="642454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E6E6B"/>
    <w:multiLevelType w:val="hybridMultilevel"/>
    <w:tmpl w:val="8EDAC9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A3B5D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70022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A4DF5"/>
    <w:multiLevelType w:val="hybridMultilevel"/>
    <w:tmpl w:val="94AE4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16CBA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3546F"/>
    <w:multiLevelType w:val="hybridMultilevel"/>
    <w:tmpl w:val="DF986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E5BA4"/>
    <w:multiLevelType w:val="hybridMultilevel"/>
    <w:tmpl w:val="DAD60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E1E"/>
    <w:multiLevelType w:val="hybridMultilevel"/>
    <w:tmpl w:val="2040BF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402F4"/>
    <w:multiLevelType w:val="hybridMultilevel"/>
    <w:tmpl w:val="F7CCE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27B3"/>
    <w:multiLevelType w:val="hybridMultilevel"/>
    <w:tmpl w:val="583EA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53FD7"/>
    <w:multiLevelType w:val="hybridMultilevel"/>
    <w:tmpl w:val="CEF06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E637B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52E4E"/>
    <w:multiLevelType w:val="hybridMultilevel"/>
    <w:tmpl w:val="36A4A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9272B9"/>
    <w:multiLevelType w:val="hybridMultilevel"/>
    <w:tmpl w:val="F176F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8799B"/>
    <w:multiLevelType w:val="hybridMultilevel"/>
    <w:tmpl w:val="E69A4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6DB"/>
    <w:multiLevelType w:val="hybridMultilevel"/>
    <w:tmpl w:val="7D56AB5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424816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220E4"/>
    <w:multiLevelType w:val="hybridMultilevel"/>
    <w:tmpl w:val="31A27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4"/>
  </w:num>
  <w:num w:numId="5">
    <w:abstractNumId w:val="12"/>
  </w:num>
  <w:num w:numId="6">
    <w:abstractNumId w:val="29"/>
  </w:num>
  <w:num w:numId="7">
    <w:abstractNumId w:val="3"/>
  </w:num>
  <w:num w:numId="8">
    <w:abstractNumId w:val="4"/>
  </w:num>
  <w:num w:numId="9">
    <w:abstractNumId w:val="1"/>
  </w:num>
  <w:num w:numId="10">
    <w:abstractNumId w:val="15"/>
  </w:num>
  <w:num w:numId="11">
    <w:abstractNumId w:val="30"/>
  </w:num>
  <w:num w:numId="12">
    <w:abstractNumId w:val="25"/>
  </w:num>
  <w:num w:numId="13">
    <w:abstractNumId w:val="17"/>
  </w:num>
  <w:num w:numId="14">
    <w:abstractNumId w:val="14"/>
  </w:num>
  <w:num w:numId="15">
    <w:abstractNumId w:val="11"/>
  </w:num>
  <w:num w:numId="16">
    <w:abstractNumId w:val="31"/>
  </w:num>
  <w:num w:numId="17">
    <w:abstractNumId w:val="19"/>
  </w:num>
  <w:num w:numId="18">
    <w:abstractNumId w:val="27"/>
  </w:num>
  <w:num w:numId="19">
    <w:abstractNumId w:val="5"/>
  </w:num>
  <w:num w:numId="20">
    <w:abstractNumId w:val="16"/>
  </w:num>
  <w:num w:numId="21">
    <w:abstractNumId w:val="20"/>
  </w:num>
  <w:num w:numId="22">
    <w:abstractNumId w:val="8"/>
  </w:num>
  <w:num w:numId="23">
    <w:abstractNumId w:val="10"/>
  </w:num>
  <w:num w:numId="24">
    <w:abstractNumId w:val="9"/>
  </w:num>
  <w:num w:numId="25">
    <w:abstractNumId w:val="26"/>
  </w:num>
  <w:num w:numId="26">
    <w:abstractNumId w:val="21"/>
  </w:num>
  <w:num w:numId="27">
    <w:abstractNumId w:val="13"/>
  </w:num>
  <w:num w:numId="28">
    <w:abstractNumId w:val="0"/>
  </w:num>
  <w:num w:numId="29">
    <w:abstractNumId w:val="22"/>
  </w:num>
  <w:num w:numId="30">
    <w:abstractNumId w:val="2"/>
  </w:num>
  <w:num w:numId="31">
    <w:abstractNumId w:val="2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11"/>
    <w:rsid w:val="000046AD"/>
    <w:rsid w:val="00005B71"/>
    <w:rsid w:val="00011FB4"/>
    <w:rsid w:val="00014625"/>
    <w:rsid w:val="00017444"/>
    <w:rsid w:val="0001777C"/>
    <w:rsid w:val="0002601E"/>
    <w:rsid w:val="000301C3"/>
    <w:rsid w:val="0003304B"/>
    <w:rsid w:val="00033F0B"/>
    <w:rsid w:val="00035642"/>
    <w:rsid w:val="00037567"/>
    <w:rsid w:val="0003764E"/>
    <w:rsid w:val="00043FE5"/>
    <w:rsid w:val="00044C18"/>
    <w:rsid w:val="00044DED"/>
    <w:rsid w:val="000539F9"/>
    <w:rsid w:val="00055211"/>
    <w:rsid w:val="0006067E"/>
    <w:rsid w:val="00061060"/>
    <w:rsid w:val="00064415"/>
    <w:rsid w:val="00066924"/>
    <w:rsid w:val="00067486"/>
    <w:rsid w:val="00067BCD"/>
    <w:rsid w:val="00070197"/>
    <w:rsid w:val="0007165F"/>
    <w:rsid w:val="00071F97"/>
    <w:rsid w:val="00072566"/>
    <w:rsid w:val="00074670"/>
    <w:rsid w:val="000841D5"/>
    <w:rsid w:val="00085DF6"/>
    <w:rsid w:val="000911AB"/>
    <w:rsid w:val="0009392B"/>
    <w:rsid w:val="000A6750"/>
    <w:rsid w:val="000A7BE7"/>
    <w:rsid w:val="000B5C78"/>
    <w:rsid w:val="000B7D89"/>
    <w:rsid w:val="000C19EC"/>
    <w:rsid w:val="000D35A9"/>
    <w:rsid w:val="000D5805"/>
    <w:rsid w:val="000D676E"/>
    <w:rsid w:val="000E1CAB"/>
    <w:rsid w:val="000F4F85"/>
    <w:rsid w:val="000F72A7"/>
    <w:rsid w:val="00100530"/>
    <w:rsid w:val="001037ED"/>
    <w:rsid w:val="001044A0"/>
    <w:rsid w:val="0010662E"/>
    <w:rsid w:val="00114459"/>
    <w:rsid w:val="0011577E"/>
    <w:rsid w:val="001160D3"/>
    <w:rsid w:val="001167AF"/>
    <w:rsid w:val="0013187A"/>
    <w:rsid w:val="001357C7"/>
    <w:rsid w:val="00143AEE"/>
    <w:rsid w:val="00143EF4"/>
    <w:rsid w:val="00144747"/>
    <w:rsid w:val="001452B1"/>
    <w:rsid w:val="00150A1A"/>
    <w:rsid w:val="001578F2"/>
    <w:rsid w:val="0016486C"/>
    <w:rsid w:val="0016708B"/>
    <w:rsid w:val="001703E1"/>
    <w:rsid w:val="00171A52"/>
    <w:rsid w:val="00182827"/>
    <w:rsid w:val="0018393D"/>
    <w:rsid w:val="00183E24"/>
    <w:rsid w:val="00185D73"/>
    <w:rsid w:val="00186646"/>
    <w:rsid w:val="00190490"/>
    <w:rsid w:val="00191B91"/>
    <w:rsid w:val="0019410D"/>
    <w:rsid w:val="00196C49"/>
    <w:rsid w:val="001B0DF8"/>
    <w:rsid w:val="001B6202"/>
    <w:rsid w:val="001B66D3"/>
    <w:rsid w:val="001C0C8F"/>
    <w:rsid w:val="001C1DA9"/>
    <w:rsid w:val="001C2C34"/>
    <w:rsid w:val="001C4301"/>
    <w:rsid w:val="001D2835"/>
    <w:rsid w:val="001D2C95"/>
    <w:rsid w:val="001E059A"/>
    <w:rsid w:val="001E53A9"/>
    <w:rsid w:val="002029F1"/>
    <w:rsid w:val="002038F6"/>
    <w:rsid w:val="0020443D"/>
    <w:rsid w:val="002045DF"/>
    <w:rsid w:val="002054FE"/>
    <w:rsid w:val="002056B7"/>
    <w:rsid w:val="00206F82"/>
    <w:rsid w:val="00207FDA"/>
    <w:rsid w:val="002105CA"/>
    <w:rsid w:val="002116E1"/>
    <w:rsid w:val="00212B04"/>
    <w:rsid w:val="00221167"/>
    <w:rsid w:val="00222D81"/>
    <w:rsid w:val="0022373C"/>
    <w:rsid w:val="00223FF2"/>
    <w:rsid w:val="00227A72"/>
    <w:rsid w:val="0023379D"/>
    <w:rsid w:val="002349C3"/>
    <w:rsid w:val="00237B91"/>
    <w:rsid w:val="00240255"/>
    <w:rsid w:val="002425EA"/>
    <w:rsid w:val="00243374"/>
    <w:rsid w:val="0024647A"/>
    <w:rsid w:val="00247D7B"/>
    <w:rsid w:val="00254D39"/>
    <w:rsid w:val="00254ECB"/>
    <w:rsid w:val="002564F1"/>
    <w:rsid w:val="002567BE"/>
    <w:rsid w:val="00257206"/>
    <w:rsid w:val="0026150F"/>
    <w:rsid w:val="0026183E"/>
    <w:rsid w:val="0026195F"/>
    <w:rsid w:val="0026497D"/>
    <w:rsid w:val="00266411"/>
    <w:rsid w:val="002669DD"/>
    <w:rsid w:val="00267BAB"/>
    <w:rsid w:val="002715A6"/>
    <w:rsid w:val="002730C9"/>
    <w:rsid w:val="002769F1"/>
    <w:rsid w:val="002810E2"/>
    <w:rsid w:val="00283A33"/>
    <w:rsid w:val="002849CC"/>
    <w:rsid w:val="00285819"/>
    <w:rsid w:val="00296B68"/>
    <w:rsid w:val="002A0213"/>
    <w:rsid w:val="002A1BD4"/>
    <w:rsid w:val="002A22DA"/>
    <w:rsid w:val="002A523B"/>
    <w:rsid w:val="002A7785"/>
    <w:rsid w:val="002B0264"/>
    <w:rsid w:val="002B46D6"/>
    <w:rsid w:val="002D0E0E"/>
    <w:rsid w:val="002D228F"/>
    <w:rsid w:val="002D43F4"/>
    <w:rsid w:val="002D6960"/>
    <w:rsid w:val="002E0490"/>
    <w:rsid w:val="002E50F6"/>
    <w:rsid w:val="002F0DBB"/>
    <w:rsid w:val="002F12C8"/>
    <w:rsid w:val="002F1E1A"/>
    <w:rsid w:val="00301027"/>
    <w:rsid w:val="00312962"/>
    <w:rsid w:val="00312992"/>
    <w:rsid w:val="00312CDB"/>
    <w:rsid w:val="00313348"/>
    <w:rsid w:val="00321FDE"/>
    <w:rsid w:val="003231AA"/>
    <w:rsid w:val="00324774"/>
    <w:rsid w:val="00332C01"/>
    <w:rsid w:val="00334E9F"/>
    <w:rsid w:val="00343000"/>
    <w:rsid w:val="00350CE8"/>
    <w:rsid w:val="00360856"/>
    <w:rsid w:val="003618EC"/>
    <w:rsid w:val="00362AB8"/>
    <w:rsid w:val="00364FBB"/>
    <w:rsid w:val="00374BBB"/>
    <w:rsid w:val="003761CB"/>
    <w:rsid w:val="00377B7A"/>
    <w:rsid w:val="003802AD"/>
    <w:rsid w:val="003805BD"/>
    <w:rsid w:val="00384BE6"/>
    <w:rsid w:val="003869B6"/>
    <w:rsid w:val="00395AE6"/>
    <w:rsid w:val="003961AE"/>
    <w:rsid w:val="0039690A"/>
    <w:rsid w:val="003A34A2"/>
    <w:rsid w:val="003A775E"/>
    <w:rsid w:val="003A77AC"/>
    <w:rsid w:val="003B227A"/>
    <w:rsid w:val="003B3DBC"/>
    <w:rsid w:val="003B6E72"/>
    <w:rsid w:val="003C0C34"/>
    <w:rsid w:val="003C1CFF"/>
    <w:rsid w:val="003C661E"/>
    <w:rsid w:val="003C6D70"/>
    <w:rsid w:val="003C7C07"/>
    <w:rsid w:val="003D7546"/>
    <w:rsid w:val="003E0308"/>
    <w:rsid w:val="003F1EFF"/>
    <w:rsid w:val="003F1F30"/>
    <w:rsid w:val="003F2AF9"/>
    <w:rsid w:val="003F3512"/>
    <w:rsid w:val="003F6F61"/>
    <w:rsid w:val="003F7E7B"/>
    <w:rsid w:val="003F7F8A"/>
    <w:rsid w:val="0040269A"/>
    <w:rsid w:val="00403DCD"/>
    <w:rsid w:val="00412BF2"/>
    <w:rsid w:val="00415275"/>
    <w:rsid w:val="00415499"/>
    <w:rsid w:val="00416759"/>
    <w:rsid w:val="004217DE"/>
    <w:rsid w:val="00422FDD"/>
    <w:rsid w:val="00427E24"/>
    <w:rsid w:val="004320EB"/>
    <w:rsid w:val="00435AB2"/>
    <w:rsid w:val="00435E41"/>
    <w:rsid w:val="004420C1"/>
    <w:rsid w:val="00455836"/>
    <w:rsid w:val="00461A95"/>
    <w:rsid w:val="00461B0E"/>
    <w:rsid w:val="004650F0"/>
    <w:rsid w:val="0046539C"/>
    <w:rsid w:val="00465642"/>
    <w:rsid w:val="0047199D"/>
    <w:rsid w:val="004731F2"/>
    <w:rsid w:val="00483764"/>
    <w:rsid w:val="00484C35"/>
    <w:rsid w:val="00492220"/>
    <w:rsid w:val="00495C88"/>
    <w:rsid w:val="00495EB6"/>
    <w:rsid w:val="004A23E6"/>
    <w:rsid w:val="004A586B"/>
    <w:rsid w:val="004B1D1C"/>
    <w:rsid w:val="004B27EE"/>
    <w:rsid w:val="004B4648"/>
    <w:rsid w:val="004B6D69"/>
    <w:rsid w:val="004C1C36"/>
    <w:rsid w:val="004C4663"/>
    <w:rsid w:val="004C4EC5"/>
    <w:rsid w:val="004D13EB"/>
    <w:rsid w:val="004E2B62"/>
    <w:rsid w:val="004E6EB8"/>
    <w:rsid w:val="004F0466"/>
    <w:rsid w:val="004F26B1"/>
    <w:rsid w:val="004F34FF"/>
    <w:rsid w:val="004F66FD"/>
    <w:rsid w:val="004F784E"/>
    <w:rsid w:val="00500F20"/>
    <w:rsid w:val="00502350"/>
    <w:rsid w:val="00505B79"/>
    <w:rsid w:val="005115DE"/>
    <w:rsid w:val="00513482"/>
    <w:rsid w:val="00516EF0"/>
    <w:rsid w:val="00521765"/>
    <w:rsid w:val="00523B62"/>
    <w:rsid w:val="00524F35"/>
    <w:rsid w:val="005270A5"/>
    <w:rsid w:val="00530A1F"/>
    <w:rsid w:val="00532560"/>
    <w:rsid w:val="005355E2"/>
    <w:rsid w:val="00535C4F"/>
    <w:rsid w:val="00536904"/>
    <w:rsid w:val="0053783D"/>
    <w:rsid w:val="00561049"/>
    <w:rsid w:val="00562211"/>
    <w:rsid w:val="00563956"/>
    <w:rsid w:val="00563D9E"/>
    <w:rsid w:val="00564610"/>
    <w:rsid w:val="00566092"/>
    <w:rsid w:val="00566E48"/>
    <w:rsid w:val="00570F9A"/>
    <w:rsid w:val="0057119C"/>
    <w:rsid w:val="005729DA"/>
    <w:rsid w:val="0057552A"/>
    <w:rsid w:val="00576805"/>
    <w:rsid w:val="00582374"/>
    <w:rsid w:val="0058460E"/>
    <w:rsid w:val="00585250"/>
    <w:rsid w:val="00590742"/>
    <w:rsid w:val="0059104E"/>
    <w:rsid w:val="005914D9"/>
    <w:rsid w:val="00596B8D"/>
    <w:rsid w:val="005A1F0C"/>
    <w:rsid w:val="005A2D6A"/>
    <w:rsid w:val="005A715B"/>
    <w:rsid w:val="005A7E6D"/>
    <w:rsid w:val="005B32FF"/>
    <w:rsid w:val="005B3839"/>
    <w:rsid w:val="005C2ED0"/>
    <w:rsid w:val="005C5B54"/>
    <w:rsid w:val="005C5B8A"/>
    <w:rsid w:val="005C6036"/>
    <w:rsid w:val="005C7AFF"/>
    <w:rsid w:val="005D0D47"/>
    <w:rsid w:val="005D47CE"/>
    <w:rsid w:val="005E0F15"/>
    <w:rsid w:val="005E1636"/>
    <w:rsid w:val="005E4D17"/>
    <w:rsid w:val="005F4D94"/>
    <w:rsid w:val="005F6E9E"/>
    <w:rsid w:val="005F7274"/>
    <w:rsid w:val="005F7F63"/>
    <w:rsid w:val="006008EF"/>
    <w:rsid w:val="00602718"/>
    <w:rsid w:val="00603D75"/>
    <w:rsid w:val="00605D03"/>
    <w:rsid w:val="006071D3"/>
    <w:rsid w:val="00613963"/>
    <w:rsid w:val="00614133"/>
    <w:rsid w:val="00617C67"/>
    <w:rsid w:val="00620A06"/>
    <w:rsid w:val="00621664"/>
    <w:rsid w:val="00621A55"/>
    <w:rsid w:val="006263CB"/>
    <w:rsid w:val="006278C1"/>
    <w:rsid w:val="00633964"/>
    <w:rsid w:val="006353B8"/>
    <w:rsid w:val="006361A0"/>
    <w:rsid w:val="00636C82"/>
    <w:rsid w:val="00637B82"/>
    <w:rsid w:val="0064486C"/>
    <w:rsid w:val="00646A04"/>
    <w:rsid w:val="00651EF8"/>
    <w:rsid w:val="00652638"/>
    <w:rsid w:val="00655846"/>
    <w:rsid w:val="00663994"/>
    <w:rsid w:val="00665D35"/>
    <w:rsid w:val="00684FF4"/>
    <w:rsid w:val="00686B7E"/>
    <w:rsid w:val="0068742D"/>
    <w:rsid w:val="006874F6"/>
    <w:rsid w:val="006926B2"/>
    <w:rsid w:val="00693CEB"/>
    <w:rsid w:val="006A0724"/>
    <w:rsid w:val="006A1AF8"/>
    <w:rsid w:val="006A5688"/>
    <w:rsid w:val="006A5786"/>
    <w:rsid w:val="006A5EA7"/>
    <w:rsid w:val="006B00B1"/>
    <w:rsid w:val="006B0D9F"/>
    <w:rsid w:val="006B396C"/>
    <w:rsid w:val="006C11AA"/>
    <w:rsid w:val="006C4059"/>
    <w:rsid w:val="006C652D"/>
    <w:rsid w:val="006D0722"/>
    <w:rsid w:val="006D0E60"/>
    <w:rsid w:val="006D2238"/>
    <w:rsid w:val="006E05F7"/>
    <w:rsid w:val="006E0DB6"/>
    <w:rsid w:val="006E432F"/>
    <w:rsid w:val="006E4533"/>
    <w:rsid w:val="006E51E1"/>
    <w:rsid w:val="006E7C30"/>
    <w:rsid w:val="006F1B05"/>
    <w:rsid w:val="006F5820"/>
    <w:rsid w:val="0072068A"/>
    <w:rsid w:val="007273F1"/>
    <w:rsid w:val="007306A1"/>
    <w:rsid w:val="0073083E"/>
    <w:rsid w:val="007347F7"/>
    <w:rsid w:val="00734CF4"/>
    <w:rsid w:val="00735061"/>
    <w:rsid w:val="007374E6"/>
    <w:rsid w:val="00743E10"/>
    <w:rsid w:val="007477F5"/>
    <w:rsid w:val="007521EB"/>
    <w:rsid w:val="007563A2"/>
    <w:rsid w:val="00756722"/>
    <w:rsid w:val="007620E1"/>
    <w:rsid w:val="00764ABA"/>
    <w:rsid w:val="00766634"/>
    <w:rsid w:val="00771E83"/>
    <w:rsid w:val="00772303"/>
    <w:rsid w:val="00772C4B"/>
    <w:rsid w:val="00781132"/>
    <w:rsid w:val="00781E61"/>
    <w:rsid w:val="00783724"/>
    <w:rsid w:val="00785E32"/>
    <w:rsid w:val="00796578"/>
    <w:rsid w:val="007A0D7E"/>
    <w:rsid w:val="007A1348"/>
    <w:rsid w:val="007A1CA2"/>
    <w:rsid w:val="007A1F06"/>
    <w:rsid w:val="007A5042"/>
    <w:rsid w:val="007A5149"/>
    <w:rsid w:val="007B2B6E"/>
    <w:rsid w:val="007B3EA3"/>
    <w:rsid w:val="007B582D"/>
    <w:rsid w:val="007B68CC"/>
    <w:rsid w:val="007C60BF"/>
    <w:rsid w:val="007C71FF"/>
    <w:rsid w:val="007D0EE8"/>
    <w:rsid w:val="007D1B2A"/>
    <w:rsid w:val="007E0F57"/>
    <w:rsid w:val="007E176D"/>
    <w:rsid w:val="007E2755"/>
    <w:rsid w:val="007E5403"/>
    <w:rsid w:val="007F53F3"/>
    <w:rsid w:val="007F6893"/>
    <w:rsid w:val="007F7FEC"/>
    <w:rsid w:val="008008AA"/>
    <w:rsid w:val="00802F0C"/>
    <w:rsid w:val="008060EB"/>
    <w:rsid w:val="0081155A"/>
    <w:rsid w:val="00812A5B"/>
    <w:rsid w:val="00813D63"/>
    <w:rsid w:val="008168A9"/>
    <w:rsid w:val="0082015A"/>
    <w:rsid w:val="0082138A"/>
    <w:rsid w:val="0082385E"/>
    <w:rsid w:val="00826F04"/>
    <w:rsid w:val="00827750"/>
    <w:rsid w:val="00830975"/>
    <w:rsid w:val="008328AD"/>
    <w:rsid w:val="00833993"/>
    <w:rsid w:val="00834A39"/>
    <w:rsid w:val="00837D32"/>
    <w:rsid w:val="00840073"/>
    <w:rsid w:val="008440C2"/>
    <w:rsid w:val="00847127"/>
    <w:rsid w:val="008506E0"/>
    <w:rsid w:val="008519E0"/>
    <w:rsid w:val="00862791"/>
    <w:rsid w:val="0086406D"/>
    <w:rsid w:val="00864358"/>
    <w:rsid w:val="00866947"/>
    <w:rsid w:val="00873089"/>
    <w:rsid w:val="008763E2"/>
    <w:rsid w:val="00876D6D"/>
    <w:rsid w:val="00891B92"/>
    <w:rsid w:val="00894E9D"/>
    <w:rsid w:val="008A0AC0"/>
    <w:rsid w:val="008B29BB"/>
    <w:rsid w:val="008B45A0"/>
    <w:rsid w:val="008C20BE"/>
    <w:rsid w:val="008C3C4D"/>
    <w:rsid w:val="008C4105"/>
    <w:rsid w:val="008D0DB7"/>
    <w:rsid w:val="008D4B99"/>
    <w:rsid w:val="008D7414"/>
    <w:rsid w:val="008D7CC1"/>
    <w:rsid w:val="008E3691"/>
    <w:rsid w:val="008E480A"/>
    <w:rsid w:val="008E6393"/>
    <w:rsid w:val="008F2226"/>
    <w:rsid w:val="008F58D7"/>
    <w:rsid w:val="008F6445"/>
    <w:rsid w:val="00900333"/>
    <w:rsid w:val="00900793"/>
    <w:rsid w:val="00914FB9"/>
    <w:rsid w:val="00925104"/>
    <w:rsid w:val="00940883"/>
    <w:rsid w:val="0094221F"/>
    <w:rsid w:val="00953000"/>
    <w:rsid w:val="00955369"/>
    <w:rsid w:val="00955B66"/>
    <w:rsid w:val="009561C7"/>
    <w:rsid w:val="00957253"/>
    <w:rsid w:val="00965C7F"/>
    <w:rsid w:val="00971D55"/>
    <w:rsid w:val="0097330E"/>
    <w:rsid w:val="0097363B"/>
    <w:rsid w:val="009747D4"/>
    <w:rsid w:val="009757F7"/>
    <w:rsid w:val="00976087"/>
    <w:rsid w:val="009804CA"/>
    <w:rsid w:val="0098087A"/>
    <w:rsid w:val="009832CD"/>
    <w:rsid w:val="009851AE"/>
    <w:rsid w:val="009851C1"/>
    <w:rsid w:val="00985FD0"/>
    <w:rsid w:val="009860BA"/>
    <w:rsid w:val="00986F06"/>
    <w:rsid w:val="00987986"/>
    <w:rsid w:val="00990A2D"/>
    <w:rsid w:val="00990BE6"/>
    <w:rsid w:val="00992A5A"/>
    <w:rsid w:val="00992DC6"/>
    <w:rsid w:val="00993CFB"/>
    <w:rsid w:val="009941FC"/>
    <w:rsid w:val="00994710"/>
    <w:rsid w:val="009957D9"/>
    <w:rsid w:val="00996A08"/>
    <w:rsid w:val="009A06F3"/>
    <w:rsid w:val="009A1038"/>
    <w:rsid w:val="009A128B"/>
    <w:rsid w:val="009A345C"/>
    <w:rsid w:val="009B00D5"/>
    <w:rsid w:val="009B3D4A"/>
    <w:rsid w:val="009B5A90"/>
    <w:rsid w:val="009B739E"/>
    <w:rsid w:val="009C3AE7"/>
    <w:rsid w:val="009C5B8A"/>
    <w:rsid w:val="009D12C7"/>
    <w:rsid w:val="009D3273"/>
    <w:rsid w:val="009E31B7"/>
    <w:rsid w:val="009E3635"/>
    <w:rsid w:val="009F038F"/>
    <w:rsid w:val="009F1265"/>
    <w:rsid w:val="009F19FA"/>
    <w:rsid w:val="009F5D4B"/>
    <w:rsid w:val="00A01876"/>
    <w:rsid w:val="00A01B06"/>
    <w:rsid w:val="00A01C09"/>
    <w:rsid w:val="00A02293"/>
    <w:rsid w:val="00A02875"/>
    <w:rsid w:val="00A062E4"/>
    <w:rsid w:val="00A06697"/>
    <w:rsid w:val="00A148E7"/>
    <w:rsid w:val="00A17A1A"/>
    <w:rsid w:val="00A21F59"/>
    <w:rsid w:val="00A22138"/>
    <w:rsid w:val="00A2240C"/>
    <w:rsid w:val="00A2266C"/>
    <w:rsid w:val="00A2474A"/>
    <w:rsid w:val="00A312DD"/>
    <w:rsid w:val="00A50F73"/>
    <w:rsid w:val="00A5150A"/>
    <w:rsid w:val="00A532F8"/>
    <w:rsid w:val="00A63A51"/>
    <w:rsid w:val="00A71C17"/>
    <w:rsid w:val="00A75D22"/>
    <w:rsid w:val="00A77035"/>
    <w:rsid w:val="00A817C9"/>
    <w:rsid w:val="00A82DD5"/>
    <w:rsid w:val="00A85540"/>
    <w:rsid w:val="00A85961"/>
    <w:rsid w:val="00A8620E"/>
    <w:rsid w:val="00A90485"/>
    <w:rsid w:val="00A9098A"/>
    <w:rsid w:val="00A91176"/>
    <w:rsid w:val="00AA0232"/>
    <w:rsid w:val="00AA4C83"/>
    <w:rsid w:val="00AA5D0A"/>
    <w:rsid w:val="00AA72E8"/>
    <w:rsid w:val="00AB1765"/>
    <w:rsid w:val="00AB46D8"/>
    <w:rsid w:val="00AB5C8D"/>
    <w:rsid w:val="00AC2464"/>
    <w:rsid w:val="00AC2CFA"/>
    <w:rsid w:val="00AC30A0"/>
    <w:rsid w:val="00AD03F0"/>
    <w:rsid w:val="00AD3C64"/>
    <w:rsid w:val="00AD657C"/>
    <w:rsid w:val="00AE6B6A"/>
    <w:rsid w:val="00AF539A"/>
    <w:rsid w:val="00B03D8B"/>
    <w:rsid w:val="00B066F4"/>
    <w:rsid w:val="00B076C0"/>
    <w:rsid w:val="00B104C1"/>
    <w:rsid w:val="00B1297D"/>
    <w:rsid w:val="00B12D93"/>
    <w:rsid w:val="00B14541"/>
    <w:rsid w:val="00B15AD6"/>
    <w:rsid w:val="00B16899"/>
    <w:rsid w:val="00B22F6A"/>
    <w:rsid w:val="00B26341"/>
    <w:rsid w:val="00B33157"/>
    <w:rsid w:val="00B33ABB"/>
    <w:rsid w:val="00B364B0"/>
    <w:rsid w:val="00B4168E"/>
    <w:rsid w:val="00B471F5"/>
    <w:rsid w:val="00B50854"/>
    <w:rsid w:val="00B52AED"/>
    <w:rsid w:val="00B53086"/>
    <w:rsid w:val="00B55637"/>
    <w:rsid w:val="00B60974"/>
    <w:rsid w:val="00B610A7"/>
    <w:rsid w:val="00B6370C"/>
    <w:rsid w:val="00B6481C"/>
    <w:rsid w:val="00B64F09"/>
    <w:rsid w:val="00B6735A"/>
    <w:rsid w:val="00B74B9A"/>
    <w:rsid w:val="00B75CA2"/>
    <w:rsid w:val="00B7733B"/>
    <w:rsid w:val="00B83C80"/>
    <w:rsid w:val="00B84F9E"/>
    <w:rsid w:val="00B90DB1"/>
    <w:rsid w:val="00B96BF4"/>
    <w:rsid w:val="00B9716E"/>
    <w:rsid w:val="00BA2FA9"/>
    <w:rsid w:val="00BA53C9"/>
    <w:rsid w:val="00BA60A1"/>
    <w:rsid w:val="00BA6118"/>
    <w:rsid w:val="00BA6D49"/>
    <w:rsid w:val="00BA7A58"/>
    <w:rsid w:val="00BB06B6"/>
    <w:rsid w:val="00BB7BDF"/>
    <w:rsid w:val="00BC67C9"/>
    <w:rsid w:val="00BC7998"/>
    <w:rsid w:val="00BC7B6C"/>
    <w:rsid w:val="00BD233C"/>
    <w:rsid w:val="00BD2EFB"/>
    <w:rsid w:val="00BD3B33"/>
    <w:rsid w:val="00BD5F70"/>
    <w:rsid w:val="00BE1189"/>
    <w:rsid w:val="00BE1F2B"/>
    <w:rsid w:val="00BE494A"/>
    <w:rsid w:val="00BF1D70"/>
    <w:rsid w:val="00BF4FD1"/>
    <w:rsid w:val="00C047CB"/>
    <w:rsid w:val="00C04B43"/>
    <w:rsid w:val="00C071BC"/>
    <w:rsid w:val="00C2121D"/>
    <w:rsid w:val="00C25385"/>
    <w:rsid w:val="00C32B81"/>
    <w:rsid w:val="00C36455"/>
    <w:rsid w:val="00C37756"/>
    <w:rsid w:val="00C40D92"/>
    <w:rsid w:val="00C43982"/>
    <w:rsid w:val="00C47041"/>
    <w:rsid w:val="00C6297C"/>
    <w:rsid w:val="00C67BFD"/>
    <w:rsid w:val="00C835D2"/>
    <w:rsid w:val="00C84CD3"/>
    <w:rsid w:val="00C9075F"/>
    <w:rsid w:val="00C92AD2"/>
    <w:rsid w:val="00C92BCC"/>
    <w:rsid w:val="00C94F8F"/>
    <w:rsid w:val="00C96159"/>
    <w:rsid w:val="00CA0046"/>
    <w:rsid w:val="00CA3E60"/>
    <w:rsid w:val="00CA5B57"/>
    <w:rsid w:val="00CA77B7"/>
    <w:rsid w:val="00CB0ADE"/>
    <w:rsid w:val="00CB2656"/>
    <w:rsid w:val="00CC7413"/>
    <w:rsid w:val="00CD083B"/>
    <w:rsid w:val="00CE2003"/>
    <w:rsid w:val="00CE5FF6"/>
    <w:rsid w:val="00CE6BAE"/>
    <w:rsid w:val="00CF1174"/>
    <w:rsid w:val="00CF749B"/>
    <w:rsid w:val="00D0007A"/>
    <w:rsid w:val="00D017B8"/>
    <w:rsid w:val="00D01D9D"/>
    <w:rsid w:val="00D052B2"/>
    <w:rsid w:val="00D130D8"/>
    <w:rsid w:val="00D23796"/>
    <w:rsid w:val="00D24DD4"/>
    <w:rsid w:val="00D25459"/>
    <w:rsid w:val="00D26C3B"/>
    <w:rsid w:val="00D30CBD"/>
    <w:rsid w:val="00D35FED"/>
    <w:rsid w:val="00D47499"/>
    <w:rsid w:val="00D47CDF"/>
    <w:rsid w:val="00D57D04"/>
    <w:rsid w:val="00D62B1A"/>
    <w:rsid w:val="00D6387C"/>
    <w:rsid w:val="00D67DC1"/>
    <w:rsid w:val="00D72CA2"/>
    <w:rsid w:val="00D743B4"/>
    <w:rsid w:val="00D771A4"/>
    <w:rsid w:val="00D7786F"/>
    <w:rsid w:val="00D802AB"/>
    <w:rsid w:val="00D83253"/>
    <w:rsid w:val="00DA6BBD"/>
    <w:rsid w:val="00DA7D57"/>
    <w:rsid w:val="00DB2CC7"/>
    <w:rsid w:val="00DB46B9"/>
    <w:rsid w:val="00DB49BD"/>
    <w:rsid w:val="00DB5A0C"/>
    <w:rsid w:val="00DC1D3C"/>
    <w:rsid w:val="00DC2DA8"/>
    <w:rsid w:val="00DC4DC9"/>
    <w:rsid w:val="00DC5A3B"/>
    <w:rsid w:val="00DD39F3"/>
    <w:rsid w:val="00DD52B1"/>
    <w:rsid w:val="00DD54C1"/>
    <w:rsid w:val="00DD61A2"/>
    <w:rsid w:val="00DE07EB"/>
    <w:rsid w:val="00DE2D3A"/>
    <w:rsid w:val="00DE5947"/>
    <w:rsid w:val="00DE7DAD"/>
    <w:rsid w:val="00DF0123"/>
    <w:rsid w:val="00DF535B"/>
    <w:rsid w:val="00DF7C22"/>
    <w:rsid w:val="00E01026"/>
    <w:rsid w:val="00E06E64"/>
    <w:rsid w:val="00E07B82"/>
    <w:rsid w:val="00E133FE"/>
    <w:rsid w:val="00E15FE9"/>
    <w:rsid w:val="00E21BEF"/>
    <w:rsid w:val="00E23F20"/>
    <w:rsid w:val="00E348F4"/>
    <w:rsid w:val="00E34969"/>
    <w:rsid w:val="00E349AA"/>
    <w:rsid w:val="00E40AAA"/>
    <w:rsid w:val="00E4359F"/>
    <w:rsid w:val="00E46C29"/>
    <w:rsid w:val="00E53134"/>
    <w:rsid w:val="00E5517D"/>
    <w:rsid w:val="00E55699"/>
    <w:rsid w:val="00E61973"/>
    <w:rsid w:val="00E634D7"/>
    <w:rsid w:val="00E63891"/>
    <w:rsid w:val="00E67559"/>
    <w:rsid w:val="00E67D65"/>
    <w:rsid w:val="00E70FF1"/>
    <w:rsid w:val="00E71AB5"/>
    <w:rsid w:val="00E80D53"/>
    <w:rsid w:val="00E87569"/>
    <w:rsid w:val="00E90A87"/>
    <w:rsid w:val="00E921FC"/>
    <w:rsid w:val="00E943A5"/>
    <w:rsid w:val="00E94AC0"/>
    <w:rsid w:val="00E9651B"/>
    <w:rsid w:val="00EA70D5"/>
    <w:rsid w:val="00EB5482"/>
    <w:rsid w:val="00EC495E"/>
    <w:rsid w:val="00EC6606"/>
    <w:rsid w:val="00EC6D3B"/>
    <w:rsid w:val="00ED2C5D"/>
    <w:rsid w:val="00ED4646"/>
    <w:rsid w:val="00ED6AD2"/>
    <w:rsid w:val="00ED7E43"/>
    <w:rsid w:val="00EE4199"/>
    <w:rsid w:val="00EE67B0"/>
    <w:rsid w:val="00EF5A32"/>
    <w:rsid w:val="00EF78D9"/>
    <w:rsid w:val="00F02814"/>
    <w:rsid w:val="00F02E86"/>
    <w:rsid w:val="00F0375B"/>
    <w:rsid w:val="00F04361"/>
    <w:rsid w:val="00F06157"/>
    <w:rsid w:val="00F07F9F"/>
    <w:rsid w:val="00F106B6"/>
    <w:rsid w:val="00F140EF"/>
    <w:rsid w:val="00F176F3"/>
    <w:rsid w:val="00F23AE8"/>
    <w:rsid w:val="00F25FCA"/>
    <w:rsid w:val="00F27322"/>
    <w:rsid w:val="00F37E33"/>
    <w:rsid w:val="00F45379"/>
    <w:rsid w:val="00F46DBC"/>
    <w:rsid w:val="00F54A43"/>
    <w:rsid w:val="00F56BA9"/>
    <w:rsid w:val="00F57023"/>
    <w:rsid w:val="00F6189E"/>
    <w:rsid w:val="00F65B1E"/>
    <w:rsid w:val="00F7688E"/>
    <w:rsid w:val="00F817CC"/>
    <w:rsid w:val="00F90E50"/>
    <w:rsid w:val="00F930AF"/>
    <w:rsid w:val="00F9695A"/>
    <w:rsid w:val="00F96A16"/>
    <w:rsid w:val="00F96EB4"/>
    <w:rsid w:val="00FA07C2"/>
    <w:rsid w:val="00FA19A7"/>
    <w:rsid w:val="00FA2B44"/>
    <w:rsid w:val="00FA447D"/>
    <w:rsid w:val="00FA55B7"/>
    <w:rsid w:val="00FA696C"/>
    <w:rsid w:val="00FB569E"/>
    <w:rsid w:val="00FC4105"/>
    <w:rsid w:val="00FC638F"/>
    <w:rsid w:val="00FC65B5"/>
    <w:rsid w:val="00FD0C6B"/>
    <w:rsid w:val="00FD6B93"/>
    <w:rsid w:val="00FD6F56"/>
    <w:rsid w:val="00FE1FB9"/>
    <w:rsid w:val="00FE4CE1"/>
    <w:rsid w:val="00FF0D4F"/>
    <w:rsid w:val="00FF2204"/>
    <w:rsid w:val="00FF221C"/>
    <w:rsid w:val="00FF70FE"/>
    <w:rsid w:val="00FF7386"/>
    <w:rsid w:val="00FF77B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E1917B"/>
  <w15:chartTrackingRefBased/>
  <w15:docId w15:val="{41EC70A8-7A31-47DF-B6C1-9D16B558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0C"/>
    <w:pPr>
      <w:keepLines/>
    </w:pPr>
    <w:rPr>
      <w:color w:val="54575A" w:themeColor="text1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EF4"/>
    <w:pPr>
      <w:keepNext/>
      <w:spacing w:before="240" w:after="240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EF4"/>
    <w:pPr>
      <w:keepNext/>
      <w:spacing w:before="40" w:after="24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EF4"/>
    <w:pPr>
      <w:keepNext/>
      <w:spacing w:before="40" w:after="120"/>
      <w:outlineLvl w:val="2"/>
    </w:pPr>
    <w:rPr>
      <w:rFonts w:ascii="Segoe UI Semibold" w:eastAsiaTheme="majorEastAsia" w:hAnsi="Segoe UI Semibold" w:cs="Segoe UI Semibold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5947"/>
    <w:pPr>
      <w:spacing w:before="1200" w:after="0" w:line="1200" w:lineRule="exact"/>
      <w:contextualSpacing/>
    </w:pPr>
    <w:rPr>
      <w:rFonts w:ascii="Segoe UI Light" w:eastAsiaTheme="majorEastAsia" w:hAnsi="Segoe UI Light" w:cs="Segoe UI Light"/>
      <w:b/>
      <w:spacing w:val="-10"/>
      <w:kern w:val="28"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DE5947"/>
    <w:rPr>
      <w:rFonts w:ascii="Segoe UI Light" w:eastAsiaTheme="majorEastAsia" w:hAnsi="Segoe UI Light" w:cs="Segoe UI Light"/>
      <w:b/>
      <w:color w:val="54575A" w:themeColor="text1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143EF4"/>
    <w:rPr>
      <w:rFonts w:asciiTheme="majorHAnsi" w:eastAsiaTheme="majorEastAsia" w:hAnsiTheme="majorHAnsi" w:cstheme="majorBidi"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143EF4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3EF4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F46DBC"/>
    <w:pPr>
      <w:outlineLvl w:val="9"/>
    </w:pPr>
    <w:rPr>
      <w:color w:val="9F0040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37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76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83764"/>
    <w:rPr>
      <w:color w:val="0099A8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95EB6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6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0F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0F"/>
    <w:rPr>
      <w:b/>
      <w:bCs/>
      <w:color w:val="54575A" w:themeColor="text1"/>
      <w:sz w:val="20"/>
      <w:szCs w:val="20"/>
      <w:lang w:val="fr-CA"/>
    </w:rPr>
  </w:style>
  <w:style w:type="table" w:styleId="PlainTable1">
    <w:name w:val="Plain Table 1"/>
    <w:basedOn w:val="TableNormal"/>
    <w:uiPriority w:val="41"/>
    <w:rsid w:val="00A01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6D8"/>
    <w:rPr>
      <w:color w:val="A5A5A5" w:themeColor="followedHyperlink"/>
      <w:u w:val="single"/>
    </w:rPr>
  </w:style>
  <w:style w:type="paragraph" w:styleId="Revision">
    <w:name w:val="Revision"/>
    <w:hidden/>
    <w:uiPriority w:val="99"/>
    <w:semiHidden/>
    <w:rsid w:val="00D62B1A"/>
    <w:pPr>
      <w:spacing w:after="0" w:line="240" w:lineRule="auto"/>
    </w:pPr>
    <w:rPr>
      <w:color w:val="54575A" w:themeColor="text1"/>
      <w:lang w:val="fr-CA"/>
    </w:rPr>
  </w:style>
  <w:style w:type="paragraph" w:styleId="Caption">
    <w:name w:val="caption"/>
    <w:basedOn w:val="Normal"/>
    <w:next w:val="Normal"/>
    <w:uiPriority w:val="35"/>
    <w:unhideWhenUsed/>
    <w:qFormat/>
    <w:rsid w:val="0086406D"/>
    <w:pPr>
      <w:spacing w:after="200" w:line="240" w:lineRule="auto"/>
    </w:pPr>
    <w:rPr>
      <w:i/>
      <w:iCs/>
      <w:color w:val="54575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Rapport-CFP2019.dotx" TargetMode="External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C6B3-F465-45AC-A22C-E817C62F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Rapport-CFP2019.dotx</Template>
  <TotalTime>196</TotalTime>
  <Pages>12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dbarbaga</dc:creator>
  <cp:keywords/>
  <dc:description/>
  <cp:lastModifiedBy>Daniel Spracklin</cp:lastModifiedBy>
  <cp:revision>63</cp:revision>
  <cp:lastPrinted>2019-07-11T17:58:00Z</cp:lastPrinted>
  <dcterms:created xsi:type="dcterms:W3CDTF">2020-09-17T12:42:00Z</dcterms:created>
  <dcterms:modified xsi:type="dcterms:W3CDTF">2020-12-03T11:20:00Z</dcterms:modified>
</cp:coreProperties>
</file>