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E01A1" w14:textId="4CEE5B0C" w:rsidR="00E21BEF" w:rsidRPr="009A7EDA" w:rsidRDefault="008D3C65" w:rsidP="00D6422F">
      <w:pPr>
        <w:pStyle w:val="Title"/>
        <w:rPr>
          <w:lang w:val="fr-CA"/>
        </w:rPr>
      </w:pPr>
      <w:r w:rsidRPr="009A7EDA">
        <w:rPr>
          <w:lang w:val="fr-CA"/>
        </w:rPr>
        <w:t>Commission de la fonction publique</w:t>
      </w:r>
    </w:p>
    <w:p w14:paraId="6711E1EB" w14:textId="4912FDAB" w:rsidR="00646A04" w:rsidRPr="00567680" w:rsidRDefault="008D3C65" w:rsidP="00567680">
      <w:pPr>
        <w:pStyle w:val="Subtitle"/>
        <w:rPr>
          <w:b/>
        </w:rPr>
      </w:pPr>
      <w:r>
        <w:rPr>
          <w:b/>
        </w:rPr>
        <w:t xml:space="preserve">Citoyenneté des </w:t>
      </w:r>
      <w:r w:rsidR="008327BE">
        <w:rPr>
          <w:b/>
        </w:rPr>
        <w:t>postulants</w:t>
      </w:r>
      <w:r>
        <w:rPr>
          <w:b/>
        </w:rPr>
        <w:t xml:space="preserve"> et des </w:t>
      </w:r>
      <w:r w:rsidR="001C75F6" w:rsidRPr="005401AA">
        <w:rPr>
          <w:b/>
        </w:rPr>
        <w:t>nominations externes</w:t>
      </w:r>
      <w:r w:rsidR="00646A04" w:rsidRPr="008D3C65">
        <w:br w:type="page"/>
      </w:r>
    </w:p>
    <w:p w14:paraId="3414F22D" w14:textId="0EFF6490" w:rsidR="00590742" w:rsidRPr="0081233A" w:rsidRDefault="008D3C65" w:rsidP="006A5EA7">
      <w:pPr>
        <w:pStyle w:val="Heading2"/>
        <w:rPr>
          <w:lang w:val="fr-CA"/>
        </w:rPr>
      </w:pPr>
      <w:bookmarkStart w:id="0" w:name="_Toc46902828"/>
      <w:r w:rsidRPr="0081233A">
        <w:rPr>
          <w:lang w:val="fr-CA"/>
        </w:rPr>
        <w:lastRenderedPageBreak/>
        <w:t>Contexte</w:t>
      </w:r>
    </w:p>
    <w:p w14:paraId="229B8137" w14:textId="4294971B" w:rsidR="00590742" w:rsidRPr="0081233A" w:rsidRDefault="008D3C65" w:rsidP="00590742">
      <w:r w:rsidRPr="0081233A">
        <w:t xml:space="preserve">La </w:t>
      </w:r>
      <w:r w:rsidRPr="0081233A">
        <w:rPr>
          <w:i/>
        </w:rPr>
        <w:t xml:space="preserve">Loi sur l’emploi dans la fonction publique </w:t>
      </w:r>
      <w:r w:rsidRPr="0081233A">
        <w:t>accorde la préférence aux citoyens canadiens dans les processus de nomination externes annoncés (</w:t>
      </w:r>
      <w:r w:rsidR="002C7A39" w:rsidRPr="0081233A">
        <w:t>« </w:t>
      </w:r>
      <w:r w:rsidRPr="0081233A">
        <w:t>emplois ouverts au public</w:t>
      </w:r>
      <w:r w:rsidR="002C7A39" w:rsidRPr="0081233A">
        <w:t> »</w:t>
      </w:r>
      <w:r w:rsidRPr="0081233A">
        <w:t xml:space="preserve">). Le présent rapport se penche sur la fréquence </w:t>
      </w:r>
      <w:r w:rsidR="00BB2C0E" w:rsidRPr="0081233A">
        <w:t xml:space="preserve">à </w:t>
      </w:r>
      <w:r w:rsidRPr="0081233A">
        <w:t xml:space="preserve">laquelle les non-citoyens et les résidents permanents postulent </w:t>
      </w:r>
      <w:r w:rsidR="00496C5B" w:rsidRPr="0081233A">
        <w:t xml:space="preserve">à ces emplois et sont nommés à la suite du processus. </w:t>
      </w:r>
      <w:r w:rsidRPr="0081233A">
        <w:t xml:space="preserve">Il examine aussi la représentation sur le plan de l’équité en matière d’emploi des </w:t>
      </w:r>
      <w:r w:rsidR="001C75F6" w:rsidRPr="0081233A">
        <w:t>postulants</w:t>
      </w:r>
      <w:r w:rsidRPr="0081233A">
        <w:t xml:space="preserve"> qui sont citoyens, non-citoyens et résidents permanents, ainsi que la nomination</w:t>
      </w:r>
      <w:r w:rsidR="00567680" w:rsidRPr="0081233A">
        <w:t xml:space="preserve"> de ces personnes.</w:t>
      </w:r>
    </w:p>
    <w:p w14:paraId="42B8DECA" w14:textId="595BB53F" w:rsidR="006A5EA7" w:rsidRPr="0081233A" w:rsidRDefault="006A5EA7" w:rsidP="006A5EA7">
      <w:pPr>
        <w:pStyle w:val="Heading2"/>
        <w:rPr>
          <w:lang w:val="fr-CA"/>
        </w:rPr>
      </w:pPr>
      <w:r w:rsidRPr="0081233A">
        <w:rPr>
          <w:lang w:val="fr-CA"/>
        </w:rPr>
        <w:t>Cit</w:t>
      </w:r>
      <w:r w:rsidR="008D3C65" w:rsidRPr="0081233A">
        <w:rPr>
          <w:lang w:val="fr-CA"/>
        </w:rPr>
        <w:t xml:space="preserve">oyenneté des </w:t>
      </w:r>
      <w:r w:rsidR="001C75F6" w:rsidRPr="0081233A">
        <w:rPr>
          <w:lang w:val="fr-CA"/>
        </w:rPr>
        <w:t>postulants</w:t>
      </w:r>
      <w:r w:rsidR="008D3C65" w:rsidRPr="0081233A">
        <w:rPr>
          <w:lang w:val="fr-CA"/>
        </w:rPr>
        <w:t xml:space="preserve"> et des </w:t>
      </w:r>
      <w:r w:rsidR="00F57905" w:rsidRPr="0081233A">
        <w:rPr>
          <w:lang w:val="fr-CA"/>
        </w:rPr>
        <w:t xml:space="preserve">embauches </w:t>
      </w:r>
      <w:r w:rsidR="008D3C65" w:rsidRPr="0081233A">
        <w:rPr>
          <w:lang w:val="fr-CA"/>
        </w:rPr>
        <w:t>externes</w:t>
      </w:r>
      <w:bookmarkEnd w:id="0"/>
    </w:p>
    <w:p w14:paraId="6DE645CB" w14:textId="5D60C3DC" w:rsidR="004C4EC5" w:rsidRPr="0081233A" w:rsidRDefault="008D3C65" w:rsidP="009F1265">
      <w:pPr>
        <w:pStyle w:val="ListParagraph"/>
        <w:numPr>
          <w:ilvl w:val="0"/>
          <w:numId w:val="30"/>
        </w:numPr>
        <w:spacing w:after="0"/>
        <w:ind w:hanging="357"/>
        <w:contextualSpacing w:val="0"/>
      </w:pPr>
      <w:r w:rsidRPr="0081233A">
        <w:t xml:space="preserve">Le nombre de </w:t>
      </w:r>
      <w:r w:rsidR="001C75F6" w:rsidRPr="0081233A">
        <w:t>postulants</w:t>
      </w:r>
      <w:r w:rsidRPr="0081233A">
        <w:t xml:space="preserve"> aux emplois ouverts au public a augmenté</w:t>
      </w:r>
      <w:r w:rsidR="007B4D15" w:rsidRPr="0081233A">
        <w:t xml:space="preserve"> au cours des dernières années.</w:t>
      </w:r>
    </w:p>
    <w:p w14:paraId="06ABB10D" w14:textId="16AE637F" w:rsidR="004C4EC5" w:rsidRPr="0081233A" w:rsidRDefault="008D3C65" w:rsidP="00EB5482">
      <w:pPr>
        <w:pStyle w:val="ListParagraph"/>
        <w:numPr>
          <w:ilvl w:val="0"/>
          <w:numId w:val="30"/>
        </w:numPr>
        <w:spacing w:after="0"/>
        <w:ind w:hanging="357"/>
        <w:contextualSpacing w:val="0"/>
      </w:pPr>
      <w:r w:rsidRPr="0081233A">
        <w:t xml:space="preserve">En </w:t>
      </w:r>
      <w:r w:rsidR="00830975" w:rsidRPr="0081233A">
        <w:t>201</w:t>
      </w:r>
      <w:r w:rsidR="00F0375B" w:rsidRPr="0081233A">
        <w:t>8</w:t>
      </w:r>
      <w:r w:rsidR="00830975" w:rsidRPr="0081233A">
        <w:t>-20</w:t>
      </w:r>
      <w:r w:rsidR="00F0375B" w:rsidRPr="0081233A">
        <w:t>19</w:t>
      </w:r>
      <w:r w:rsidR="00840073" w:rsidRPr="0081233A">
        <w:t xml:space="preserve">, </w:t>
      </w:r>
      <w:r w:rsidR="005D0D47" w:rsidRPr="0081233A">
        <w:t>3</w:t>
      </w:r>
      <w:r w:rsidR="003B3DBC" w:rsidRPr="0081233A">
        <w:t>68</w:t>
      </w:r>
      <w:r w:rsidR="00B928FF" w:rsidRPr="0081233A">
        <w:t> </w:t>
      </w:r>
      <w:r w:rsidR="003B3DBC" w:rsidRPr="0081233A">
        <w:t>763</w:t>
      </w:r>
      <w:r w:rsidR="00830975" w:rsidRPr="0081233A">
        <w:t xml:space="preserve"> </w:t>
      </w:r>
      <w:r w:rsidR="001C75F6" w:rsidRPr="0081233A">
        <w:t>postulants</w:t>
      </w:r>
      <w:r w:rsidRPr="0081233A">
        <w:t xml:space="preserve"> uniques ont </w:t>
      </w:r>
      <w:r w:rsidR="00F57905" w:rsidRPr="0081233A">
        <w:t>appliqué aux</w:t>
      </w:r>
      <w:r w:rsidR="00496C5B" w:rsidRPr="0081233A">
        <w:t xml:space="preserve"> </w:t>
      </w:r>
      <w:r w:rsidRPr="0081233A">
        <w:t>emplois ouverts au public, ce qui représente une augmentation par rapport aux 203</w:t>
      </w:r>
      <w:r w:rsidR="00B928FF" w:rsidRPr="0081233A">
        <w:t> </w:t>
      </w:r>
      <w:r w:rsidRPr="0081233A">
        <w:t xml:space="preserve">419 </w:t>
      </w:r>
      <w:r w:rsidR="008327BE" w:rsidRPr="0081233A">
        <w:t>postulants</w:t>
      </w:r>
      <w:r w:rsidR="00567680" w:rsidRPr="0081233A">
        <w:t xml:space="preserve"> en 2015-2016.</w:t>
      </w:r>
    </w:p>
    <w:p w14:paraId="09ABFD01" w14:textId="2D173441" w:rsidR="00014625" w:rsidRPr="0081233A" w:rsidRDefault="008D3C65" w:rsidP="00EB5482">
      <w:pPr>
        <w:pStyle w:val="ListParagraph"/>
        <w:numPr>
          <w:ilvl w:val="1"/>
          <w:numId w:val="30"/>
        </w:numPr>
        <w:spacing w:after="0"/>
        <w:ind w:hanging="357"/>
        <w:contextualSpacing w:val="0"/>
      </w:pPr>
      <w:r w:rsidRPr="0081233A">
        <w:t xml:space="preserve">La part des </w:t>
      </w:r>
      <w:r w:rsidR="001C75F6" w:rsidRPr="0081233A">
        <w:t>postulants</w:t>
      </w:r>
      <w:r w:rsidRPr="0081233A">
        <w:t xml:space="preserve"> non-citoyens </w:t>
      </w:r>
      <w:r w:rsidR="00BB2C0E" w:rsidRPr="0081233A">
        <w:t xml:space="preserve">dans les </w:t>
      </w:r>
      <w:r w:rsidRPr="0081233A">
        <w:t>emplois annoncés au public a également augmenté au cours de la même période, passant de 9,4</w:t>
      </w:r>
      <w:r w:rsidR="00B928FF" w:rsidRPr="0081233A">
        <w:t> </w:t>
      </w:r>
      <w:r w:rsidRPr="0081233A">
        <w:t>p. 100 (</w:t>
      </w:r>
      <w:r w:rsidR="00F0375B" w:rsidRPr="0081233A">
        <w:t>19</w:t>
      </w:r>
      <w:r w:rsidR="00B928FF" w:rsidRPr="0081233A">
        <w:t> </w:t>
      </w:r>
      <w:r w:rsidR="00F0375B" w:rsidRPr="0081233A">
        <w:t xml:space="preserve">013) </w:t>
      </w:r>
      <w:r w:rsidRPr="0081233A">
        <w:t>en</w:t>
      </w:r>
      <w:r w:rsidR="00F0375B" w:rsidRPr="0081233A">
        <w:t xml:space="preserve"> 2015</w:t>
      </w:r>
      <w:r w:rsidR="006D0722" w:rsidRPr="0081233A">
        <w:t>-</w:t>
      </w:r>
      <w:r w:rsidR="00F0375B" w:rsidRPr="0081233A">
        <w:t xml:space="preserve">2016 </w:t>
      </w:r>
      <w:r w:rsidRPr="0081233A">
        <w:t xml:space="preserve">à </w:t>
      </w:r>
      <w:r w:rsidR="00F0375B" w:rsidRPr="0081233A">
        <w:t>14</w:t>
      </w:r>
      <w:r w:rsidR="00B928FF" w:rsidRPr="0081233A">
        <w:t>,</w:t>
      </w:r>
      <w:r w:rsidR="00F0375B" w:rsidRPr="0081233A">
        <w:t>5</w:t>
      </w:r>
      <w:r w:rsidR="00B928FF" w:rsidRPr="0081233A">
        <w:t> </w:t>
      </w:r>
      <w:r w:rsidRPr="0081233A">
        <w:t>p. 100</w:t>
      </w:r>
      <w:r w:rsidR="00F0375B" w:rsidRPr="0081233A">
        <w:t xml:space="preserve"> (53</w:t>
      </w:r>
      <w:r w:rsidR="00B928FF" w:rsidRPr="0081233A">
        <w:t> </w:t>
      </w:r>
      <w:r w:rsidR="00F0375B" w:rsidRPr="0081233A">
        <w:t>602</w:t>
      </w:r>
      <w:r w:rsidR="006D0722" w:rsidRPr="0081233A">
        <w:t>)</w:t>
      </w:r>
      <w:r w:rsidR="00F0375B" w:rsidRPr="0081233A">
        <w:t xml:space="preserve"> </w:t>
      </w:r>
      <w:r w:rsidRPr="0081233A">
        <w:t>en</w:t>
      </w:r>
      <w:r w:rsidR="00F0375B" w:rsidRPr="0081233A">
        <w:t xml:space="preserve"> 2018-2019.</w:t>
      </w:r>
    </w:p>
    <w:p w14:paraId="7BC89D71" w14:textId="1630C58E" w:rsidR="004C4EC5" w:rsidRPr="0081233A" w:rsidRDefault="008D3C65" w:rsidP="00DC1D3C">
      <w:pPr>
        <w:pStyle w:val="ListParagraph"/>
        <w:numPr>
          <w:ilvl w:val="0"/>
          <w:numId w:val="30"/>
        </w:numPr>
      </w:pPr>
      <w:r w:rsidRPr="0081233A">
        <w:t>En</w:t>
      </w:r>
      <w:r w:rsidR="004C4EC5" w:rsidRPr="0081233A">
        <w:t xml:space="preserve"> 2018-2019, </w:t>
      </w:r>
      <w:r w:rsidRPr="0081233A">
        <w:t>20</w:t>
      </w:r>
      <w:r w:rsidR="00B928FF" w:rsidRPr="0081233A">
        <w:t> </w:t>
      </w:r>
      <w:r w:rsidRPr="0081233A">
        <w:t xml:space="preserve">012 nominations ont découlé des </w:t>
      </w:r>
      <w:r w:rsidR="00496C5B" w:rsidRPr="0081233A">
        <w:t xml:space="preserve">processus </w:t>
      </w:r>
      <w:r w:rsidRPr="0081233A">
        <w:t>d’emplois ouverts au public (</w:t>
      </w:r>
      <w:r w:rsidR="002C7A39" w:rsidRPr="0081233A">
        <w:t>« </w:t>
      </w:r>
      <w:r w:rsidRPr="0081233A">
        <w:t>recrues externes</w:t>
      </w:r>
      <w:r w:rsidR="002C7A39" w:rsidRPr="0081233A">
        <w:t> »</w:t>
      </w:r>
      <w:r w:rsidRPr="0081233A">
        <w:t>), ce qui représente une augmentation par rapport au</w:t>
      </w:r>
      <w:r w:rsidR="001D7907" w:rsidRPr="0081233A">
        <w:t>x</w:t>
      </w:r>
      <w:r w:rsidRPr="0081233A">
        <w:t xml:space="preserve"> 10</w:t>
      </w:r>
      <w:r w:rsidR="00B928FF" w:rsidRPr="0081233A">
        <w:t> </w:t>
      </w:r>
      <w:r w:rsidRPr="0081233A">
        <w:t xml:space="preserve">402 nominations en </w:t>
      </w:r>
      <w:r w:rsidR="00567680" w:rsidRPr="0081233A">
        <w:t>2015-2016.</w:t>
      </w:r>
    </w:p>
    <w:p w14:paraId="2BEEE322" w14:textId="4560E5A0" w:rsidR="005C5B54" w:rsidRPr="0081233A" w:rsidRDefault="001D7907" w:rsidP="00F57905">
      <w:pPr>
        <w:pStyle w:val="ListParagraph"/>
        <w:numPr>
          <w:ilvl w:val="1"/>
          <w:numId w:val="30"/>
        </w:numPr>
      </w:pPr>
      <w:r w:rsidRPr="0081233A">
        <w:t>En</w:t>
      </w:r>
      <w:r w:rsidR="002A523B" w:rsidRPr="0081233A">
        <w:t xml:space="preserve"> 201</w:t>
      </w:r>
      <w:r w:rsidR="00B75CA2" w:rsidRPr="0081233A">
        <w:t>8</w:t>
      </w:r>
      <w:r w:rsidR="00D052B2" w:rsidRPr="0081233A">
        <w:t>-20</w:t>
      </w:r>
      <w:r w:rsidR="00B75CA2" w:rsidRPr="0081233A">
        <w:t>19</w:t>
      </w:r>
      <w:r w:rsidR="002A523B" w:rsidRPr="0081233A">
        <w:t>, 2</w:t>
      </w:r>
      <w:r w:rsidRPr="0081233A">
        <w:t>,</w:t>
      </w:r>
      <w:r w:rsidR="00B75CA2" w:rsidRPr="0081233A">
        <w:t>5</w:t>
      </w:r>
      <w:r w:rsidR="00B928FF" w:rsidRPr="0081233A">
        <w:t> </w:t>
      </w:r>
      <w:r w:rsidRPr="0081233A">
        <w:t xml:space="preserve">p. 100 des </w:t>
      </w:r>
      <w:r w:rsidR="00F57905" w:rsidRPr="0081233A">
        <w:t xml:space="preserve">embauches </w:t>
      </w:r>
      <w:r w:rsidRPr="0081233A">
        <w:t xml:space="preserve">(495 </w:t>
      </w:r>
      <w:r w:rsidR="00F57905" w:rsidRPr="0081233A">
        <w:t>embauches</w:t>
      </w:r>
      <w:r w:rsidRPr="0081233A">
        <w:t xml:space="preserve">) étaient </w:t>
      </w:r>
      <w:r w:rsidR="00F57905" w:rsidRPr="0081233A">
        <w:t xml:space="preserve">des </w:t>
      </w:r>
      <w:r w:rsidRPr="0081233A">
        <w:t>non-citoyens, ce qui représente une augmentation par rapport au 1,5</w:t>
      </w:r>
      <w:r w:rsidR="00B928FF" w:rsidRPr="0081233A">
        <w:t> </w:t>
      </w:r>
      <w:r w:rsidRPr="0081233A">
        <w:t>p. 100 de</w:t>
      </w:r>
      <w:r w:rsidR="00F57905" w:rsidRPr="0081233A">
        <w:t>s</w:t>
      </w:r>
      <w:r w:rsidRPr="0081233A">
        <w:t xml:space="preserve"> </w:t>
      </w:r>
      <w:r w:rsidR="00F57905" w:rsidRPr="0081233A">
        <w:t>embauches</w:t>
      </w:r>
      <w:r w:rsidRPr="0081233A">
        <w:t xml:space="preserve"> (</w:t>
      </w:r>
      <w:r w:rsidR="002C7A39" w:rsidRPr="0081233A">
        <w:t>1</w:t>
      </w:r>
      <w:r w:rsidRPr="0081233A">
        <w:t>5</w:t>
      </w:r>
      <w:r w:rsidR="002C7A39" w:rsidRPr="0081233A">
        <w:t>9</w:t>
      </w:r>
      <w:r w:rsidRPr="0081233A">
        <w:t xml:space="preserve"> </w:t>
      </w:r>
      <w:r w:rsidR="00F57905" w:rsidRPr="0081233A">
        <w:t>embauches</w:t>
      </w:r>
      <w:r w:rsidRPr="0081233A">
        <w:t>) en 2015-2016</w:t>
      </w:r>
      <w:r w:rsidR="002A523B" w:rsidRPr="0081233A">
        <w:t>.</w:t>
      </w:r>
    </w:p>
    <w:p w14:paraId="558D9E0F" w14:textId="10578AD9" w:rsidR="009561C7" w:rsidRPr="0081233A" w:rsidRDefault="001D7907" w:rsidP="00567680">
      <w:pPr>
        <w:pStyle w:val="ListParagraph"/>
        <w:numPr>
          <w:ilvl w:val="1"/>
          <w:numId w:val="30"/>
        </w:numPr>
      </w:pPr>
      <w:r w:rsidRPr="0081233A">
        <w:t xml:space="preserve">Vu la préférence accordée à la nomination de citoyens canadiens, les non-citoyens affichent une représentation plus faible parmi les </w:t>
      </w:r>
      <w:r w:rsidR="00F57905" w:rsidRPr="0081233A">
        <w:t xml:space="preserve">embauches </w:t>
      </w:r>
      <w:r w:rsidRPr="0081233A">
        <w:t xml:space="preserve">que leur représentation parmi les </w:t>
      </w:r>
      <w:r w:rsidR="001C75F6" w:rsidRPr="0081233A">
        <w:t>postulants</w:t>
      </w:r>
      <w:r w:rsidRPr="0081233A">
        <w:t>.</w:t>
      </w:r>
      <w:r w:rsidR="009561C7" w:rsidRPr="0081233A">
        <w:rPr>
          <w:rFonts w:ascii="Segoe UI" w:hAnsi="Segoe UI" w:cs="Segoe UI"/>
          <w:b/>
          <w:sz w:val="32"/>
          <w:szCs w:val="32"/>
        </w:rPr>
        <w:br w:type="page"/>
      </w:r>
    </w:p>
    <w:p w14:paraId="068C5424" w14:textId="7C493A85" w:rsidR="00B75CA2" w:rsidRPr="0081233A" w:rsidRDefault="001D7907" w:rsidP="00851BAF">
      <w:pPr>
        <w:pStyle w:val="Heading2"/>
        <w:rPr>
          <w:lang w:val="fr-CA"/>
        </w:rPr>
      </w:pPr>
      <w:r w:rsidRPr="0081233A">
        <w:rPr>
          <w:lang w:val="fr-CA"/>
        </w:rPr>
        <w:lastRenderedPageBreak/>
        <w:t>Citoyenneté et équité d’emploi</w:t>
      </w:r>
    </w:p>
    <w:p w14:paraId="392CD04F" w14:textId="763F8F9D" w:rsidR="006B00B1" w:rsidRPr="0081233A" w:rsidRDefault="001D7907" w:rsidP="00A17A1A">
      <w:pPr>
        <w:pStyle w:val="ListParagraph"/>
        <w:numPr>
          <w:ilvl w:val="0"/>
          <w:numId w:val="30"/>
        </w:numPr>
        <w:spacing w:after="0"/>
        <w:ind w:hanging="357"/>
        <w:contextualSpacing w:val="0"/>
      </w:pPr>
      <w:r w:rsidRPr="0081233A">
        <w:t xml:space="preserve">Les </w:t>
      </w:r>
      <w:r w:rsidR="001556ED" w:rsidRPr="0081233A">
        <w:t>postulants</w:t>
      </w:r>
      <w:r w:rsidR="00496C5B" w:rsidRPr="0081233A">
        <w:t xml:space="preserve"> qui sont </w:t>
      </w:r>
      <w:r w:rsidRPr="0081233A">
        <w:t xml:space="preserve">membres de minorités visibles sont plus susceptibles d’être non-citoyens que leurs homologues. </w:t>
      </w:r>
      <w:r w:rsidR="00BB2C0E" w:rsidRPr="0081233A">
        <w:t xml:space="preserve">Parmi </w:t>
      </w:r>
      <w:r w:rsidRPr="0081233A">
        <w:t xml:space="preserve">tous les </w:t>
      </w:r>
      <w:r w:rsidR="001556ED" w:rsidRPr="0081233A">
        <w:t>postulants</w:t>
      </w:r>
      <w:r w:rsidRPr="0081233A">
        <w:t xml:space="preserve">, les non-citoyens </w:t>
      </w:r>
      <w:r w:rsidR="00BB2C0E" w:rsidRPr="0081233A">
        <w:t>compt</w:t>
      </w:r>
      <w:r w:rsidRPr="0081233A">
        <w:t>ent pour 22,9</w:t>
      </w:r>
      <w:r w:rsidR="00B928FF" w:rsidRPr="0081233A">
        <w:t> </w:t>
      </w:r>
      <w:r w:rsidRPr="0081233A">
        <w:t xml:space="preserve">p. 100 des </w:t>
      </w:r>
      <w:r w:rsidR="001556ED" w:rsidRPr="0081233A">
        <w:t>postulants</w:t>
      </w:r>
      <w:r w:rsidRPr="0081233A">
        <w:t xml:space="preserve"> </w:t>
      </w:r>
      <w:r w:rsidR="00496C5B" w:rsidRPr="0081233A">
        <w:t xml:space="preserve">qui sont </w:t>
      </w:r>
      <w:r w:rsidRPr="0081233A">
        <w:t xml:space="preserve">membres de minorités visibles, comparativement </w:t>
      </w:r>
      <w:r w:rsidR="00BB2C0E" w:rsidRPr="0081233A">
        <w:t>à</w:t>
      </w:r>
      <w:r w:rsidRPr="0081233A">
        <w:t xml:space="preserve"> 12,1</w:t>
      </w:r>
      <w:r w:rsidR="00B928FF" w:rsidRPr="0081233A">
        <w:t> </w:t>
      </w:r>
      <w:r w:rsidRPr="0081233A">
        <w:t xml:space="preserve">p. 100 de </w:t>
      </w:r>
      <w:r w:rsidR="001556ED" w:rsidRPr="0081233A">
        <w:t>postulants</w:t>
      </w:r>
      <w:r w:rsidRPr="0081233A">
        <w:t xml:space="preserve"> qui ne sont pas membres de minorités visibles; voir la figure</w:t>
      </w:r>
      <w:r w:rsidR="00B928FF" w:rsidRPr="0081233A">
        <w:t> </w:t>
      </w:r>
      <w:r w:rsidRPr="0081233A">
        <w:t>1</w:t>
      </w:r>
      <w:r w:rsidR="006B00B1" w:rsidRPr="0081233A">
        <w:rPr>
          <w:rStyle w:val="FootnoteReference"/>
        </w:rPr>
        <w:footnoteReference w:id="1"/>
      </w:r>
      <w:r w:rsidRPr="0081233A">
        <w:t>.</w:t>
      </w:r>
    </w:p>
    <w:p w14:paraId="3DDC6BE8" w14:textId="77777777" w:rsidR="007C7D4B" w:rsidRPr="0081233A" w:rsidRDefault="00976087" w:rsidP="00851BAF">
      <w:pPr>
        <w:keepNext/>
        <w:spacing w:before="320"/>
        <w:jc w:val="center"/>
      </w:pPr>
      <w:r w:rsidRPr="0081233A">
        <w:rPr>
          <w:noProof/>
          <w:lang w:val="en-CA" w:eastAsia="en-CA"/>
        </w:rPr>
        <w:drawing>
          <wp:inline distT="0" distB="0" distL="0" distR="0" wp14:anchorId="6AC49B03" wp14:editId="3BC0B75B">
            <wp:extent cx="5935544" cy="3676294"/>
            <wp:effectExtent l="0" t="0" r="8255" b="635"/>
            <wp:docPr id="4" name="Picture 4" descr="Un diagramme à barres avec deux barres. Le diagramme démontre la part de postulants aux processes externes qui étaient des citoyens canadiens ou des non-citoyens en 2018-2019. Les deux barres démontrent la part pour les postulants qui auto-déclarent comme membres de minorités visibles, et pour ceux qui n'ont pas auto-déclaré." title="Part de postulants: membres de minorités visibles versus non-membres de minorités vis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alfara\AppData\Local\Microsoft\Windows\INetCache\Content.Outlook\WVNU71X6\20200916_1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44" cy="367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FD98" w14:textId="3DA50388" w:rsidR="004F66FD" w:rsidRPr="0081233A" w:rsidRDefault="007C7D4B" w:rsidP="007C7D4B">
      <w:pPr>
        <w:pStyle w:val="Caption"/>
        <w:jc w:val="center"/>
      </w:pPr>
      <w:r w:rsidRPr="0081233A">
        <w:t xml:space="preserve">Figure </w:t>
      </w:r>
      <w:r w:rsidRPr="0081233A">
        <w:fldChar w:fldCharType="begin"/>
      </w:r>
      <w:r w:rsidRPr="0081233A">
        <w:instrText xml:space="preserve"> SEQ Figure \* ARABIC </w:instrText>
      </w:r>
      <w:r w:rsidRPr="0081233A">
        <w:fldChar w:fldCharType="separate"/>
      </w:r>
      <w:r w:rsidR="00F200C8" w:rsidRPr="0081233A">
        <w:rPr>
          <w:noProof/>
        </w:rPr>
        <w:t>1</w:t>
      </w:r>
      <w:r w:rsidRPr="0081233A">
        <w:fldChar w:fldCharType="end"/>
      </w:r>
      <w:r w:rsidR="00F200C8" w:rsidRPr="0081233A">
        <w:t> </w:t>
      </w:r>
      <w:r w:rsidRPr="0081233A">
        <w:t>: Part de postulants : membres de minorités visibles versus non-membres de minorités visibles</w:t>
      </w:r>
    </w:p>
    <w:p w14:paraId="489CC3F1" w14:textId="66A4A097" w:rsidR="007C7D4B" w:rsidRPr="0081233A" w:rsidRDefault="007C7D4B" w:rsidP="00851BAF">
      <w:pPr>
        <w:pStyle w:val="Caption"/>
        <w:keepNext/>
        <w:spacing w:before="400"/>
        <w:jc w:val="center"/>
      </w:pPr>
      <w:r w:rsidRPr="0081233A">
        <w:t xml:space="preserve">Table </w:t>
      </w:r>
      <w:r w:rsidRPr="0081233A">
        <w:fldChar w:fldCharType="begin"/>
      </w:r>
      <w:r w:rsidRPr="0081233A">
        <w:instrText xml:space="preserve"> SEQ Table \* ARABIC </w:instrText>
      </w:r>
      <w:r w:rsidRPr="0081233A">
        <w:fldChar w:fldCharType="separate"/>
      </w:r>
      <w:r w:rsidR="00F200C8" w:rsidRPr="0081233A">
        <w:rPr>
          <w:noProof/>
        </w:rPr>
        <w:t>1</w:t>
      </w:r>
      <w:r w:rsidRPr="0081233A">
        <w:fldChar w:fldCharType="end"/>
      </w:r>
      <w:r w:rsidR="00F200C8" w:rsidRPr="0081233A">
        <w:t> </w:t>
      </w:r>
      <w:r w:rsidRPr="0081233A">
        <w:t>: Part de postulants : membres de minorités visibles versus non-membres de minorités visibles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t de postulants : membres de minorités visibles versus non-membres de minorités visibles"/>
        <w:tblDescription w:val="Une table qui démontre la part de postulants qui auto-déclarent comme membres de minorités visibles qui étaient des citoyens canadiens ou des non-citoyens en 2018-2019."/>
      </w:tblPr>
      <w:tblGrid>
        <w:gridCol w:w="3116"/>
        <w:gridCol w:w="3117"/>
        <w:gridCol w:w="3117"/>
      </w:tblGrid>
      <w:tr w:rsidR="00A47956" w:rsidRPr="0081233A" w14:paraId="55A82A39" w14:textId="77777777" w:rsidTr="007C7D4B">
        <w:trPr>
          <w:tblHeader/>
        </w:trPr>
        <w:tc>
          <w:tcPr>
            <w:tcW w:w="3116" w:type="dxa"/>
          </w:tcPr>
          <w:p w14:paraId="4F8F66B1" w14:textId="443D9A4E" w:rsidR="00A47956" w:rsidRPr="0081233A" w:rsidRDefault="00A47956" w:rsidP="007C7D4B">
            <w:pPr>
              <w:jc w:val="center"/>
            </w:pPr>
            <w:r w:rsidRPr="0081233A">
              <w:t>Groupe</w:t>
            </w:r>
          </w:p>
        </w:tc>
        <w:tc>
          <w:tcPr>
            <w:tcW w:w="3117" w:type="dxa"/>
          </w:tcPr>
          <w:p w14:paraId="4B637B1A" w14:textId="373DB919" w:rsidR="00A47956" w:rsidRPr="0081233A" w:rsidRDefault="00A47956" w:rsidP="007C7D4B">
            <w:pPr>
              <w:jc w:val="center"/>
            </w:pPr>
            <w:r w:rsidRPr="0081233A">
              <w:t>Part de postulants citoyens</w:t>
            </w:r>
          </w:p>
        </w:tc>
        <w:tc>
          <w:tcPr>
            <w:tcW w:w="3117" w:type="dxa"/>
          </w:tcPr>
          <w:p w14:paraId="42767660" w14:textId="5BF2948B" w:rsidR="00A47956" w:rsidRPr="0081233A" w:rsidRDefault="00A47956" w:rsidP="007C7D4B">
            <w:pPr>
              <w:jc w:val="center"/>
            </w:pPr>
            <w:r w:rsidRPr="0081233A">
              <w:t>Part de postulants non-citoyens</w:t>
            </w:r>
          </w:p>
        </w:tc>
      </w:tr>
      <w:tr w:rsidR="00A47956" w:rsidRPr="0081233A" w14:paraId="67BFE47B" w14:textId="77777777" w:rsidTr="007C7D4B">
        <w:tc>
          <w:tcPr>
            <w:tcW w:w="3116" w:type="dxa"/>
          </w:tcPr>
          <w:p w14:paraId="2F68B562" w14:textId="30106A50" w:rsidR="00A47956" w:rsidRPr="0081233A" w:rsidRDefault="00A47956" w:rsidP="0060099B">
            <w:r w:rsidRPr="0081233A">
              <w:t>Membres de minorités visibles</w:t>
            </w:r>
          </w:p>
        </w:tc>
        <w:tc>
          <w:tcPr>
            <w:tcW w:w="3117" w:type="dxa"/>
          </w:tcPr>
          <w:p w14:paraId="5F0340EC" w14:textId="47F12C67" w:rsidR="00A47956" w:rsidRPr="0081233A" w:rsidRDefault="00D35C9E" w:rsidP="0060099B">
            <w:pPr>
              <w:jc w:val="right"/>
            </w:pPr>
            <w:r w:rsidRPr="0081233A">
              <w:t>77,</w:t>
            </w:r>
            <w:r w:rsidR="00A47956" w:rsidRPr="0081233A">
              <w:t>1%</w:t>
            </w:r>
          </w:p>
        </w:tc>
        <w:tc>
          <w:tcPr>
            <w:tcW w:w="3117" w:type="dxa"/>
          </w:tcPr>
          <w:p w14:paraId="1ADE9326" w14:textId="01F46B84" w:rsidR="00A47956" w:rsidRPr="0081233A" w:rsidRDefault="00D35C9E" w:rsidP="0060099B">
            <w:pPr>
              <w:jc w:val="right"/>
            </w:pPr>
            <w:r w:rsidRPr="0081233A">
              <w:t>22,</w:t>
            </w:r>
            <w:r w:rsidR="00A47956" w:rsidRPr="0081233A">
              <w:t>9%</w:t>
            </w:r>
          </w:p>
        </w:tc>
      </w:tr>
      <w:tr w:rsidR="00A47956" w:rsidRPr="0081233A" w14:paraId="490AC9AA" w14:textId="77777777" w:rsidTr="007C7D4B">
        <w:tc>
          <w:tcPr>
            <w:tcW w:w="3116" w:type="dxa"/>
          </w:tcPr>
          <w:p w14:paraId="47AD2E0E" w14:textId="504A0C8D" w:rsidR="00A47956" w:rsidRPr="0081233A" w:rsidRDefault="00A47956" w:rsidP="0060099B">
            <w:r w:rsidRPr="0081233A">
              <w:t>Non-membres de minorités visibles</w:t>
            </w:r>
          </w:p>
        </w:tc>
        <w:tc>
          <w:tcPr>
            <w:tcW w:w="3117" w:type="dxa"/>
          </w:tcPr>
          <w:p w14:paraId="59CCB417" w14:textId="03729904" w:rsidR="00A47956" w:rsidRPr="0081233A" w:rsidRDefault="00D35C9E" w:rsidP="0060099B">
            <w:pPr>
              <w:jc w:val="right"/>
            </w:pPr>
            <w:r w:rsidRPr="0081233A">
              <w:t>87,</w:t>
            </w:r>
            <w:r w:rsidR="00A47956" w:rsidRPr="0081233A">
              <w:t>9%</w:t>
            </w:r>
          </w:p>
        </w:tc>
        <w:tc>
          <w:tcPr>
            <w:tcW w:w="3117" w:type="dxa"/>
          </w:tcPr>
          <w:p w14:paraId="1D25AA81" w14:textId="1B99C28A" w:rsidR="00A47956" w:rsidRPr="0081233A" w:rsidRDefault="00D35C9E" w:rsidP="0060099B">
            <w:pPr>
              <w:jc w:val="right"/>
            </w:pPr>
            <w:r w:rsidRPr="0081233A">
              <w:t>12,</w:t>
            </w:r>
            <w:r w:rsidR="00A47956" w:rsidRPr="0081233A">
              <w:t>1%</w:t>
            </w:r>
          </w:p>
        </w:tc>
      </w:tr>
    </w:tbl>
    <w:p w14:paraId="5582246A" w14:textId="73C8A608" w:rsidR="009561C7" w:rsidRPr="0081233A" w:rsidRDefault="00D524BD" w:rsidP="00EB5482">
      <w:pPr>
        <w:pStyle w:val="ListParagraph"/>
        <w:numPr>
          <w:ilvl w:val="0"/>
          <w:numId w:val="30"/>
        </w:numPr>
      </w:pPr>
      <w:r w:rsidRPr="0081233A">
        <w:t xml:space="preserve">En outre, les non-citoyens sont moins susceptibles d’être embauchés que les citoyens. Par conséquent, moins de </w:t>
      </w:r>
      <w:r w:rsidR="001556ED" w:rsidRPr="0081233A">
        <w:t>postulants</w:t>
      </w:r>
      <w:r w:rsidR="00B928FF" w:rsidRPr="0081233A">
        <w:t xml:space="preserve"> n</w:t>
      </w:r>
      <w:r w:rsidRPr="0081233A">
        <w:t xml:space="preserve">on-citoyens </w:t>
      </w:r>
      <w:r w:rsidR="00BB2C0E" w:rsidRPr="0081233A">
        <w:t>issus</w:t>
      </w:r>
      <w:r w:rsidRPr="0081233A">
        <w:t xml:space="preserve"> de minorités visibles sont nommés</w:t>
      </w:r>
      <w:r w:rsidR="00DB5A0C" w:rsidRPr="0081233A">
        <w:t>.</w:t>
      </w:r>
    </w:p>
    <w:p w14:paraId="79BC225F" w14:textId="1AFDAB30" w:rsidR="00DB5A0C" w:rsidRPr="0081233A" w:rsidRDefault="00D524BD" w:rsidP="00A17A1A">
      <w:pPr>
        <w:pStyle w:val="ListParagraph"/>
        <w:numPr>
          <w:ilvl w:val="0"/>
          <w:numId w:val="30"/>
        </w:numPr>
      </w:pPr>
      <w:r w:rsidRPr="0081233A">
        <w:lastRenderedPageBreak/>
        <w:t>Comme illustré à la figure</w:t>
      </w:r>
      <w:r w:rsidR="00B928FF" w:rsidRPr="0081233A">
        <w:t> </w:t>
      </w:r>
      <w:r w:rsidRPr="0081233A">
        <w:t>2, les membres de minorités visibles représentent 22,3</w:t>
      </w:r>
      <w:r w:rsidR="00B928FF" w:rsidRPr="0081233A">
        <w:t> </w:t>
      </w:r>
      <w:r w:rsidRPr="0081233A">
        <w:t xml:space="preserve">p. 100 de tous les </w:t>
      </w:r>
      <w:r w:rsidR="001556ED" w:rsidRPr="0081233A">
        <w:t>postulants</w:t>
      </w:r>
      <w:r w:rsidRPr="0081233A">
        <w:t xml:space="preserve"> et 20,7</w:t>
      </w:r>
      <w:r w:rsidR="00B928FF" w:rsidRPr="0081233A">
        <w:t> </w:t>
      </w:r>
      <w:r w:rsidRPr="0081233A">
        <w:t xml:space="preserve">p. 100 de toutes les </w:t>
      </w:r>
      <w:r w:rsidR="00BB2C0E" w:rsidRPr="0081233A">
        <w:t>embauches</w:t>
      </w:r>
      <w:r w:rsidR="00567680" w:rsidRPr="0081233A">
        <w:t>.</w:t>
      </w:r>
    </w:p>
    <w:p w14:paraId="417FA2B4" w14:textId="7266FCC8" w:rsidR="00DB5A0C" w:rsidRPr="0081233A" w:rsidRDefault="00D524BD" w:rsidP="00EB5482">
      <w:pPr>
        <w:pStyle w:val="ListParagraph"/>
        <w:numPr>
          <w:ilvl w:val="1"/>
          <w:numId w:val="30"/>
        </w:numPr>
      </w:pPr>
      <w:r w:rsidRPr="0081233A">
        <w:t xml:space="preserve">Lorsque l’analyse porte uniquement sur les citoyens canadiens, les membres de minorités visibles </w:t>
      </w:r>
      <w:r w:rsidR="00BB2C0E" w:rsidRPr="0081233A">
        <w:t xml:space="preserve">comptent </w:t>
      </w:r>
      <w:r w:rsidRPr="0081233A">
        <w:t>pour 17,2</w:t>
      </w:r>
      <w:r w:rsidR="00B928FF" w:rsidRPr="0081233A">
        <w:t> </w:t>
      </w:r>
      <w:r w:rsidRPr="0081233A">
        <w:t xml:space="preserve">p. 100 des </w:t>
      </w:r>
      <w:r w:rsidR="001556ED" w:rsidRPr="0081233A">
        <w:t>postulants</w:t>
      </w:r>
      <w:r w:rsidRPr="0081233A">
        <w:t xml:space="preserve"> et pour 19,5</w:t>
      </w:r>
      <w:r w:rsidR="00B928FF" w:rsidRPr="0081233A">
        <w:t> </w:t>
      </w:r>
      <w:r w:rsidRPr="0081233A">
        <w:t xml:space="preserve">p. 100 des </w:t>
      </w:r>
      <w:r w:rsidR="00BB2C0E" w:rsidRPr="0081233A">
        <w:t>embauches</w:t>
      </w:r>
      <w:r w:rsidR="00567680" w:rsidRPr="0081233A">
        <w:t>.</w:t>
      </w:r>
    </w:p>
    <w:p w14:paraId="5891A789" w14:textId="37039A61" w:rsidR="00DB5A0C" w:rsidRPr="0081233A" w:rsidRDefault="00D524BD" w:rsidP="00EB5482">
      <w:pPr>
        <w:pStyle w:val="ListParagraph"/>
        <w:numPr>
          <w:ilvl w:val="1"/>
          <w:numId w:val="30"/>
        </w:numPr>
      </w:pPr>
      <w:r w:rsidRPr="0081233A">
        <w:t xml:space="preserve">Cependant, parmi les non-citoyens, les membres de minorités visibles </w:t>
      </w:r>
      <w:r w:rsidR="00BB2C0E" w:rsidRPr="0081233A">
        <w:t>compt</w:t>
      </w:r>
      <w:r w:rsidRPr="0081233A">
        <w:t>ent pour 5,1</w:t>
      </w:r>
      <w:r w:rsidR="00B928FF" w:rsidRPr="0081233A">
        <w:t> </w:t>
      </w:r>
      <w:r w:rsidRPr="0081233A">
        <w:t xml:space="preserve">p. 100 de tous les </w:t>
      </w:r>
      <w:r w:rsidR="001556ED" w:rsidRPr="0081233A">
        <w:t>postulants</w:t>
      </w:r>
      <w:r w:rsidRPr="0081233A">
        <w:t xml:space="preserve">, mais uniquement </w:t>
      </w:r>
      <w:r w:rsidR="00496C5B" w:rsidRPr="0081233A">
        <w:t xml:space="preserve">pour </w:t>
      </w:r>
      <w:r w:rsidRPr="0081233A">
        <w:t>1,2</w:t>
      </w:r>
      <w:r w:rsidR="00B928FF" w:rsidRPr="0081233A">
        <w:t> </w:t>
      </w:r>
      <w:r w:rsidRPr="0081233A">
        <w:t xml:space="preserve">p. 100 de toutes les </w:t>
      </w:r>
      <w:r w:rsidR="00BB2C0E" w:rsidRPr="0081233A">
        <w:t>embauches</w:t>
      </w:r>
      <w:r w:rsidR="00567680" w:rsidRPr="0081233A">
        <w:t>.</w:t>
      </w:r>
    </w:p>
    <w:p w14:paraId="66D50BEF" w14:textId="48A83CED" w:rsidR="00DB5A0C" w:rsidRPr="0081233A" w:rsidRDefault="00D524BD" w:rsidP="00DB5A0C">
      <w:pPr>
        <w:pStyle w:val="ListParagraph"/>
        <w:numPr>
          <w:ilvl w:val="1"/>
          <w:numId w:val="30"/>
        </w:numPr>
      </w:pPr>
      <w:r w:rsidRPr="0081233A">
        <w:t xml:space="preserve">D’autres facteurs, notamment les titres de compétences étrangers, peuvent </w:t>
      </w:r>
      <w:r w:rsidR="00BB2C0E" w:rsidRPr="0081233A">
        <w:t xml:space="preserve">contribuer </w:t>
      </w:r>
      <w:r w:rsidRPr="0081233A">
        <w:t xml:space="preserve">à la baisse </w:t>
      </w:r>
      <w:r w:rsidR="00BB2C0E" w:rsidRPr="0081233A">
        <w:t>du nombre de</w:t>
      </w:r>
      <w:r w:rsidRPr="0081233A">
        <w:t xml:space="preserve"> non-citoyens entre les étapes de </w:t>
      </w:r>
      <w:r w:rsidR="00496C5B" w:rsidRPr="0081233A">
        <w:t xml:space="preserve">la </w:t>
      </w:r>
      <w:r w:rsidRPr="0081233A">
        <w:t>présentation de</w:t>
      </w:r>
      <w:r w:rsidR="00496C5B" w:rsidRPr="0081233A">
        <w:t xml:space="preserve"> la </w:t>
      </w:r>
      <w:r w:rsidRPr="0081233A">
        <w:t xml:space="preserve">candidature et de </w:t>
      </w:r>
      <w:r w:rsidR="00496C5B" w:rsidRPr="0081233A">
        <w:t xml:space="preserve">la </w:t>
      </w:r>
      <w:r w:rsidR="009A7EDA" w:rsidRPr="0081233A">
        <w:t>nomination.</w:t>
      </w:r>
    </w:p>
    <w:p w14:paraId="3BFDC466" w14:textId="77777777" w:rsidR="007C7D4B" w:rsidRPr="0081233A" w:rsidRDefault="009A7EDA" w:rsidP="007C7D4B">
      <w:pPr>
        <w:keepNext/>
        <w:jc w:val="center"/>
      </w:pPr>
      <w:r w:rsidRPr="0081233A">
        <w:rPr>
          <w:noProof/>
          <w:lang w:val="en-CA" w:eastAsia="en-CA"/>
        </w:rPr>
        <w:drawing>
          <wp:inline distT="0" distB="0" distL="0" distR="0" wp14:anchorId="2B0EFBA3" wp14:editId="7FFB0C7E">
            <wp:extent cx="5943600" cy="3681095"/>
            <wp:effectExtent l="0" t="0" r="0" b="0"/>
            <wp:docPr id="3" name="Picture 3" descr="Un diagramme à barres avec deux barres. Le diagramme démontre les postulants et les embauches qui ont auto-déclaré ou auto-identifié comme membres de minorités visibles en 2018-2019. Les barres sont divisés par les postulants et embauches qui étaient citoyens canadiens ou non-citoyens." title="Postulants et embauches des membres de minorités visibles: citoyens versus non-citoy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ible_minority_applicants_hires_f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34BD" w14:textId="1003C6C1" w:rsidR="002143F3" w:rsidRPr="0081233A" w:rsidRDefault="007C7D4B" w:rsidP="00851BAF">
      <w:pPr>
        <w:pStyle w:val="Caption"/>
        <w:jc w:val="center"/>
      </w:pPr>
      <w:r w:rsidRPr="0081233A">
        <w:t xml:space="preserve">Figure </w:t>
      </w:r>
      <w:r w:rsidRPr="0081233A">
        <w:fldChar w:fldCharType="begin"/>
      </w:r>
      <w:r w:rsidRPr="0081233A">
        <w:instrText xml:space="preserve"> SEQ Figure \* ARABIC </w:instrText>
      </w:r>
      <w:r w:rsidRPr="0081233A">
        <w:fldChar w:fldCharType="separate"/>
      </w:r>
      <w:r w:rsidR="00F200C8" w:rsidRPr="0081233A">
        <w:rPr>
          <w:noProof/>
        </w:rPr>
        <w:t>2</w:t>
      </w:r>
      <w:r w:rsidRPr="0081233A">
        <w:fldChar w:fldCharType="end"/>
      </w:r>
      <w:r w:rsidR="00F200C8" w:rsidRPr="0081233A">
        <w:t> </w:t>
      </w:r>
      <w:r w:rsidRPr="0081233A">
        <w:t>: Postulants et embauches des membres de minorités visibles : citoyens versus non-citoyens</w:t>
      </w:r>
      <w:r w:rsidR="002143F3" w:rsidRPr="0081233A">
        <w:br w:type="page"/>
      </w:r>
    </w:p>
    <w:p w14:paraId="3A2AD77C" w14:textId="745AB6BD" w:rsidR="007C7D4B" w:rsidRPr="0081233A" w:rsidRDefault="007C7D4B" w:rsidP="007C7D4B">
      <w:pPr>
        <w:pStyle w:val="Caption"/>
        <w:keepNext/>
        <w:jc w:val="center"/>
      </w:pPr>
      <w:r w:rsidRPr="0081233A">
        <w:lastRenderedPageBreak/>
        <w:t xml:space="preserve">Table </w:t>
      </w:r>
      <w:r w:rsidRPr="0081233A">
        <w:fldChar w:fldCharType="begin"/>
      </w:r>
      <w:r w:rsidRPr="0081233A">
        <w:instrText xml:space="preserve"> SEQ Table \* ARABIC </w:instrText>
      </w:r>
      <w:r w:rsidRPr="0081233A">
        <w:fldChar w:fldCharType="separate"/>
      </w:r>
      <w:r w:rsidR="00F200C8" w:rsidRPr="0081233A">
        <w:rPr>
          <w:noProof/>
        </w:rPr>
        <w:t>2</w:t>
      </w:r>
      <w:r w:rsidRPr="0081233A">
        <w:fldChar w:fldCharType="end"/>
      </w:r>
      <w:r w:rsidR="00F200C8" w:rsidRPr="0081233A">
        <w:t> </w:t>
      </w:r>
      <w:r w:rsidRPr="0081233A">
        <w:t>: Postulants et embauches des membres de minorités visibles : citoyens versus non-citoyens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stulants et embauches des membres des minorités visibles : citoyens versus non-citoyens"/>
        <w:tblDescription w:val="Une table qui démontre la part de postulants et d'embauches qui ont auto-déclaré comme membres de minorités visibles en 2018-2019. Les chiffres sont divisés par le status de citoyenneté canadienne."/>
      </w:tblPr>
      <w:tblGrid>
        <w:gridCol w:w="2591"/>
        <w:gridCol w:w="2337"/>
        <w:gridCol w:w="2337"/>
        <w:gridCol w:w="2085"/>
      </w:tblGrid>
      <w:tr w:rsidR="002143F3" w:rsidRPr="0081233A" w14:paraId="3E590458" w14:textId="77777777" w:rsidTr="007C7D4B">
        <w:trPr>
          <w:tblHeader/>
        </w:trPr>
        <w:tc>
          <w:tcPr>
            <w:tcW w:w="2591" w:type="dxa"/>
          </w:tcPr>
          <w:p w14:paraId="7BA2A3F9" w14:textId="5E1AF920" w:rsidR="002143F3" w:rsidRPr="0081233A" w:rsidRDefault="002143F3" w:rsidP="002143F3">
            <w:pPr>
              <w:jc w:val="center"/>
            </w:pPr>
            <w:r w:rsidRPr="0081233A">
              <w:t>Groupe</w:t>
            </w:r>
          </w:p>
        </w:tc>
        <w:tc>
          <w:tcPr>
            <w:tcW w:w="2337" w:type="dxa"/>
          </w:tcPr>
          <w:p w14:paraId="29797621" w14:textId="6A06129E" w:rsidR="002143F3" w:rsidRPr="0081233A" w:rsidRDefault="002143F3" w:rsidP="002143F3">
            <w:pPr>
              <w:jc w:val="center"/>
            </w:pPr>
            <w:r w:rsidRPr="0081233A">
              <w:t>Part de citoyens</w:t>
            </w:r>
          </w:p>
        </w:tc>
        <w:tc>
          <w:tcPr>
            <w:tcW w:w="2337" w:type="dxa"/>
          </w:tcPr>
          <w:p w14:paraId="33B58E68" w14:textId="122DF68D" w:rsidR="002143F3" w:rsidRPr="0081233A" w:rsidRDefault="002143F3" w:rsidP="002143F3">
            <w:pPr>
              <w:jc w:val="center"/>
            </w:pPr>
            <w:r w:rsidRPr="0081233A">
              <w:t>Part de non-citoyens</w:t>
            </w:r>
          </w:p>
        </w:tc>
        <w:tc>
          <w:tcPr>
            <w:tcW w:w="2085" w:type="dxa"/>
          </w:tcPr>
          <w:p w14:paraId="5724EB05" w14:textId="0C444F63" w:rsidR="002143F3" w:rsidRPr="0081233A" w:rsidRDefault="002143F3" w:rsidP="002143F3">
            <w:pPr>
              <w:jc w:val="center"/>
            </w:pPr>
            <w:r w:rsidRPr="0081233A">
              <w:t>Total</w:t>
            </w:r>
          </w:p>
        </w:tc>
      </w:tr>
      <w:tr w:rsidR="002143F3" w:rsidRPr="0081233A" w14:paraId="231F97B4" w14:textId="77777777" w:rsidTr="007C7D4B">
        <w:tc>
          <w:tcPr>
            <w:tcW w:w="2591" w:type="dxa"/>
          </w:tcPr>
          <w:p w14:paraId="78088286" w14:textId="3D51F392" w:rsidR="002143F3" w:rsidRPr="0081233A" w:rsidRDefault="002143F3" w:rsidP="0060099B">
            <w:r w:rsidRPr="0081233A">
              <w:t>M</w:t>
            </w:r>
            <w:r w:rsidR="008908DC" w:rsidRPr="0081233A">
              <w:t>embres de minorités visibles </w:t>
            </w:r>
            <w:r w:rsidRPr="0081233A">
              <w:t>: postulants</w:t>
            </w:r>
          </w:p>
        </w:tc>
        <w:tc>
          <w:tcPr>
            <w:tcW w:w="2337" w:type="dxa"/>
          </w:tcPr>
          <w:p w14:paraId="798457B8" w14:textId="1143DB89" w:rsidR="002143F3" w:rsidRPr="0081233A" w:rsidRDefault="002143F3" w:rsidP="0060099B">
            <w:pPr>
              <w:jc w:val="right"/>
            </w:pPr>
            <w:r w:rsidRPr="0081233A">
              <w:t>1</w:t>
            </w:r>
            <w:r w:rsidR="00D35C9E" w:rsidRPr="0081233A">
              <w:t>7,</w:t>
            </w:r>
            <w:r w:rsidRPr="0081233A">
              <w:t>2%</w:t>
            </w:r>
          </w:p>
        </w:tc>
        <w:tc>
          <w:tcPr>
            <w:tcW w:w="2337" w:type="dxa"/>
          </w:tcPr>
          <w:p w14:paraId="65263696" w14:textId="04CB1727" w:rsidR="002143F3" w:rsidRPr="0081233A" w:rsidRDefault="00D35C9E" w:rsidP="0060099B">
            <w:pPr>
              <w:jc w:val="right"/>
            </w:pPr>
            <w:r w:rsidRPr="0081233A">
              <w:t>5,</w:t>
            </w:r>
            <w:r w:rsidR="002143F3" w:rsidRPr="0081233A">
              <w:t>1%</w:t>
            </w:r>
          </w:p>
        </w:tc>
        <w:tc>
          <w:tcPr>
            <w:tcW w:w="2085" w:type="dxa"/>
          </w:tcPr>
          <w:p w14:paraId="0609055E" w14:textId="6980B27B" w:rsidR="002143F3" w:rsidRPr="0081233A" w:rsidRDefault="002143F3" w:rsidP="0060099B">
            <w:pPr>
              <w:jc w:val="right"/>
            </w:pPr>
            <w:r w:rsidRPr="0081233A">
              <w:t>2</w:t>
            </w:r>
            <w:r w:rsidR="00D35C9E" w:rsidRPr="0081233A">
              <w:t>2,</w:t>
            </w:r>
            <w:r w:rsidRPr="0081233A">
              <w:t>3%</w:t>
            </w:r>
          </w:p>
        </w:tc>
      </w:tr>
      <w:tr w:rsidR="002143F3" w:rsidRPr="0081233A" w14:paraId="485A49A6" w14:textId="77777777" w:rsidTr="007C7D4B">
        <w:tc>
          <w:tcPr>
            <w:tcW w:w="2591" w:type="dxa"/>
          </w:tcPr>
          <w:p w14:paraId="0E0BA2D8" w14:textId="577C6167" w:rsidR="002143F3" w:rsidRPr="0081233A" w:rsidRDefault="009A7EDA" w:rsidP="0060099B">
            <w:r w:rsidRPr="0081233A">
              <w:t>M</w:t>
            </w:r>
            <w:r w:rsidR="008908DC" w:rsidRPr="0081233A">
              <w:t>embres de minorités visibles </w:t>
            </w:r>
            <w:r w:rsidR="002143F3" w:rsidRPr="0081233A">
              <w:t>: embauches</w:t>
            </w:r>
          </w:p>
        </w:tc>
        <w:tc>
          <w:tcPr>
            <w:tcW w:w="2337" w:type="dxa"/>
          </w:tcPr>
          <w:p w14:paraId="6F72F2C3" w14:textId="748C9A44" w:rsidR="002143F3" w:rsidRPr="0081233A" w:rsidRDefault="002143F3" w:rsidP="0060099B">
            <w:pPr>
              <w:jc w:val="right"/>
            </w:pPr>
            <w:r w:rsidRPr="0081233A">
              <w:t>1</w:t>
            </w:r>
            <w:r w:rsidR="00D35C9E" w:rsidRPr="0081233A">
              <w:t>9,</w:t>
            </w:r>
            <w:r w:rsidRPr="0081233A">
              <w:t>5%</w:t>
            </w:r>
          </w:p>
        </w:tc>
        <w:tc>
          <w:tcPr>
            <w:tcW w:w="2337" w:type="dxa"/>
          </w:tcPr>
          <w:p w14:paraId="27D808D2" w14:textId="1909B915" w:rsidR="002143F3" w:rsidRPr="0081233A" w:rsidRDefault="00D35C9E" w:rsidP="0060099B">
            <w:pPr>
              <w:jc w:val="right"/>
            </w:pPr>
            <w:r w:rsidRPr="0081233A">
              <w:t>1,</w:t>
            </w:r>
            <w:r w:rsidR="002143F3" w:rsidRPr="0081233A">
              <w:t>2%</w:t>
            </w:r>
          </w:p>
        </w:tc>
        <w:tc>
          <w:tcPr>
            <w:tcW w:w="2085" w:type="dxa"/>
          </w:tcPr>
          <w:p w14:paraId="25D71C02" w14:textId="472CF098" w:rsidR="002143F3" w:rsidRPr="0081233A" w:rsidRDefault="00D35C9E" w:rsidP="0060099B">
            <w:pPr>
              <w:jc w:val="right"/>
            </w:pPr>
            <w:r w:rsidRPr="0081233A">
              <w:t>20,</w:t>
            </w:r>
            <w:r w:rsidR="002143F3" w:rsidRPr="0081233A">
              <w:t>7%</w:t>
            </w:r>
          </w:p>
        </w:tc>
      </w:tr>
    </w:tbl>
    <w:p w14:paraId="5C0260F5" w14:textId="204655D4" w:rsidR="00DB5A0C" w:rsidRPr="0081233A" w:rsidRDefault="001D7907" w:rsidP="00851BAF">
      <w:pPr>
        <w:pStyle w:val="Heading2"/>
        <w:spacing w:before="320"/>
        <w:rPr>
          <w:lang w:val="fr-CA"/>
        </w:rPr>
      </w:pPr>
      <w:r w:rsidRPr="0081233A">
        <w:rPr>
          <w:lang w:val="fr-CA"/>
        </w:rPr>
        <w:t>Résidents permanents</w:t>
      </w:r>
    </w:p>
    <w:p w14:paraId="624E70EB" w14:textId="4689407C" w:rsidR="00976087" w:rsidRPr="0081233A" w:rsidRDefault="00D524BD" w:rsidP="000E1CAB">
      <w:r w:rsidRPr="0081233A">
        <w:t>Il existe des types distincts de non-citoyenneté</w:t>
      </w:r>
      <w:r w:rsidR="00B928FF" w:rsidRPr="0081233A">
        <w:t>s</w:t>
      </w:r>
      <w:r w:rsidR="00976087" w:rsidRPr="0081233A">
        <w:rPr>
          <w:rStyle w:val="FootnoteReference"/>
        </w:rPr>
        <w:footnoteReference w:id="2"/>
      </w:r>
      <w:r w:rsidRPr="0081233A">
        <w:t>. La section suivante décrit les parts des candidatures et des nominations revenant aux résidents permanents par r</w:t>
      </w:r>
      <w:r w:rsidR="00567680" w:rsidRPr="0081233A">
        <w:t>apport aux autres non-citoyens.</w:t>
      </w:r>
    </w:p>
    <w:p w14:paraId="764EC002" w14:textId="287AC350" w:rsidR="000E1CAB" w:rsidRPr="0081233A" w:rsidRDefault="0091418E" w:rsidP="00851BAF">
      <w:pPr>
        <w:pStyle w:val="Heading3"/>
        <w:rPr>
          <w:lang w:val="fr-CA"/>
        </w:rPr>
      </w:pPr>
      <w:r w:rsidRPr="0081233A">
        <w:rPr>
          <w:lang w:val="fr-CA"/>
        </w:rPr>
        <w:t>Postulants</w:t>
      </w:r>
    </w:p>
    <w:p w14:paraId="4629085C" w14:textId="14C339B8" w:rsidR="00BA6118" w:rsidRPr="0081233A" w:rsidRDefault="00D524BD" w:rsidP="00D524BD">
      <w:pPr>
        <w:pStyle w:val="ListParagraph"/>
        <w:numPr>
          <w:ilvl w:val="0"/>
          <w:numId w:val="30"/>
        </w:numPr>
        <w:spacing w:after="240"/>
        <w:ind w:left="360" w:hanging="357"/>
        <w:contextualSpacing w:val="0"/>
      </w:pPr>
      <w:r w:rsidRPr="0081233A">
        <w:t xml:space="preserve">La </w:t>
      </w:r>
      <w:r w:rsidR="004364C8" w:rsidRPr="0081233A">
        <w:t xml:space="preserve">plupart </w:t>
      </w:r>
      <w:r w:rsidRPr="0081233A">
        <w:t xml:space="preserve">des </w:t>
      </w:r>
      <w:r w:rsidR="0091418E" w:rsidRPr="0081233A">
        <w:t>postulants</w:t>
      </w:r>
      <w:r w:rsidRPr="0081233A">
        <w:t xml:space="preserve"> </w:t>
      </w:r>
      <w:r w:rsidR="00B928FF" w:rsidRPr="0081233A">
        <w:t xml:space="preserve">qui sont </w:t>
      </w:r>
      <w:r w:rsidRPr="0081233A">
        <w:t>non-cito</w:t>
      </w:r>
      <w:r w:rsidR="00567680" w:rsidRPr="0081233A">
        <w:t>yens sont résidents permanents.</w:t>
      </w:r>
    </w:p>
    <w:p w14:paraId="2F32802C" w14:textId="6A0518BE" w:rsidR="000E1CAB" w:rsidRPr="0081233A" w:rsidRDefault="00D524BD" w:rsidP="00E90A87">
      <w:pPr>
        <w:pStyle w:val="ListParagraph"/>
        <w:numPr>
          <w:ilvl w:val="1"/>
          <w:numId w:val="30"/>
        </w:numPr>
        <w:spacing w:after="240"/>
        <w:contextualSpacing w:val="0"/>
      </w:pPr>
      <w:r w:rsidRPr="0081233A">
        <w:t>En</w:t>
      </w:r>
      <w:r w:rsidR="000E1CAB" w:rsidRPr="0081233A">
        <w:t xml:space="preserve"> 201</w:t>
      </w:r>
      <w:r w:rsidR="006008EF" w:rsidRPr="0081233A">
        <w:t>8</w:t>
      </w:r>
      <w:r w:rsidR="000E1CAB" w:rsidRPr="0081233A">
        <w:t>-20</w:t>
      </w:r>
      <w:r w:rsidR="006008EF" w:rsidRPr="0081233A">
        <w:t>19</w:t>
      </w:r>
      <w:r w:rsidR="000E1CAB" w:rsidRPr="0081233A">
        <w:t xml:space="preserve">, </w:t>
      </w:r>
      <w:r w:rsidRPr="0081233A">
        <w:t>sur les 14,5</w:t>
      </w:r>
      <w:r w:rsidR="00B928FF" w:rsidRPr="0081233A">
        <w:t> </w:t>
      </w:r>
      <w:r w:rsidRPr="0081233A">
        <w:t xml:space="preserve">p. 100 des </w:t>
      </w:r>
      <w:r w:rsidR="0091418E" w:rsidRPr="0081233A">
        <w:t>postulants</w:t>
      </w:r>
      <w:r w:rsidRPr="0081233A">
        <w:t xml:space="preserve"> qui étaient non-citoyens, plus de</w:t>
      </w:r>
      <w:r w:rsidR="004364C8" w:rsidRPr="0081233A">
        <w:t>s</w:t>
      </w:r>
      <w:r w:rsidRPr="0081233A">
        <w:t xml:space="preserve"> deux tiers (37</w:t>
      </w:r>
      <w:r w:rsidR="00B928FF" w:rsidRPr="0081233A">
        <w:t> </w:t>
      </w:r>
      <w:r w:rsidRPr="0081233A">
        <w:t xml:space="preserve">716 </w:t>
      </w:r>
      <w:r w:rsidR="0091418E" w:rsidRPr="0081233A">
        <w:t>postulants</w:t>
      </w:r>
      <w:r w:rsidRPr="0081233A">
        <w:t>) éta</w:t>
      </w:r>
      <w:r w:rsidR="00496C5B" w:rsidRPr="0081233A">
        <w:t xml:space="preserve">ient résidents permanents, alors </w:t>
      </w:r>
      <w:r w:rsidRPr="0081233A">
        <w:t xml:space="preserve">que les </w:t>
      </w:r>
      <w:r w:rsidR="004364C8" w:rsidRPr="0081233A">
        <w:t xml:space="preserve">autres </w:t>
      </w:r>
      <w:r w:rsidR="0091418E" w:rsidRPr="0081233A">
        <w:t>postulants</w:t>
      </w:r>
      <w:r w:rsidRPr="0081233A">
        <w:t xml:space="preserve"> (15</w:t>
      </w:r>
      <w:r w:rsidR="00B928FF" w:rsidRPr="0081233A">
        <w:t> </w:t>
      </w:r>
      <w:r w:rsidRPr="0081233A">
        <w:t xml:space="preserve">886 </w:t>
      </w:r>
      <w:r w:rsidR="0091418E" w:rsidRPr="0081233A">
        <w:t>postulants</w:t>
      </w:r>
      <w:r w:rsidRPr="0081233A">
        <w:t>) n’ét</w:t>
      </w:r>
      <w:r w:rsidR="00567680" w:rsidRPr="0081233A">
        <w:t>aient pas résidents permanents.</w:t>
      </w:r>
    </w:p>
    <w:p w14:paraId="50EF96DA" w14:textId="207FC7C0" w:rsidR="00D524BD" w:rsidRPr="0081233A" w:rsidRDefault="00D524BD" w:rsidP="00F200C8">
      <w:pPr>
        <w:pStyle w:val="ListParagraph"/>
        <w:numPr>
          <w:ilvl w:val="0"/>
          <w:numId w:val="30"/>
        </w:numPr>
      </w:pPr>
      <w:r w:rsidRPr="0081233A">
        <w:t xml:space="preserve">La représentation des membres de minorités visibles est la plus élevée parmi les </w:t>
      </w:r>
      <w:r w:rsidR="0091418E" w:rsidRPr="0081233A">
        <w:t>postulants</w:t>
      </w:r>
      <w:r w:rsidR="00567680" w:rsidRPr="0081233A">
        <w:t xml:space="preserve"> qui sont résidents permanents.</w:t>
      </w:r>
    </w:p>
    <w:p w14:paraId="4310EDE6" w14:textId="341FA61A" w:rsidR="00A2474A" w:rsidRPr="0081233A" w:rsidRDefault="00D524BD" w:rsidP="006008EF">
      <w:pPr>
        <w:pStyle w:val="ListParagraph"/>
        <w:numPr>
          <w:ilvl w:val="1"/>
          <w:numId w:val="30"/>
        </w:numPr>
      </w:pPr>
      <w:r w:rsidRPr="0081233A">
        <w:t>En</w:t>
      </w:r>
      <w:r w:rsidR="000E1CAB" w:rsidRPr="0081233A">
        <w:t xml:space="preserve"> 20</w:t>
      </w:r>
      <w:r w:rsidR="006008EF" w:rsidRPr="0081233A">
        <w:t>18</w:t>
      </w:r>
      <w:r w:rsidR="000E1CAB" w:rsidRPr="0081233A">
        <w:t>-20</w:t>
      </w:r>
      <w:r w:rsidR="006008EF" w:rsidRPr="0081233A">
        <w:t>19</w:t>
      </w:r>
      <w:r w:rsidR="000E1CAB" w:rsidRPr="0081233A">
        <w:t xml:space="preserve">, </w:t>
      </w:r>
      <w:r w:rsidR="006008EF" w:rsidRPr="0081233A">
        <w:t>38</w:t>
      </w:r>
      <w:r w:rsidRPr="0081233A">
        <w:t>,4</w:t>
      </w:r>
      <w:r w:rsidR="00B928FF" w:rsidRPr="0081233A">
        <w:t> </w:t>
      </w:r>
      <w:r w:rsidRPr="0081233A">
        <w:t xml:space="preserve">p. 100 des </w:t>
      </w:r>
      <w:r w:rsidR="0091418E" w:rsidRPr="0081233A">
        <w:t>postulants</w:t>
      </w:r>
      <w:r w:rsidRPr="0081233A">
        <w:t xml:space="preserve"> </w:t>
      </w:r>
      <w:r w:rsidR="00496C5B" w:rsidRPr="0081233A">
        <w:t xml:space="preserve">qui étaient </w:t>
      </w:r>
      <w:r w:rsidRPr="0081233A">
        <w:t>résidents permanents ayant postulé aux annonces d’emploi</w:t>
      </w:r>
      <w:r w:rsidR="00496C5B" w:rsidRPr="0081233A">
        <w:t>s</w:t>
      </w:r>
      <w:r w:rsidRPr="0081233A">
        <w:t xml:space="preserve"> externes étaient membres de minorités visibles, comparativement à 20,1</w:t>
      </w:r>
      <w:r w:rsidR="00B928FF" w:rsidRPr="0081233A">
        <w:t> </w:t>
      </w:r>
      <w:r w:rsidRPr="0081233A">
        <w:t>p. 100 pour les citoyens et 27,5</w:t>
      </w:r>
      <w:r w:rsidR="00B928FF" w:rsidRPr="0081233A">
        <w:t> </w:t>
      </w:r>
      <w:r w:rsidRPr="0081233A">
        <w:t>p. 10</w:t>
      </w:r>
      <w:r w:rsidR="00567680" w:rsidRPr="0081233A">
        <w:t>0 pour les autres non-citoyens.</w:t>
      </w:r>
    </w:p>
    <w:p w14:paraId="7B8372C8" w14:textId="1C11DB5B" w:rsidR="000E1CAB" w:rsidRPr="0081233A" w:rsidRDefault="00E83559" w:rsidP="00851BAF">
      <w:pPr>
        <w:pStyle w:val="Heading3"/>
        <w:rPr>
          <w:lang w:val="fr-CA"/>
        </w:rPr>
      </w:pPr>
      <w:r w:rsidRPr="0081233A">
        <w:rPr>
          <w:lang w:val="fr-CA"/>
        </w:rPr>
        <w:t>Nominations</w:t>
      </w:r>
    </w:p>
    <w:p w14:paraId="7CD767E0" w14:textId="0A733D58" w:rsidR="00BA6118" w:rsidRPr="0081233A" w:rsidRDefault="00E83559" w:rsidP="00AC2464">
      <w:pPr>
        <w:pStyle w:val="ListParagraph"/>
        <w:numPr>
          <w:ilvl w:val="0"/>
          <w:numId w:val="30"/>
        </w:numPr>
        <w:contextualSpacing w:val="0"/>
      </w:pPr>
      <w:r w:rsidRPr="0081233A">
        <w:t xml:space="preserve">La </w:t>
      </w:r>
      <w:r w:rsidR="00DC26AA" w:rsidRPr="0081233A">
        <w:t xml:space="preserve">plupart </w:t>
      </w:r>
      <w:r w:rsidRPr="0081233A">
        <w:t xml:space="preserve">des </w:t>
      </w:r>
      <w:r w:rsidR="005C0A09" w:rsidRPr="0081233A">
        <w:t>embauches</w:t>
      </w:r>
      <w:r w:rsidRPr="0081233A">
        <w:t xml:space="preserve"> </w:t>
      </w:r>
      <w:r w:rsidR="00B928FF" w:rsidRPr="0081233A">
        <w:t xml:space="preserve">qui sont </w:t>
      </w:r>
      <w:r w:rsidRPr="0081233A">
        <w:t>non-citoyens sont résidents permanents.</w:t>
      </w:r>
    </w:p>
    <w:p w14:paraId="6EB8FB14" w14:textId="5063B465" w:rsidR="00D72CA2" w:rsidRPr="0081233A" w:rsidRDefault="00E83559" w:rsidP="00A17A1A">
      <w:pPr>
        <w:pStyle w:val="ListParagraph"/>
        <w:numPr>
          <w:ilvl w:val="1"/>
          <w:numId w:val="30"/>
        </w:numPr>
        <w:contextualSpacing w:val="0"/>
      </w:pPr>
      <w:r w:rsidRPr="0081233A">
        <w:t>En</w:t>
      </w:r>
      <w:r w:rsidR="000E1CAB" w:rsidRPr="0081233A">
        <w:t xml:space="preserve"> 2018-2019,</w:t>
      </w:r>
      <w:r w:rsidRPr="0081233A">
        <w:t xml:space="preserve"> sur les 2</w:t>
      </w:r>
      <w:r w:rsidR="00B928FF" w:rsidRPr="0081233A">
        <w:t>,</w:t>
      </w:r>
      <w:r w:rsidRPr="0081233A">
        <w:t>5</w:t>
      </w:r>
      <w:r w:rsidR="00B928FF" w:rsidRPr="0081233A">
        <w:t> </w:t>
      </w:r>
      <w:r w:rsidRPr="0081233A">
        <w:t xml:space="preserve">p. 100 des </w:t>
      </w:r>
      <w:r w:rsidR="005C0A09" w:rsidRPr="0081233A">
        <w:t xml:space="preserve">embauches </w:t>
      </w:r>
      <w:r w:rsidRPr="0081233A">
        <w:t>qui</w:t>
      </w:r>
      <w:r w:rsidR="00496C5B" w:rsidRPr="0081233A">
        <w:t xml:space="preserve"> étaient</w:t>
      </w:r>
      <w:r w:rsidRPr="0081233A">
        <w:t xml:space="preserve"> non-citoyens, plus de trois quarts (387 </w:t>
      </w:r>
      <w:r w:rsidR="005C0A09" w:rsidRPr="0081233A">
        <w:t>embauches</w:t>
      </w:r>
      <w:r w:rsidRPr="0081233A">
        <w:t xml:space="preserve">) </w:t>
      </w:r>
      <w:r w:rsidR="00496C5B" w:rsidRPr="0081233A">
        <w:t>étaient</w:t>
      </w:r>
      <w:r w:rsidRPr="0081233A">
        <w:t xml:space="preserve"> résidents permanents, tandis que </w:t>
      </w:r>
      <w:r w:rsidR="005C0A09" w:rsidRPr="0081233A">
        <w:t>les autres embauches</w:t>
      </w:r>
      <w:r w:rsidRPr="0081233A">
        <w:t xml:space="preserve"> (108 </w:t>
      </w:r>
      <w:r w:rsidR="005C0A09" w:rsidRPr="0081233A">
        <w:t>embauches</w:t>
      </w:r>
      <w:r w:rsidRPr="0081233A">
        <w:t xml:space="preserve">) </w:t>
      </w:r>
      <w:r w:rsidR="00496C5B" w:rsidRPr="0081233A">
        <w:t>étaient</w:t>
      </w:r>
      <w:r w:rsidRPr="0081233A">
        <w:t xml:space="preserve"> d’autres non-citoyens</w:t>
      </w:r>
      <w:r w:rsidR="000E1CAB" w:rsidRPr="0081233A">
        <w:t>.</w:t>
      </w:r>
    </w:p>
    <w:p w14:paraId="49850E19" w14:textId="22C608BC" w:rsidR="000E1CAB" w:rsidRPr="0081233A" w:rsidRDefault="00E83559" w:rsidP="00AC2464">
      <w:pPr>
        <w:pStyle w:val="ListParagraph"/>
        <w:numPr>
          <w:ilvl w:val="0"/>
          <w:numId w:val="30"/>
        </w:numPr>
        <w:contextualSpacing w:val="0"/>
      </w:pPr>
      <w:r w:rsidRPr="0081233A">
        <w:lastRenderedPageBreak/>
        <w:t xml:space="preserve">La représentation des membres de minorités visibles est la plus élevée parmi les </w:t>
      </w:r>
      <w:r w:rsidR="005C0A09" w:rsidRPr="0081233A">
        <w:t xml:space="preserve">embauches </w:t>
      </w:r>
      <w:r w:rsidRPr="0081233A">
        <w:t>qui sont résidents permanents</w:t>
      </w:r>
      <w:r w:rsidR="000E1CAB" w:rsidRPr="0081233A">
        <w:t>.</w:t>
      </w:r>
    </w:p>
    <w:p w14:paraId="107ABB36" w14:textId="1033A39A" w:rsidR="004B1D1C" w:rsidRPr="0081233A" w:rsidRDefault="00E83559" w:rsidP="00AC2464">
      <w:pPr>
        <w:pStyle w:val="ListParagraph"/>
        <w:numPr>
          <w:ilvl w:val="1"/>
          <w:numId w:val="30"/>
        </w:numPr>
        <w:spacing w:line="240" w:lineRule="auto"/>
      </w:pPr>
      <w:r w:rsidRPr="0081233A">
        <w:t xml:space="preserve">En </w:t>
      </w:r>
      <w:r w:rsidR="000E1CAB" w:rsidRPr="0081233A">
        <w:t>2018-2019, 48</w:t>
      </w:r>
      <w:r w:rsidRPr="0081233A">
        <w:t>,3</w:t>
      </w:r>
      <w:r w:rsidR="00B928FF" w:rsidRPr="0081233A">
        <w:t> </w:t>
      </w:r>
      <w:r w:rsidRPr="0081233A">
        <w:t xml:space="preserve">p. 100 des </w:t>
      </w:r>
      <w:r w:rsidR="005C0A09" w:rsidRPr="0081233A">
        <w:t xml:space="preserve">embauches </w:t>
      </w:r>
      <w:r w:rsidRPr="0081233A">
        <w:t xml:space="preserve">qui </w:t>
      </w:r>
      <w:r w:rsidR="00496C5B" w:rsidRPr="0081233A">
        <w:t xml:space="preserve">étaient </w:t>
      </w:r>
      <w:r w:rsidR="00B928FF" w:rsidRPr="0081233A">
        <w:t>r</w:t>
      </w:r>
      <w:r w:rsidRPr="0081233A">
        <w:t xml:space="preserve">ésidents permanents </w:t>
      </w:r>
      <w:r w:rsidR="00496C5B" w:rsidRPr="0081233A">
        <w:t>étaient</w:t>
      </w:r>
      <w:r w:rsidRPr="0081233A">
        <w:t xml:space="preserve"> membres de minorités visibles, comparativement</w:t>
      </w:r>
      <w:r w:rsidR="00496C5B" w:rsidRPr="0081233A">
        <w:t xml:space="preserve"> </w:t>
      </w:r>
      <w:r w:rsidRPr="0081233A">
        <w:t>à 20</w:t>
      </w:r>
      <w:r w:rsidR="00B928FF" w:rsidRPr="0081233A">
        <w:t> </w:t>
      </w:r>
      <w:r w:rsidRPr="0081233A">
        <w:t xml:space="preserve">p. 100 </w:t>
      </w:r>
      <w:r w:rsidR="005C0A09" w:rsidRPr="0081233A">
        <w:t>des embauches</w:t>
      </w:r>
      <w:r w:rsidRPr="0081233A">
        <w:t xml:space="preserve"> qui </w:t>
      </w:r>
      <w:r w:rsidR="00496C5B" w:rsidRPr="0081233A">
        <w:t xml:space="preserve">étaient </w:t>
      </w:r>
      <w:r w:rsidR="00B928FF" w:rsidRPr="0081233A">
        <w:t>c</w:t>
      </w:r>
      <w:r w:rsidRPr="0081233A">
        <w:t>itoyens et 44,4</w:t>
      </w:r>
      <w:r w:rsidR="00B928FF" w:rsidRPr="0081233A">
        <w:t> </w:t>
      </w:r>
      <w:r w:rsidRPr="0081233A">
        <w:t xml:space="preserve">p. 100 </w:t>
      </w:r>
      <w:r w:rsidR="005C0A09" w:rsidRPr="0081233A">
        <w:t xml:space="preserve">des embauches </w:t>
      </w:r>
      <w:r w:rsidRPr="0081233A">
        <w:t xml:space="preserve">qui </w:t>
      </w:r>
      <w:r w:rsidR="00496C5B" w:rsidRPr="0081233A">
        <w:t>étaient</w:t>
      </w:r>
      <w:r w:rsidRPr="0081233A">
        <w:t xml:space="preserve"> d’</w:t>
      </w:r>
      <w:r w:rsidR="00567680" w:rsidRPr="0081233A">
        <w:t>autres non-citoyens.</w:t>
      </w:r>
    </w:p>
    <w:p w14:paraId="3E2DB5C2" w14:textId="77777777" w:rsidR="007C7D4B" w:rsidRPr="0081233A" w:rsidRDefault="004B1D1C" w:rsidP="007C7D4B">
      <w:pPr>
        <w:keepNext/>
      </w:pPr>
      <w:r w:rsidRPr="0081233A">
        <w:rPr>
          <w:noProof/>
          <w:lang w:val="en-CA" w:eastAsia="en-CA"/>
        </w:rPr>
        <w:drawing>
          <wp:inline distT="0" distB="0" distL="0" distR="0" wp14:anchorId="47CA27A1" wp14:editId="30114860">
            <wp:extent cx="5943294" cy="3681093"/>
            <wp:effectExtent l="0" t="0" r="635" b="0"/>
            <wp:docPr id="6" name="Picture 6" descr="Un graphique linéaire avec trois sous-graphiques. Chaque sous-graphique démontre la représentation des membres de minortés visibles comme postulants et embauches de 2015-2016 à 2018-2019 pour les citoyens, les résidents permanents, et les autres non-citoyens. La disponibilité au sein de la population active pour les membres de minorités visibles apparait dans chaque sous-graphique." title="Représentation des membres des minorités visibles selon le statut de citoyenne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izen_non_citizen_pr_v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94" cy="368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D032" w14:textId="28A50E52" w:rsidR="00283A33" w:rsidRPr="0081233A" w:rsidRDefault="007C7D4B" w:rsidP="007C7D4B">
      <w:pPr>
        <w:pStyle w:val="Caption"/>
        <w:jc w:val="center"/>
      </w:pPr>
      <w:r w:rsidRPr="0081233A">
        <w:t xml:space="preserve">Figure </w:t>
      </w:r>
      <w:r w:rsidRPr="0081233A">
        <w:fldChar w:fldCharType="begin"/>
      </w:r>
      <w:r w:rsidRPr="0081233A">
        <w:instrText xml:space="preserve"> SEQ Figure \* ARABIC </w:instrText>
      </w:r>
      <w:r w:rsidRPr="0081233A">
        <w:fldChar w:fldCharType="separate"/>
      </w:r>
      <w:r w:rsidR="00F200C8" w:rsidRPr="0081233A">
        <w:rPr>
          <w:noProof/>
        </w:rPr>
        <w:t>3</w:t>
      </w:r>
      <w:r w:rsidRPr="0081233A">
        <w:fldChar w:fldCharType="end"/>
      </w:r>
      <w:r w:rsidR="00F200C8" w:rsidRPr="0081233A">
        <w:t> </w:t>
      </w:r>
      <w:r w:rsidRPr="0081233A">
        <w:t>: Représentation des membres de minorités visibles selon le statut de citoyenneté</w:t>
      </w:r>
    </w:p>
    <w:p w14:paraId="6C1F5C0A" w14:textId="616877AF" w:rsidR="007C7D4B" w:rsidRPr="0081233A" w:rsidRDefault="007C7D4B" w:rsidP="00851BAF">
      <w:pPr>
        <w:pStyle w:val="Caption"/>
        <w:keepNext/>
        <w:spacing w:before="400"/>
        <w:jc w:val="center"/>
      </w:pPr>
      <w:r w:rsidRPr="0081233A">
        <w:t xml:space="preserve">Table </w:t>
      </w:r>
      <w:r w:rsidRPr="0081233A">
        <w:fldChar w:fldCharType="begin"/>
      </w:r>
      <w:r w:rsidRPr="0081233A">
        <w:instrText xml:space="preserve"> SEQ Table \* ARABIC </w:instrText>
      </w:r>
      <w:r w:rsidRPr="0081233A">
        <w:fldChar w:fldCharType="separate"/>
      </w:r>
      <w:r w:rsidR="00F200C8" w:rsidRPr="0081233A">
        <w:rPr>
          <w:noProof/>
        </w:rPr>
        <w:t>3</w:t>
      </w:r>
      <w:r w:rsidRPr="0081233A">
        <w:fldChar w:fldCharType="end"/>
      </w:r>
      <w:r w:rsidR="00F200C8" w:rsidRPr="0081233A">
        <w:t> </w:t>
      </w:r>
      <w:r w:rsidRPr="0081233A">
        <w:t>: Représentation des membres de minorités visibles selon le statut de citoyenneté — citoyens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des membres de minorités visibles selon le statut de citoyenneté — citoyens"/>
        <w:tblDescription w:val="Une table qui démontre la représentation des membres de minorités visibles citoyens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FA1E47" w:rsidRPr="0081233A" w14:paraId="53DE43AF" w14:textId="77777777" w:rsidTr="007C7D4B">
        <w:trPr>
          <w:tblHeader/>
        </w:trPr>
        <w:tc>
          <w:tcPr>
            <w:tcW w:w="2275" w:type="dxa"/>
          </w:tcPr>
          <w:p w14:paraId="64D9EDBD" w14:textId="29638820" w:rsidR="00FA1E47" w:rsidRPr="0081233A" w:rsidRDefault="00D35C9E" w:rsidP="007C7D4B">
            <w:pPr>
              <w:jc w:val="center"/>
            </w:pPr>
            <w:r w:rsidRPr="0081233A">
              <w:t>Groupe</w:t>
            </w:r>
          </w:p>
        </w:tc>
        <w:tc>
          <w:tcPr>
            <w:tcW w:w="1869" w:type="dxa"/>
          </w:tcPr>
          <w:p w14:paraId="17824A4C" w14:textId="77777777" w:rsidR="00FA1E47" w:rsidRPr="0081233A" w:rsidRDefault="00FA1E47" w:rsidP="007C7D4B">
            <w:pPr>
              <w:jc w:val="center"/>
            </w:pPr>
            <w:r w:rsidRPr="0081233A">
              <w:t>2015-2016</w:t>
            </w:r>
          </w:p>
        </w:tc>
        <w:tc>
          <w:tcPr>
            <w:tcW w:w="1634" w:type="dxa"/>
          </w:tcPr>
          <w:p w14:paraId="7C6908E4" w14:textId="77777777" w:rsidR="00FA1E47" w:rsidRPr="0081233A" w:rsidRDefault="00FA1E47" w:rsidP="007C7D4B">
            <w:pPr>
              <w:jc w:val="center"/>
            </w:pPr>
            <w:r w:rsidRPr="0081233A">
              <w:t>2016-2017</w:t>
            </w:r>
          </w:p>
        </w:tc>
        <w:tc>
          <w:tcPr>
            <w:tcW w:w="1869" w:type="dxa"/>
          </w:tcPr>
          <w:p w14:paraId="64871760" w14:textId="77777777" w:rsidR="00FA1E47" w:rsidRPr="0081233A" w:rsidRDefault="00FA1E47" w:rsidP="007C7D4B">
            <w:pPr>
              <w:jc w:val="center"/>
            </w:pPr>
            <w:r w:rsidRPr="0081233A">
              <w:t>2017-2018</w:t>
            </w:r>
          </w:p>
        </w:tc>
        <w:tc>
          <w:tcPr>
            <w:tcW w:w="1703" w:type="dxa"/>
          </w:tcPr>
          <w:p w14:paraId="2D98A427" w14:textId="77777777" w:rsidR="00FA1E47" w:rsidRPr="0081233A" w:rsidRDefault="00FA1E47" w:rsidP="007C7D4B">
            <w:pPr>
              <w:jc w:val="center"/>
            </w:pPr>
            <w:r w:rsidRPr="0081233A">
              <w:t>2018-2019</w:t>
            </w:r>
          </w:p>
        </w:tc>
      </w:tr>
      <w:tr w:rsidR="00FA1E47" w:rsidRPr="0081233A" w14:paraId="04F039A8" w14:textId="77777777" w:rsidTr="007C7D4B">
        <w:tc>
          <w:tcPr>
            <w:tcW w:w="2275" w:type="dxa"/>
          </w:tcPr>
          <w:p w14:paraId="10D77069" w14:textId="27CB3490" w:rsidR="00FA1E47" w:rsidRPr="0081233A" w:rsidRDefault="00D35C9E" w:rsidP="0060099B">
            <w:r w:rsidRPr="0081233A">
              <w:t>Postulant</w:t>
            </w:r>
            <w:r w:rsidR="00FA1E47" w:rsidRPr="0081233A">
              <w:t>s</w:t>
            </w:r>
          </w:p>
        </w:tc>
        <w:tc>
          <w:tcPr>
            <w:tcW w:w="1869" w:type="dxa"/>
          </w:tcPr>
          <w:p w14:paraId="34002BD6" w14:textId="50EBE507" w:rsidR="00FA1E47" w:rsidRPr="0081233A" w:rsidRDefault="00FA1E47" w:rsidP="0060099B">
            <w:pPr>
              <w:jc w:val="right"/>
            </w:pPr>
            <w:r w:rsidRPr="0081233A">
              <w:t>19</w:t>
            </w:r>
            <w:r w:rsidR="00D35C9E" w:rsidRPr="0081233A">
              <w:t>,</w:t>
            </w:r>
            <w:r w:rsidRPr="0081233A">
              <w:t>8%</w:t>
            </w:r>
          </w:p>
        </w:tc>
        <w:tc>
          <w:tcPr>
            <w:tcW w:w="1634" w:type="dxa"/>
          </w:tcPr>
          <w:p w14:paraId="059E735B" w14:textId="65D66AB2" w:rsidR="00FA1E47" w:rsidRPr="0081233A" w:rsidRDefault="00D35C9E" w:rsidP="0060099B">
            <w:pPr>
              <w:jc w:val="right"/>
            </w:pPr>
            <w:r w:rsidRPr="0081233A">
              <w:t>19,</w:t>
            </w:r>
            <w:r w:rsidR="00FA1E47" w:rsidRPr="0081233A">
              <w:t>2%</w:t>
            </w:r>
          </w:p>
        </w:tc>
        <w:tc>
          <w:tcPr>
            <w:tcW w:w="1869" w:type="dxa"/>
          </w:tcPr>
          <w:p w14:paraId="2ABC2FE5" w14:textId="1A96D4BE" w:rsidR="00FA1E47" w:rsidRPr="0081233A" w:rsidRDefault="00D35C9E" w:rsidP="0060099B">
            <w:pPr>
              <w:jc w:val="right"/>
            </w:pPr>
            <w:r w:rsidRPr="0081233A">
              <w:t>20,</w:t>
            </w:r>
            <w:r w:rsidR="00FA1E47" w:rsidRPr="0081233A">
              <w:t>0%</w:t>
            </w:r>
          </w:p>
        </w:tc>
        <w:tc>
          <w:tcPr>
            <w:tcW w:w="1703" w:type="dxa"/>
          </w:tcPr>
          <w:p w14:paraId="108622C2" w14:textId="43378556" w:rsidR="00FA1E47" w:rsidRPr="0081233A" w:rsidRDefault="00D35C9E" w:rsidP="0060099B">
            <w:pPr>
              <w:jc w:val="right"/>
            </w:pPr>
            <w:r w:rsidRPr="0081233A">
              <w:t>20,</w:t>
            </w:r>
            <w:r w:rsidR="00FA1E47" w:rsidRPr="0081233A">
              <w:t>1%</w:t>
            </w:r>
          </w:p>
        </w:tc>
      </w:tr>
      <w:tr w:rsidR="00FA1E47" w:rsidRPr="0081233A" w14:paraId="33CDDC21" w14:textId="77777777" w:rsidTr="007C7D4B">
        <w:tc>
          <w:tcPr>
            <w:tcW w:w="2275" w:type="dxa"/>
          </w:tcPr>
          <w:p w14:paraId="0EE098F5" w14:textId="65ABE360" w:rsidR="00FA1E47" w:rsidRPr="0081233A" w:rsidRDefault="00D35C9E" w:rsidP="0060099B">
            <w:r w:rsidRPr="0081233A">
              <w:t>Embauches</w:t>
            </w:r>
          </w:p>
        </w:tc>
        <w:tc>
          <w:tcPr>
            <w:tcW w:w="1869" w:type="dxa"/>
          </w:tcPr>
          <w:p w14:paraId="5958A7F3" w14:textId="0B715DD4" w:rsidR="00FA1E47" w:rsidRPr="0081233A" w:rsidRDefault="00D35C9E" w:rsidP="0060099B">
            <w:pPr>
              <w:jc w:val="right"/>
            </w:pPr>
            <w:r w:rsidRPr="0081233A">
              <w:t>18,</w:t>
            </w:r>
            <w:r w:rsidR="00FA1E47" w:rsidRPr="0081233A">
              <w:t>7%</w:t>
            </w:r>
          </w:p>
        </w:tc>
        <w:tc>
          <w:tcPr>
            <w:tcW w:w="1634" w:type="dxa"/>
          </w:tcPr>
          <w:p w14:paraId="392FF0EA" w14:textId="265A7E15" w:rsidR="00FA1E47" w:rsidRPr="0081233A" w:rsidRDefault="00D35C9E" w:rsidP="0060099B">
            <w:pPr>
              <w:jc w:val="right"/>
            </w:pPr>
            <w:r w:rsidRPr="0081233A">
              <w:t>19,</w:t>
            </w:r>
            <w:r w:rsidR="00FA1E47" w:rsidRPr="0081233A">
              <w:t>0%</w:t>
            </w:r>
          </w:p>
        </w:tc>
        <w:tc>
          <w:tcPr>
            <w:tcW w:w="1869" w:type="dxa"/>
          </w:tcPr>
          <w:p w14:paraId="7F3A2077" w14:textId="7DC6C212" w:rsidR="00FA1E47" w:rsidRPr="0081233A" w:rsidRDefault="00D35C9E" w:rsidP="0060099B">
            <w:pPr>
              <w:jc w:val="right"/>
            </w:pPr>
            <w:r w:rsidRPr="0081233A">
              <w:t>18,</w:t>
            </w:r>
            <w:r w:rsidR="00FA1E47" w:rsidRPr="0081233A">
              <w:t>3%</w:t>
            </w:r>
          </w:p>
        </w:tc>
        <w:tc>
          <w:tcPr>
            <w:tcW w:w="1703" w:type="dxa"/>
          </w:tcPr>
          <w:p w14:paraId="73FC5ECD" w14:textId="022C545B" w:rsidR="00FA1E47" w:rsidRPr="0081233A" w:rsidRDefault="00D35C9E" w:rsidP="0060099B">
            <w:pPr>
              <w:jc w:val="right"/>
            </w:pPr>
            <w:r w:rsidRPr="0081233A">
              <w:t>20,</w:t>
            </w:r>
            <w:r w:rsidR="00FA1E47" w:rsidRPr="0081233A">
              <w:t>0%</w:t>
            </w:r>
          </w:p>
        </w:tc>
      </w:tr>
    </w:tbl>
    <w:p w14:paraId="5BC34EB4" w14:textId="77777777" w:rsidR="00FA1E47" w:rsidRPr="0081233A" w:rsidRDefault="00FA1E47">
      <w:pPr>
        <w:keepLines w:val="0"/>
        <w:rPr>
          <w:rFonts w:ascii="Segoe UI" w:eastAsiaTheme="majorEastAsia" w:hAnsi="Segoe UI" w:cs="Segoe UI"/>
          <w:b/>
          <w:color w:val="5B315E" w:themeColor="accent2"/>
          <w:sz w:val="20"/>
          <w:szCs w:val="32"/>
        </w:rPr>
      </w:pPr>
      <w:r w:rsidRPr="0081233A">
        <w:rPr>
          <w:rFonts w:ascii="Segoe UI" w:eastAsiaTheme="majorEastAsia" w:hAnsi="Segoe UI" w:cs="Segoe UI"/>
          <w:b/>
          <w:color w:val="5B315E" w:themeColor="accent2"/>
          <w:sz w:val="20"/>
          <w:szCs w:val="32"/>
        </w:rPr>
        <w:br w:type="page"/>
      </w:r>
    </w:p>
    <w:p w14:paraId="75E72417" w14:textId="4F3BC7A6" w:rsidR="007C7D4B" w:rsidRPr="0081233A" w:rsidRDefault="007C7D4B" w:rsidP="007C7D4B">
      <w:pPr>
        <w:pStyle w:val="Caption"/>
        <w:keepNext/>
        <w:jc w:val="center"/>
      </w:pPr>
      <w:r w:rsidRPr="0081233A">
        <w:lastRenderedPageBreak/>
        <w:t xml:space="preserve">Table </w:t>
      </w:r>
      <w:r w:rsidRPr="0081233A">
        <w:fldChar w:fldCharType="begin"/>
      </w:r>
      <w:r w:rsidRPr="0081233A">
        <w:instrText xml:space="preserve"> SEQ Table \* ARABIC </w:instrText>
      </w:r>
      <w:r w:rsidRPr="0081233A">
        <w:fldChar w:fldCharType="separate"/>
      </w:r>
      <w:r w:rsidR="00F200C8" w:rsidRPr="0081233A">
        <w:rPr>
          <w:noProof/>
        </w:rPr>
        <w:t>4</w:t>
      </w:r>
      <w:r w:rsidRPr="0081233A">
        <w:fldChar w:fldCharType="end"/>
      </w:r>
      <w:r w:rsidR="00F200C8" w:rsidRPr="0081233A">
        <w:t> </w:t>
      </w:r>
      <w:r w:rsidRPr="0081233A">
        <w:t>: Représentation des membres de minorités visibles selon le statut de citoyenneté — résidents permanents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des membres de minorités visibles selon le statut de citoyenneté — résidents permanents"/>
        <w:tblDescription w:val="Une table qui démontre la représentation des membres de minorités visibles résidents permanents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D35C9E" w:rsidRPr="0081233A" w14:paraId="2243EF19" w14:textId="77777777" w:rsidTr="007C7D4B">
        <w:trPr>
          <w:tblHeader/>
        </w:trPr>
        <w:tc>
          <w:tcPr>
            <w:tcW w:w="2275" w:type="dxa"/>
          </w:tcPr>
          <w:p w14:paraId="51E47FFA" w14:textId="1B106B93" w:rsidR="00D35C9E" w:rsidRPr="0081233A" w:rsidRDefault="00D35C9E" w:rsidP="00D35C9E">
            <w:pPr>
              <w:jc w:val="center"/>
            </w:pPr>
            <w:r w:rsidRPr="0081233A">
              <w:t>Groupe</w:t>
            </w:r>
          </w:p>
        </w:tc>
        <w:tc>
          <w:tcPr>
            <w:tcW w:w="1869" w:type="dxa"/>
          </w:tcPr>
          <w:p w14:paraId="460E6A98" w14:textId="77777777" w:rsidR="00D35C9E" w:rsidRPr="0081233A" w:rsidRDefault="00D35C9E" w:rsidP="00D35C9E">
            <w:pPr>
              <w:jc w:val="center"/>
            </w:pPr>
            <w:r w:rsidRPr="0081233A">
              <w:t>2015-2016</w:t>
            </w:r>
          </w:p>
        </w:tc>
        <w:tc>
          <w:tcPr>
            <w:tcW w:w="1634" w:type="dxa"/>
          </w:tcPr>
          <w:p w14:paraId="321C1BB7" w14:textId="77777777" w:rsidR="00D35C9E" w:rsidRPr="0081233A" w:rsidRDefault="00D35C9E" w:rsidP="00D35C9E">
            <w:pPr>
              <w:jc w:val="center"/>
            </w:pPr>
            <w:r w:rsidRPr="0081233A">
              <w:t>2016-2017</w:t>
            </w:r>
          </w:p>
        </w:tc>
        <w:tc>
          <w:tcPr>
            <w:tcW w:w="1869" w:type="dxa"/>
          </w:tcPr>
          <w:p w14:paraId="7B6014CB" w14:textId="77777777" w:rsidR="00D35C9E" w:rsidRPr="0081233A" w:rsidRDefault="00D35C9E" w:rsidP="00D35C9E">
            <w:pPr>
              <w:jc w:val="center"/>
            </w:pPr>
            <w:r w:rsidRPr="0081233A">
              <w:t>2017-2018</w:t>
            </w:r>
          </w:p>
        </w:tc>
        <w:tc>
          <w:tcPr>
            <w:tcW w:w="1703" w:type="dxa"/>
          </w:tcPr>
          <w:p w14:paraId="300A9D5E" w14:textId="77777777" w:rsidR="00D35C9E" w:rsidRPr="0081233A" w:rsidRDefault="00D35C9E" w:rsidP="00D35C9E">
            <w:pPr>
              <w:jc w:val="center"/>
            </w:pPr>
            <w:r w:rsidRPr="0081233A">
              <w:t>2018-2019</w:t>
            </w:r>
          </w:p>
        </w:tc>
      </w:tr>
      <w:tr w:rsidR="00D35C9E" w:rsidRPr="0081233A" w14:paraId="3F84B46F" w14:textId="77777777" w:rsidTr="007C7D4B">
        <w:tc>
          <w:tcPr>
            <w:tcW w:w="2275" w:type="dxa"/>
          </w:tcPr>
          <w:p w14:paraId="233864A8" w14:textId="53A40EE4" w:rsidR="00D35C9E" w:rsidRPr="0081233A" w:rsidRDefault="00D35C9E" w:rsidP="0060099B">
            <w:r w:rsidRPr="0081233A">
              <w:t>Postulants</w:t>
            </w:r>
          </w:p>
        </w:tc>
        <w:tc>
          <w:tcPr>
            <w:tcW w:w="1869" w:type="dxa"/>
          </w:tcPr>
          <w:p w14:paraId="457A3AF3" w14:textId="6A18D6F8" w:rsidR="00D35C9E" w:rsidRPr="0081233A" w:rsidRDefault="00D35C9E" w:rsidP="0060099B">
            <w:pPr>
              <w:jc w:val="right"/>
            </w:pPr>
            <w:r w:rsidRPr="0081233A">
              <w:t>39,7%</w:t>
            </w:r>
          </w:p>
        </w:tc>
        <w:tc>
          <w:tcPr>
            <w:tcW w:w="1634" w:type="dxa"/>
          </w:tcPr>
          <w:p w14:paraId="7D3465C6" w14:textId="78F56B99" w:rsidR="00D35C9E" w:rsidRPr="0081233A" w:rsidRDefault="00D35C9E" w:rsidP="0060099B">
            <w:pPr>
              <w:jc w:val="right"/>
            </w:pPr>
            <w:r w:rsidRPr="0081233A">
              <w:t>41,0%</w:t>
            </w:r>
          </w:p>
        </w:tc>
        <w:tc>
          <w:tcPr>
            <w:tcW w:w="1869" w:type="dxa"/>
          </w:tcPr>
          <w:p w14:paraId="5E31538A" w14:textId="6ADAC41E" w:rsidR="00D35C9E" w:rsidRPr="0081233A" w:rsidRDefault="00D35C9E" w:rsidP="0060099B">
            <w:pPr>
              <w:jc w:val="right"/>
            </w:pPr>
            <w:r w:rsidRPr="0081233A">
              <w:t>42,1%</w:t>
            </w:r>
          </w:p>
        </w:tc>
        <w:tc>
          <w:tcPr>
            <w:tcW w:w="1703" w:type="dxa"/>
          </w:tcPr>
          <w:p w14:paraId="255EC3A7" w14:textId="689F8B8A" w:rsidR="00D35C9E" w:rsidRPr="0081233A" w:rsidRDefault="00D35C9E" w:rsidP="0060099B">
            <w:pPr>
              <w:jc w:val="right"/>
            </w:pPr>
            <w:r w:rsidRPr="0081233A">
              <w:t>38,4%</w:t>
            </w:r>
          </w:p>
        </w:tc>
      </w:tr>
      <w:tr w:rsidR="00D35C9E" w:rsidRPr="0081233A" w14:paraId="5B60377F" w14:textId="77777777" w:rsidTr="007C7D4B">
        <w:tc>
          <w:tcPr>
            <w:tcW w:w="2275" w:type="dxa"/>
          </w:tcPr>
          <w:p w14:paraId="610AED33" w14:textId="32879D54" w:rsidR="00D35C9E" w:rsidRPr="0081233A" w:rsidRDefault="00D35C9E" w:rsidP="0060099B">
            <w:r w:rsidRPr="0081233A">
              <w:t>Embauches</w:t>
            </w:r>
          </w:p>
        </w:tc>
        <w:tc>
          <w:tcPr>
            <w:tcW w:w="1869" w:type="dxa"/>
          </w:tcPr>
          <w:p w14:paraId="7B3AA66C" w14:textId="37A4AFFA" w:rsidR="00D35C9E" w:rsidRPr="0081233A" w:rsidRDefault="00D35C9E" w:rsidP="0060099B">
            <w:pPr>
              <w:jc w:val="right"/>
            </w:pPr>
            <w:r w:rsidRPr="0081233A">
              <w:t>45,3%</w:t>
            </w:r>
          </w:p>
        </w:tc>
        <w:tc>
          <w:tcPr>
            <w:tcW w:w="1634" w:type="dxa"/>
          </w:tcPr>
          <w:p w14:paraId="140F88D4" w14:textId="4B5D559A" w:rsidR="00D35C9E" w:rsidRPr="0081233A" w:rsidRDefault="00D35C9E" w:rsidP="0060099B">
            <w:pPr>
              <w:jc w:val="right"/>
            </w:pPr>
            <w:r w:rsidRPr="0081233A">
              <w:t>48,9%</w:t>
            </w:r>
          </w:p>
        </w:tc>
        <w:tc>
          <w:tcPr>
            <w:tcW w:w="1869" w:type="dxa"/>
          </w:tcPr>
          <w:p w14:paraId="3300EFC7" w14:textId="2B50DA21" w:rsidR="00D35C9E" w:rsidRPr="0081233A" w:rsidRDefault="00D35C9E" w:rsidP="0060099B">
            <w:pPr>
              <w:jc w:val="right"/>
            </w:pPr>
            <w:r w:rsidRPr="0081233A">
              <w:t>44,9%</w:t>
            </w:r>
          </w:p>
        </w:tc>
        <w:tc>
          <w:tcPr>
            <w:tcW w:w="1703" w:type="dxa"/>
          </w:tcPr>
          <w:p w14:paraId="45FB7910" w14:textId="6A97C933" w:rsidR="00D35C9E" w:rsidRPr="0081233A" w:rsidRDefault="00D35C9E" w:rsidP="0060099B">
            <w:pPr>
              <w:jc w:val="right"/>
            </w:pPr>
            <w:r w:rsidRPr="0081233A">
              <w:t>48,3%</w:t>
            </w:r>
          </w:p>
        </w:tc>
      </w:tr>
    </w:tbl>
    <w:p w14:paraId="14BB62B1" w14:textId="259511FF" w:rsidR="007C7D4B" w:rsidRPr="0081233A" w:rsidRDefault="007C7D4B" w:rsidP="00851BAF">
      <w:pPr>
        <w:pStyle w:val="Caption"/>
        <w:keepNext/>
        <w:spacing w:before="400"/>
        <w:jc w:val="center"/>
      </w:pPr>
      <w:r w:rsidRPr="0081233A">
        <w:t xml:space="preserve">Table </w:t>
      </w:r>
      <w:r w:rsidRPr="0081233A">
        <w:fldChar w:fldCharType="begin"/>
      </w:r>
      <w:r w:rsidRPr="0081233A">
        <w:instrText xml:space="preserve"> SEQ Table \* ARABIC </w:instrText>
      </w:r>
      <w:r w:rsidRPr="0081233A">
        <w:fldChar w:fldCharType="separate"/>
      </w:r>
      <w:r w:rsidR="00F200C8" w:rsidRPr="0081233A">
        <w:rPr>
          <w:noProof/>
        </w:rPr>
        <w:t>5</w:t>
      </w:r>
      <w:r w:rsidRPr="0081233A">
        <w:fldChar w:fldCharType="end"/>
      </w:r>
      <w:r w:rsidR="00F200C8" w:rsidRPr="0081233A">
        <w:t> </w:t>
      </w:r>
      <w:r w:rsidRPr="0081233A">
        <w:t>: Représentation des membres de minorités visibles selon le statut de citoyenneté — autres non-citoyens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des membres de minorités visibles selon le statut de citoyenneté — autres non-citoyens"/>
        <w:tblDescription w:val="Une table qui démontre la représentation des membres de minorités visibles qui sont des autres non-citoyens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D35C9E" w:rsidRPr="0081233A" w14:paraId="28649FDD" w14:textId="77777777" w:rsidTr="007C7D4B">
        <w:trPr>
          <w:tblHeader/>
        </w:trPr>
        <w:tc>
          <w:tcPr>
            <w:tcW w:w="2275" w:type="dxa"/>
          </w:tcPr>
          <w:p w14:paraId="7F29A290" w14:textId="25404F93" w:rsidR="00D35C9E" w:rsidRPr="0081233A" w:rsidRDefault="00D35C9E" w:rsidP="00D35C9E">
            <w:pPr>
              <w:jc w:val="center"/>
            </w:pPr>
            <w:r w:rsidRPr="0081233A">
              <w:t>Groupe</w:t>
            </w:r>
          </w:p>
        </w:tc>
        <w:tc>
          <w:tcPr>
            <w:tcW w:w="1869" w:type="dxa"/>
          </w:tcPr>
          <w:p w14:paraId="7B4E740E" w14:textId="77777777" w:rsidR="00D35C9E" w:rsidRPr="0081233A" w:rsidRDefault="00D35C9E" w:rsidP="00D35C9E">
            <w:pPr>
              <w:jc w:val="center"/>
            </w:pPr>
            <w:r w:rsidRPr="0081233A">
              <w:t>2015-2016</w:t>
            </w:r>
          </w:p>
        </w:tc>
        <w:tc>
          <w:tcPr>
            <w:tcW w:w="1634" w:type="dxa"/>
          </w:tcPr>
          <w:p w14:paraId="0BC74622" w14:textId="77777777" w:rsidR="00D35C9E" w:rsidRPr="0081233A" w:rsidRDefault="00D35C9E" w:rsidP="00D35C9E">
            <w:pPr>
              <w:jc w:val="center"/>
            </w:pPr>
            <w:r w:rsidRPr="0081233A">
              <w:t>2016-2017</w:t>
            </w:r>
          </w:p>
        </w:tc>
        <w:tc>
          <w:tcPr>
            <w:tcW w:w="1869" w:type="dxa"/>
          </w:tcPr>
          <w:p w14:paraId="76DA425E" w14:textId="77777777" w:rsidR="00D35C9E" w:rsidRPr="0081233A" w:rsidRDefault="00D35C9E" w:rsidP="00D35C9E">
            <w:pPr>
              <w:jc w:val="center"/>
            </w:pPr>
            <w:r w:rsidRPr="0081233A">
              <w:t>2017-2018</w:t>
            </w:r>
          </w:p>
        </w:tc>
        <w:tc>
          <w:tcPr>
            <w:tcW w:w="1703" w:type="dxa"/>
          </w:tcPr>
          <w:p w14:paraId="2E30FCF2" w14:textId="77777777" w:rsidR="00D35C9E" w:rsidRPr="0081233A" w:rsidRDefault="00D35C9E" w:rsidP="00D35C9E">
            <w:pPr>
              <w:jc w:val="center"/>
            </w:pPr>
            <w:r w:rsidRPr="0081233A">
              <w:t>2018-2019</w:t>
            </w:r>
          </w:p>
        </w:tc>
      </w:tr>
      <w:tr w:rsidR="00D35C9E" w:rsidRPr="0081233A" w14:paraId="6E2657B4" w14:textId="77777777" w:rsidTr="007C7D4B">
        <w:tc>
          <w:tcPr>
            <w:tcW w:w="2275" w:type="dxa"/>
          </w:tcPr>
          <w:p w14:paraId="3755B3DB" w14:textId="4C3B7FC0" w:rsidR="00D35C9E" w:rsidRPr="0081233A" w:rsidRDefault="00D35C9E" w:rsidP="0060099B">
            <w:r w:rsidRPr="0081233A">
              <w:t>Postulants</w:t>
            </w:r>
          </w:p>
        </w:tc>
        <w:tc>
          <w:tcPr>
            <w:tcW w:w="1869" w:type="dxa"/>
          </w:tcPr>
          <w:p w14:paraId="6DE1B8D7" w14:textId="6D901A9C" w:rsidR="00D35C9E" w:rsidRPr="0081233A" w:rsidRDefault="00D35C9E" w:rsidP="0060099B">
            <w:pPr>
              <w:jc w:val="right"/>
            </w:pPr>
            <w:r w:rsidRPr="0081233A">
              <w:t>26,9%</w:t>
            </w:r>
          </w:p>
        </w:tc>
        <w:tc>
          <w:tcPr>
            <w:tcW w:w="1634" w:type="dxa"/>
          </w:tcPr>
          <w:p w14:paraId="077CF99C" w14:textId="2999F74C" w:rsidR="00D35C9E" w:rsidRPr="0081233A" w:rsidRDefault="00D35C9E" w:rsidP="0060099B">
            <w:pPr>
              <w:jc w:val="right"/>
            </w:pPr>
            <w:r w:rsidRPr="0081233A">
              <w:t>28,0%</w:t>
            </w:r>
          </w:p>
        </w:tc>
        <w:tc>
          <w:tcPr>
            <w:tcW w:w="1869" w:type="dxa"/>
          </w:tcPr>
          <w:p w14:paraId="60807F8E" w14:textId="13AB58B2" w:rsidR="00D35C9E" w:rsidRPr="0081233A" w:rsidRDefault="00D35C9E" w:rsidP="0060099B">
            <w:pPr>
              <w:jc w:val="right"/>
            </w:pPr>
            <w:r w:rsidRPr="0081233A">
              <w:t>28,0%</w:t>
            </w:r>
          </w:p>
        </w:tc>
        <w:tc>
          <w:tcPr>
            <w:tcW w:w="1703" w:type="dxa"/>
          </w:tcPr>
          <w:p w14:paraId="3CAA5908" w14:textId="2D9EE438" w:rsidR="00D35C9E" w:rsidRPr="0081233A" w:rsidRDefault="00D35C9E" w:rsidP="0060099B">
            <w:pPr>
              <w:jc w:val="right"/>
            </w:pPr>
            <w:r w:rsidRPr="0081233A">
              <w:t>27,5%</w:t>
            </w:r>
          </w:p>
        </w:tc>
      </w:tr>
      <w:tr w:rsidR="00D35C9E" w:rsidRPr="0081233A" w14:paraId="2C5C2F34" w14:textId="77777777" w:rsidTr="007C7D4B">
        <w:tc>
          <w:tcPr>
            <w:tcW w:w="2275" w:type="dxa"/>
          </w:tcPr>
          <w:p w14:paraId="4FFF7F63" w14:textId="307B1F56" w:rsidR="00D35C9E" w:rsidRPr="0081233A" w:rsidRDefault="00D35C9E" w:rsidP="0060099B">
            <w:r w:rsidRPr="0081233A">
              <w:t>Embauches</w:t>
            </w:r>
          </w:p>
        </w:tc>
        <w:tc>
          <w:tcPr>
            <w:tcW w:w="1869" w:type="dxa"/>
          </w:tcPr>
          <w:p w14:paraId="17C6E17E" w14:textId="2B43E0FC" w:rsidR="00D35C9E" w:rsidRPr="0081233A" w:rsidRDefault="00D35C9E" w:rsidP="0060099B">
            <w:pPr>
              <w:jc w:val="right"/>
            </w:pPr>
            <w:r w:rsidRPr="0081233A">
              <w:t>33,3%</w:t>
            </w:r>
          </w:p>
        </w:tc>
        <w:tc>
          <w:tcPr>
            <w:tcW w:w="1634" w:type="dxa"/>
          </w:tcPr>
          <w:p w14:paraId="43C56129" w14:textId="333E3EBC" w:rsidR="00D35C9E" w:rsidRPr="0081233A" w:rsidRDefault="00D35C9E" w:rsidP="0060099B">
            <w:pPr>
              <w:jc w:val="right"/>
            </w:pPr>
            <w:r w:rsidRPr="0081233A">
              <w:t>32,4%</w:t>
            </w:r>
          </w:p>
        </w:tc>
        <w:tc>
          <w:tcPr>
            <w:tcW w:w="1869" w:type="dxa"/>
          </w:tcPr>
          <w:p w14:paraId="062D3931" w14:textId="69C15304" w:rsidR="00D35C9E" w:rsidRPr="0081233A" w:rsidRDefault="00D35C9E" w:rsidP="0060099B">
            <w:pPr>
              <w:jc w:val="right"/>
            </w:pPr>
            <w:r w:rsidRPr="0081233A">
              <w:t>25,5%</w:t>
            </w:r>
          </w:p>
        </w:tc>
        <w:tc>
          <w:tcPr>
            <w:tcW w:w="1703" w:type="dxa"/>
          </w:tcPr>
          <w:p w14:paraId="0FF7B15E" w14:textId="212EBD9D" w:rsidR="00D35C9E" w:rsidRPr="0081233A" w:rsidRDefault="00D35C9E" w:rsidP="0060099B">
            <w:pPr>
              <w:jc w:val="right"/>
            </w:pPr>
            <w:r w:rsidRPr="0081233A">
              <w:t>44,4%</w:t>
            </w:r>
          </w:p>
        </w:tc>
      </w:tr>
    </w:tbl>
    <w:p w14:paraId="1C7BF63E" w14:textId="77777777" w:rsidR="004B1D1C" w:rsidRPr="0081233A" w:rsidRDefault="004B1D1C">
      <w:pPr>
        <w:keepLines w:val="0"/>
        <w:rPr>
          <w:rFonts w:ascii="Segoe UI" w:eastAsiaTheme="majorEastAsia" w:hAnsi="Segoe UI" w:cs="Segoe UI"/>
          <w:b/>
          <w:color w:val="5B315E" w:themeColor="accent2"/>
          <w:sz w:val="20"/>
          <w:szCs w:val="32"/>
        </w:rPr>
      </w:pPr>
      <w:r w:rsidRPr="0081233A">
        <w:rPr>
          <w:sz w:val="20"/>
        </w:rPr>
        <w:br w:type="page"/>
      </w:r>
    </w:p>
    <w:p w14:paraId="5AA26776" w14:textId="53D363EA" w:rsidR="00CE6BAE" w:rsidRPr="0081233A" w:rsidRDefault="001D7907" w:rsidP="00283A33">
      <w:pPr>
        <w:pStyle w:val="Heading2"/>
        <w:rPr>
          <w:lang w:val="fr-CA"/>
        </w:rPr>
      </w:pPr>
      <w:r w:rsidRPr="0081233A">
        <w:rPr>
          <w:lang w:val="fr-CA"/>
        </w:rPr>
        <w:lastRenderedPageBreak/>
        <w:t>Méthodologie</w:t>
      </w:r>
    </w:p>
    <w:p w14:paraId="08C42C30" w14:textId="55DF249B" w:rsidR="00E83559" w:rsidRPr="0081233A" w:rsidRDefault="00E83559" w:rsidP="00992A5A">
      <w:r w:rsidRPr="0081233A">
        <w:t xml:space="preserve">Dans le cadre de la présente analyse, on a évalué tous les emplois ouverts au public visant des postes dotés pour une période indéterminée et une période déterminée de trois mois ou plus, </w:t>
      </w:r>
      <w:r w:rsidR="00496C5B" w:rsidRPr="0081233A">
        <w:t xml:space="preserve">dont le processus a pris fin </w:t>
      </w:r>
      <w:r w:rsidRPr="0081233A">
        <w:t>entre le 1</w:t>
      </w:r>
      <w:r w:rsidRPr="0081233A">
        <w:rPr>
          <w:vertAlign w:val="superscript"/>
        </w:rPr>
        <w:t>er</w:t>
      </w:r>
      <w:r w:rsidRPr="0081233A">
        <w:t xml:space="preserve"> avril 2015 et </w:t>
      </w:r>
      <w:r w:rsidR="00496C5B" w:rsidRPr="0081233A">
        <w:t xml:space="preserve">le </w:t>
      </w:r>
      <w:r w:rsidR="003257A8" w:rsidRPr="0081233A">
        <w:t>31 mars 2019</w:t>
      </w:r>
      <w:r w:rsidRPr="0081233A">
        <w:t>. Dans le même ordre d’idées, on a inclus toutes les recrues externes nommées à des postes dotés pour une période indéterminée et une période déterminée de trois mois ou plus entre le 1</w:t>
      </w:r>
      <w:r w:rsidRPr="0081233A">
        <w:rPr>
          <w:vertAlign w:val="superscript"/>
        </w:rPr>
        <w:t>er</w:t>
      </w:r>
      <w:r w:rsidRPr="0081233A">
        <w:t> avril 2015 et le 31 mars 2019</w:t>
      </w:r>
      <w:r w:rsidR="00496C5B" w:rsidRPr="0081233A">
        <w:t>.</w:t>
      </w:r>
    </w:p>
    <w:p w14:paraId="47EA5957" w14:textId="681B6201" w:rsidR="00E83559" w:rsidRPr="0081233A" w:rsidRDefault="00E83559" w:rsidP="00992A5A">
      <w:r w:rsidRPr="0081233A">
        <w:t xml:space="preserve">Nous déterminons la citoyenneté des </w:t>
      </w:r>
      <w:r w:rsidR="005C0A09" w:rsidRPr="0081233A">
        <w:t xml:space="preserve">embauches </w:t>
      </w:r>
      <w:r w:rsidRPr="0081233A">
        <w:t xml:space="preserve">en appariant les fonctionnaires existants aux candidatures présentées au Système de ressourcement de la fonction publique (SRFP) au moyen d’un processus déterministe de couplage des enregistrements. </w:t>
      </w:r>
      <w:r w:rsidR="005C0A09" w:rsidRPr="0081233A">
        <w:t>En 2018-2019, l</w:t>
      </w:r>
      <w:r w:rsidRPr="0081233A">
        <w:t>e taux d’appariement du processus de couplage des enregistrements était de 86 p. 100.</w:t>
      </w:r>
    </w:p>
    <w:p w14:paraId="15774F94" w14:textId="5B1A93CE" w:rsidR="00E83559" w:rsidRPr="0081233A" w:rsidRDefault="00E83559" w:rsidP="00A21F59">
      <w:r w:rsidRPr="0081233A">
        <w:t xml:space="preserve">Nous déterminons le statut d’équité en matière d’emploi des </w:t>
      </w:r>
      <w:r w:rsidR="0091418E" w:rsidRPr="0081233A">
        <w:t>postulants</w:t>
      </w:r>
      <w:r w:rsidRPr="0081233A">
        <w:t xml:space="preserve"> en fonction de leur </w:t>
      </w:r>
      <w:proofErr w:type="spellStart"/>
      <w:r w:rsidRPr="0081233A">
        <w:t>autodéclaration</w:t>
      </w:r>
      <w:proofErr w:type="spellEnd"/>
      <w:r w:rsidRPr="0081233A">
        <w:t xml:space="preserve"> sur la demande au SRFP. Les renseignements sur les </w:t>
      </w:r>
      <w:r w:rsidR="0091418E" w:rsidRPr="0081233A">
        <w:t>postulants</w:t>
      </w:r>
      <w:r w:rsidRPr="0081233A">
        <w:t xml:space="preserve"> qui sont des femmes sont disponibles uniquement à partir du 1</w:t>
      </w:r>
      <w:r w:rsidRPr="0081233A">
        <w:rPr>
          <w:vertAlign w:val="superscript"/>
        </w:rPr>
        <w:t>er</w:t>
      </w:r>
      <w:r w:rsidRPr="0081233A">
        <w:t xml:space="preserve"> avril 2016. Pour les </w:t>
      </w:r>
      <w:r w:rsidR="00E70B86" w:rsidRPr="0081233A">
        <w:t>embauches</w:t>
      </w:r>
      <w:r w:rsidRPr="0081233A">
        <w:t>, nous examinons les renseignements sur l’auto-identification recueillis par le Secrétariat du Conseil du Trésor dans la Banque de données sur l’équité en matière d’emploi</w:t>
      </w:r>
      <w:r w:rsidR="002C7A39" w:rsidRPr="0081233A">
        <w:t xml:space="preserve"> (BDEE)</w:t>
      </w:r>
      <w:r w:rsidRPr="0081233A">
        <w:t>. Les données disponibles les plus récentes tirées de cette banque vont jusqu’au 31 mars 2019</w:t>
      </w:r>
      <w:r w:rsidR="00B928FF" w:rsidRPr="0081233A">
        <w:t>.</w:t>
      </w:r>
    </w:p>
    <w:p w14:paraId="68062227" w14:textId="31A98052" w:rsidR="00B7733B" w:rsidRPr="0081233A" w:rsidRDefault="001D7907" w:rsidP="00A21F59">
      <w:r w:rsidRPr="0081233A">
        <w:t>La disponibilité au sein de la population active (DPA) basée sur le Recensement de 2016 a été publiée pour la première fois dans le Rapport sur l’équité en matière d’emploi de 2018-2019. Tous les exercices financiers avant 2018-2019 qui sont mentionnés dans ce rapport sont comparés à la DPA basée sur le Recensement de 2011</w:t>
      </w:r>
      <w:r w:rsidR="00B7733B" w:rsidRPr="0081233A">
        <w:t>.</w:t>
      </w:r>
    </w:p>
    <w:p w14:paraId="77BC7C61" w14:textId="2124419D" w:rsidR="007C7D4B" w:rsidRPr="0081233A" w:rsidRDefault="007C7D4B" w:rsidP="00851BAF">
      <w:pPr>
        <w:pStyle w:val="Caption"/>
        <w:keepNext/>
        <w:spacing w:before="400"/>
        <w:jc w:val="center"/>
      </w:pPr>
      <w:r w:rsidRPr="0081233A">
        <w:t xml:space="preserve">Table </w:t>
      </w:r>
      <w:r w:rsidRPr="0081233A">
        <w:fldChar w:fldCharType="begin"/>
      </w:r>
      <w:r w:rsidRPr="0081233A">
        <w:instrText xml:space="preserve"> SEQ Table \* ARABIC </w:instrText>
      </w:r>
      <w:r w:rsidRPr="0081233A">
        <w:fldChar w:fldCharType="separate"/>
      </w:r>
      <w:r w:rsidR="00F200C8" w:rsidRPr="0081233A">
        <w:rPr>
          <w:noProof/>
        </w:rPr>
        <w:t>6</w:t>
      </w:r>
      <w:r w:rsidRPr="0081233A">
        <w:fldChar w:fldCharType="end"/>
      </w:r>
      <w:r w:rsidR="00F200C8" w:rsidRPr="0081233A">
        <w:t> </w:t>
      </w:r>
      <w:r w:rsidRPr="0081233A">
        <w:t>: Disponibilité au sein de la population active (DPA)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isponibilité au sein de la population active"/>
        <w:tblDescription w:val="Une table qui démontre la disponibilité au sein de la population active des recensements de 2011 et de 2016 pour chaque groupe d'équité en matière d'emploi."/>
      </w:tblPr>
      <w:tblGrid>
        <w:gridCol w:w="3116"/>
        <w:gridCol w:w="3117"/>
        <w:gridCol w:w="3117"/>
      </w:tblGrid>
      <w:tr w:rsidR="001D7907" w:rsidRPr="0081233A" w14:paraId="343F38DA" w14:textId="77777777" w:rsidTr="007B4D15">
        <w:trPr>
          <w:tblHeader/>
        </w:trPr>
        <w:tc>
          <w:tcPr>
            <w:tcW w:w="3116" w:type="dxa"/>
          </w:tcPr>
          <w:p w14:paraId="400412A4" w14:textId="585EDAB1" w:rsidR="001D7907" w:rsidRPr="0081233A" w:rsidRDefault="001D7907" w:rsidP="0060099B">
            <w:pPr>
              <w:jc w:val="center"/>
            </w:pPr>
            <w:r w:rsidRPr="0081233A">
              <w:t>Groupes visés par l’équité en matière d’emploi</w:t>
            </w:r>
          </w:p>
        </w:tc>
        <w:tc>
          <w:tcPr>
            <w:tcW w:w="3117" w:type="dxa"/>
          </w:tcPr>
          <w:p w14:paraId="774BF77D" w14:textId="60393EAE" w:rsidR="001D7907" w:rsidRPr="0081233A" w:rsidRDefault="001D7907" w:rsidP="0060099B">
            <w:pPr>
              <w:jc w:val="center"/>
            </w:pPr>
            <w:r w:rsidRPr="0081233A">
              <w:t>Repère de la DPA précédent (Recensement de 2011)</w:t>
            </w:r>
          </w:p>
        </w:tc>
        <w:tc>
          <w:tcPr>
            <w:tcW w:w="3117" w:type="dxa"/>
          </w:tcPr>
          <w:p w14:paraId="52A5398C" w14:textId="5975226A" w:rsidR="001D7907" w:rsidRPr="0081233A" w:rsidRDefault="001D7907" w:rsidP="0060099B">
            <w:pPr>
              <w:jc w:val="center"/>
            </w:pPr>
            <w:r w:rsidRPr="0081233A">
              <w:t>Repère de la DPA</w:t>
            </w:r>
          </w:p>
          <w:p w14:paraId="3862756A" w14:textId="279D8FFF" w:rsidR="001D7907" w:rsidRPr="0081233A" w:rsidRDefault="001D7907" w:rsidP="0060099B">
            <w:pPr>
              <w:jc w:val="center"/>
            </w:pPr>
            <w:r w:rsidRPr="0081233A">
              <w:t>(Recensement de 2016)</w:t>
            </w:r>
          </w:p>
        </w:tc>
      </w:tr>
      <w:tr w:rsidR="001D7907" w:rsidRPr="0081233A" w14:paraId="5B949916" w14:textId="77777777" w:rsidTr="00B7733B">
        <w:tc>
          <w:tcPr>
            <w:tcW w:w="3116" w:type="dxa"/>
          </w:tcPr>
          <w:p w14:paraId="7874D8C3" w14:textId="0EDA8F40" w:rsidR="001D7907" w:rsidRPr="0081233A" w:rsidRDefault="001D7907" w:rsidP="00A21F59">
            <w:r w:rsidRPr="0081233A">
              <w:t>Femmes</w:t>
            </w:r>
          </w:p>
        </w:tc>
        <w:tc>
          <w:tcPr>
            <w:tcW w:w="3117" w:type="dxa"/>
          </w:tcPr>
          <w:p w14:paraId="35AC9B50" w14:textId="7BA16D20" w:rsidR="001D7907" w:rsidRPr="0081233A" w:rsidRDefault="001D7907" w:rsidP="001D7907">
            <w:pPr>
              <w:jc w:val="right"/>
            </w:pPr>
            <w:r w:rsidRPr="0081233A">
              <w:t>52,5</w:t>
            </w:r>
            <w:r w:rsidR="00B928FF" w:rsidRPr="0081233A">
              <w:t> </w:t>
            </w:r>
            <w:r w:rsidRPr="0081233A">
              <w:t>%</w:t>
            </w:r>
          </w:p>
        </w:tc>
        <w:tc>
          <w:tcPr>
            <w:tcW w:w="3117" w:type="dxa"/>
          </w:tcPr>
          <w:p w14:paraId="39CF2A40" w14:textId="23AA110B" w:rsidR="001D7907" w:rsidRPr="0081233A" w:rsidRDefault="001D7907" w:rsidP="00B7733B">
            <w:pPr>
              <w:jc w:val="right"/>
            </w:pPr>
            <w:r w:rsidRPr="0081233A">
              <w:t>52,7</w:t>
            </w:r>
            <w:r w:rsidR="00B928FF" w:rsidRPr="0081233A">
              <w:t> </w:t>
            </w:r>
            <w:r w:rsidRPr="0081233A">
              <w:t>%</w:t>
            </w:r>
          </w:p>
        </w:tc>
      </w:tr>
      <w:tr w:rsidR="001D7907" w:rsidRPr="0081233A" w14:paraId="532A982D" w14:textId="77777777" w:rsidTr="00B7733B">
        <w:tc>
          <w:tcPr>
            <w:tcW w:w="3116" w:type="dxa"/>
          </w:tcPr>
          <w:p w14:paraId="6EC1D7E7" w14:textId="79DA9E2D" w:rsidR="001D7907" w:rsidRPr="0081233A" w:rsidRDefault="001D7907" w:rsidP="00A21F59">
            <w:r w:rsidRPr="0081233A">
              <w:t>Autochtones</w:t>
            </w:r>
          </w:p>
        </w:tc>
        <w:tc>
          <w:tcPr>
            <w:tcW w:w="3117" w:type="dxa"/>
          </w:tcPr>
          <w:p w14:paraId="1D849CE0" w14:textId="5431617B" w:rsidR="001D7907" w:rsidRPr="0081233A" w:rsidRDefault="001D7907" w:rsidP="001D7907">
            <w:pPr>
              <w:jc w:val="right"/>
            </w:pPr>
            <w:r w:rsidRPr="0081233A">
              <w:t>3,4</w:t>
            </w:r>
            <w:r w:rsidR="00B928FF" w:rsidRPr="0081233A">
              <w:t> </w:t>
            </w:r>
            <w:r w:rsidRPr="0081233A">
              <w:t>%</w:t>
            </w:r>
          </w:p>
        </w:tc>
        <w:tc>
          <w:tcPr>
            <w:tcW w:w="3117" w:type="dxa"/>
          </w:tcPr>
          <w:p w14:paraId="0382FCD8" w14:textId="0CA0C88A" w:rsidR="001D7907" w:rsidRPr="0081233A" w:rsidRDefault="001D7907" w:rsidP="00B7733B">
            <w:pPr>
              <w:jc w:val="right"/>
            </w:pPr>
            <w:r w:rsidRPr="0081233A">
              <w:t>4,0</w:t>
            </w:r>
            <w:r w:rsidR="00B928FF" w:rsidRPr="0081233A">
              <w:t> </w:t>
            </w:r>
            <w:r w:rsidRPr="0081233A">
              <w:t>%</w:t>
            </w:r>
          </w:p>
        </w:tc>
      </w:tr>
      <w:tr w:rsidR="001D7907" w:rsidRPr="0081233A" w14:paraId="148AD7EF" w14:textId="77777777" w:rsidTr="00B7733B">
        <w:tc>
          <w:tcPr>
            <w:tcW w:w="3116" w:type="dxa"/>
          </w:tcPr>
          <w:p w14:paraId="241CC88C" w14:textId="52F69C2E" w:rsidR="001D7907" w:rsidRPr="0081233A" w:rsidRDefault="001D7907" w:rsidP="00A21F59">
            <w:r w:rsidRPr="0081233A">
              <w:t>Personnes en situation de handicap</w:t>
            </w:r>
          </w:p>
        </w:tc>
        <w:tc>
          <w:tcPr>
            <w:tcW w:w="3117" w:type="dxa"/>
          </w:tcPr>
          <w:p w14:paraId="7F46604C" w14:textId="4124F09E" w:rsidR="001D7907" w:rsidRPr="0081233A" w:rsidRDefault="001D7907" w:rsidP="00B7733B">
            <w:pPr>
              <w:jc w:val="right"/>
            </w:pPr>
            <w:r w:rsidRPr="0081233A">
              <w:t>4,4</w:t>
            </w:r>
            <w:r w:rsidR="00B928FF" w:rsidRPr="0081233A">
              <w:t> </w:t>
            </w:r>
            <w:r w:rsidRPr="0081233A">
              <w:t>%</w:t>
            </w:r>
          </w:p>
        </w:tc>
        <w:tc>
          <w:tcPr>
            <w:tcW w:w="3117" w:type="dxa"/>
          </w:tcPr>
          <w:p w14:paraId="49E941B7" w14:textId="60E59630" w:rsidR="001D7907" w:rsidRPr="0081233A" w:rsidRDefault="001D7907" w:rsidP="00B7733B">
            <w:pPr>
              <w:jc w:val="right"/>
            </w:pPr>
            <w:r w:rsidRPr="0081233A">
              <w:t>9,0</w:t>
            </w:r>
            <w:r w:rsidR="00B928FF" w:rsidRPr="0081233A">
              <w:t> </w:t>
            </w:r>
            <w:r w:rsidRPr="0081233A">
              <w:t>%</w:t>
            </w:r>
          </w:p>
        </w:tc>
      </w:tr>
      <w:tr w:rsidR="001D7907" w:rsidRPr="0081233A" w14:paraId="1AEE028F" w14:textId="77777777" w:rsidTr="00B7733B">
        <w:tc>
          <w:tcPr>
            <w:tcW w:w="3116" w:type="dxa"/>
          </w:tcPr>
          <w:p w14:paraId="2D8AA61F" w14:textId="771522FD" w:rsidR="001D7907" w:rsidRPr="0081233A" w:rsidRDefault="001D7907" w:rsidP="00A21F59">
            <w:r w:rsidRPr="0081233A">
              <w:t>Membres de minorités visibles</w:t>
            </w:r>
          </w:p>
        </w:tc>
        <w:tc>
          <w:tcPr>
            <w:tcW w:w="3117" w:type="dxa"/>
          </w:tcPr>
          <w:p w14:paraId="3B13B2E0" w14:textId="6DF3018F" w:rsidR="001D7907" w:rsidRPr="0081233A" w:rsidRDefault="001D7907" w:rsidP="00B7733B">
            <w:pPr>
              <w:jc w:val="right"/>
            </w:pPr>
            <w:r w:rsidRPr="0081233A">
              <w:t>13,0</w:t>
            </w:r>
            <w:r w:rsidR="00B928FF" w:rsidRPr="0081233A">
              <w:t> </w:t>
            </w:r>
            <w:r w:rsidRPr="0081233A">
              <w:t>%</w:t>
            </w:r>
          </w:p>
        </w:tc>
        <w:tc>
          <w:tcPr>
            <w:tcW w:w="3117" w:type="dxa"/>
          </w:tcPr>
          <w:p w14:paraId="7DC21D61" w14:textId="0BD93B48" w:rsidR="001D7907" w:rsidRPr="0081233A" w:rsidRDefault="001D7907" w:rsidP="00B7733B">
            <w:pPr>
              <w:jc w:val="right"/>
            </w:pPr>
            <w:r w:rsidRPr="0081233A">
              <w:t>15,3</w:t>
            </w:r>
            <w:r w:rsidR="00B928FF" w:rsidRPr="0081233A">
              <w:t> </w:t>
            </w:r>
            <w:r w:rsidRPr="0081233A">
              <w:t>%</w:t>
            </w:r>
          </w:p>
        </w:tc>
      </w:tr>
    </w:tbl>
    <w:p w14:paraId="6360A3A5" w14:textId="43027E58" w:rsidR="00312992" w:rsidRPr="008D3C65" w:rsidRDefault="00B7733B" w:rsidP="00851BAF">
      <w:pPr>
        <w:rPr>
          <w:rFonts w:ascii="Segoe UI" w:eastAsiaTheme="majorEastAsia" w:hAnsi="Segoe UI" w:cs="Segoe UI"/>
          <w:b/>
          <w:color w:val="5B315E" w:themeColor="accent2"/>
          <w:sz w:val="32"/>
          <w:szCs w:val="32"/>
        </w:rPr>
      </w:pPr>
      <w:r w:rsidRPr="0081233A">
        <w:t>Source</w:t>
      </w:r>
      <w:r w:rsidR="00B928FF" w:rsidRPr="0081233A">
        <w:t> </w:t>
      </w:r>
      <w:r w:rsidRPr="0081233A">
        <w:t xml:space="preserve">: </w:t>
      </w:r>
      <w:r w:rsidR="001D7907" w:rsidRPr="0081233A">
        <w:t>Secrétariat du Conseil du Trésor, L’équité en matière d’emploi dans la fonction publique du Canada, exercice</w:t>
      </w:r>
      <w:r w:rsidR="00B928FF" w:rsidRPr="0081233A">
        <w:t> </w:t>
      </w:r>
      <w:r w:rsidR="00567680" w:rsidRPr="0081233A">
        <w:t>2018 à 2019.</w:t>
      </w:r>
      <w:r w:rsidR="00312992" w:rsidRPr="008D3C65">
        <w:br w:type="page"/>
      </w:r>
    </w:p>
    <w:p w14:paraId="0D72DEB7" w14:textId="579CE554" w:rsidR="00312992" w:rsidRPr="008D3C65" w:rsidRDefault="00312992" w:rsidP="00AC2464">
      <w:pPr>
        <w:pStyle w:val="Heading2"/>
        <w:rPr>
          <w:lang w:val="fr-CA"/>
        </w:rPr>
      </w:pPr>
      <w:r w:rsidRPr="008D3C65">
        <w:rPr>
          <w:lang w:val="fr-CA"/>
        </w:rPr>
        <w:lastRenderedPageBreak/>
        <w:t>Annex</w:t>
      </w:r>
      <w:r w:rsidR="00E83559">
        <w:rPr>
          <w:lang w:val="fr-CA"/>
        </w:rPr>
        <w:t>e</w:t>
      </w:r>
    </w:p>
    <w:p w14:paraId="0AD6C9EE" w14:textId="7C715262" w:rsidR="00312992" w:rsidRPr="008D3C65" w:rsidRDefault="00E83559" w:rsidP="00AC2464">
      <w:pPr>
        <w:rPr>
          <w:sz w:val="20"/>
        </w:rPr>
      </w:pPr>
      <w:r>
        <w:rPr>
          <w:sz w:val="20"/>
        </w:rPr>
        <w:t xml:space="preserve">Remarque : </w:t>
      </w:r>
      <w:r w:rsidR="00656836">
        <w:rPr>
          <w:sz w:val="20"/>
        </w:rPr>
        <w:t>On ne peut rendre compte des données relatives aux femmes avant 2016-2017 en raison d’un changement apporté à la saisie des données.</w:t>
      </w:r>
    </w:p>
    <w:p w14:paraId="10FA4FD8" w14:textId="77777777" w:rsidR="007C7D4B" w:rsidRDefault="00312992" w:rsidP="007C7D4B">
      <w:pPr>
        <w:keepNext/>
        <w:jc w:val="center"/>
      </w:pPr>
      <w:r w:rsidRPr="008D3C65">
        <w:rPr>
          <w:noProof/>
          <w:lang w:val="en-CA" w:eastAsia="en-CA"/>
        </w:rPr>
        <w:drawing>
          <wp:inline distT="0" distB="0" distL="0" distR="0" wp14:anchorId="278FD710" wp14:editId="237C5737">
            <wp:extent cx="5297215" cy="6561863"/>
            <wp:effectExtent l="0" t="0" r="0" b="0"/>
            <wp:docPr id="2" name="Picture 2" descr="Des graphiques linéaires. Chaque graphique démontre la représentation des postulants et des embauches des groups d'équité en matière d'emploi entre 2015-2016 et 2018-2019 pour les citoyens canadiens et les non-citoyens. La disponibilité au sein de la population active pour les membres de minorités visibles apparait dans chaque graphique." title="Représentation sur le plan de l'équité en matière d'emploi selon le statut de citoyenne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5_citizen_non_citizen_by_e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235" cy="65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2992" w14:textId="3E60C68B" w:rsidR="00851BAF" w:rsidRPr="00851BAF" w:rsidRDefault="007C7D4B" w:rsidP="00851BAF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200C8">
        <w:rPr>
          <w:noProof/>
        </w:rPr>
        <w:t>4</w:t>
      </w:r>
      <w:r>
        <w:fldChar w:fldCharType="end"/>
      </w:r>
      <w:r w:rsidR="00F200C8">
        <w:t> </w:t>
      </w:r>
      <w:r>
        <w:t xml:space="preserve">: </w:t>
      </w:r>
      <w:r w:rsidRPr="00A11E2B">
        <w:t>Représentation sur le plan de l’équité en matière d’emploi selon le statut de ci</w:t>
      </w:r>
      <w:r>
        <w:t>toyenneté</w:t>
      </w:r>
      <w:r w:rsidR="00851BAF">
        <w:br w:type="page"/>
      </w:r>
    </w:p>
    <w:p w14:paraId="4C4555C9" w14:textId="4D15ED34" w:rsidR="007C7D4B" w:rsidRDefault="007C7D4B" w:rsidP="007C7D4B">
      <w:pPr>
        <w:pStyle w:val="Caption"/>
        <w:keepNext/>
        <w:jc w:val="center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200C8">
        <w:rPr>
          <w:noProof/>
        </w:rPr>
        <w:t>7</w:t>
      </w:r>
      <w:r>
        <w:fldChar w:fldCharType="end"/>
      </w:r>
      <w:r w:rsidR="00F200C8">
        <w:t> </w:t>
      </w:r>
      <w:r>
        <w:t xml:space="preserve">: </w:t>
      </w:r>
      <w:r w:rsidRPr="006E5713">
        <w:t>Représentation sur le plan de l’équité en matière d’emploi selon le statut de citoyenneté — citoyens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sur le plan de l’équité en matière d’emploi selon le statut de citoyenneté — citoyens"/>
        <w:tblDescription w:val="Une table qui démontre la représentation des citoyens dans les groupes d'équité en matière d'emploi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29107D" w14:paraId="4ED34D07" w14:textId="77777777" w:rsidTr="007C7D4B">
        <w:trPr>
          <w:tblHeader/>
        </w:trPr>
        <w:tc>
          <w:tcPr>
            <w:tcW w:w="2275" w:type="dxa"/>
          </w:tcPr>
          <w:p w14:paraId="53169ABC" w14:textId="2E1E669B" w:rsidR="0029107D" w:rsidRPr="008908DC" w:rsidRDefault="0029107D" w:rsidP="0029107D">
            <w:pPr>
              <w:jc w:val="center"/>
            </w:pPr>
            <w:r w:rsidRPr="008908DC">
              <w:t>Groupe</w:t>
            </w:r>
          </w:p>
        </w:tc>
        <w:tc>
          <w:tcPr>
            <w:tcW w:w="1869" w:type="dxa"/>
          </w:tcPr>
          <w:p w14:paraId="253AED20" w14:textId="77777777" w:rsidR="0029107D" w:rsidRPr="008908DC" w:rsidRDefault="0029107D" w:rsidP="007C7D4B">
            <w:pPr>
              <w:jc w:val="center"/>
            </w:pPr>
            <w:r w:rsidRPr="008908DC">
              <w:t>2015-2016</w:t>
            </w:r>
          </w:p>
        </w:tc>
        <w:tc>
          <w:tcPr>
            <w:tcW w:w="1634" w:type="dxa"/>
          </w:tcPr>
          <w:p w14:paraId="60A79B65" w14:textId="77777777" w:rsidR="0029107D" w:rsidRPr="008908DC" w:rsidRDefault="0029107D" w:rsidP="007C7D4B">
            <w:pPr>
              <w:jc w:val="center"/>
            </w:pPr>
            <w:r w:rsidRPr="008908DC">
              <w:t>2016-2017</w:t>
            </w:r>
          </w:p>
        </w:tc>
        <w:tc>
          <w:tcPr>
            <w:tcW w:w="1869" w:type="dxa"/>
          </w:tcPr>
          <w:p w14:paraId="1901696E" w14:textId="77777777" w:rsidR="0029107D" w:rsidRPr="008908DC" w:rsidRDefault="0029107D" w:rsidP="007C7D4B">
            <w:pPr>
              <w:jc w:val="center"/>
            </w:pPr>
            <w:r w:rsidRPr="008908DC">
              <w:t>2017-2018</w:t>
            </w:r>
          </w:p>
        </w:tc>
        <w:tc>
          <w:tcPr>
            <w:tcW w:w="1703" w:type="dxa"/>
          </w:tcPr>
          <w:p w14:paraId="66365E7A" w14:textId="77777777" w:rsidR="0029107D" w:rsidRPr="008908DC" w:rsidRDefault="0029107D" w:rsidP="007C7D4B">
            <w:pPr>
              <w:jc w:val="center"/>
            </w:pPr>
            <w:r w:rsidRPr="008908DC">
              <w:t>2018-2019</w:t>
            </w:r>
          </w:p>
        </w:tc>
      </w:tr>
      <w:tr w:rsidR="0029107D" w14:paraId="72A82E49" w14:textId="77777777" w:rsidTr="007C7D4B">
        <w:tc>
          <w:tcPr>
            <w:tcW w:w="2275" w:type="dxa"/>
          </w:tcPr>
          <w:p w14:paraId="1B3EF62A" w14:textId="7693D84A" w:rsidR="0029107D" w:rsidRPr="008908DC" w:rsidRDefault="008908DC" w:rsidP="00634D8C">
            <w:r>
              <w:t>Peuples autochtones </w:t>
            </w:r>
            <w:r w:rsidR="00634D8C" w:rsidRPr="008908DC">
              <w:t>: postulants</w:t>
            </w:r>
          </w:p>
        </w:tc>
        <w:tc>
          <w:tcPr>
            <w:tcW w:w="1869" w:type="dxa"/>
          </w:tcPr>
          <w:p w14:paraId="59765CF5" w14:textId="35A17BCB" w:rsidR="0029107D" w:rsidRPr="008908DC" w:rsidRDefault="0029107D" w:rsidP="007C7D4B">
            <w:pPr>
              <w:jc w:val="right"/>
            </w:pPr>
            <w:r w:rsidRPr="008908DC">
              <w:t>3,7%</w:t>
            </w:r>
          </w:p>
        </w:tc>
        <w:tc>
          <w:tcPr>
            <w:tcW w:w="1634" w:type="dxa"/>
          </w:tcPr>
          <w:p w14:paraId="2CD90995" w14:textId="286A2949" w:rsidR="0029107D" w:rsidRPr="008908DC" w:rsidRDefault="0029107D" w:rsidP="007C7D4B">
            <w:pPr>
              <w:jc w:val="right"/>
            </w:pPr>
            <w:r w:rsidRPr="008908DC">
              <w:t>3,6%</w:t>
            </w:r>
          </w:p>
        </w:tc>
        <w:tc>
          <w:tcPr>
            <w:tcW w:w="1869" w:type="dxa"/>
          </w:tcPr>
          <w:p w14:paraId="1D516628" w14:textId="77E69F34" w:rsidR="0029107D" w:rsidRPr="008908DC" w:rsidRDefault="0029107D" w:rsidP="007C7D4B">
            <w:pPr>
              <w:jc w:val="right"/>
            </w:pPr>
            <w:r w:rsidRPr="008908DC">
              <w:t>3,6%</w:t>
            </w:r>
          </w:p>
        </w:tc>
        <w:tc>
          <w:tcPr>
            <w:tcW w:w="1703" w:type="dxa"/>
          </w:tcPr>
          <w:p w14:paraId="56C8DBE1" w14:textId="2DEA41B8" w:rsidR="0029107D" w:rsidRPr="008908DC" w:rsidRDefault="0029107D" w:rsidP="007C7D4B">
            <w:pPr>
              <w:jc w:val="right"/>
            </w:pPr>
            <w:r w:rsidRPr="008908DC">
              <w:t>3,4%</w:t>
            </w:r>
          </w:p>
        </w:tc>
      </w:tr>
      <w:tr w:rsidR="0029107D" w14:paraId="5B8322A1" w14:textId="77777777" w:rsidTr="007C7D4B">
        <w:tc>
          <w:tcPr>
            <w:tcW w:w="2275" w:type="dxa"/>
          </w:tcPr>
          <w:p w14:paraId="3904A7C6" w14:textId="66A1E336" w:rsidR="0029107D" w:rsidRPr="008908DC" w:rsidRDefault="008908DC" w:rsidP="00634D8C">
            <w:r>
              <w:t>Peuples autochtones </w:t>
            </w:r>
            <w:r w:rsidR="00634D8C" w:rsidRPr="008908DC">
              <w:t>:</w:t>
            </w:r>
            <w:r w:rsidR="0029107D" w:rsidRPr="008908DC">
              <w:t xml:space="preserve"> </w:t>
            </w:r>
            <w:r w:rsidR="00634D8C" w:rsidRPr="008908DC">
              <w:t>embauches</w:t>
            </w:r>
          </w:p>
        </w:tc>
        <w:tc>
          <w:tcPr>
            <w:tcW w:w="1869" w:type="dxa"/>
          </w:tcPr>
          <w:p w14:paraId="02A51726" w14:textId="00F784F0" w:rsidR="0029107D" w:rsidRPr="008908DC" w:rsidRDefault="0029107D" w:rsidP="0029107D">
            <w:pPr>
              <w:jc w:val="right"/>
            </w:pPr>
            <w:r w:rsidRPr="008908DC">
              <w:t>4,1%</w:t>
            </w:r>
          </w:p>
        </w:tc>
        <w:tc>
          <w:tcPr>
            <w:tcW w:w="1634" w:type="dxa"/>
          </w:tcPr>
          <w:p w14:paraId="1275B379" w14:textId="1FC09682" w:rsidR="0029107D" w:rsidRPr="008908DC" w:rsidRDefault="0029107D" w:rsidP="007C7D4B">
            <w:pPr>
              <w:jc w:val="right"/>
            </w:pPr>
            <w:r w:rsidRPr="008908DC">
              <w:t>4,6%</w:t>
            </w:r>
          </w:p>
        </w:tc>
        <w:tc>
          <w:tcPr>
            <w:tcW w:w="1869" w:type="dxa"/>
          </w:tcPr>
          <w:p w14:paraId="4872D1F2" w14:textId="506CBD01" w:rsidR="0029107D" w:rsidRPr="008908DC" w:rsidRDefault="0029107D" w:rsidP="007C7D4B">
            <w:pPr>
              <w:jc w:val="right"/>
            </w:pPr>
            <w:r w:rsidRPr="008908DC">
              <w:t>4,1%</w:t>
            </w:r>
          </w:p>
        </w:tc>
        <w:tc>
          <w:tcPr>
            <w:tcW w:w="1703" w:type="dxa"/>
          </w:tcPr>
          <w:p w14:paraId="77ED091A" w14:textId="069F9013" w:rsidR="0029107D" w:rsidRPr="008908DC" w:rsidRDefault="0029107D" w:rsidP="007C7D4B">
            <w:pPr>
              <w:jc w:val="right"/>
            </w:pPr>
            <w:r w:rsidRPr="008908DC">
              <w:t>4,3%</w:t>
            </w:r>
          </w:p>
        </w:tc>
      </w:tr>
      <w:tr w:rsidR="00A75A37" w14:paraId="1B212BD3" w14:textId="77777777" w:rsidTr="007C7D4B">
        <w:tc>
          <w:tcPr>
            <w:tcW w:w="2275" w:type="dxa"/>
          </w:tcPr>
          <w:p w14:paraId="50D461D0" w14:textId="2895EACD" w:rsidR="00A75A37" w:rsidRPr="00A75A37" w:rsidRDefault="00A75A37" w:rsidP="00A75A37">
            <w:r w:rsidRPr="00A75A37">
              <w:t>Personnes en situation de handicap : postulants</w:t>
            </w:r>
          </w:p>
        </w:tc>
        <w:tc>
          <w:tcPr>
            <w:tcW w:w="1869" w:type="dxa"/>
          </w:tcPr>
          <w:p w14:paraId="7EB954E8" w14:textId="6AA2ED3C" w:rsidR="00A75A37" w:rsidRPr="00A75A37" w:rsidRDefault="00A75A37" w:rsidP="00A75A37">
            <w:pPr>
              <w:jc w:val="right"/>
            </w:pPr>
            <w:r w:rsidRPr="00A75A37">
              <w:t>2,8%</w:t>
            </w:r>
          </w:p>
        </w:tc>
        <w:tc>
          <w:tcPr>
            <w:tcW w:w="1634" w:type="dxa"/>
          </w:tcPr>
          <w:p w14:paraId="26FB3B26" w14:textId="5E16D091" w:rsidR="00A75A37" w:rsidRPr="00A75A37" w:rsidRDefault="00A75A37" w:rsidP="00A75A37">
            <w:pPr>
              <w:jc w:val="right"/>
            </w:pPr>
            <w:r w:rsidRPr="00A75A37">
              <w:t>2,9%</w:t>
            </w:r>
          </w:p>
        </w:tc>
        <w:tc>
          <w:tcPr>
            <w:tcW w:w="1869" w:type="dxa"/>
          </w:tcPr>
          <w:p w14:paraId="0F18E5D1" w14:textId="60647F82" w:rsidR="00A75A37" w:rsidRPr="00A75A37" w:rsidRDefault="00A75A37" w:rsidP="00A75A37">
            <w:pPr>
              <w:jc w:val="right"/>
            </w:pPr>
            <w:r w:rsidRPr="00A75A37">
              <w:t>3,1%</w:t>
            </w:r>
          </w:p>
        </w:tc>
        <w:tc>
          <w:tcPr>
            <w:tcW w:w="1703" w:type="dxa"/>
          </w:tcPr>
          <w:p w14:paraId="49354191" w14:textId="170658C2" w:rsidR="00A75A37" w:rsidRPr="00A75A37" w:rsidRDefault="00A75A37" w:rsidP="00A75A37">
            <w:pPr>
              <w:jc w:val="right"/>
            </w:pPr>
            <w:r w:rsidRPr="00A75A37">
              <w:t>3,0%</w:t>
            </w:r>
          </w:p>
        </w:tc>
      </w:tr>
      <w:tr w:rsidR="00634D8C" w14:paraId="6F4F62D1" w14:textId="77777777" w:rsidTr="007C7D4B">
        <w:tc>
          <w:tcPr>
            <w:tcW w:w="2275" w:type="dxa"/>
          </w:tcPr>
          <w:p w14:paraId="629AF074" w14:textId="2DE4AD06" w:rsidR="00634D8C" w:rsidRPr="008908DC" w:rsidRDefault="00634D8C" w:rsidP="00634D8C">
            <w:r w:rsidRPr="008908DC">
              <w:t>Per</w:t>
            </w:r>
            <w:r w:rsidR="008908DC">
              <w:t>sonnes en situation de handicap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6D0771D2" w14:textId="6E11D30E" w:rsidR="00634D8C" w:rsidRPr="008908DC" w:rsidRDefault="00634D8C" w:rsidP="00634D8C">
            <w:pPr>
              <w:jc w:val="right"/>
            </w:pPr>
            <w:r w:rsidRPr="008908DC">
              <w:t>3,3%</w:t>
            </w:r>
          </w:p>
        </w:tc>
        <w:tc>
          <w:tcPr>
            <w:tcW w:w="1634" w:type="dxa"/>
          </w:tcPr>
          <w:p w14:paraId="51A683C4" w14:textId="11D3DD9F" w:rsidR="00634D8C" w:rsidRPr="008908DC" w:rsidRDefault="00634D8C" w:rsidP="00634D8C">
            <w:pPr>
              <w:jc w:val="right"/>
            </w:pPr>
            <w:r w:rsidRPr="008908DC">
              <w:t>4,0%</w:t>
            </w:r>
          </w:p>
        </w:tc>
        <w:tc>
          <w:tcPr>
            <w:tcW w:w="1869" w:type="dxa"/>
          </w:tcPr>
          <w:p w14:paraId="7C19E76B" w14:textId="3CA83788" w:rsidR="00634D8C" w:rsidRPr="008908DC" w:rsidRDefault="00634D8C" w:rsidP="00634D8C">
            <w:pPr>
              <w:jc w:val="right"/>
            </w:pPr>
            <w:r w:rsidRPr="008908DC">
              <w:t>3,7%</w:t>
            </w:r>
          </w:p>
        </w:tc>
        <w:tc>
          <w:tcPr>
            <w:tcW w:w="1703" w:type="dxa"/>
          </w:tcPr>
          <w:p w14:paraId="29B7128D" w14:textId="1A246614" w:rsidR="00634D8C" w:rsidRPr="008908DC" w:rsidRDefault="00634D8C" w:rsidP="00634D8C">
            <w:pPr>
              <w:jc w:val="right"/>
            </w:pPr>
            <w:r w:rsidRPr="008908DC">
              <w:t>3,8%</w:t>
            </w:r>
          </w:p>
        </w:tc>
      </w:tr>
      <w:tr w:rsidR="00634D8C" w14:paraId="5699D797" w14:textId="77777777" w:rsidTr="007C7D4B">
        <w:tc>
          <w:tcPr>
            <w:tcW w:w="2275" w:type="dxa"/>
          </w:tcPr>
          <w:p w14:paraId="538EE396" w14:textId="0441F6A5" w:rsidR="00634D8C" w:rsidRPr="008908DC" w:rsidRDefault="00634D8C" w:rsidP="00634D8C">
            <w:r w:rsidRPr="008908DC">
              <w:t>Membres de minorités visibles</w:t>
            </w:r>
            <w:r w:rsidR="008908DC">
              <w:t> </w:t>
            </w:r>
            <w:r w:rsidRPr="008908DC">
              <w:t>: postulants</w:t>
            </w:r>
          </w:p>
        </w:tc>
        <w:tc>
          <w:tcPr>
            <w:tcW w:w="1869" w:type="dxa"/>
          </w:tcPr>
          <w:p w14:paraId="2BBDCE7B" w14:textId="24644BCC" w:rsidR="00634D8C" w:rsidRPr="008908DC" w:rsidRDefault="00634D8C" w:rsidP="00634D8C">
            <w:pPr>
              <w:jc w:val="right"/>
            </w:pPr>
            <w:bookmarkStart w:id="1" w:name="_GoBack"/>
            <w:bookmarkEnd w:id="1"/>
            <w:r w:rsidRPr="008908DC">
              <w:t>19,8%</w:t>
            </w:r>
          </w:p>
        </w:tc>
        <w:tc>
          <w:tcPr>
            <w:tcW w:w="1634" w:type="dxa"/>
          </w:tcPr>
          <w:p w14:paraId="2BA7081F" w14:textId="4D79E847" w:rsidR="00634D8C" w:rsidRPr="008908DC" w:rsidRDefault="00634D8C" w:rsidP="00634D8C">
            <w:pPr>
              <w:jc w:val="right"/>
            </w:pPr>
            <w:r w:rsidRPr="008908DC">
              <w:t>19,2%</w:t>
            </w:r>
          </w:p>
        </w:tc>
        <w:tc>
          <w:tcPr>
            <w:tcW w:w="1869" w:type="dxa"/>
          </w:tcPr>
          <w:p w14:paraId="41EF5305" w14:textId="4F1D5B73" w:rsidR="00634D8C" w:rsidRPr="008908DC" w:rsidRDefault="00634D8C" w:rsidP="00634D8C">
            <w:pPr>
              <w:jc w:val="right"/>
            </w:pPr>
            <w:r w:rsidRPr="008908DC">
              <w:t>20,0%</w:t>
            </w:r>
          </w:p>
        </w:tc>
        <w:tc>
          <w:tcPr>
            <w:tcW w:w="1703" w:type="dxa"/>
          </w:tcPr>
          <w:p w14:paraId="1550C4C8" w14:textId="243FC36A" w:rsidR="00634D8C" w:rsidRPr="008908DC" w:rsidRDefault="00634D8C" w:rsidP="00634D8C">
            <w:pPr>
              <w:jc w:val="right"/>
            </w:pPr>
            <w:r w:rsidRPr="008908DC">
              <w:t>20,1%</w:t>
            </w:r>
          </w:p>
        </w:tc>
      </w:tr>
      <w:tr w:rsidR="00634D8C" w14:paraId="6161F9F5" w14:textId="77777777" w:rsidTr="007C7D4B">
        <w:tc>
          <w:tcPr>
            <w:tcW w:w="2275" w:type="dxa"/>
          </w:tcPr>
          <w:p w14:paraId="66F098C4" w14:textId="274F003C" w:rsidR="00634D8C" w:rsidRPr="008908DC" w:rsidRDefault="008908DC" w:rsidP="00634D8C">
            <w:r>
              <w:t>Membres de minorités visibles </w:t>
            </w:r>
            <w:r w:rsidR="00634D8C" w:rsidRPr="008908DC">
              <w:t>: embauches</w:t>
            </w:r>
          </w:p>
        </w:tc>
        <w:tc>
          <w:tcPr>
            <w:tcW w:w="1869" w:type="dxa"/>
          </w:tcPr>
          <w:p w14:paraId="37217A09" w14:textId="44DA91F1" w:rsidR="00634D8C" w:rsidRPr="008908DC" w:rsidRDefault="00634D8C" w:rsidP="00634D8C">
            <w:pPr>
              <w:jc w:val="right"/>
            </w:pPr>
            <w:r w:rsidRPr="008908DC">
              <w:t>18,7%</w:t>
            </w:r>
          </w:p>
        </w:tc>
        <w:tc>
          <w:tcPr>
            <w:tcW w:w="1634" w:type="dxa"/>
          </w:tcPr>
          <w:p w14:paraId="1A537527" w14:textId="28EFEEE9" w:rsidR="00634D8C" w:rsidRPr="008908DC" w:rsidRDefault="00634D8C" w:rsidP="00634D8C">
            <w:pPr>
              <w:jc w:val="right"/>
            </w:pPr>
            <w:r w:rsidRPr="008908DC">
              <w:t>19,0%</w:t>
            </w:r>
          </w:p>
        </w:tc>
        <w:tc>
          <w:tcPr>
            <w:tcW w:w="1869" w:type="dxa"/>
          </w:tcPr>
          <w:p w14:paraId="0EC21065" w14:textId="785EE42B" w:rsidR="00634D8C" w:rsidRPr="008908DC" w:rsidRDefault="00634D8C" w:rsidP="00634D8C">
            <w:pPr>
              <w:jc w:val="right"/>
            </w:pPr>
            <w:r w:rsidRPr="008908DC">
              <w:t>18,3%</w:t>
            </w:r>
          </w:p>
        </w:tc>
        <w:tc>
          <w:tcPr>
            <w:tcW w:w="1703" w:type="dxa"/>
          </w:tcPr>
          <w:p w14:paraId="45FBA126" w14:textId="03595DDD" w:rsidR="00634D8C" w:rsidRPr="008908DC" w:rsidRDefault="00634D8C" w:rsidP="00634D8C">
            <w:pPr>
              <w:jc w:val="right"/>
            </w:pPr>
            <w:r w:rsidRPr="008908DC">
              <w:t>20,0%</w:t>
            </w:r>
          </w:p>
        </w:tc>
      </w:tr>
      <w:tr w:rsidR="00634D8C" w14:paraId="1341D217" w14:textId="77777777" w:rsidTr="007C7D4B">
        <w:trPr>
          <w:trHeight w:val="572"/>
        </w:trPr>
        <w:tc>
          <w:tcPr>
            <w:tcW w:w="2275" w:type="dxa"/>
          </w:tcPr>
          <w:p w14:paraId="06BF0CF7" w14:textId="391B99F7" w:rsidR="00634D8C" w:rsidRPr="008908DC" w:rsidRDefault="00634D8C" w:rsidP="008908DC">
            <w:r w:rsidRPr="008908DC">
              <w:t>Femmes</w:t>
            </w:r>
            <w:r w:rsidR="008908DC">
              <w:t> </w:t>
            </w:r>
            <w:r w:rsidRPr="008908DC">
              <w:t>: postulants</w:t>
            </w:r>
          </w:p>
        </w:tc>
        <w:tc>
          <w:tcPr>
            <w:tcW w:w="1869" w:type="dxa"/>
          </w:tcPr>
          <w:p w14:paraId="6A6114DA" w14:textId="77777777" w:rsidR="00634D8C" w:rsidRPr="008908DC" w:rsidRDefault="00634D8C" w:rsidP="00634D8C">
            <w:pPr>
              <w:jc w:val="right"/>
            </w:pPr>
          </w:p>
        </w:tc>
        <w:tc>
          <w:tcPr>
            <w:tcW w:w="1634" w:type="dxa"/>
          </w:tcPr>
          <w:p w14:paraId="2969E715" w14:textId="54F71430" w:rsidR="00634D8C" w:rsidRPr="008908DC" w:rsidRDefault="00634D8C" w:rsidP="00634D8C">
            <w:pPr>
              <w:jc w:val="right"/>
            </w:pPr>
            <w:r w:rsidRPr="008908DC">
              <w:t>55,6%</w:t>
            </w:r>
          </w:p>
        </w:tc>
        <w:tc>
          <w:tcPr>
            <w:tcW w:w="1869" w:type="dxa"/>
          </w:tcPr>
          <w:p w14:paraId="5ED2DC15" w14:textId="17DF6840" w:rsidR="00634D8C" w:rsidRPr="008908DC" w:rsidRDefault="00634D8C" w:rsidP="00634D8C">
            <w:pPr>
              <w:jc w:val="right"/>
            </w:pPr>
            <w:r w:rsidRPr="008908DC">
              <w:t>55,4%</w:t>
            </w:r>
          </w:p>
        </w:tc>
        <w:tc>
          <w:tcPr>
            <w:tcW w:w="1703" w:type="dxa"/>
          </w:tcPr>
          <w:p w14:paraId="5A51E818" w14:textId="36D09CA7" w:rsidR="00634D8C" w:rsidRPr="008908DC" w:rsidRDefault="00634D8C" w:rsidP="00634D8C">
            <w:pPr>
              <w:jc w:val="right"/>
            </w:pPr>
            <w:r w:rsidRPr="008908DC">
              <w:t>57,0%</w:t>
            </w:r>
          </w:p>
        </w:tc>
      </w:tr>
      <w:tr w:rsidR="00634D8C" w14:paraId="4C9120B6" w14:textId="77777777" w:rsidTr="007C7D4B">
        <w:trPr>
          <w:trHeight w:val="552"/>
        </w:trPr>
        <w:tc>
          <w:tcPr>
            <w:tcW w:w="2275" w:type="dxa"/>
          </w:tcPr>
          <w:p w14:paraId="5F256903" w14:textId="102FAE81" w:rsidR="00634D8C" w:rsidRPr="008908DC" w:rsidRDefault="008908DC" w:rsidP="00634D8C">
            <w:r>
              <w:t>Femmes </w:t>
            </w:r>
            <w:r w:rsidR="00634D8C" w:rsidRPr="008908DC">
              <w:t>: embauches</w:t>
            </w:r>
          </w:p>
        </w:tc>
        <w:tc>
          <w:tcPr>
            <w:tcW w:w="1869" w:type="dxa"/>
          </w:tcPr>
          <w:p w14:paraId="393A7BD2" w14:textId="314B9C6A" w:rsidR="00634D8C" w:rsidRPr="008908DC" w:rsidRDefault="00634D8C" w:rsidP="00634D8C">
            <w:pPr>
              <w:jc w:val="right"/>
            </w:pPr>
            <w:r w:rsidRPr="008908DC">
              <w:t>58,4%</w:t>
            </w:r>
          </w:p>
        </w:tc>
        <w:tc>
          <w:tcPr>
            <w:tcW w:w="1634" w:type="dxa"/>
          </w:tcPr>
          <w:p w14:paraId="13ACF811" w14:textId="76906ACA" w:rsidR="00634D8C" w:rsidRPr="008908DC" w:rsidRDefault="00634D8C" w:rsidP="00634D8C">
            <w:pPr>
              <w:jc w:val="right"/>
            </w:pPr>
            <w:r w:rsidRPr="008908DC">
              <w:t>57,9%</w:t>
            </w:r>
          </w:p>
        </w:tc>
        <w:tc>
          <w:tcPr>
            <w:tcW w:w="1869" w:type="dxa"/>
          </w:tcPr>
          <w:p w14:paraId="6DB5504E" w14:textId="0BD8D1C3" w:rsidR="00634D8C" w:rsidRPr="008908DC" w:rsidRDefault="00634D8C" w:rsidP="00634D8C">
            <w:pPr>
              <w:jc w:val="right"/>
            </w:pPr>
            <w:r w:rsidRPr="008908DC">
              <w:t>58,6%</w:t>
            </w:r>
          </w:p>
        </w:tc>
        <w:tc>
          <w:tcPr>
            <w:tcW w:w="1703" w:type="dxa"/>
          </w:tcPr>
          <w:p w14:paraId="5FD6C003" w14:textId="090A9E0A" w:rsidR="00634D8C" w:rsidRPr="008908DC" w:rsidRDefault="00634D8C" w:rsidP="00634D8C">
            <w:pPr>
              <w:jc w:val="right"/>
            </w:pPr>
            <w:r w:rsidRPr="008908DC">
              <w:t>57,0%</w:t>
            </w:r>
          </w:p>
        </w:tc>
      </w:tr>
    </w:tbl>
    <w:p w14:paraId="6407E912" w14:textId="405E51E6" w:rsidR="008908DC" w:rsidRDefault="008908DC">
      <w:pPr>
        <w:keepLines w:val="0"/>
        <w:rPr>
          <w:rFonts w:ascii="Segoe UI" w:eastAsiaTheme="majorEastAsia" w:hAnsi="Segoe UI" w:cs="Segoe UI"/>
          <w:b/>
          <w:color w:val="5B315E" w:themeColor="accent2"/>
          <w:sz w:val="20"/>
          <w:szCs w:val="32"/>
          <w:lang w:val="en-CA"/>
        </w:rPr>
      </w:pPr>
      <w:r>
        <w:rPr>
          <w:rFonts w:ascii="Segoe UI" w:eastAsiaTheme="majorEastAsia" w:hAnsi="Segoe UI" w:cs="Segoe UI"/>
          <w:b/>
          <w:color w:val="5B315E" w:themeColor="accent2"/>
          <w:sz w:val="20"/>
          <w:szCs w:val="32"/>
          <w:lang w:val="en-CA"/>
        </w:rPr>
        <w:br w:type="page"/>
      </w:r>
    </w:p>
    <w:p w14:paraId="0CF3A8BC" w14:textId="76F51235" w:rsidR="007C7D4B" w:rsidRDefault="007C7D4B" w:rsidP="007C7D4B">
      <w:pPr>
        <w:pStyle w:val="Caption"/>
        <w:keepNext/>
        <w:jc w:val="center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200C8">
        <w:rPr>
          <w:noProof/>
        </w:rPr>
        <w:t>8</w:t>
      </w:r>
      <w:r>
        <w:fldChar w:fldCharType="end"/>
      </w:r>
      <w:r w:rsidR="00F200C8">
        <w:t> </w:t>
      </w:r>
      <w:r>
        <w:t xml:space="preserve">: </w:t>
      </w:r>
      <w:r w:rsidRPr="00B900A4">
        <w:t>Représentation sur le plan de l’équité en matière d’emploi selon le statut de citoyenneté — non-citoyens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sur le plan de l’équité en matière d’emploi selon le statut de citoyenneté — non-citoyens"/>
        <w:tblDescription w:val="Une table qui démontre la représentation des non-citoyens dans les groupes d'équité en matière d'emploi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29107D" w14:paraId="311DF3A3" w14:textId="77777777" w:rsidTr="007C7D4B">
        <w:trPr>
          <w:tblHeader/>
        </w:trPr>
        <w:tc>
          <w:tcPr>
            <w:tcW w:w="2275" w:type="dxa"/>
          </w:tcPr>
          <w:p w14:paraId="5DF921DA" w14:textId="687D8BA7" w:rsidR="0029107D" w:rsidRPr="008908DC" w:rsidRDefault="008908DC" w:rsidP="007C7D4B">
            <w:pPr>
              <w:jc w:val="center"/>
            </w:pPr>
            <w:r w:rsidRPr="008908DC">
              <w:t>Groupe</w:t>
            </w:r>
          </w:p>
        </w:tc>
        <w:tc>
          <w:tcPr>
            <w:tcW w:w="1869" w:type="dxa"/>
          </w:tcPr>
          <w:p w14:paraId="3994984A" w14:textId="77777777" w:rsidR="0029107D" w:rsidRPr="008908DC" w:rsidRDefault="0029107D" w:rsidP="007C7D4B">
            <w:pPr>
              <w:jc w:val="center"/>
            </w:pPr>
            <w:r w:rsidRPr="008908DC">
              <w:t>2015-2016</w:t>
            </w:r>
          </w:p>
        </w:tc>
        <w:tc>
          <w:tcPr>
            <w:tcW w:w="1634" w:type="dxa"/>
          </w:tcPr>
          <w:p w14:paraId="14A31E89" w14:textId="77777777" w:rsidR="0029107D" w:rsidRPr="008908DC" w:rsidRDefault="0029107D" w:rsidP="007C7D4B">
            <w:pPr>
              <w:jc w:val="center"/>
            </w:pPr>
            <w:r w:rsidRPr="008908DC">
              <w:t>2016-2017</w:t>
            </w:r>
          </w:p>
        </w:tc>
        <w:tc>
          <w:tcPr>
            <w:tcW w:w="1869" w:type="dxa"/>
          </w:tcPr>
          <w:p w14:paraId="50D72477" w14:textId="77777777" w:rsidR="0029107D" w:rsidRPr="008908DC" w:rsidRDefault="0029107D" w:rsidP="007C7D4B">
            <w:pPr>
              <w:jc w:val="center"/>
            </w:pPr>
            <w:r w:rsidRPr="008908DC">
              <w:t>2017-2018</w:t>
            </w:r>
          </w:p>
        </w:tc>
        <w:tc>
          <w:tcPr>
            <w:tcW w:w="1703" w:type="dxa"/>
          </w:tcPr>
          <w:p w14:paraId="689ED9FF" w14:textId="77777777" w:rsidR="0029107D" w:rsidRPr="008908DC" w:rsidRDefault="0029107D" w:rsidP="007C7D4B">
            <w:pPr>
              <w:jc w:val="center"/>
            </w:pPr>
            <w:r w:rsidRPr="008908DC">
              <w:t>2018-2019</w:t>
            </w:r>
          </w:p>
        </w:tc>
      </w:tr>
      <w:tr w:rsidR="00761320" w14:paraId="7F2EB81D" w14:textId="77777777" w:rsidTr="007C7D4B">
        <w:tc>
          <w:tcPr>
            <w:tcW w:w="2275" w:type="dxa"/>
          </w:tcPr>
          <w:p w14:paraId="6518928C" w14:textId="52BD2DB3" w:rsidR="00761320" w:rsidRPr="008908DC" w:rsidRDefault="008908DC" w:rsidP="00761320">
            <w:r w:rsidRPr="008908DC">
              <w:t>Peuples autochtones </w:t>
            </w:r>
            <w:r w:rsidR="00761320" w:rsidRPr="008908DC">
              <w:t>: postulants</w:t>
            </w:r>
          </w:p>
        </w:tc>
        <w:tc>
          <w:tcPr>
            <w:tcW w:w="1869" w:type="dxa"/>
          </w:tcPr>
          <w:p w14:paraId="7ABAF8FF" w14:textId="43CC4F72" w:rsidR="00761320" w:rsidRPr="008908DC" w:rsidRDefault="00761320" w:rsidP="00761320">
            <w:pPr>
              <w:jc w:val="right"/>
            </w:pPr>
            <w:r w:rsidRPr="008908DC">
              <w:t>1,1%</w:t>
            </w:r>
          </w:p>
        </w:tc>
        <w:tc>
          <w:tcPr>
            <w:tcW w:w="1634" w:type="dxa"/>
          </w:tcPr>
          <w:p w14:paraId="71EF3D4E" w14:textId="3A0D174A" w:rsidR="00761320" w:rsidRPr="008908DC" w:rsidRDefault="00761320" w:rsidP="00761320">
            <w:pPr>
              <w:jc w:val="right"/>
            </w:pPr>
            <w:r w:rsidRPr="008908DC">
              <w:t>1,0%</w:t>
            </w:r>
          </w:p>
        </w:tc>
        <w:tc>
          <w:tcPr>
            <w:tcW w:w="1869" w:type="dxa"/>
          </w:tcPr>
          <w:p w14:paraId="020FBE1E" w14:textId="142205F6" w:rsidR="00761320" w:rsidRPr="008908DC" w:rsidRDefault="00761320" w:rsidP="00761320">
            <w:pPr>
              <w:jc w:val="right"/>
            </w:pPr>
            <w:r w:rsidRPr="008908DC">
              <w:t>1,2%</w:t>
            </w:r>
          </w:p>
        </w:tc>
        <w:tc>
          <w:tcPr>
            <w:tcW w:w="1703" w:type="dxa"/>
          </w:tcPr>
          <w:p w14:paraId="30FD4437" w14:textId="46EF87CB" w:rsidR="00761320" w:rsidRPr="008908DC" w:rsidRDefault="00761320" w:rsidP="00761320">
            <w:pPr>
              <w:jc w:val="right"/>
            </w:pPr>
            <w:r w:rsidRPr="008908DC">
              <w:t>1,2%</w:t>
            </w:r>
          </w:p>
        </w:tc>
      </w:tr>
      <w:tr w:rsidR="00761320" w14:paraId="46AC1225" w14:textId="77777777" w:rsidTr="007C7D4B">
        <w:tc>
          <w:tcPr>
            <w:tcW w:w="2275" w:type="dxa"/>
          </w:tcPr>
          <w:p w14:paraId="3E5A21FA" w14:textId="76942DEC" w:rsidR="00761320" w:rsidRPr="008908DC" w:rsidRDefault="008908DC" w:rsidP="00761320">
            <w:r w:rsidRPr="008908DC">
              <w:t>Peuples autochtones </w:t>
            </w:r>
            <w:r w:rsidR="00761320" w:rsidRPr="008908DC">
              <w:t>: embauches</w:t>
            </w:r>
          </w:p>
        </w:tc>
        <w:tc>
          <w:tcPr>
            <w:tcW w:w="1869" w:type="dxa"/>
          </w:tcPr>
          <w:p w14:paraId="22D64DF6" w14:textId="0AEAD80F" w:rsidR="00761320" w:rsidRPr="008908DC" w:rsidRDefault="00761320" w:rsidP="00761320">
            <w:pPr>
              <w:jc w:val="right"/>
            </w:pPr>
            <w:r w:rsidRPr="008908DC">
              <w:t>2,5%</w:t>
            </w:r>
          </w:p>
        </w:tc>
        <w:tc>
          <w:tcPr>
            <w:tcW w:w="1634" w:type="dxa"/>
          </w:tcPr>
          <w:p w14:paraId="12799D8D" w14:textId="544D3934" w:rsidR="00761320" w:rsidRPr="008908DC" w:rsidRDefault="00761320" w:rsidP="00761320">
            <w:pPr>
              <w:jc w:val="right"/>
            </w:pPr>
            <w:r w:rsidRPr="008908DC">
              <w:t>1,4%</w:t>
            </w:r>
          </w:p>
        </w:tc>
        <w:tc>
          <w:tcPr>
            <w:tcW w:w="1869" w:type="dxa"/>
          </w:tcPr>
          <w:p w14:paraId="5E9DF320" w14:textId="7565E687" w:rsidR="00761320" w:rsidRPr="008908DC" w:rsidRDefault="00761320" w:rsidP="00761320">
            <w:pPr>
              <w:jc w:val="right"/>
            </w:pPr>
            <w:r w:rsidRPr="008908DC">
              <w:t>2,8%</w:t>
            </w:r>
          </w:p>
        </w:tc>
        <w:tc>
          <w:tcPr>
            <w:tcW w:w="1703" w:type="dxa"/>
          </w:tcPr>
          <w:p w14:paraId="6C8508B6" w14:textId="0CABF326" w:rsidR="00761320" w:rsidRPr="008908DC" w:rsidRDefault="00761320" w:rsidP="00761320">
            <w:pPr>
              <w:jc w:val="right"/>
            </w:pPr>
            <w:r w:rsidRPr="008908DC">
              <w:t>2,2%</w:t>
            </w:r>
          </w:p>
        </w:tc>
      </w:tr>
      <w:tr w:rsidR="00761320" w14:paraId="62CC3715" w14:textId="77777777" w:rsidTr="007C7D4B">
        <w:tc>
          <w:tcPr>
            <w:tcW w:w="2275" w:type="dxa"/>
          </w:tcPr>
          <w:p w14:paraId="52410229" w14:textId="2FADDC80" w:rsidR="00761320" w:rsidRPr="008908DC" w:rsidRDefault="00761320" w:rsidP="006163E8">
            <w:r w:rsidRPr="008908DC">
              <w:t>Per</w:t>
            </w:r>
            <w:r w:rsidR="008908DC" w:rsidRPr="008908DC">
              <w:t>sonnes en situation de handicap </w:t>
            </w:r>
            <w:r w:rsidRPr="008908DC">
              <w:t xml:space="preserve">: </w:t>
            </w:r>
            <w:r w:rsidR="006163E8">
              <w:t>postulants</w:t>
            </w:r>
          </w:p>
        </w:tc>
        <w:tc>
          <w:tcPr>
            <w:tcW w:w="1869" w:type="dxa"/>
          </w:tcPr>
          <w:p w14:paraId="22FCCE3D" w14:textId="23B930EB" w:rsidR="00761320" w:rsidRPr="008908DC" w:rsidRDefault="00761320" w:rsidP="00761320">
            <w:pPr>
              <w:jc w:val="right"/>
            </w:pPr>
            <w:r w:rsidRPr="008908DC">
              <w:t>0,8%</w:t>
            </w:r>
          </w:p>
        </w:tc>
        <w:tc>
          <w:tcPr>
            <w:tcW w:w="1634" w:type="dxa"/>
          </w:tcPr>
          <w:p w14:paraId="5780D0DA" w14:textId="13C4C1A6" w:rsidR="00761320" w:rsidRPr="008908DC" w:rsidRDefault="00761320" w:rsidP="00761320">
            <w:pPr>
              <w:jc w:val="right"/>
            </w:pPr>
            <w:r w:rsidRPr="008908DC">
              <w:t>0,9%</w:t>
            </w:r>
          </w:p>
        </w:tc>
        <w:tc>
          <w:tcPr>
            <w:tcW w:w="1869" w:type="dxa"/>
          </w:tcPr>
          <w:p w14:paraId="03D91B1C" w14:textId="179BD68B" w:rsidR="00761320" w:rsidRPr="008908DC" w:rsidRDefault="00761320" w:rsidP="00761320">
            <w:pPr>
              <w:jc w:val="right"/>
            </w:pPr>
            <w:r w:rsidRPr="008908DC">
              <w:t>1,0%</w:t>
            </w:r>
          </w:p>
        </w:tc>
        <w:tc>
          <w:tcPr>
            <w:tcW w:w="1703" w:type="dxa"/>
          </w:tcPr>
          <w:p w14:paraId="3AF1A177" w14:textId="0F9B01B1" w:rsidR="00761320" w:rsidRPr="008908DC" w:rsidRDefault="00761320" w:rsidP="00761320">
            <w:pPr>
              <w:jc w:val="right"/>
            </w:pPr>
            <w:r w:rsidRPr="008908DC">
              <w:t>0,8%</w:t>
            </w:r>
          </w:p>
        </w:tc>
      </w:tr>
      <w:tr w:rsidR="00761320" w14:paraId="1FD64CC9" w14:textId="77777777" w:rsidTr="007C7D4B">
        <w:tc>
          <w:tcPr>
            <w:tcW w:w="2275" w:type="dxa"/>
          </w:tcPr>
          <w:p w14:paraId="4F6A0D33" w14:textId="065B10F6" w:rsidR="00761320" w:rsidRPr="008908DC" w:rsidRDefault="00761320" w:rsidP="00761320">
            <w:r w:rsidRPr="008908DC">
              <w:t>Per</w:t>
            </w:r>
            <w:r w:rsidR="008908DC" w:rsidRPr="008908DC">
              <w:t>sonnes en situation de handicap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32893EEF" w14:textId="1D9EBEFF" w:rsidR="00761320" w:rsidRPr="008908DC" w:rsidRDefault="00761320" w:rsidP="00761320">
            <w:pPr>
              <w:jc w:val="right"/>
            </w:pPr>
            <w:r w:rsidRPr="008908DC">
              <w:t>2,5%</w:t>
            </w:r>
          </w:p>
        </w:tc>
        <w:tc>
          <w:tcPr>
            <w:tcW w:w="1634" w:type="dxa"/>
          </w:tcPr>
          <w:p w14:paraId="564035C2" w14:textId="69585ABE" w:rsidR="00761320" w:rsidRPr="008908DC" w:rsidRDefault="00761320" w:rsidP="00761320">
            <w:pPr>
              <w:jc w:val="right"/>
            </w:pPr>
            <w:r w:rsidRPr="008908DC">
              <w:t>0,4%</w:t>
            </w:r>
          </w:p>
        </w:tc>
        <w:tc>
          <w:tcPr>
            <w:tcW w:w="1869" w:type="dxa"/>
          </w:tcPr>
          <w:p w14:paraId="785B32A2" w14:textId="71C4233E" w:rsidR="00761320" w:rsidRPr="008908DC" w:rsidRDefault="00761320" w:rsidP="00761320">
            <w:pPr>
              <w:jc w:val="right"/>
            </w:pPr>
            <w:r w:rsidRPr="008908DC">
              <w:t>0,9%</w:t>
            </w:r>
          </w:p>
        </w:tc>
        <w:tc>
          <w:tcPr>
            <w:tcW w:w="1703" w:type="dxa"/>
          </w:tcPr>
          <w:p w14:paraId="5DB264EA" w14:textId="72808E7F" w:rsidR="00761320" w:rsidRPr="008908DC" w:rsidRDefault="00761320" w:rsidP="00761320">
            <w:pPr>
              <w:jc w:val="right"/>
            </w:pPr>
            <w:r w:rsidRPr="008908DC">
              <w:t>1,2%</w:t>
            </w:r>
          </w:p>
        </w:tc>
      </w:tr>
      <w:tr w:rsidR="00761320" w14:paraId="5DEC685E" w14:textId="77777777" w:rsidTr="007C7D4B">
        <w:tc>
          <w:tcPr>
            <w:tcW w:w="2275" w:type="dxa"/>
          </w:tcPr>
          <w:p w14:paraId="7B4C8472" w14:textId="3CB2672F" w:rsidR="00761320" w:rsidRPr="008908DC" w:rsidRDefault="00761320" w:rsidP="008908DC">
            <w:r w:rsidRPr="008908DC">
              <w:t>Membres de minorités visibles</w:t>
            </w:r>
            <w:r w:rsidR="008908DC" w:rsidRPr="008908DC">
              <w:t> </w:t>
            </w:r>
            <w:r w:rsidRPr="008908DC">
              <w:t>: postulants</w:t>
            </w:r>
          </w:p>
        </w:tc>
        <w:tc>
          <w:tcPr>
            <w:tcW w:w="1869" w:type="dxa"/>
          </w:tcPr>
          <w:p w14:paraId="418209EB" w14:textId="28AB42DB" w:rsidR="00761320" w:rsidRPr="008908DC" w:rsidRDefault="00761320" w:rsidP="00761320">
            <w:pPr>
              <w:jc w:val="right"/>
            </w:pPr>
            <w:r w:rsidRPr="008908DC">
              <w:t>36,5%</w:t>
            </w:r>
          </w:p>
        </w:tc>
        <w:tc>
          <w:tcPr>
            <w:tcW w:w="1634" w:type="dxa"/>
          </w:tcPr>
          <w:p w14:paraId="34C343A1" w14:textId="216FDC21" w:rsidR="00761320" w:rsidRPr="008908DC" w:rsidRDefault="00761320" w:rsidP="00761320">
            <w:pPr>
              <w:jc w:val="right"/>
            </w:pPr>
            <w:r w:rsidRPr="008908DC">
              <w:t>37,5%</w:t>
            </w:r>
          </w:p>
        </w:tc>
        <w:tc>
          <w:tcPr>
            <w:tcW w:w="1869" w:type="dxa"/>
          </w:tcPr>
          <w:p w14:paraId="4206475D" w14:textId="7F1D5909" w:rsidR="00761320" w:rsidRPr="008908DC" w:rsidRDefault="00761320" w:rsidP="00761320">
            <w:pPr>
              <w:jc w:val="right"/>
            </w:pPr>
            <w:r w:rsidRPr="008908DC">
              <w:t>37,7%</w:t>
            </w:r>
          </w:p>
        </w:tc>
        <w:tc>
          <w:tcPr>
            <w:tcW w:w="1703" w:type="dxa"/>
          </w:tcPr>
          <w:p w14:paraId="05EC8664" w14:textId="4E795B6D" w:rsidR="00761320" w:rsidRPr="008908DC" w:rsidRDefault="00761320" w:rsidP="00761320">
            <w:pPr>
              <w:jc w:val="right"/>
            </w:pPr>
            <w:r w:rsidRPr="008908DC">
              <w:t>35,1%</w:t>
            </w:r>
          </w:p>
        </w:tc>
      </w:tr>
      <w:tr w:rsidR="00761320" w14:paraId="12936738" w14:textId="77777777" w:rsidTr="007C7D4B">
        <w:tc>
          <w:tcPr>
            <w:tcW w:w="2275" w:type="dxa"/>
          </w:tcPr>
          <w:p w14:paraId="516CC746" w14:textId="19106632" w:rsidR="00761320" w:rsidRPr="008908DC" w:rsidRDefault="008908DC" w:rsidP="00761320">
            <w:r w:rsidRPr="008908DC">
              <w:t>Membres de minorités visibles </w:t>
            </w:r>
            <w:r w:rsidR="00761320" w:rsidRPr="008908DC">
              <w:t>: embauches</w:t>
            </w:r>
          </w:p>
        </w:tc>
        <w:tc>
          <w:tcPr>
            <w:tcW w:w="1869" w:type="dxa"/>
          </w:tcPr>
          <w:p w14:paraId="55259C33" w14:textId="397B0887" w:rsidR="00761320" w:rsidRPr="008908DC" w:rsidRDefault="00761320" w:rsidP="00761320">
            <w:pPr>
              <w:jc w:val="right"/>
            </w:pPr>
            <w:r w:rsidRPr="008908DC">
              <w:t>44,7%</w:t>
            </w:r>
          </w:p>
        </w:tc>
        <w:tc>
          <w:tcPr>
            <w:tcW w:w="1634" w:type="dxa"/>
          </w:tcPr>
          <w:p w14:paraId="1EE62D37" w14:textId="79815605" w:rsidR="00761320" w:rsidRPr="008908DC" w:rsidRDefault="00761320" w:rsidP="00761320">
            <w:pPr>
              <w:jc w:val="right"/>
            </w:pPr>
            <w:r w:rsidRPr="008908DC">
              <w:t>46,2%</w:t>
            </w:r>
          </w:p>
        </w:tc>
        <w:tc>
          <w:tcPr>
            <w:tcW w:w="1869" w:type="dxa"/>
          </w:tcPr>
          <w:p w14:paraId="7F6164E7" w14:textId="152824E6" w:rsidR="00761320" w:rsidRPr="008908DC" w:rsidRDefault="00761320" w:rsidP="00761320">
            <w:pPr>
              <w:jc w:val="right"/>
            </w:pPr>
            <w:r w:rsidRPr="008908DC">
              <w:t>41,8%</w:t>
            </w:r>
          </w:p>
        </w:tc>
        <w:tc>
          <w:tcPr>
            <w:tcW w:w="1703" w:type="dxa"/>
          </w:tcPr>
          <w:p w14:paraId="5668EE86" w14:textId="22A7ECD7" w:rsidR="00761320" w:rsidRPr="008908DC" w:rsidRDefault="00761320" w:rsidP="00761320">
            <w:pPr>
              <w:jc w:val="right"/>
            </w:pPr>
            <w:r w:rsidRPr="008908DC">
              <w:t>47,5%</w:t>
            </w:r>
          </w:p>
        </w:tc>
      </w:tr>
      <w:tr w:rsidR="00761320" w14:paraId="41E7EECB" w14:textId="77777777" w:rsidTr="007C7D4B">
        <w:trPr>
          <w:trHeight w:val="572"/>
        </w:trPr>
        <w:tc>
          <w:tcPr>
            <w:tcW w:w="2275" w:type="dxa"/>
          </w:tcPr>
          <w:p w14:paraId="3BEB8F55" w14:textId="1B2744FB" w:rsidR="00761320" w:rsidRPr="008908DC" w:rsidRDefault="008908DC" w:rsidP="00761320">
            <w:r w:rsidRPr="008908DC">
              <w:t>Femmes </w:t>
            </w:r>
            <w:r w:rsidR="00761320" w:rsidRPr="008908DC">
              <w:t>: postulants</w:t>
            </w:r>
          </w:p>
        </w:tc>
        <w:tc>
          <w:tcPr>
            <w:tcW w:w="1869" w:type="dxa"/>
          </w:tcPr>
          <w:p w14:paraId="56E68E5D" w14:textId="77777777" w:rsidR="00761320" w:rsidRPr="008908DC" w:rsidRDefault="00761320" w:rsidP="00761320">
            <w:pPr>
              <w:jc w:val="right"/>
            </w:pPr>
          </w:p>
        </w:tc>
        <w:tc>
          <w:tcPr>
            <w:tcW w:w="1634" w:type="dxa"/>
          </w:tcPr>
          <w:p w14:paraId="65F0617F" w14:textId="4FDEB7BC" w:rsidR="00761320" w:rsidRPr="008908DC" w:rsidRDefault="00761320" w:rsidP="00761320">
            <w:pPr>
              <w:jc w:val="right"/>
            </w:pPr>
            <w:r w:rsidRPr="008908DC">
              <w:t>43,4%</w:t>
            </w:r>
          </w:p>
        </w:tc>
        <w:tc>
          <w:tcPr>
            <w:tcW w:w="1869" w:type="dxa"/>
          </w:tcPr>
          <w:p w14:paraId="51D92B90" w14:textId="56A90C9E" w:rsidR="00761320" w:rsidRPr="008908DC" w:rsidRDefault="00761320" w:rsidP="00761320">
            <w:pPr>
              <w:jc w:val="right"/>
            </w:pPr>
            <w:r w:rsidRPr="008908DC">
              <w:t>42,3%</w:t>
            </w:r>
          </w:p>
        </w:tc>
        <w:tc>
          <w:tcPr>
            <w:tcW w:w="1703" w:type="dxa"/>
          </w:tcPr>
          <w:p w14:paraId="136918C5" w14:textId="76A50AE7" w:rsidR="00761320" w:rsidRPr="008908DC" w:rsidRDefault="00761320" w:rsidP="00761320">
            <w:pPr>
              <w:jc w:val="right"/>
            </w:pPr>
            <w:r w:rsidRPr="008908DC">
              <w:t>44,1%</w:t>
            </w:r>
          </w:p>
        </w:tc>
      </w:tr>
      <w:tr w:rsidR="00761320" w14:paraId="132DB7C8" w14:textId="77777777" w:rsidTr="007C7D4B">
        <w:trPr>
          <w:trHeight w:val="552"/>
        </w:trPr>
        <w:tc>
          <w:tcPr>
            <w:tcW w:w="2275" w:type="dxa"/>
          </w:tcPr>
          <w:p w14:paraId="79C0C88B" w14:textId="5CD05558" w:rsidR="00761320" w:rsidRPr="008908DC" w:rsidRDefault="008908DC" w:rsidP="00761320">
            <w:r w:rsidRPr="008908DC">
              <w:t>Femmes </w:t>
            </w:r>
            <w:r w:rsidR="00761320" w:rsidRPr="008908DC">
              <w:t>: embauches</w:t>
            </w:r>
          </w:p>
        </w:tc>
        <w:tc>
          <w:tcPr>
            <w:tcW w:w="1869" w:type="dxa"/>
          </w:tcPr>
          <w:p w14:paraId="73DA84CA" w14:textId="2A08C2D1" w:rsidR="00761320" w:rsidRPr="008908DC" w:rsidRDefault="00761320" w:rsidP="00761320">
            <w:pPr>
              <w:jc w:val="right"/>
            </w:pPr>
            <w:r w:rsidRPr="008908DC">
              <w:t>50,3%</w:t>
            </w:r>
          </w:p>
        </w:tc>
        <w:tc>
          <w:tcPr>
            <w:tcW w:w="1634" w:type="dxa"/>
          </w:tcPr>
          <w:p w14:paraId="212522CF" w14:textId="3E562604" w:rsidR="00761320" w:rsidRPr="008908DC" w:rsidRDefault="00761320" w:rsidP="00761320">
            <w:pPr>
              <w:jc w:val="right"/>
            </w:pPr>
            <w:r w:rsidRPr="008908DC">
              <w:t>46,7%</w:t>
            </w:r>
          </w:p>
        </w:tc>
        <w:tc>
          <w:tcPr>
            <w:tcW w:w="1869" w:type="dxa"/>
          </w:tcPr>
          <w:p w14:paraId="28B5288E" w14:textId="507191F0" w:rsidR="00761320" w:rsidRPr="008908DC" w:rsidRDefault="00761320" w:rsidP="00761320">
            <w:pPr>
              <w:jc w:val="right"/>
            </w:pPr>
            <w:r w:rsidRPr="008908DC">
              <w:t>47,7%</w:t>
            </w:r>
          </w:p>
        </w:tc>
        <w:tc>
          <w:tcPr>
            <w:tcW w:w="1703" w:type="dxa"/>
          </w:tcPr>
          <w:p w14:paraId="48E1A2C2" w14:textId="6E4EFE73" w:rsidR="00761320" w:rsidRPr="008908DC" w:rsidRDefault="00761320" w:rsidP="00761320">
            <w:pPr>
              <w:jc w:val="right"/>
            </w:pPr>
            <w:r w:rsidRPr="008908DC">
              <w:t>51,7%</w:t>
            </w:r>
          </w:p>
        </w:tc>
      </w:tr>
    </w:tbl>
    <w:p w14:paraId="558D9373" w14:textId="77777777" w:rsidR="008908DC" w:rsidRDefault="008908DC">
      <w:pPr>
        <w:keepLines w:val="0"/>
        <w:rPr>
          <w:sz w:val="20"/>
        </w:rPr>
      </w:pPr>
      <w:r>
        <w:rPr>
          <w:sz w:val="20"/>
        </w:rPr>
        <w:br w:type="page"/>
      </w:r>
    </w:p>
    <w:p w14:paraId="21179CA2" w14:textId="77777777" w:rsidR="00F200C8" w:rsidRDefault="00312992" w:rsidP="00F200C8">
      <w:pPr>
        <w:keepNext/>
      </w:pPr>
      <w:r w:rsidRPr="008D3C65">
        <w:rPr>
          <w:noProof/>
          <w:lang w:val="en-CA" w:eastAsia="en-CA"/>
        </w:rPr>
        <w:lastRenderedPageBreak/>
        <w:drawing>
          <wp:inline distT="0" distB="0" distL="0" distR="0" wp14:anchorId="3EE90D90" wp14:editId="0CFAE965">
            <wp:extent cx="5559425" cy="6886575"/>
            <wp:effectExtent l="0" t="0" r="3175" b="9525"/>
            <wp:docPr id="1" name="Picture 1" descr="Des graphiques linéaires. Chaque graphique démontre la représentation des postulants et des embauches des groups d'équité en matière d'emploi entre 2015-2016 et 2018-2019 pour les citoyens canadiens, les résidents permanents et les autres non-citoyens. La disponibilité au sein de la population active pour les membres de minorités visibles apparait dans chaque graphique." title="Représentation sur le plan de l'équité en matière d'emploi selon le statut de citoyenne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_citizen_non_citizen_pr_by_e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526" cy="68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53DF" w14:textId="21ADA0AF" w:rsidR="00D64340" w:rsidRPr="00F200C8" w:rsidRDefault="00F200C8" w:rsidP="00851BAF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 : </w:t>
      </w:r>
      <w:r w:rsidRPr="00D60889">
        <w:t>Représentation sur le plan de l’équité en matière d’emploi selon le statut de citoyenneté</w:t>
      </w:r>
      <w:r w:rsidR="00D64340" w:rsidRPr="00F200C8">
        <w:br w:type="page"/>
      </w:r>
    </w:p>
    <w:p w14:paraId="25820A2C" w14:textId="557BC4D3" w:rsidR="00F200C8" w:rsidRDefault="00F200C8" w:rsidP="00F200C8">
      <w:pPr>
        <w:pStyle w:val="Caption"/>
        <w:keepNext/>
        <w:jc w:val="center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 : </w:t>
      </w:r>
      <w:r w:rsidRPr="00362330">
        <w:t>Représentation sur le plan de l’équité en matière d’emploi selon le statut de citoyenneté — citoyens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sur le plan de l’équité en matière d’emploi selon le statut de citoyenneté — citoyens"/>
        <w:tblDescription w:val="Une table qui démontre la représentation des citoyens dans les groupes d'équité en matière d'emploi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494143" w14:paraId="0EA075AA" w14:textId="77777777" w:rsidTr="007C7D4B">
        <w:trPr>
          <w:tblHeader/>
        </w:trPr>
        <w:tc>
          <w:tcPr>
            <w:tcW w:w="2275" w:type="dxa"/>
          </w:tcPr>
          <w:p w14:paraId="45B6D20D" w14:textId="223CC2F8" w:rsidR="00494143" w:rsidRPr="008908DC" w:rsidRDefault="00494143" w:rsidP="00494143">
            <w:pPr>
              <w:jc w:val="center"/>
            </w:pPr>
            <w:r w:rsidRPr="008908DC">
              <w:t>Groupe</w:t>
            </w:r>
          </w:p>
        </w:tc>
        <w:tc>
          <w:tcPr>
            <w:tcW w:w="1869" w:type="dxa"/>
          </w:tcPr>
          <w:p w14:paraId="11A51AE9" w14:textId="77777777" w:rsidR="00494143" w:rsidRPr="008908DC" w:rsidRDefault="00494143" w:rsidP="00494143">
            <w:pPr>
              <w:jc w:val="center"/>
            </w:pPr>
            <w:r w:rsidRPr="008908DC">
              <w:t>2015-2016</w:t>
            </w:r>
          </w:p>
        </w:tc>
        <w:tc>
          <w:tcPr>
            <w:tcW w:w="1634" w:type="dxa"/>
          </w:tcPr>
          <w:p w14:paraId="06061C7D" w14:textId="77777777" w:rsidR="00494143" w:rsidRPr="008908DC" w:rsidRDefault="00494143" w:rsidP="00494143">
            <w:pPr>
              <w:jc w:val="center"/>
            </w:pPr>
            <w:r w:rsidRPr="008908DC">
              <w:t>2016-2017</w:t>
            </w:r>
          </w:p>
        </w:tc>
        <w:tc>
          <w:tcPr>
            <w:tcW w:w="1869" w:type="dxa"/>
          </w:tcPr>
          <w:p w14:paraId="337F9199" w14:textId="77777777" w:rsidR="00494143" w:rsidRPr="008908DC" w:rsidRDefault="00494143" w:rsidP="00494143">
            <w:pPr>
              <w:jc w:val="center"/>
            </w:pPr>
            <w:r w:rsidRPr="008908DC">
              <w:t>2017-2018</w:t>
            </w:r>
          </w:p>
        </w:tc>
        <w:tc>
          <w:tcPr>
            <w:tcW w:w="1703" w:type="dxa"/>
          </w:tcPr>
          <w:p w14:paraId="4001582C" w14:textId="77777777" w:rsidR="00494143" w:rsidRPr="008908DC" w:rsidRDefault="00494143" w:rsidP="00494143">
            <w:pPr>
              <w:jc w:val="center"/>
            </w:pPr>
            <w:r w:rsidRPr="008908DC">
              <w:t>2018-2019</w:t>
            </w:r>
          </w:p>
        </w:tc>
      </w:tr>
      <w:tr w:rsidR="00494143" w14:paraId="04E66642" w14:textId="77777777" w:rsidTr="007C7D4B">
        <w:tc>
          <w:tcPr>
            <w:tcW w:w="2275" w:type="dxa"/>
          </w:tcPr>
          <w:p w14:paraId="3CCEC0E4" w14:textId="57F7A6A8" w:rsidR="00494143" w:rsidRPr="008908DC" w:rsidRDefault="008908DC" w:rsidP="00494143">
            <w:r>
              <w:t>Peuples autochtones </w:t>
            </w:r>
            <w:r w:rsidR="00494143" w:rsidRPr="008908DC">
              <w:t>: postulants</w:t>
            </w:r>
          </w:p>
        </w:tc>
        <w:tc>
          <w:tcPr>
            <w:tcW w:w="1869" w:type="dxa"/>
          </w:tcPr>
          <w:p w14:paraId="62CAC544" w14:textId="04A2E5CA" w:rsidR="00494143" w:rsidRPr="008908DC" w:rsidRDefault="00494143" w:rsidP="00494143">
            <w:pPr>
              <w:jc w:val="right"/>
            </w:pPr>
            <w:r w:rsidRPr="008908DC">
              <w:t>3,7%</w:t>
            </w:r>
          </w:p>
        </w:tc>
        <w:tc>
          <w:tcPr>
            <w:tcW w:w="1634" w:type="dxa"/>
          </w:tcPr>
          <w:p w14:paraId="17FEA4C3" w14:textId="15FE6567" w:rsidR="00494143" w:rsidRPr="008908DC" w:rsidRDefault="00494143" w:rsidP="00494143">
            <w:pPr>
              <w:jc w:val="right"/>
            </w:pPr>
            <w:r w:rsidRPr="008908DC">
              <w:t>3,6%</w:t>
            </w:r>
          </w:p>
        </w:tc>
        <w:tc>
          <w:tcPr>
            <w:tcW w:w="1869" w:type="dxa"/>
          </w:tcPr>
          <w:p w14:paraId="1F038543" w14:textId="61360687" w:rsidR="00494143" w:rsidRPr="008908DC" w:rsidRDefault="00494143" w:rsidP="00494143">
            <w:pPr>
              <w:jc w:val="right"/>
            </w:pPr>
            <w:r w:rsidRPr="008908DC">
              <w:t>3,6%</w:t>
            </w:r>
          </w:p>
        </w:tc>
        <w:tc>
          <w:tcPr>
            <w:tcW w:w="1703" w:type="dxa"/>
          </w:tcPr>
          <w:p w14:paraId="651C2C8F" w14:textId="700A71FB" w:rsidR="00494143" w:rsidRPr="008908DC" w:rsidRDefault="00494143" w:rsidP="00494143">
            <w:pPr>
              <w:jc w:val="right"/>
            </w:pPr>
            <w:r w:rsidRPr="008908DC">
              <w:t>3,4%</w:t>
            </w:r>
          </w:p>
        </w:tc>
      </w:tr>
      <w:tr w:rsidR="00494143" w14:paraId="169F0E2D" w14:textId="77777777" w:rsidTr="007C7D4B">
        <w:tc>
          <w:tcPr>
            <w:tcW w:w="2275" w:type="dxa"/>
          </w:tcPr>
          <w:p w14:paraId="15EDB291" w14:textId="21D77454" w:rsidR="00494143" w:rsidRPr="008908DC" w:rsidRDefault="008908DC" w:rsidP="00494143">
            <w:r>
              <w:t>Peuples autochtones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5AE82E2E" w14:textId="176309D8" w:rsidR="00494143" w:rsidRPr="008908DC" w:rsidRDefault="00494143" w:rsidP="00494143">
            <w:pPr>
              <w:jc w:val="right"/>
            </w:pPr>
            <w:r w:rsidRPr="008908DC">
              <w:t>4,1%</w:t>
            </w:r>
          </w:p>
        </w:tc>
        <w:tc>
          <w:tcPr>
            <w:tcW w:w="1634" w:type="dxa"/>
          </w:tcPr>
          <w:p w14:paraId="18407BD2" w14:textId="0E09D461" w:rsidR="00494143" w:rsidRPr="008908DC" w:rsidRDefault="00494143" w:rsidP="00494143">
            <w:pPr>
              <w:jc w:val="right"/>
            </w:pPr>
            <w:r w:rsidRPr="008908DC">
              <w:t>4,6%</w:t>
            </w:r>
          </w:p>
        </w:tc>
        <w:tc>
          <w:tcPr>
            <w:tcW w:w="1869" w:type="dxa"/>
          </w:tcPr>
          <w:p w14:paraId="7CDAEA59" w14:textId="7A5D2150" w:rsidR="00494143" w:rsidRPr="008908DC" w:rsidRDefault="00494143" w:rsidP="00494143">
            <w:pPr>
              <w:jc w:val="right"/>
            </w:pPr>
            <w:r w:rsidRPr="008908DC">
              <w:t>4,1%</w:t>
            </w:r>
          </w:p>
        </w:tc>
        <w:tc>
          <w:tcPr>
            <w:tcW w:w="1703" w:type="dxa"/>
          </w:tcPr>
          <w:p w14:paraId="755D47F9" w14:textId="1BA52A42" w:rsidR="00494143" w:rsidRPr="008908DC" w:rsidRDefault="00494143" w:rsidP="00494143">
            <w:pPr>
              <w:jc w:val="right"/>
            </w:pPr>
            <w:r w:rsidRPr="008908DC">
              <w:t>4,3%</w:t>
            </w:r>
          </w:p>
        </w:tc>
      </w:tr>
      <w:tr w:rsidR="00494143" w14:paraId="65513D26" w14:textId="77777777" w:rsidTr="007C7D4B">
        <w:tc>
          <w:tcPr>
            <w:tcW w:w="2275" w:type="dxa"/>
          </w:tcPr>
          <w:p w14:paraId="6EEF8B6B" w14:textId="6CAE6F53" w:rsidR="00494143" w:rsidRPr="008908DC" w:rsidRDefault="00494143" w:rsidP="006163E8">
            <w:r w:rsidRPr="008908DC">
              <w:t xml:space="preserve">Personnes en </w:t>
            </w:r>
            <w:r w:rsidR="008908DC">
              <w:t>situation de handicap </w:t>
            </w:r>
            <w:r w:rsidRPr="008908DC">
              <w:t xml:space="preserve">: </w:t>
            </w:r>
            <w:r w:rsidR="006163E8">
              <w:t>postulants</w:t>
            </w:r>
          </w:p>
        </w:tc>
        <w:tc>
          <w:tcPr>
            <w:tcW w:w="1869" w:type="dxa"/>
          </w:tcPr>
          <w:p w14:paraId="76C4751D" w14:textId="1BB286E1" w:rsidR="00494143" w:rsidRPr="008908DC" w:rsidRDefault="00494143" w:rsidP="00494143">
            <w:pPr>
              <w:jc w:val="right"/>
            </w:pPr>
            <w:r w:rsidRPr="008908DC">
              <w:t>2,8%</w:t>
            </w:r>
          </w:p>
        </w:tc>
        <w:tc>
          <w:tcPr>
            <w:tcW w:w="1634" w:type="dxa"/>
          </w:tcPr>
          <w:p w14:paraId="69CDD371" w14:textId="7ED59087" w:rsidR="00494143" w:rsidRPr="008908DC" w:rsidRDefault="00494143" w:rsidP="00494143">
            <w:pPr>
              <w:jc w:val="right"/>
            </w:pPr>
            <w:r w:rsidRPr="008908DC">
              <w:t>2,9%</w:t>
            </w:r>
          </w:p>
        </w:tc>
        <w:tc>
          <w:tcPr>
            <w:tcW w:w="1869" w:type="dxa"/>
          </w:tcPr>
          <w:p w14:paraId="18358446" w14:textId="0AEE5858" w:rsidR="00494143" w:rsidRPr="008908DC" w:rsidRDefault="00494143" w:rsidP="00494143">
            <w:pPr>
              <w:jc w:val="right"/>
            </w:pPr>
            <w:r w:rsidRPr="008908DC">
              <w:t>3,1%</w:t>
            </w:r>
          </w:p>
        </w:tc>
        <w:tc>
          <w:tcPr>
            <w:tcW w:w="1703" w:type="dxa"/>
          </w:tcPr>
          <w:p w14:paraId="58202C52" w14:textId="7B2D12AF" w:rsidR="00494143" w:rsidRPr="008908DC" w:rsidRDefault="00494143" w:rsidP="00494143">
            <w:pPr>
              <w:jc w:val="right"/>
            </w:pPr>
            <w:r w:rsidRPr="008908DC">
              <w:t>3,0%</w:t>
            </w:r>
          </w:p>
        </w:tc>
      </w:tr>
      <w:tr w:rsidR="00494143" w14:paraId="589B6FAF" w14:textId="77777777" w:rsidTr="007C7D4B">
        <w:tc>
          <w:tcPr>
            <w:tcW w:w="2275" w:type="dxa"/>
          </w:tcPr>
          <w:p w14:paraId="78A3C234" w14:textId="5897C958" w:rsidR="00494143" w:rsidRPr="008908DC" w:rsidRDefault="00494143" w:rsidP="00494143">
            <w:r w:rsidRPr="008908DC">
              <w:t>Per</w:t>
            </w:r>
            <w:r w:rsidR="008908DC">
              <w:t>sonnes en situation de handicap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3D5E3835" w14:textId="12179FA4" w:rsidR="00494143" w:rsidRPr="008908DC" w:rsidRDefault="00494143" w:rsidP="00494143">
            <w:pPr>
              <w:jc w:val="right"/>
            </w:pPr>
            <w:r w:rsidRPr="008908DC">
              <w:t>3,3%</w:t>
            </w:r>
          </w:p>
        </w:tc>
        <w:tc>
          <w:tcPr>
            <w:tcW w:w="1634" w:type="dxa"/>
          </w:tcPr>
          <w:p w14:paraId="629F11B5" w14:textId="021FD07B" w:rsidR="00494143" w:rsidRPr="008908DC" w:rsidRDefault="00494143" w:rsidP="00494143">
            <w:pPr>
              <w:jc w:val="right"/>
            </w:pPr>
            <w:r w:rsidRPr="008908DC">
              <w:t>4,0%</w:t>
            </w:r>
          </w:p>
        </w:tc>
        <w:tc>
          <w:tcPr>
            <w:tcW w:w="1869" w:type="dxa"/>
          </w:tcPr>
          <w:p w14:paraId="0B773F66" w14:textId="3B30CF30" w:rsidR="00494143" w:rsidRPr="008908DC" w:rsidRDefault="00494143" w:rsidP="00494143">
            <w:pPr>
              <w:jc w:val="right"/>
            </w:pPr>
            <w:r w:rsidRPr="008908DC">
              <w:t>3,7%</w:t>
            </w:r>
          </w:p>
        </w:tc>
        <w:tc>
          <w:tcPr>
            <w:tcW w:w="1703" w:type="dxa"/>
          </w:tcPr>
          <w:p w14:paraId="2652FC07" w14:textId="7F889693" w:rsidR="00494143" w:rsidRPr="008908DC" w:rsidRDefault="00494143" w:rsidP="00494143">
            <w:pPr>
              <w:jc w:val="right"/>
            </w:pPr>
            <w:r w:rsidRPr="008908DC">
              <w:t>3,8%</w:t>
            </w:r>
          </w:p>
        </w:tc>
      </w:tr>
      <w:tr w:rsidR="00494143" w14:paraId="55EFCE41" w14:textId="77777777" w:rsidTr="007C7D4B">
        <w:tc>
          <w:tcPr>
            <w:tcW w:w="2275" w:type="dxa"/>
          </w:tcPr>
          <w:p w14:paraId="5E186FED" w14:textId="52CB30DB" w:rsidR="00494143" w:rsidRPr="008908DC" w:rsidRDefault="008908DC" w:rsidP="00494143">
            <w:r>
              <w:t>Membres de minorités visibles </w:t>
            </w:r>
            <w:r w:rsidR="00494143" w:rsidRPr="008908DC">
              <w:t>: postulants</w:t>
            </w:r>
          </w:p>
        </w:tc>
        <w:tc>
          <w:tcPr>
            <w:tcW w:w="1869" w:type="dxa"/>
          </w:tcPr>
          <w:p w14:paraId="6A8AD1C1" w14:textId="16B4249C" w:rsidR="00494143" w:rsidRPr="008908DC" w:rsidRDefault="00494143" w:rsidP="00494143">
            <w:pPr>
              <w:jc w:val="right"/>
            </w:pPr>
            <w:r w:rsidRPr="008908DC">
              <w:t>19,8%</w:t>
            </w:r>
          </w:p>
        </w:tc>
        <w:tc>
          <w:tcPr>
            <w:tcW w:w="1634" w:type="dxa"/>
          </w:tcPr>
          <w:p w14:paraId="6A9DC036" w14:textId="03FB56FF" w:rsidR="00494143" w:rsidRPr="008908DC" w:rsidRDefault="00494143" w:rsidP="00494143">
            <w:pPr>
              <w:jc w:val="right"/>
            </w:pPr>
            <w:r w:rsidRPr="008908DC">
              <w:t>19,2%</w:t>
            </w:r>
          </w:p>
        </w:tc>
        <w:tc>
          <w:tcPr>
            <w:tcW w:w="1869" w:type="dxa"/>
          </w:tcPr>
          <w:p w14:paraId="40E3D56C" w14:textId="31754F5C" w:rsidR="00494143" w:rsidRPr="008908DC" w:rsidRDefault="00494143" w:rsidP="00494143">
            <w:pPr>
              <w:jc w:val="right"/>
            </w:pPr>
            <w:r w:rsidRPr="008908DC">
              <w:t>20,0%</w:t>
            </w:r>
          </w:p>
        </w:tc>
        <w:tc>
          <w:tcPr>
            <w:tcW w:w="1703" w:type="dxa"/>
          </w:tcPr>
          <w:p w14:paraId="7F7F6919" w14:textId="7AECBD95" w:rsidR="00494143" w:rsidRPr="008908DC" w:rsidRDefault="00494143" w:rsidP="00494143">
            <w:pPr>
              <w:jc w:val="right"/>
            </w:pPr>
            <w:r w:rsidRPr="008908DC">
              <w:t>20,1%</w:t>
            </w:r>
          </w:p>
        </w:tc>
      </w:tr>
      <w:tr w:rsidR="00494143" w14:paraId="2E3A38DF" w14:textId="77777777" w:rsidTr="007C7D4B">
        <w:tc>
          <w:tcPr>
            <w:tcW w:w="2275" w:type="dxa"/>
          </w:tcPr>
          <w:p w14:paraId="6BC87C49" w14:textId="11395305" w:rsidR="00494143" w:rsidRPr="008908DC" w:rsidRDefault="008908DC" w:rsidP="00494143">
            <w:r>
              <w:t>Membres de minorités visibles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0554F336" w14:textId="31DE58DE" w:rsidR="00494143" w:rsidRPr="008908DC" w:rsidRDefault="00494143" w:rsidP="00494143">
            <w:pPr>
              <w:jc w:val="right"/>
            </w:pPr>
            <w:r w:rsidRPr="008908DC">
              <w:t>18,7%</w:t>
            </w:r>
          </w:p>
        </w:tc>
        <w:tc>
          <w:tcPr>
            <w:tcW w:w="1634" w:type="dxa"/>
          </w:tcPr>
          <w:p w14:paraId="2703074E" w14:textId="4CF4964B" w:rsidR="00494143" w:rsidRPr="008908DC" w:rsidRDefault="00494143" w:rsidP="00494143">
            <w:pPr>
              <w:jc w:val="right"/>
            </w:pPr>
            <w:r w:rsidRPr="008908DC">
              <w:t>19,0%</w:t>
            </w:r>
          </w:p>
        </w:tc>
        <w:tc>
          <w:tcPr>
            <w:tcW w:w="1869" w:type="dxa"/>
          </w:tcPr>
          <w:p w14:paraId="3A3C0704" w14:textId="31A568AB" w:rsidR="00494143" w:rsidRPr="008908DC" w:rsidRDefault="00494143" w:rsidP="00494143">
            <w:pPr>
              <w:jc w:val="right"/>
            </w:pPr>
            <w:r w:rsidRPr="008908DC">
              <w:t>18,3%</w:t>
            </w:r>
          </w:p>
        </w:tc>
        <w:tc>
          <w:tcPr>
            <w:tcW w:w="1703" w:type="dxa"/>
          </w:tcPr>
          <w:p w14:paraId="2BE5E977" w14:textId="0AF3FF90" w:rsidR="00494143" w:rsidRPr="008908DC" w:rsidRDefault="00494143" w:rsidP="00494143">
            <w:pPr>
              <w:jc w:val="right"/>
            </w:pPr>
            <w:r w:rsidRPr="008908DC">
              <w:t>20,0%</w:t>
            </w:r>
          </w:p>
        </w:tc>
      </w:tr>
      <w:tr w:rsidR="00494143" w14:paraId="12C165F0" w14:textId="77777777" w:rsidTr="00F200C8">
        <w:trPr>
          <w:trHeight w:val="572"/>
        </w:trPr>
        <w:tc>
          <w:tcPr>
            <w:tcW w:w="2275" w:type="dxa"/>
          </w:tcPr>
          <w:p w14:paraId="0AA49729" w14:textId="45B73D5B" w:rsidR="00494143" w:rsidRPr="008908DC" w:rsidRDefault="008908DC" w:rsidP="00494143">
            <w:r>
              <w:t>Femmes </w:t>
            </w:r>
            <w:r w:rsidR="00494143" w:rsidRPr="008908DC">
              <w:t>: postulants</w:t>
            </w:r>
          </w:p>
        </w:tc>
        <w:tc>
          <w:tcPr>
            <w:tcW w:w="1869" w:type="dxa"/>
          </w:tcPr>
          <w:p w14:paraId="6747B2B2" w14:textId="77777777" w:rsidR="00494143" w:rsidRPr="008908DC" w:rsidRDefault="00494143" w:rsidP="00494143">
            <w:pPr>
              <w:jc w:val="right"/>
            </w:pPr>
          </w:p>
        </w:tc>
        <w:tc>
          <w:tcPr>
            <w:tcW w:w="1634" w:type="dxa"/>
          </w:tcPr>
          <w:p w14:paraId="449F3659" w14:textId="4DCC1485" w:rsidR="00494143" w:rsidRPr="008908DC" w:rsidRDefault="00494143" w:rsidP="00494143">
            <w:pPr>
              <w:jc w:val="right"/>
            </w:pPr>
            <w:r w:rsidRPr="008908DC">
              <w:t>55,6%</w:t>
            </w:r>
          </w:p>
        </w:tc>
        <w:tc>
          <w:tcPr>
            <w:tcW w:w="1869" w:type="dxa"/>
          </w:tcPr>
          <w:p w14:paraId="2AF4CC73" w14:textId="460A6121" w:rsidR="00494143" w:rsidRPr="008908DC" w:rsidRDefault="00494143" w:rsidP="00494143">
            <w:pPr>
              <w:jc w:val="right"/>
            </w:pPr>
            <w:r w:rsidRPr="008908DC">
              <w:t>55,4%</w:t>
            </w:r>
          </w:p>
        </w:tc>
        <w:tc>
          <w:tcPr>
            <w:tcW w:w="1703" w:type="dxa"/>
          </w:tcPr>
          <w:p w14:paraId="0C5422A2" w14:textId="3E10E412" w:rsidR="00494143" w:rsidRPr="008908DC" w:rsidRDefault="00494143" w:rsidP="00494143">
            <w:pPr>
              <w:jc w:val="right"/>
            </w:pPr>
            <w:r w:rsidRPr="008908DC">
              <w:t>57,0%</w:t>
            </w:r>
          </w:p>
        </w:tc>
      </w:tr>
      <w:tr w:rsidR="00494143" w14:paraId="50E8E8BF" w14:textId="77777777" w:rsidTr="00F200C8">
        <w:trPr>
          <w:trHeight w:val="552"/>
        </w:trPr>
        <w:tc>
          <w:tcPr>
            <w:tcW w:w="2275" w:type="dxa"/>
          </w:tcPr>
          <w:p w14:paraId="20706DCC" w14:textId="46850578" w:rsidR="00494143" w:rsidRPr="008908DC" w:rsidRDefault="008908DC" w:rsidP="00494143">
            <w:r>
              <w:t>Femmes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1430FB23" w14:textId="46A97012" w:rsidR="00494143" w:rsidRPr="008908DC" w:rsidRDefault="00494143" w:rsidP="00494143">
            <w:pPr>
              <w:jc w:val="right"/>
            </w:pPr>
            <w:r w:rsidRPr="008908DC">
              <w:t>58,4%</w:t>
            </w:r>
          </w:p>
        </w:tc>
        <w:tc>
          <w:tcPr>
            <w:tcW w:w="1634" w:type="dxa"/>
          </w:tcPr>
          <w:p w14:paraId="361F20E4" w14:textId="5F98BA0C" w:rsidR="00494143" w:rsidRPr="008908DC" w:rsidRDefault="00494143" w:rsidP="00494143">
            <w:pPr>
              <w:jc w:val="right"/>
            </w:pPr>
            <w:r w:rsidRPr="008908DC">
              <w:t>57,9%</w:t>
            </w:r>
          </w:p>
        </w:tc>
        <w:tc>
          <w:tcPr>
            <w:tcW w:w="1869" w:type="dxa"/>
          </w:tcPr>
          <w:p w14:paraId="633DA6FD" w14:textId="1A748B1B" w:rsidR="00494143" w:rsidRPr="008908DC" w:rsidRDefault="00494143" w:rsidP="00494143">
            <w:pPr>
              <w:jc w:val="right"/>
            </w:pPr>
            <w:r w:rsidRPr="008908DC">
              <w:t>58,6%</w:t>
            </w:r>
          </w:p>
        </w:tc>
        <w:tc>
          <w:tcPr>
            <w:tcW w:w="1703" w:type="dxa"/>
          </w:tcPr>
          <w:p w14:paraId="4F3C21C9" w14:textId="7361F446" w:rsidR="00494143" w:rsidRPr="008908DC" w:rsidRDefault="00494143" w:rsidP="00494143">
            <w:pPr>
              <w:jc w:val="right"/>
            </w:pPr>
            <w:r w:rsidRPr="008908DC">
              <w:t>57,0%</w:t>
            </w:r>
          </w:p>
        </w:tc>
      </w:tr>
    </w:tbl>
    <w:p w14:paraId="14FA5A61" w14:textId="77777777" w:rsidR="006B09BD" w:rsidRDefault="006B09BD">
      <w:pPr>
        <w:keepLines w:val="0"/>
        <w:rPr>
          <w:lang w:val="en-CA"/>
        </w:rPr>
      </w:pPr>
      <w:r>
        <w:rPr>
          <w:lang w:val="en-CA"/>
        </w:rPr>
        <w:br w:type="page"/>
      </w:r>
    </w:p>
    <w:p w14:paraId="07E8BD3A" w14:textId="283A6B7E" w:rsidR="00F200C8" w:rsidRDefault="00F200C8" w:rsidP="00F200C8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 : </w:t>
      </w:r>
      <w:r w:rsidRPr="008F06EA">
        <w:t>Représentation sur le plan de l’équité en matière d’emploi selon le statut de citoyenneté — résidents permanents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sur le plan de l’équité en matière d’emploi selon le statut de citoyenneté — résidents permanents"/>
        <w:tblDescription w:val="Une table qui démontre la représentation des résidents permanents dans les groupes d'équité en matière d'emploi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494143" w14:paraId="55F9ED2A" w14:textId="77777777" w:rsidTr="007C7D4B">
        <w:trPr>
          <w:tblHeader/>
        </w:trPr>
        <w:tc>
          <w:tcPr>
            <w:tcW w:w="2275" w:type="dxa"/>
          </w:tcPr>
          <w:p w14:paraId="1DF7156A" w14:textId="7526F429" w:rsidR="00494143" w:rsidRPr="008908DC" w:rsidRDefault="00494143" w:rsidP="00494143">
            <w:pPr>
              <w:jc w:val="center"/>
            </w:pPr>
            <w:r w:rsidRPr="008908DC">
              <w:t>Groupe</w:t>
            </w:r>
          </w:p>
        </w:tc>
        <w:tc>
          <w:tcPr>
            <w:tcW w:w="1869" w:type="dxa"/>
          </w:tcPr>
          <w:p w14:paraId="2AFD51BC" w14:textId="77777777" w:rsidR="00494143" w:rsidRPr="008908DC" w:rsidRDefault="00494143" w:rsidP="00494143">
            <w:pPr>
              <w:jc w:val="center"/>
            </w:pPr>
            <w:r w:rsidRPr="008908DC">
              <w:t>2015-2016</w:t>
            </w:r>
          </w:p>
        </w:tc>
        <w:tc>
          <w:tcPr>
            <w:tcW w:w="1634" w:type="dxa"/>
          </w:tcPr>
          <w:p w14:paraId="5335650C" w14:textId="77777777" w:rsidR="00494143" w:rsidRPr="008908DC" w:rsidRDefault="00494143" w:rsidP="00494143">
            <w:pPr>
              <w:jc w:val="center"/>
            </w:pPr>
            <w:r w:rsidRPr="008908DC">
              <w:t>2016-2017</w:t>
            </w:r>
          </w:p>
        </w:tc>
        <w:tc>
          <w:tcPr>
            <w:tcW w:w="1869" w:type="dxa"/>
          </w:tcPr>
          <w:p w14:paraId="42726FB3" w14:textId="77777777" w:rsidR="00494143" w:rsidRPr="008908DC" w:rsidRDefault="00494143" w:rsidP="00494143">
            <w:pPr>
              <w:jc w:val="center"/>
            </w:pPr>
            <w:r w:rsidRPr="008908DC">
              <w:t>2017-2018</w:t>
            </w:r>
          </w:p>
        </w:tc>
        <w:tc>
          <w:tcPr>
            <w:tcW w:w="1703" w:type="dxa"/>
          </w:tcPr>
          <w:p w14:paraId="3B3406E9" w14:textId="77777777" w:rsidR="00494143" w:rsidRPr="008908DC" w:rsidRDefault="00494143" w:rsidP="00494143">
            <w:pPr>
              <w:jc w:val="center"/>
            </w:pPr>
            <w:r w:rsidRPr="008908DC">
              <w:t>2018-2019</w:t>
            </w:r>
          </w:p>
        </w:tc>
      </w:tr>
      <w:tr w:rsidR="00494143" w14:paraId="5483CBCB" w14:textId="77777777" w:rsidTr="007C7D4B">
        <w:tc>
          <w:tcPr>
            <w:tcW w:w="2275" w:type="dxa"/>
          </w:tcPr>
          <w:p w14:paraId="700C39E6" w14:textId="374626CD" w:rsidR="00494143" w:rsidRPr="008908DC" w:rsidRDefault="00494143" w:rsidP="00494143">
            <w:r w:rsidRPr="008908DC">
              <w:t xml:space="preserve">Peuples </w:t>
            </w:r>
            <w:r w:rsidR="008908DC">
              <w:t>autochtones </w:t>
            </w:r>
            <w:r w:rsidRPr="008908DC">
              <w:t>: postulants</w:t>
            </w:r>
          </w:p>
        </w:tc>
        <w:tc>
          <w:tcPr>
            <w:tcW w:w="1869" w:type="dxa"/>
          </w:tcPr>
          <w:p w14:paraId="20161E00" w14:textId="08A6622E" w:rsidR="00494143" w:rsidRPr="008908DC" w:rsidRDefault="00494143" w:rsidP="00494143">
            <w:pPr>
              <w:jc w:val="right"/>
            </w:pPr>
            <w:r w:rsidRPr="008908DC">
              <w:t>0,8%</w:t>
            </w:r>
          </w:p>
        </w:tc>
        <w:tc>
          <w:tcPr>
            <w:tcW w:w="1634" w:type="dxa"/>
          </w:tcPr>
          <w:p w14:paraId="0B8999C7" w14:textId="39DDDA29" w:rsidR="00494143" w:rsidRPr="008908DC" w:rsidRDefault="00494143" w:rsidP="00494143">
            <w:pPr>
              <w:jc w:val="right"/>
            </w:pPr>
            <w:r w:rsidRPr="008908DC">
              <w:t>0,7%</w:t>
            </w:r>
          </w:p>
        </w:tc>
        <w:tc>
          <w:tcPr>
            <w:tcW w:w="1869" w:type="dxa"/>
          </w:tcPr>
          <w:p w14:paraId="38DD2E7A" w14:textId="6633AF38" w:rsidR="00494143" w:rsidRPr="008908DC" w:rsidRDefault="00494143" w:rsidP="00494143">
            <w:pPr>
              <w:jc w:val="right"/>
            </w:pPr>
            <w:r w:rsidRPr="008908DC">
              <w:t>0,7%</w:t>
            </w:r>
          </w:p>
        </w:tc>
        <w:tc>
          <w:tcPr>
            <w:tcW w:w="1703" w:type="dxa"/>
          </w:tcPr>
          <w:p w14:paraId="184CC73A" w14:textId="4E7E6B22" w:rsidR="00494143" w:rsidRPr="008908DC" w:rsidRDefault="00494143" w:rsidP="00494143">
            <w:pPr>
              <w:jc w:val="right"/>
            </w:pPr>
            <w:r w:rsidRPr="008908DC">
              <w:t>0,8%</w:t>
            </w:r>
          </w:p>
        </w:tc>
      </w:tr>
      <w:tr w:rsidR="00494143" w14:paraId="709BE725" w14:textId="77777777" w:rsidTr="007C7D4B">
        <w:tc>
          <w:tcPr>
            <w:tcW w:w="2275" w:type="dxa"/>
          </w:tcPr>
          <w:p w14:paraId="5F2E0EC6" w14:textId="405CC4FD" w:rsidR="00494143" w:rsidRPr="008908DC" w:rsidRDefault="008908DC" w:rsidP="00494143">
            <w:r>
              <w:t>Peuples autochtones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04F9AE94" w14:textId="6BD29DCE" w:rsidR="00494143" w:rsidRPr="008908DC" w:rsidRDefault="00494143" w:rsidP="00494143">
            <w:pPr>
              <w:jc w:val="right"/>
            </w:pPr>
            <w:r w:rsidRPr="008908DC">
              <w:t>2,0%</w:t>
            </w:r>
          </w:p>
        </w:tc>
        <w:tc>
          <w:tcPr>
            <w:tcW w:w="1634" w:type="dxa"/>
          </w:tcPr>
          <w:p w14:paraId="79AB25C6" w14:textId="61E320BE" w:rsidR="00494143" w:rsidRPr="008908DC" w:rsidRDefault="00494143" w:rsidP="00494143">
            <w:pPr>
              <w:jc w:val="right"/>
            </w:pPr>
            <w:r w:rsidRPr="008908DC">
              <w:t>1,7%</w:t>
            </w:r>
          </w:p>
        </w:tc>
        <w:tc>
          <w:tcPr>
            <w:tcW w:w="1869" w:type="dxa"/>
          </w:tcPr>
          <w:p w14:paraId="35D51E1B" w14:textId="73A78722" w:rsidR="00494143" w:rsidRPr="008908DC" w:rsidRDefault="00494143" w:rsidP="00494143">
            <w:pPr>
              <w:jc w:val="right"/>
            </w:pPr>
            <w:r w:rsidRPr="008908DC">
              <w:t>2,2%</w:t>
            </w:r>
          </w:p>
        </w:tc>
        <w:tc>
          <w:tcPr>
            <w:tcW w:w="1703" w:type="dxa"/>
          </w:tcPr>
          <w:p w14:paraId="4BF0D157" w14:textId="4C732B3E" w:rsidR="00494143" w:rsidRPr="008908DC" w:rsidRDefault="00494143" w:rsidP="00494143">
            <w:pPr>
              <w:jc w:val="right"/>
            </w:pPr>
            <w:r w:rsidRPr="008908DC">
              <w:t>1,3%</w:t>
            </w:r>
          </w:p>
        </w:tc>
      </w:tr>
      <w:tr w:rsidR="00494143" w14:paraId="1BD149B3" w14:textId="77777777" w:rsidTr="007C7D4B">
        <w:tc>
          <w:tcPr>
            <w:tcW w:w="2275" w:type="dxa"/>
          </w:tcPr>
          <w:p w14:paraId="27FF6FE7" w14:textId="15A9AF4E" w:rsidR="00494143" w:rsidRPr="008908DC" w:rsidRDefault="00494143" w:rsidP="006163E8">
            <w:r w:rsidRPr="008908DC">
              <w:t>Per</w:t>
            </w:r>
            <w:r w:rsidR="008908DC">
              <w:t>sonnes en situation de handicap </w:t>
            </w:r>
            <w:r w:rsidRPr="008908DC">
              <w:t xml:space="preserve">: </w:t>
            </w:r>
            <w:r w:rsidR="006163E8">
              <w:t>postulants</w:t>
            </w:r>
          </w:p>
        </w:tc>
        <w:tc>
          <w:tcPr>
            <w:tcW w:w="1869" w:type="dxa"/>
          </w:tcPr>
          <w:p w14:paraId="0D74B555" w14:textId="22529574" w:rsidR="00494143" w:rsidRPr="008908DC" w:rsidRDefault="00494143" w:rsidP="00494143">
            <w:pPr>
              <w:jc w:val="right"/>
            </w:pPr>
            <w:r w:rsidRPr="008908DC">
              <w:t>0,9%</w:t>
            </w:r>
          </w:p>
        </w:tc>
        <w:tc>
          <w:tcPr>
            <w:tcW w:w="1634" w:type="dxa"/>
          </w:tcPr>
          <w:p w14:paraId="515D2B23" w14:textId="28C83C4F" w:rsidR="00494143" w:rsidRPr="008908DC" w:rsidRDefault="00494143" w:rsidP="00494143">
            <w:pPr>
              <w:jc w:val="right"/>
            </w:pPr>
            <w:r w:rsidRPr="008908DC">
              <w:t>1,0%</w:t>
            </w:r>
          </w:p>
        </w:tc>
        <w:tc>
          <w:tcPr>
            <w:tcW w:w="1869" w:type="dxa"/>
          </w:tcPr>
          <w:p w14:paraId="7E4CAC76" w14:textId="26EF3337" w:rsidR="00494143" w:rsidRPr="008908DC" w:rsidRDefault="00494143" w:rsidP="00494143">
            <w:pPr>
              <w:jc w:val="right"/>
            </w:pPr>
            <w:r w:rsidRPr="008908DC">
              <w:t>0,9%</w:t>
            </w:r>
          </w:p>
        </w:tc>
        <w:tc>
          <w:tcPr>
            <w:tcW w:w="1703" w:type="dxa"/>
          </w:tcPr>
          <w:p w14:paraId="5E812765" w14:textId="31D524E9" w:rsidR="00494143" w:rsidRPr="008908DC" w:rsidRDefault="00494143" w:rsidP="00494143">
            <w:pPr>
              <w:jc w:val="right"/>
            </w:pPr>
            <w:r w:rsidRPr="008908DC">
              <w:t>0,8%</w:t>
            </w:r>
          </w:p>
        </w:tc>
      </w:tr>
      <w:tr w:rsidR="00494143" w14:paraId="79FCAAF5" w14:textId="77777777" w:rsidTr="007C7D4B">
        <w:tc>
          <w:tcPr>
            <w:tcW w:w="2275" w:type="dxa"/>
          </w:tcPr>
          <w:p w14:paraId="4705231B" w14:textId="6C654754" w:rsidR="00494143" w:rsidRPr="008908DC" w:rsidRDefault="00494143" w:rsidP="00494143">
            <w:r w:rsidRPr="008908DC">
              <w:t>Per</w:t>
            </w:r>
            <w:r w:rsidR="008908DC">
              <w:t>sonnes en situation de handicap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2B209CCD" w14:textId="50AEBF2F" w:rsidR="00494143" w:rsidRPr="008908DC" w:rsidRDefault="00494143" w:rsidP="00494143">
            <w:pPr>
              <w:jc w:val="right"/>
            </w:pPr>
            <w:r w:rsidRPr="008908DC">
              <w:t>2,7%</w:t>
            </w:r>
          </w:p>
        </w:tc>
        <w:tc>
          <w:tcPr>
            <w:tcW w:w="1634" w:type="dxa"/>
          </w:tcPr>
          <w:p w14:paraId="1D2C1DB8" w14:textId="70BC84E8" w:rsidR="00494143" w:rsidRPr="008908DC" w:rsidRDefault="00494143" w:rsidP="00494143">
            <w:pPr>
              <w:jc w:val="right"/>
            </w:pPr>
            <w:r w:rsidRPr="008908DC">
              <w:t>0,6%</w:t>
            </w:r>
          </w:p>
        </w:tc>
        <w:tc>
          <w:tcPr>
            <w:tcW w:w="1869" w:type="dxa"/>
          </w:tcPr>
          <w:p w14:paraId="407CECFE" w14:textId="0A8810D4" w:rsidR="00494143" w:rsidRPr="008908DC" w:rsidRDefault="00494143" w:rsidP="00494143">
            <w:pPr>
              <w:jc w:val="right"/>
            </w:pPr>
            <w:r w:rsidRPr="008908DC">
              <w:t>0,7%</w:t>
            </w:r>
          </w:p>
        </w:tc>
        <w:tc>
          <w:tcPr>
            <w:tcW w:w="1703" w:type="dxa"/>
          </w:tcPr>
          <w:p w14:paraId="139C9B40" w14:textId="1CD88F35" w:rsidR="00494143" w:rsidRPr="008908DC" w:rsidRDefault="00494143" w:rsidP="00494143">
            <w:pPr>
              <w:jc w:val="right"/>
            </w:pPr>
            <w:r w:rsidRPr="008908DC">
              <w:t>1,0%</w:t>
            </w:r>
          </w:p>
        </w:tc>
      </w:tr>
      <w:tr w:rsidR="00494143" w14:paraId="036D774F" w14:textId="77777777" w:rsidTr="007C7D4B">
        <w:tc>
          <w:tcPr>
            <w:tcW w:w="2275" w:type="dxa"/>
          </w:tcPr>
          <w:p w14:paraId="6D37687F" w14:textId="0F66C9C1" w:rsidR="00494143" w:rsidRPr="008908DC" w:rsidRDefault="00494143" w:rsidP="008908DC">
            <w:r w:rsidRPr="008908DC">
              <w:t>Membres de minorités visibles</w:t>
            </w:r>
            <w:r w:rsidR="008908DC">
              <w:t> </w:t>
            </w:r>
            <w:r w:rsidRPr="008908DC">
              <w:t>: postulants</w:t>
            </w:r>
          </w:p>
        </w:tc>
        <w:tc>
          <w:tcPr>
            <w:tcW w:w="1869" w:type="dxa"/>
          </w:tcPr>
          <w:p w14:paraId="01B0B4C5" w14:textId="0FBA7A18" w:rsidR="00494143" w:rsidRPr="008908DC" w:rsidRDefault="00494143" w:rsidP="00494143">
            <w:pPr>
              <w:jc w:val="right"/>
            </w:pPr>
            <w:r w:rsidRPr="008908DC">
              <w:t>39,7%</w:t>
            </w:r>
          </w:p>
        </w:tc>
        <w:tc>
          <w:tcPr>
            <w:tcW w:w="1634" w:type="dxa"/>
          </w:tcPr>
          <w:p w14:paraId="73139AF1" w14:textId="575FA0E8" w:rsidR="00494143" w:rsidRPr="008908DC" w:rsidRDefault="00494143" w:rsidP="00494143">
            <w:pPr>
              <w:jc w:val="right"/>
            </w:pPr>
            <w:r w:rsidRPr="008908DC">
              <w:t>41,0%</w:t>
            </w:r>
          </w:p>
        </w:tc>
        <w:tc>
          <w:tcPr>
            <w:tcW w:w="1869" w:type="dxa"/>
          </w:tcPr>
          <w:p w14:paraId="522C044A" w14:textId="29798B99" w:rsidR="00494143" w:rsidRPr="008908DC" w:rsidRDefault="00494143" w:rsidP="00494143">
            <w:pPr>
              <w:jc w:val="right"/>
            </w:pPr>
            <w:r w:rsidRPr="008908DC">
              <w:t>42,1%</w:t>
            </w:r>
          </w:p>
        </w:tc>
        <w:tc>
          <w:tcPr>
            <w:tcW w:w="1703" w:type="dxa"/>
          </w:tcPr>
          <w:p w14:paraId="7DAD7BA5" w14:textId="0C5147D5" w:rsidR="00494143" w:rsidRPr="008908DC" w:rsidRDefault="00494143" w:rsidP="00494143">
            <w:pPr>
              <w:jc w:val="right"/>
            </w:pPr>
            <w:r w:rsidRPr="008908DC">
              <w:t>38,4%</w:t>
            </w:r>
          </w:p>
        </w:tc>
      </w:tr>
      <w:tr w:rsidR="00494143" w14:paraId="617B3A0D" w14:textId="77777777" w:rsidTr="007C7D4B">
        <w:tc>
          <w:tcPr>
            <w:tcW w:w="2275" w:type="dxa"/>
          </w:tcPr>
          <w:p w14:paraId="1986C9AC" w14:textId="66C6FD8A" w:rsidR="00494143" w:rsidRPr="008908DC" w:rsidRDefault="008908DC" w:rsidP="00494143">
            <w:r>
              <w:t>Membres de minorités visibles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62F39942" w14:textId="2C2829A2" w:rsidR="00494143" w:rsidRPr="008908DC" w:rsidRDefault="00494143" w:rsidP="00494143">
            <w:pPr>
              <w:jc w:val="right"/>
            </w:pPr>
            <w:r w:rsidRPr="008908DC">
              <w:t>45,3%</w:t>
            </w:r>
          </w:p>
        </w:tc>
        <w:tc>
          <w:tcPr>
            <w:tcW w:w="1634" w:type="dxa"/>
          </w:tcPr>
          <w:p w14:paraId="364B67A6" w14:textId="44866B57" w:rsidR="00494143" w:rsidRPr="008908DC" w:rsidRDefault="00494143" w:rsidP="00494143">
            <w:pPr>
              <w:jc w:val="right"/>
            </w:pPr>
            <w:r w:rsidRPr="008908DC">
              <w:t>48,9%</w:t>
            </w:r>
          </w:p>
        </w:tc>
        <w:tc>
          <w:tcPr>
            <w:tcW w:w="1869" w:type="dxa"/>
          </w:tcPr>
          <w:p w14:paraId="05D409A6" w14:textId="104C4930" w:rsidR="00494143" w:rsidRPr="008908DC" w:rsidRDefault="00494143" w:rsidP="00494143">
            <w:pPr>
              <w:jc w:val="right"/>
            </w:pPr>
            <w:r w:rsidRPr="008908DC">
              <w:t>44,9%</w:t>
            </w:r>
          </w:p>
        </w:tc>
        <w:tc>
          <w:tcPr>
            <w:tcW w:w="1703" w:type="dxa"/>
          </w:tcPr>
          <w:p w14:paraId="3282DD94" w14:textId="10EC8E4C" w:rsidR="00494143" w:rsidRPr="008908DC" w:rsidRDefault="00494143" w:rsidP="00494143">
            <w:pPr>
              <w:jc w:val="right"/>
            </w:pPr>
            <w:r w:rsidRPr="008908DC">
              <w:t>48,3%</w:t>
            </w:r>
          </w:p>
        </w:tc>
      </w:tr>
      <w:tr w:rsidR="00494143" w14:paraId="7DC352EE" w14:textId="77777777" w:rsidTr="00F200C8">
        <w:trPr>
          <w:trHeight w:val="572"/>
        </w:trPr>
        <w:tc>
          <w:tcPr>
            <w:tcW w:w="2275" w:type="dxa"/>
          </w:tcPr>
          <w:p w14:paraId="4F6EE2E8" w14:textId="54AB6470" w:rsidR="00494143" w:rsidRPr="008908DC" w:rsidRDefault="008908DC" w:rsidP="00494143">
            <w:r>
              <w:t>Femmes </w:t>
            </w:r>
            <w:r w:rsidR="00494143" w:rsidRPr="008908DC">
              <w:t>: postulants</w:t>
            </w:r>
          </w:p>
        </w:tc>
        <w:tc>
          <w:tcPr>
            <w:tcW w:w="1869" w:type="dxa"/>
          </w:tcPr>
          <w:p w14:paraId="6C03C47B" w14:textId="77777777" w:rsidR="00494143" w:rsidRPr="008908DC" w:rsidRDefault="00494143" w:rsidP="00494143">
            <w:pPr>
              <w:jc w:val="right"/>
            </w:pPr>
          </w:p>
        </w:tc>
        <w:tc>
          <w:tcPr>
            <w:tcW w:w="1634" w:type="dxa"/>
          </w:tcPr>
          <w:p w14:paraId="67959998" w14:textId="5C66ADC4" w:rsidR="00494143" w:rsidRPr="008908DC" w:rsidRDefault="00494143" w:rsidP="00494143">
            <w:pPr>
              <w:jc w:val="right"/>
            </w:pPr>
            <w:r w:rsidRPr="008908DC">
              <w:t>44,6%</w:t>
            </w:r>
          </w:p>
        </w:tc>
        <w:tc>
          <w:tcPr>
            <w:tcW w:w="1869" w:type="dxa"/>
          </w:tcPr>
          <w:p w14:paraId="7132403F" w14:textId="74EB00CB" w:rsidR="00494143" w:rsidRPr="008908DC" w:rsidRDefault="00494143" w:rsidP="00494143">
            <w:pPr>
              <w:jc w:val="right"/>
            </w:pPr>
            <w:r w:rsidRPr="008908DC">
              <w:t>44,7%</w:t>
            </w:r>
          </w:p>
        </w:tc>
        <w:tc>
          <w:tcPr>
            <w:tcW w:w="1703" w:type="dxa"/>
          </w:tcPr>
          <w:p w14:paraId="2FD79D89" w14:textId="2F56E8C9" w:rsidR="00494143" w:rsidRPr="008908DC" w:rsidRDefault="00494143" w:rsidP="00494143">
            <w:pPr>
              <w:jc w:val="right"/>
            </w:pPr>
            <w:r w:rsidRPr="008908DC">
              <w:t>46,4%</w:t>
            </w:r>
          </w:p>
        </w:tc>
      </w:tr>
      <w:tr w:rsidR="00494143" w14:paraId="0D37AF6A" w14:textId="77777777" w:rsidTr="00F200C8">
        <w:trPr>
          <w:trHeight w:val="552"/>
        </w:trPr>
        <w:tc>
          <w:tcPr>
            <w:tcW w:w="2275" w:type="dxa"/>
          </w:tcPr>
          <w:p w14:paraId="49515D36" w14:textId="664C2918" w:rsidR="00494143" w:rsidRPr="008908DC" w:rsidRDefault="008908DC" w:rsidP="00494143">
            <w:r>
              <w:t>Femmes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5171B80F" w14:textId="612BC040" w:rsidR="00494143" w:rsidRPr="008908DC" w:rsidRDefault="00494143" w:rsidP="00494143">
            <w:pPr>
              <w:jc w:val="right"/>
            </w:pPr>
            <w:r w:rsidRPr="008908DC">
              <w:t>50,7%</w:t>
            </w:r>
          </w:p>
        </w:tc>
        <w:tc>
          <w:tcPr>
            <w:tcW w:w="1634" w:type="dxa"/>
          </w:tcPr>
          <w:p w14:paraId="12AEF051" w14:textId="20F43B90" w:rsidR="00494143" w:rsidRPr="008908DC" w:rsidRDefault="00494143" w:rsidP="00494143">
            <w:pPr>
              <w:jc w:val="right"/>
            </w:pPr>
            <w:r w:rsidRPr="008908DC">
              <w:t>48,3%</w:t>
            </w:r>
          </w:p>
        </w:tc>
        <w:tc>
          <w:tcPr>
            <w:tcW w:w="1869" w:type="dxa"/>
          </w:tcPr>
          <w:p w14:paraId="5C46173C" w14:textId="35485306" w:rsidR="00494143" w:rsidRPr="008908DC" w:rsidRDefault="00494143" w:rsidP="00494143">
            <w:pPr>
              <w:jc w:val="right"/>
            </w:pPr>
            <w:r w:rsidRPr="008908DC">
              <w:t>47,4%</w:t>
            </w:r>
          </w:p>
        </w:tc>
        <w:tc>
          <w:tcPr>
            <w:tcW w:w="1703" w:type="dxa"/>
          </w:tcPr>
          <w:p w14:paraId="07F64167" w14:textId="22E9ED7D" w:rsidR="00494143" w:rsidRPr="008908DC" w:rsidRDefault="00494143" w:rsidP="00494143">
            <w:pPr>
              <w:jc w:val="right"/>
            </w:pPr>
            <w:r w:rsidRPr="008908DC">
              <w:t>53,5%</w:t>
            </w:r>
          </w:p>
        </w:tc>
      </w:tr>
    </w:tbl>
    <w:p w14:paraId="08328000" w14:textId="77777777" w:rsidR="006B09BD" w:rsidRDefault="006B09BD">
      <w:pPr>
        <w:keepLines w:val="0"/>
        <w:rPr>
          <w:lang w:val="en-CA"/>
        </w:rPr>
      </w:pPr>
      <w:r>
        <w:rPr>
          <w:lang w:val="en-CA"/>
        </w:rPr>
        <w:br w:type="page"/>
      </w:r>
    </w:p>
    <w:p w14:paraId="492797DE" w14:textId="7ECFF9EC" w:rsidR="00F200C8" w:rsidRDefault="00F200C8" w:rsidP="00F200C8">
      <w:pPr>
        <w:pStyle w:val="Caption"/>
        <w:keepNext/>
        <w:jc w:val="center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 : </w:t>
      </w:r>
      <w:r w:rsidRPr="008C4DC1">
        <w:t xml:space="preserve">Représentation sur le plan de l’équité en matière d’emploi selon le statut de </w:t>
      </w:r>
      <w:proofErr w:type="gramStart"/>
      <w:r w:rsidRPr="008C4DC1">
        <w:t>citoyenneté — autres non-citoyens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Représentation sur le plan de l’équité en matière d’emploi selon le statut de citoyenneté — autres non-citoyens"/>
        <w:tblDescription w:val="Une table qui démontre la représentation des autres non-citoyens dans les groupes d'équité en matière d'emploi parmi les postulants et les embauches entre 2015-2016 et 2018-2019."/>
      </w:tblPr>
      <w:tblGrid>
        <w:gridCol w:w="2275"/>
        <w:gridCol w:w="1869"/>
        <w:gridCol w:w="1634"/>
        <w:gridCol w:w="1869"/>
        <w:gridCol w:w="1703"/>
      </w:tblGrid>
      <w:tr w:rsidR="00494143" w14:paraId="49CB2FEC" w14:textId="77777777" w:rsidTr="007C7D4B">
        <w:trPr>
          <w:tblHeader/>
        </w:trPr>
        <w:tc>
          <w:tcPr>
            <w:tcW w:w="2275" w:type="dxa"/>
          </w:tcPr>
          <w:p w14:paraId="3658F677" w14:textId="580ED581" w:rsidR="00494143" w:rsidRPr="008908DC" w:rsidRDefault="00494143" w:rsidP="00494143">
            <w:pPr>
              <w:jc w:val="center"/>
            </w:pPr>
            <w:r w:rsidRPr="008908DC">
              <w:t>Groupe</w:t>
            </w:r>
          </w:p>
        </w:tc>
        <w:tc>
          <w:tcPr>
            <w:tcW w:w="1869" w:type="dxa"/>
          </w:tcPr>
          <w:p w14:paraId="0DF4067B" w14:textId="77777777" w:rsidR="00494143" w:rsidRPr="008908DC" w:rsidRDefault="00494143" w:rsidP="00494143">
            <w:pPr>
              <w:jc w:val="center"/>
            </w:pPr>
            <w:r w:rsidRPr="008908DC">
              <w:t>2015-2016</w:t>
            </w:r>
          </w:p>
        </w:tc>
        <w:tc>
          <w:tcPr>
            <w:tcW w:w="1634" w:type="dxa"/>
          </w:tcPr>
          <w:p w14:paraId="65A94897" w14:textId="77777777" w:rsidR="00494143" w:rsidRPr="008908DC" w:rsidRDefault="00494143" w:rsidP="00494143">
            <w:pPr>
              <w:jc w:val="center"/>
            </w:pPr>
            <w:r w:rsidRPr="008908DC">
              <w:t>2016-2017</w:t>
            </w:r>
          </w:p>
        </w:tc>
        <w:tc>
          <w:tcPr>
            <w:tcW w:w="1869" w:type="dxa"/>
          </w:tcPr>
          <w:p w14:paraId="2A52B3A1" w14:textId="77777777" w:rsidR="00494143" w:rsidRPr="008908DC" w:rsidRDefault="00494143" w:rsidP="00494143">
            <w:pPr>
              <w:jc w:val="center"/>
            </w:pPr>
            <w:r w:rsidRPr="008908DC">
              <w:t>2017-2018</w:t>
            </w:r>
          </w:p>
        </w:tc>
        <w:tc>
          <w:tcPr>
            <w:tcW w:w="1703" w:type="dxa"/>
          </w:tcPr>
          <w:p w14:paraId="41C1FB1C" w14:textId="77777777" w:rsidR="00494143" w:rsidRPr="008908DC" w:rsidRDefault="00494143" w:rsidP="00494143">
            <w:pPr>
              <w:jc w:val="center"/>
            </w:pPr>
            <w:r w:rsidRPr="008908DC">
              <w:t>2018-2019</w:t>
            </w:r>
          </w:p>
        </w:tc>
      </w:tr>
      <w:tr w:rsidR="00494143" w14:paraId="6531049F" w14:textId="77777777" w:rsidTr="007C7D4B">
        <w:tc>
          <w:tcPr>
            <w:tcW w:w="2275" w:type="dxa"/>
          </w:tcPr>
          <w:p w14:paraId="12FA46E8" w14:textId="34F196A2" w:rsidR="00494143" w:rsidRPr="008908DC" w:rsidRDefault="008908DC" w:rsidP="00494143">
            <w:r>
              <w:t>Peuples autochtones </w:t>
            </w:r>
            <w:r w:rsidR="00494143" w:rsidRPr="008908DC">
              <w:t>: postulants</w:t>
            </w:r>
          </w:p>
        </w:tc>
        <w:tc>
          <w:tcPr>
            <w:tcW w:w="1869" w:type="dxa"/>
          </w:tcPr>
          <w:p w14:paraId="267EE16A" w14:textId="1DC4E1ED" w:rsidR="00494143" w:rsidRPr="008908DC" w:rsidRDefault="00494143" w:rsidP="00494143">
            <w:pPr>
              <w:jc w:val="right"/>
            </w:pPr>
            <w:r w:rsidRPr="008908DC">
              <w:t>2,2%</w:t>
            </w:r>
          </w:p>
        </w:tc>
        <w:tc>
          <w:tcPr>
            <w:tcW w:w="1634" w:type="dxa"/>
          </w:tcPr>
          <w:p w14:paraId="6C9A5CA6" w14:textId="69426BA9" w:rsidR="00494143" w:rsidRPr="008908DC" w:rsidRDefault="00494143" w:rsidP="00494143">
            <w:pPr>
              <w:jc w:val="right"/>
            </w:pPr>
            <w:r w:rsidRPr="008908DC">
              <w:t>1,7%</w:t>
            </w:r>
          </w:p>
        </w:tc>
        <w:tc>
          <w:tcPr>
            <w:tcW w:w="1869" w:type="dxa"/>
          </w:tcPr>
          <w:p w14:paraId="78E12E88" w14:textId="5D812444" w:rsidR="00494143" w:rsidRPr="008908DC" w:rsidRDefault="00494143" w:rsidP="00494143">
            <w:pPr>
              <w:jc w:val="right"/>
            </w:pPr>
            <w:r w:rsidRPr="008908DC">
              <w:t>2,3%</w:t>
            </w:r>
          </w:p>
        </w:tc>
        <w:tc>
          <w:tcPr>
            <w:tcW w:w="1703" w:type="dxa"/>
          </w:tcPr>
          <w:p w14:paraId="71C31CB3" w14:textId="66403FB8" w:rsidR="00494143" w:rsidRPr="008908DC" w:rsidRDefault="00494143" w:rsidP="00494143">
            <w:pPr>
              <w:jc w:val="right"/>
            </w:pPr>
            <w:r w:rsidRPr="008908DC">
              <w:t>2,2%</w:t>
            </w:r>
          </w:p>
        </w:tc>
      </w:tr>
      <w:tr w:rsidR="00494143" w14:paraId="60DF3308" w14:textId="77777777" w:rsidTr="007C7D4B">
        <w:tc>
          <w:tcPr>
            <w:tcW w:w="2275" w:type="dxa"/>
          </w:tcPr>
          <w:p w14:paraId="248B42DF" w14:textId="63BDA750" w:rsidR="00494143" w:rsidRPr="008908DC" w:rsidRDefault="00494143" w:rsidP="008908DC">
            <w:r w:rsidRPr="008908DC">
              <w:t>Peuples autochtones</w:t>
            </w:r>
            <w:r w:rsidR="008908DC">
              <w:t>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0D912933" w14:textId="2B3268A5" w:rsidR="00494143" w:rsidRPr="008908DC" w:rsidRDefault="00494143" w:rsidP="00494143">
            <w:pPr>
              <w:jc w:val="right"/>
            </w:pPr>
            <w:r w:rsidRPr="008908DC">
              <w:t>11,1%</w:t>
            </w:r>
          </w:p>
        </w:tc>
        <w:tc>
          <w:tcPr>
            <w:tcW w:w="1634" w:type="dxa"/>
          </w:tcPr>
          <w:p w14:paraId="14E6483F" w14:textId="77777777" w:rsidR="00494143" w:rsidRPr="008908DC" w:rsidRDefault="00494143" w:rsidP="00494143">
            <w:pPr>
              <w:jc w:val="right"/>
            </w:pPr>
            <w:r w:rsidRPr="008908DC">
              <w:t>0%</w:t>
            </w:r>
          </w:p>
        </w:tc>
        <w:tc>
          <w:tcPr>
            <w:tcW w:w="1869" w:type="dxa"/>
          </w:tcPr>
          <w:p w14:paraId="616E4DA2" w14:textId="7B8D299C" w:rsidR="00494143" w:rsidRPr="008908DC" w:rsidRDefault="00494143" w:rsidP="00494143">
            <w:pPr>
              <w:jc w:val="right"/>
            </w:pPr>
            <w:r w:rsidRPr="008908DC">
              <w:t>5,9%</w:t>
            </w:r>
          </w:p>
        </w:tc>
        <w:tc>
          <w:tcPr>
            <w:tcW w:w="1703" w:type="dxa"/>
          </w:tcPr>
          <w:p w14:paraId="5FA53B42" w14:textId="1D96AB54" w:rsidR="00494143" w:rsidRPr="008908DC" w:rsidRDefault="00494143" w:rsidP="00494143">
            <w:pPr>
              <w:jc w:val="right"/>
            </w:pPr>
            <w:r w:rsidRPr="008908DC">
              <w:t>5,6%</w:t>
            </w:r>
          </w:p>
        </w:tc>
      </w:tr>
      <w:tr w:rsidR="00494143" w14:paraId="209DEF5E" w14:textId="77777777" w:rsidTr="007C7D4B">
        <w:tc>
          <w:tcPr>
            <w:tcW w:w="2275" w:type="dxa"/>
          </w:tcPr>
          <w:p w14:paraId="6DB5B4DC" w14:textId="6AE37C56" w:rsidR="00494143" w:rsidRPr="008908DC" w:rsidRDefault="00494143" w:rsidP="006163E8">
            <w:r w:rsidRPr="008908DC">
              <w:t>Per</w:t>
            </w:r>
            <w:r w:rsidR="008908DC">
              <w:t>sonnes en situation de handicap </w:t>
            </w:r>
            <w:r w:rsidRPr="008908DC">
              <w:t xml:space="preserve">: </w:t>
            </w:r>
            <w:r w:rsidR="006163E8">
              <w:t>postulants</w:t>
            </w:r>
          </w:p>
        </w:tc>
        <w:tc>
          <w:tcPr>
            <w:tcW w:w="1869" w:type="dxa"/>
          </w:tcPr>
          <w:p w14:paraId="6EE85EE5" w14:textId="55A34D23" w:rsidR="00494143" w:rsidRPr="008908DC" w:rsidRDefault="00494143" w:rsidP="00494143">
            <w:pPr>
              <w:jc w:val="right"/>
            </w:pPr>
            <w:r w:rsidRPr="008908DC">
              <w:t>0,6%</w:t>
            </w:r>
          </w:p>
        </w:tc>
        <w:tc>
          <w:tcPr>
            <w:tcW w:w="1634" w:type="dxa"/>
          </w:tcPr>
          <w:p w14:paraId="638D6483" w14:textId="665786E0" w:rsidR="00494143" w:rsidRPr="008908DC" w:rsidRDefault="00494143" w:rsidP="00494143">
            <w:pPr>
              <w:jc w:val="right"/>
            </w:pPr>
            <w:r w:rsidRPr="008908DC">
              <w:t>0,8%</w:t>
            </w:r>
          </w:p>
        </w:tc>
        <w:tc>
          <w:tcPr>
            <w:tcW w:w="1869" w:type="dxa"/>
          </w:tcPr>
          <w:p w14:paraId="4255D007" w14:textId="4FF72631" w:rsidR="00494143" w:rsidRPr="008908DC" w:rsidRDefault="00494143" w:rsidP="00494143">
            <w:pPr>
              <w:jc w:val="right"/>
            </w:pPr>
            <w:r w:rsidRPr="008908DC">
              <w:t>1,1%</w:t>
            </w:r>
          </w:p>
        </w:tc>
        <w:tc>
          <w:tcPr>
            <w:tcW w:w="1703" w:type="dxa"/>
          </w:tcPr>
          <w:p w14:paraId="711A7F98" w14:textId="011F5C97" w:rsidR="00494143" w:rsidRPr="008908DC" w:rsidRDefault="00494143" w:rsidP="00494143">
            <w:pPr>
              <w:jc w:val="right"/>
            </w:pPr>
            <w:r w:rsidRPr="008908DC">
              <w:t>0,8%</w:t>
            </w:r>
          </w:p>
        </w:tc>
      </w:tr>
      <w:tr w:rsidR="00494143" w14:paraId="75D8E3C8" w14:textId="77777777" w:rsidTr="007C7D4B">
        <w:tc>
          <w:tcPr>
            <w:tcW w:w="2275" w:type="dxa"/>
          </w:tcPr>
          <w:p w14:paraId="65F4BA72" w14:textId="1EE7860C" w:rsidR="00494143" w:rsidRPr="008908DC" w:rsidRDefault="00494143" w:rsidP="00494143">
            <w:r w:rsidRPr="008908DC">
              <w:t>Per</w:t>
            </w:r>
            <w:r w:rsidR="008908DC">
              <w:t>sonnes en situation de handicap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78A18452" w14:textId="77777777" w:rsidR="00494143" w:rsidRPr="008908DC" w:rsidRDefault="00494143" w:rsidP="00494143">
            <w:pPr>
              <w:jc w:val="right"/>
            </w:pPr>
            <w:r w:rsidRPr="008908DC">
              <w:t>0</w:t>
            </w:r>
          </w:p>
        </w:tc>
        <w:tc>
          <w:tcPr>
            <w:tcW w:w="1634" w:type="dxa"/>
          </w:tcPr>
          <w:p w14:paraId="675E46FB" w14:textId="77777777" w:rsidR="00494143" w:rsidRPr="008908DC" w:rsidRDefault="00494143" w:rsidP="00494143">
            <w:pPr>
              <w:jc w:val="right"/>
            </w:pPr>
            <w:r w:rsidRPr="008908DC">
              <w:t>0</w:t>
            </w:r>
          </w:p>
        </w:tc>
        <w:tc>
          <w:tcPr>
            <w:tcW w:w="1869" w:type="dxa"/>
          </w:tcPr>
          <w:p w14:paraId="26D5FB81" w14:textId="64F3BC7D" w:rsidR="00494143" w:rsidRPr="008908DC" w:rsidRDefault="00494143" w:rsidP="00494143">
            <w:pPr>
              <w:jc w:val="right"/>
            </w:pPr>
            <w:r w:rsidRPr="008908DC">
              <w:t>2,0%</w:t>
            </w:r>
          </w:p>
        </w:tc>
        <w:tc>
          <w:tcPr>
            <w:tcW w:w="1703" w:type="dxa"/>
          </w:tcPr>
          <w:p w14:paraId="7A1E420D" w14:textId="55ACBDE8" w:rsidR="00494143" w:rsidRPr="008908DC" w:rsidRDefault="00494143" w:rsidP="00494143">
            <w:pPr>
              <w:jc w:val="right"/>
            </w:pPr>
            <w:r w:rsidRPr="008908DC">
              <w:t>1,9%</w:t>
            </w:r>
          </w:p>
        </w:tc>
      </w:tr>
      <w:tr w:rsidR="00494143" w14:paraId="08C742D3" w14:textId="77777777" w:rsidTr="007C7D4B">
        <w:tc>
          <w:tcPr>
            <w:tcW w:w="2275" w:type="dxa"/>
          </w:tcPr>
          <w:p w14:paraId="1CA761A0" w14:textId="4E45FF3F" w:rsidR="00494143" w:rsidRPr="008908DC" w:rsidRDefault="008908DC" w:rsidP="00494143">
            <w:r>
              <w:t>Membres de minorités visibles </w:t>
            </w:r>
            <w:r w:rsidR="00494143" w:rsidRPr="008908DC">
              <w:t>: postulants</w:t>
            </w:r>
          </w:p>
        </w:tc>
        <w:tc>
          <w:tcPr>
            <w:tcW w:w="1869" w:type="dxa"/>
          </w:tcPr>
          <w:p w14:paraId="5C58F53D" w14:textId="679A2D6E" w:rsidR="00494143" w:rsidRPr="008908DC" w:rsidRDefault="00494143" w:rsidP="00494143">
            <w:pPr>
              <w:jc w:val="right"/>
            </w:pPr>
            <w:r w:rsidRPr="008908DC">
              <w:t>26,9%</w:t>
            </w:r>
          </w:p>
        </w:tc>
        <w:tc>
          <w:tcPr>
            <w:tcW w:w="1634" w:type="dxa"/>
          </w:tcPr>
          <w:p w14:paraId="5BC51540" w14:textId="6D99F1F2" w:rsidR="00494143" w:rsidRPr="008908DC" w:rsidRDefault="00494143" w:rsidP="00494143">
            <w:pPr>
              <w:jc w:val="right"/>
            </w:pPr>
            <w:r w:rsidRPr="008908DC">
              <w:t>28,0%</w:t>
            </w:r>
          </w:p>
        </w:tc>
        <w:tc>
          <w:tcPr>
            <w:tcW w:w="1869" w:type="dxa"/>
          </w:tcPr>
          <w:p w14:paraId="32CD2E43" w14:textId="51EDD2BE" w:rsidR="00494143" w:rsidRPr="008908DC" w:rsidRDefault="00494143" w:rsidP="00494143">
            <w:pPr>
              <w:jc w:val="right"/>
            </w:pPr>
            <w:r w:rsidRPr="008908DC">
              <w:t>28,0%</w:t>
            </w:r>
          </w:p>
        </w:tc>
        <w:tc>
          <w:tcPr>
            <w:tcW w:w="1703" w:type="dxa"/>
          </w:tcPr>
          <w:p w14:paraId="04749D68" w14:textId="46BC9A5E" w:rsidR="00494143" w:rsidRPr="008908DC" w:rsidRDefault="00494143" w:rsidP="00494143">
            <w:pPr>
              <w:jc w:val="right"/>
            </w:pPr>
            <w:r w:rsidRPr="008908DC">
              <w:t>27,5%</w:t>
            </w:r>
          </w:p>
        </w:tc>
      </w:tr>
      <w:tr w:rsidR="00494143" w14:paraId="43B9F0BE" w14:textId="77777777" w:rsidTr="007C7D4B">
        <w:tc>
          <w:tcPr>
            <w:tcW w:w="2275" w:type="dxa"/>
          </w:tcPr>
          <w:p w14:paraId="5F5B5A4A" w14:textId="48BC50B0" w:rsidR="00494143" w:rsidRPr="008908DC" w:rsidRDefault="008908DC" w:rsidP="00494143">
            <w:r>
              <w:t>Membres de minorités visibles </w:t>
            </w:r>
            <w:r w:rsidR="00494143" w:rsidRPr="008908DC">
              <w:t>: embauches</w:t>
            </w:r>
          </w:p>
        </w:tc>
        <w:tc>
          <w:tcPr>
            <w:tcW w:w="1869" w:type="dxa"/>
          </w:tcPr>
          <w:p w14:paraId="4EA3A738" w14:textId="579CD46D" w:rsidR="00494143" w:rsidRPr="008908DC" w:rsidRDefault="00494143" w:rsidP="00494143">
            <w:pPr>
              <w:jc w:val="right"/>
            </w:pPr>
            <w:r w:rsidRPr="008908DC">
              <w:t>33,3%</w:t>
            </w:r>
          </w:p>
        </w:tc>
        <w:tc>
          <w:tcPr>
            <w:tcW w:w="1634" w:type="dxa"/>
          </w:tcPr>
          <w:p w14:paraId="7752DD1E" w14:textId="0AED3B54" w:rsidR="00494143" w:rsidRPr="008908DC" w:rsidRDefault="00494143" w:rsidP="00494143">
            <w:pPr>
              <w:jc w:val="right"/>
            </w:pPr>
            <w:r w:rsidRPr="008908DC">
              <w:t>32,4%</w:t>
            </w:r>
          </w:p>
        </w:tc>
        <w:tc>
          <w:tcPr>
            <w:tcW w:w="1869" w:type="dxa"/>
          </w:tcPr>
          <w:p w14:paraId="40F9B691" w14:textId="4524AE09" w:rsidR="00494143" w:rsidRPr="008908DC" w:rsidRDefault="00494143" w:rsidP="00494143">
            <w:pPr>
              <w:jc w:val="right"/>
            </w:pPr>
            <w:r w:rsidRPr="008908DC">
              <w:t>25,5%</w:t>
            </w:r>
          </w:p>
        </w:tc>
        <w:tc>
          <w:tcPr>
            <w:tcW w:w="1703" w:type="dxa"/>
          </w:tcPr>
          <w:p w14:paraId="46DDBD74" w14:textId="31217B24" w:rsidR="00494143" w:rsidRPr="008908DC" w:rsidRDefault="00494143" w:rsidP="00494143">
            <w:pPr>
              <w:jc w:val="right"/>
            </w:pPr>
            <w:r w:rsidRPr="008908DC">
              <w:t>44,4%</w:t>
            </w:r>
          </w:p>
        </w:tc>
      </w:tr>
      <w:tr w:rsidR="00494143" w14:paraId="49272D15" w14:textId="77777777" w:rsidTr="00F200C8">
        <w:trPr>
          <w:trHeight w:val="714"/>
        </w:trPr>
        <w:tc>
          <w:tcPr>
            <w:tcW w:w="2275" w:type="dxa"/>
          </w:tcPr>
          <w:p w14:paraId="4F558E8D" w14:textId="5515EA8F" w:rsidR="00494143" w:rsidRPr="008908DC" w:rsidRDefault="00494143" w:rsidP="008908DC">
            <w:r w:rsidRPr="008908DC">
              <w:t>Femmes</w:t>
            </w:r>
            <w:r w:rsidR="008908DC">
              <w:t> </w:t>
            </w:r>
            <w:r w:rsidRPr="008908DC">
              <w:t>: postulants</w:t>
            </w:r>
          </w:p>
        </w:tc>
        <w:tc>
          <w:tcPr>
            <w:tcW w:w="1869" w:type="dxa"/>
          </w:tcPr>
          <w:p w14:paraId="204A95C9" w14:textId="77777777" w:rsidR="00494143" w:rsidRPr="008908DC" w:rsidRDefault="00494143" w:rsidP="00494143">
            <w:pPr>
              <w:jc w:val="right"/>
            </w:pPr>
          </w:p>
        </w:tc>
        <w:tc>
          <w:tcPr>
            <w:tcW w:w="1634" w:type="dxa"/>
          </w:tcPr>
          <w:p w14:paraId="6860FC56" w14:textId="69F7F45E" w:rsidR="00494143" w:rsidRPr="008908DC" w:rsidRDefault="00494143" w:rsidP="00494143">
            <w:pPr>
              <w:jc w:val="right"/>
            </w:pPr>
            <w:r w:rsidRPr="008908DC">
              <w:t>40,2%</w:t>
            </w:r>
          </w:p>
        </w:tc>
        <w:tc>
          <w:tcPr>
            <w:tcW w:w="1869" w:type="dxa"/>
          </w:tcPr>
          <w:p w14:paraId="6BBD518C" w14:textId="494C603A" w:rsidR="00494143" w:rsidRPr="008908DC" w:rsidRDefault="00494143" w:rsidP="00494143">
            <w:pPr>
              <w:jc w:val="right"/>
            </w:pPr>
            <w:r w:rsidRPr="008908DC">
              <w:t>36,8%</w:t>
            </w:r>
          </w:p>
        </w:tc>
        <w:tc>
          <w:tcPr>
            <w:tcW w:w="1703" w:type="dxa"/>
          </w:tcPr>
          <w:p w14:paraId="58EE4DB0" w14:textId="25D15E71" w:rsidR="00494143" w:rsidRPr="008908DC" w:rsidRDefault="00494143" w:rsidP="00494143">
            <w:pPr>
              <w:jc w:val="right"/>
            </w:pPr>
            <w:r w:rsidRPr="008908DC">
              <w:t>38,8%</w:t>
            </w:r>
          </w:p>
        </w:tc>
      </w:tr>
      <w:tr w:rsidR="00494143" w14:paraId="186EF225" w14:textId="77777777" w:rsidTr="00F200C8">
        <w:trPr>
          <w:trHeight w:val="555"/>
        </w:trPr>
        <w:tc>
          <w:tcPr>
            <w:tcW w:w="2275" w:type="dxa"/>
          </w:tcPr>
          <w:p w14:paraId="7EF957CA" w14:textId="226CB609" w:rsidR="00494143" w:rsidRPr="008908DC" w:rsidRDefault="00494143" w:rsidP="008908DC">
            <w:r w:rsidRPr="008908DC">
              <w:t>Femmes</w:t>
            </w:r>
            <w:r w:rsidR="008908DC">
              <w:t> </w:t>
            </w:r>
            <w:r w:rsidRPr="008908DC">
              <w:t>: embauches</w:t>
            </w:r>
          </w:p>
        </w:tc>
        <w:tc>
          <w:tcPr>
            <w:tcW w:w="1869" w:type="dxa"/>
          </w:tcPr>
          <w:p w14:paraId="3EA9E66E" w14:textId="0BBC3A4E" w:rsidR="00494143" w:rsidRPr="008908DC" w:rsidRDefault="00494143" w:rsidP="00494143">
            <w:pPr>
              <w:jc w:val="right"/>
            </w:pPr>
            <w:r w:rsidRPr="008908DC">
              <w:t>44,4%</w:t>
            </w:r>
          </w:p>
        </w:tc>
        <w:tc>
          <w:tcPr>
            <w:tcW w:w="1634" w:type="dxa"/>
          </w:tcPr>
          <w:p w14:paraId="16F9E228" w14:textId="087A5A07" w:rsidR="00494143" w:rsidRPr="008908DC" w:rsidRDefault="00494143" w:rsidP="00494143">
            <w:pPr>
              <w:jc w:val="right"/>
            </w:pPr>
            <w:r w:rsidRPr="008908DC">
              <w:t>38,2%</w:t>
            </w:r>
          </w:p>
        </w:tc>
        <w:tc>
          <w:tcPr>
            <w:tcW w:w="1869" w:type="dxa"/>
          </w:tcPr>
          <w:p w14:paraId="0B65C3FE" w14:textId="3273540B" w:rsidR="00494143" w:rsidRPr="008908DC" w:rsidRDefault="00494143" w:rsidP="00494143">
            <w:pPr>
              <w:jc w:val="right"/>
            </w:pPr>
            <w:r w:rsidRPr="008908DC">
              <w:t>49,0%</w:t>
            </w:r>
          </w:p>
        </w:tc>
        <w:tc>
          <w:tcPr>
            <w:tcW w:w="1703" w:type="dxa"/>
          </w:tcPr>
          <w:p w14:paraId="5A1CA83C" w14:textId="040FB817" w:rsidR="00494143" w:rsidRPr="008908DC" w:rsidRDefault="00494143" w:rsidP="00494143">
            <w:pPr>
              <w:jc w:val="right"/>
            </w:pPr>
            <w:r w:rsidRPr="008908DC">
              <w:t>45,4%</w:t>
            </w:r>
          </w:p>
        </w:tc>
      </w:tr>
    </w:tbl>
    <w:p w14:paraId="461EE1A5" w14:textId="77777777" w:rsidR="00D64340" w:rsidRPr="008D3C65" w:rsidRDefault="00D64340" w:rsidP="00422FDD"/>
    <w:sectPr w:rsidR="00D64340" w:rsidRPr="008D3C65" w:rsidSect="00CE7326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1440" w:bottom="1985" w:left="1440" w:header="709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D6B81" w14:textId="77777777" w:rsidR="007C7D4B" w:rsidRDefault="007C7D4B" w:rsidP="00A2240C">
      <w:r>
        <w:separator/>
      </w:r>
    </w:p>
  </w:endnote>
  <w:endnote w:type="continuationSeparator" w:id="0">
    <w:p w14:paraId="759F3C72" w14:textId="77777777" w:rsidR="007C7D4B" w:rsidRDefault="007C7D4B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0B9E4" w14:textId="77777777" w:rsidR="007C7D4B" w:rsidRDefault="007C7D4B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0F3D6630" wp14:editId="4186069F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527" name="Picture 5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6482A28" w14:textId="77777777" w:rsidR="007C7D4B" w:rsidRDefault="006163E8" w:rsidP="00A2240C">
        <w:pPr>
          <w:pStyle w:val="Footer"/>
        </w:pPr>
      </w:p>
    </w:sdtContent>
  </w:sdt>
  <w:p w14:paraId="59862190" w14:textId="77777777" w:rsidR="007C7D4B" w:rsidRDefault="007C7D4B" w:rsidP="00A22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D2AF" w14:textId="134D9D58" w:rsidR="007C7D4B" w:rsidRPr="00143EF4" w:rsidRDefault="007C7D4B" w:rsidP="0098591A">
    <w:pPr>
      <w:pStyle w:val="Footer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DB8CAAB" wp14:editId="44B4EE47">
          <wp:simplePos x="0" y="0"/>
          <wp:positionH relativeFrom="column">
            <wp:posOffset>-967563</wp:posOffset>
          </wp:positionH>
          <wp:positionV relativeFrom="page">
            <wp:posOffset>9388549</wp:posOffset>
          </wp:positionV>
          <wp:extent cx="7830000" cy="643620"/>
          <wp:effectExtent l="0" t="0" r="0" b="4445"/>
          <wp:wrapNone/>
          <wp:docPr id="528" name="Picture 5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000" cy="6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 w:rsidRPr="00143EF4">
      <w:rPr>
        <w:lang w:val="en-CA"/>
      </w:rPr>
      <w:instrText xml:space="preserve"> PAGE   \* MERGEFORMAT </w:instrText>
    </w:r>
    <w:r>
      <w:fldChar w:fldCharType="separate"/>
    </w:r>
    <w:r w:rsidR="006163E8">
      <w:rPr>
        <w:noProof/>
        <w:lang w:val="en-CA"/>
      </w:rPr>
      <w:t>15</w:t>
    </w:r>
    <w:r>
      <w:rPr>
        <w:noProof/>
      </w:rPr>
      <w:fldChar w:fldCharType="end"/>
    </w:r>
    <w:r w:rsidRPr="00143EF4">
      <w:rPr>
        <w:noProof/>
        <w:lang w:val="en-CA"/>
      </w:rPr>
      <w:t xml:space="preserve"> –</w:t>
    </w:r>
    <w:r>
      <w:rPr>
        <w:noProof/>
        <w:lang w:val="en-CA"/>
      </w:rPr>
      <w:t xml:space="preserve"> Commission de la fonction publique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8EB5" w14:textId="1643DCDA" w:rsidR="007C7D4B" w:rsidRPr="004E270E" w:rsidRDefault="007C7D4B" w:rsidP="004E270E">
    <w:pPr>
      <w:rPr>
        <w:color w:val="auto"/>
      </w:rPr>
    </w:pPr>
    <w:r>
      <w:rPr>
        <w:color w:val="auto"/>
      </w:rPr>
      <w:t>Dernière révision : 18 novembre 20</w:t>
    </w:r>
    <w:r w:rsidRPr="002730C9">
      <w:rPr>
        <w:color w:val="auto"/>
      </w:rPr>
      <w:t xml:space="preserve">20 / </w:t>
    </w:r>
    <w:proofErr w:type="spellStart"/>
    <w:r>
      <w:rPr>
        <w:color w:val="auto"/>
      </w:rPr>
      <w:t>GCd</w:t>
    </w:r>
    <w:r w:rsidRPr="002730C9">
      <w:rPr>
        <w:color w:val="auto"/>
      </w:rPr>
      <w:t>ocs</w:t>
    </w:r>
    <w:proofErr w:type="spellEnd"/>
    <w:r w:rsidRPr="002730C9">
      <w:rPr>
        <w:color w:val="auto"/>
      </w:rPr>
      <w:t xml:space="preserve"> </w:t>
    </w:r>
    <w:r>
      <w:rPr>
        <w:color w:val="auto"/>
      </w:rPr>
      <w:t>n</w:t>
    </w:r>
    <w:r w:rsidRPr="008D3C65">
      <w:rPr>
        <w:color w:val="auto"/>
        <w:vertAlign w:val="superscript"/>
      </w:rPr>
      <w:t>o</w:t>
    </w:r>
    <w:r w:rsidRPr="002730C9">
      <w:rPr>
        <w:color w:val="auto"/>
      </w:rPr>
      <w:t xml:space="preserve"> </w:t>
    </w:r>
    <w:r w:rsidRPr="00B53086">
      <w:rPr>
        <w:color w:val="auto"/>
      </w:rPr>
      <w:t>10893360</w:t>
    </w: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ADC6C08" wp14:editId="5540F7BD">
          <wp:simplePos x="0" y="0"/>
          <wp:positionH relativeFrom="column">
            <wp:posOffset>-892175</wp:posOffset>
          </wp:positionH>
          <wp:positionV relativeFrom="page">
            <wp:posOffset>5787228</wp:posOffset>
          </wp:positionV>
          <wp:extent cx="7800212" cy="3891600"/>
          <wp:effectExtent l="0" t="0" r="0" b="0"/>
          <wp:wrapNone/>
          <wp:docPr id="530" name="Picture 53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Footer-colo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2" cy="38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69120" w14:textId="77777777" w:rsidR="007C7D4B" w:rsidRDefault="007C7D4B" w:rsidP="00A2240C">
      <w:r>
        <w:separator/>
      </w:r>
    </w:p>
  </w:footnote>
  <w:footnote w:type="continuationSeparator" w:id="0">
    <w:p w14:paraId="55815F50" w14:textId="77777777" w:rsidR="007C7D4B" w:rsidRDefault="007C7D4B" w:rsidP="00A2240C">
      <w:r>
        <w:continuationSeparator/>
      </w:r>
    </w:p>
  </w:footnote>
  <w:footnote w:id="1">
    <w:p w14:paraId="1BFDF761" w14:textId="34E424A6" w:rsidR="007C7D4B" w:rsidRPr="001D7907" w:rsidRDefault="007C7D4B" w:rsidP="006B00B1">
      <w:pPr>
        <w:pStyle w:val="FootnoteText"/>
      </w:pPr>
      <w:r w:rsidRPr="001D7907">
        <w:rPr>
          <w:rStyle w:val="FootnoteReference"/>
        </w:rPr>
        <w:footnoteRef/>
      </w:r>
      <w:r w:rsidRPr="001D7907">
        <w:t xml:space="preserve"> Les tendances </w:t>
      </w:r>
      <w:r>
        <w:t xml:space="preserve">des autres groupes visés par l’équité en matière d’emploi sont présentées à l’annexe A. </w:t>
      </w:r>
    </w:p>
  </w:footnote>
  <w:footnote w:id="2">
    <w:p w14:paraId="28D87B81" w14:textId="14E34F8D" w:rsidR="007C7D4B" w:rsidRPr="001D7907" w:rsidRDefault="007C7D4B" w:rsidP="00976087">
      <w:pPr>
        <w:pStyle w:val="FootnoteText"/>
      </w:pPr>
      <w:r w:rsidRPr="001D7907">
        <w:rPr>
          <w:rStyle w:val="FootnoteReference"/>
        </w:rPr>
        <w:footnoteRef/>
      </w:r>
      <w:r w:rsidRPr="001D7907">
        <w:t xml:space="preserve"> </w:t>
      </w:r>
      <w:r>
        <w:t>Pour spécifier leur statut de citoyenneté lorsqu’ils postulent à des emplois de la fonction publique fédérale,</w:t>
      </w:r>
      <w:r w:rsidRPr="004364C8">
        <w:t xml:space="preserve"> </w:t>
      </w:r>
      <w:r>
        <w:t>les personnes ont quatre options : citoyen canadien, résident permanent, permis de travail et autre</w:t>
      </w:r>
      <w:r w:rsidRPr="001D790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BDA59" w14:textId="77777777" w:rsidR="007C7D4B" w:rsidRDefault="007C7D4B" w:rsidP="00A2240C">
    <w:pPr>
      <w:pStyle w:val="Header"/>
    </w:pPr>
    <w:r>
      <w:rPr>
        <w:noProof/>
        <w:lang w:val="en-CA" w:eastAsia="en-CA"/>
      </w:rPr>
      <w:drawing>
        <wp:inline distT="0" distB="0" distL="0" distR="0" wp14:anchorId="55D62F7F" wp14:editId="386CE5B4">
          <wp:extent cx="4510800" cy="267086"/>
          <wp:effectExtent l="0" t="0" r="0" b="0"/>
          <wp:docPr id="529" name="Picture 52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C8"/>
    <w:multiLevelType w:val="hybridMultilevel"/>
    <w:tmpl w:val="E6120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4E9D"/>
    <w:multiLevelType w:val="hybridMultilevel"/>
    <w:tmpl w:val="5F2A6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D72"/>
    <w:multiLevelType w:val="hybridMultilevel"/>
    <w:tmpl w:val="8222F396"/>
    <w:lvl w:ilvl="0" w:tplc="10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0E951543"/>
    <w:multiLevelType w:val="hybridMultilevel"/>
    <w:tmpl w:val="DA126D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B4851"/>
    <w:multiLevelType w:val="hybridMultilevel"/>
    <w:tmpl w:val="41C6BA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F182C"/>
    <w:multiLevelType w:val="hybridMultilevel"/>
    <w:tmpl w:val="43CE8E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F6"/>
    <w:multiLevelType w:val="hybridMultilevel"/>
    <w:tmpl w:val="DB746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C"/>
    <w:multiLevelType w:val="hybridMultilevel"/>
    <w:tmpl w:val="47421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0748"/>
    <w:multiLevelType w:val="hybridMultilevel"/>
    <w:tmpl w:val="FDF6665A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216618F"/>
    <w:multiLevelType w:val="hybridMultilevel"/>
    <w:tmpl w:val="F7ECD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C3C24"/>
    <w:multiLevelType w:val="hybridMultilevel"/>
    <w:tmpl w:val="C24A0D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43739"/>
    <w:multiLevelType w:val="hybridMultilevel"/>
    <w:tmpl w:val="642454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E6E6B"/>
    <w:multiLevelType w:val="hybridMultilevel"/>
    <w:tmpl w:val="8EDAC9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A3B5D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70022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A4DF5"/>
    <w:multiLevelType w:val="hybridMultilevel"/>
    <w:tmpl w:val="94AE4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16CBA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3546F"/>
    <w:multiLevelType w:val="hybridMultilevel"/>
    <w:tmpl w:val="DF986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E5BA4"/>
    <w:multiLevelType w:val="hybridMultilevel"/>
    <w:tmpl w:val="DAD60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E1E"/>
    <w:multiLevelType w:val="hybridMultilevel"/>
    <w:tmpl w:val="2040BF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402F4"/>
    <w:multiLevelType w:val="hybridMultilevel"/>
    <w:tmpl w:val="F7CCE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27B3"/>
    <w:multiLevelType w:val="hybridMultilevel"/>
    <w:tmpl w:val="583EA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53FD7"/>
    <w:multiLevelType w:val="hybridMultilevel"/>
    <w:tmpl w:val="CEF06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E637B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52E4E"/>
    <w:multiLevelType w:val="hybridMultilevel"/>
    <w:tmpl w:val="36A4A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9272B9"/>
    <w:multiLevelType w:val="hybridMultilevel"/>
    <w:tmpl w:val="F176F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799B"/>
    <w:multiLevelType w:val="hybridMultilevel"/>
    <w:tmpl w:val="E69A4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6DB"/>
    <w:multiLevelType w:val="hybridMultilevel"/>
    <w:tmpl w:val="7D56AB5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424816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0E4"/>
    <w:multiLevelType w:val="hybridMultilevel"/>
    <w:tmpl w:val="31A27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4"/>
  </w:num>
  <w:num w:numId="5">
    <w:abstractNumId w:val="12"/>
  </w:num>
  <w:num w:numId="6">
    <w:abstractNumId w:val="29"/>
  </w:num>
  <w:num w:numId="7">
    <w:abstractNumId w:val="3"/>
  </w:num>
  <w:num w:numId="8">
    <w:abstractNumId w:val="4"/>
  </w:num>
  <w:num w:numId="9">
    <w:abstractNumId w:val="1"/>
  </w:num>
  <w:num w:numId="10">
    <w:abstractNumId w:val="15"/>
  </w:num>
  <w:num w:numId="11">
    <w:abstractNumId w:val="30"/>
  </w:num>
  <w:num w:numId="12">
    <w:abstractNumId w:val="25"/>
  </w:num>
  <w:num w:numId="13">
    <w:abstractNumId w:val="17"/>
  </w:num>
  <w:num w:numId="14">
    <w:abstractNumId w:val="14"/>
  </w:num>
  <w:num w:numId="15">
    <w:abstractNumId w:val="11"/>
  </w:num>
  <w:num w:numId="16">
    <w:abstractNumId w:val="31"/>
  </w:num>
  <w:num w:numId="17">
    <w:abstractNumId w:val="19"/>
  </w:num>
  <w:num w:numId="18">
    <w:abstractNumId w:val="27"/>
  </w:num>
  <w:num w:numId="19">
    <w:abstractNumId w:val="5"/>
  </w:num>
  <w:num w:numId="20">
    <w:abstractNumId w:val="16"/>
  </w:num>
  <w:num w:numId="21">
    <w:abstractNumId w:val="20"/>
  </w:num>
  <w:num w:numId="22">
    <w:abstractNumId w:val="8"/>
  </w:num>
  <w:num w:numId="23">
    <w:abstractNumId w:val="10"/>
  </w:num>
  <w:num w:numId="24">
    <w:abstractNumId w:val="9"/>
  </w:num>
  <w:num w:numId="25">
    <w:abstractNumId w:val="26"/>
  </w:num>
  <w:num w:numId="26">
    <w:abstractNumId w:val="21"/>
  </w:num>
  <w:num w:numId="27">
    <w:abstractNumId w:val="13"/>
  </w:num>
  <w:num w:numId="28">
    <w:abstractNumId w:val="0"/>
  </w:num>
  <w:num w:numId="29">
    <w:abstractNumId w:val="22"/>
  </w:num>
  <w:num w:numId="30">
    <w:abstractNumId w:val="2"/>
  </w:num>
  <w:num w:numId="31">
    <w:abstractNumId w:val="2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11"/>
    <w:rsid w:val="000046AD"/>
    <w:rsid w:val="00005B71"/>
    <w:rsid w:val="00011FB4"/>
    <w:rsid w:val="00014625"/>
    <w:rsid w:val="00017444"/>
    <w:rsid w:val="0001761A"/>
    <w:rsid w:val="0001777C"/>
    <w:rsid w:val="0002601E"/>
    <w:rsid w:val="000301C3"/>
    <w:rsid w:val="00033F0B"/>
    <w:rsid w:val="00035642"/>
    <w:rsid w:val="00037567"/>
    <w:rsid w:val="0003764E"/>
    <w:rsid w:val="00043FE5"/>
    <w:rsid w:val="00044C18"/>
    <w:rsid w:val="00044DED"/>
    <w:rsid w:val="000539F9"/>
    <w:rsid w:val="00055211"/>
    <w:rsid w:val="0006067E"/>
    <w:rsid w:val="00061060"/>
    <w:rsid w:val="00066924"/>
    <w:rsid w:val="00067486"/>
    <w:rsid w:val="00067BCD"/>
    <w:rsid w:val="0007165F"/>
    <w:rsid w:val="00071F97"/>
    <w:rsid w:val="00072566"/>
    <w:rsid w:val="000841D5"/>
    <w:rsid w:val="00085DF6"/>
    <w:rsid w:val="000911AB"/>
    <w:rsid w:val="00091C54"/>
    <w:rsid w:val="000A6750"/>
    <w:rsid w:val="000A7BE7"/>
    <w:rsid w:val="000B5C78"/>
    <w:rsid w:val="000B7D89"/>
    <w:rsid w:val="000C19EC"/>
    <w:rsid w:val="000D35A9"/>
    <w:rsid w:val="000D5805"/>
    <w:rsid w:val="000D676E"/>
    <w:rsid w:val="000E1CAB"/>
    <w:rsid w:val="000F4F85"/>
    <w:rsid w:val="000F72A7"/>
    <w:rsid w:val="00100530"/>
    <w:rsid w:val="001037ED"/>
    <w:rsid w:val="001044A0"/>
    <w:rsid w:val="0010662E"/>
    <w:rsid w:val="00114459"/>
    <w:rsid w:val="0011577E"/>
    <w:rsid w:val="001160D3"/>
    <w:rsid w:val="001167AF"/>
    <w:rsid w:val="0013187A"/>
    <w:rsid w:val="001357C7"/>
    <w:rsid w:val="00143AEE"/>
    <w:rsid w:val="00143EF4"/>
    <w:rsid w:val="00144747"/>
    <w:rsid w:val="001452B1"/>
    <w:rsid w:val="001556ED"/>
    <w:rsid w:val="001578F2"/>
    <w:rsid w:val="0016486C"/>
    <w:rsid w:val="0016708B"/>
    <w:rsid w:val="001703E1"/>
    <w:rsid w:val="00171A52"/>
    <w:rsid w:val="00174F87"/>
    <w:rsid w:val="00182827"/>
    <w:rsid w:val="0018393D"/>
    <w:rsid w:val="00183E24"/>
    <w:rsid w:val="00185D73"/>
    <w:rsid w:val="00186646"/>
    <w:rsid w:val="00190490"/>
    <w:rsid w:val="00191B91"/>
    <w:rsid w:val="0019410D"/>
    <w:rsid w:val="00196C49"/>
    <w:rsid w:val="001B0DF8"/>
    <w:rsid w:val="001B6202"/>
    <w:rsid w:val="001B66D3"/>
    <w:rsid w:val="001C0C8F"/>
    <w:rsid w:val="001C1DA9"/>
    <w:rsid w:val="001C2C34"/>
    <w:rsid w:val="001C4301"/>
    <w:rsid w:val="001C75F6"/>
    <w:rsid w:val="001D2835"/>
    <w:rsid w:val="001D2C95"/>
    <w:rsid w:val="001D7907"/>
    <w:rsid w:val="001E1B60"/>
    <w:rsid w:val="001E53A9"/>
    <w:rsid w:val="002029F1"/>
    <w:rsid w:val="002038F6"/>
    <w:rsid w:val="0020443D"/>
    <w:rsid w:val="002045DF"/>
    <w:rsid w:val="002054FE"/>
    <w:rsid w:val="002056B7"/>
    <w:rsid w:val="00206F82"/>
    <w:rsid w:val="00207FDA"/>
    <w:rsid w:val="002105CA"/>
    <w:rsid w:val="002116E1"/>
    <w:rsid w:val="00212B04"/>
    <w:rsid w:val="002143F3"/>
    <w:rsid w:val="00222D81"/>
    <w:rsid w:val="0022373C"/>
    <w:rsid w:val="00223FF2"/>
    <w:rsid w:val="00227A72"/>
    <w:rsid w:val="0023379D"/>
    <w:rsid w:val="002349C3"/>
    <w:rsid w:val="00237B91"/>
    <w:rsid w:val="00240255"/>
    <w:rsid w:val="002425EA"/>
    <w:rsid w:val="00243374"/>
    <w:rsid w:val="0024647A"/>
    <w:rsid w:val="00247D7B"/>
    <w:rsid w:val="00254D39"/>
    <w:rsid w:val="00254ECB"/>
    <w:rsid w:val="002564F1"/>
    <w:rsid w:val="002567BE"/>
    <w:rsid w:val="00257206"/>
    <w:rsid w:val="0026150F"/>
    <w:rsid w:val="0026183E"/>
    <w:rsid w:val="0026195F"/>
    <w:rsid w:val="0026497D"/>
    <w:rsid w:val="00266411"/>
    <w:rsid w:val="002669DD"/>
    <w:rsid w:val="00267BAB"/>
    <w:rsid w:val="002715A6"/>
    <w:rsid w:val="002730C9"/>
    <w:rsid w:val="002769F1"/>
    <w:rsid w:val="002810E2"/>
    <w:rsid w:val="002837D8"/>
    <w:rsid w:val="00283A33"/>
    <w:rsid w:val="002849CC"/>
    <w:rsid w:val="00285819"/>
    <w:rsid w:val="0029107D"/>
    <w:rsid w:val="00296B68"/>
    <w:rsid w:val="002A0213"/>
    <w:rsid w:val="002A1BD4"/>
    <w:rsid w:val="002A523B"/>
    <w:rsid w:val="002A7785"/>
    <w:rsid w:val="002B0264"/>
    <w:rsid w:val="002B46D6"/>
    <w:rsid w:val="002C7A39"/>
    <w:rsid w:val="002D0E0E"/>
    <w:rsid w:val="002D228F"/>
    <w:rsid w:val="002D43F4"/>
    <w:rsid w:val="002D6960"/>
    <w:rsid w:val="002E0490"/>
    <w:rsid w:val="002E50F6"/>
    <w:rsid w:val="002F0DBB"/>
    <w:rsid w:val="002F12C8"/>
    <w:rsid w:val="002F1E1A"/>
    <w:rsid w:val="00301027"/>
    <w:rsid w:val="00306400"/>
    <w:rsid w:val="00312962"/>
    <w:rsid w:val="00312992"/>
    <w:rsid w:val="00313348"/>
    <w:rsid w:val="00317650"/>
    <w:rsid w:val="00321FDE"/>
    <w:rsid w:val="003231AA"/>
    <w:rsid w:val="003257A8"/>
    <w:rsid w:val="00332C01"/>
    <w:rsid w:val="00334E9F"/>
    <w:rsid w:val="00343000"/>
    <w:rsid w:val="00350CE8"/>
    <w:rsid w:val="00360856"/>
    <w:rsid w:val="003618EC"/>
    <w:rsid w:val="003635B8"/>
    <w:rsid w:val="00364FBB"/>
    <w:rsid w:val="00374BBB"/>
    <w:rsid w:val="003761CB"/>
    <w:rsid w:val="00377B7A"/>
    <w:rsid w:val="003802AD"/>
    <w:rsid w:val="003805BD"/>
    <w:rsid w:val="00384BE6"/>
    <w:rsid w:val="003869B6"/>
    <w:rsid w:val="0039197A"/>
    <w:rsid w:val="00395AE6"/>
    <w:rsid w:val="003961AE"/>
    <w:rsid w:val="0039690A"/>
    <w:rsid w:val="003A775E"/>
    <w:rsid w:val="003A77AC"/>
    <w:rsid w:val="003B227A"/>
    <w:rsid w:val="003B3DBC"/>
    <w:rsid w:val="003B6E72"/>
    <w:rsid w:val="003C0C34"/>
    <w:rsid w:val="003C1CFF"/>
    <w:rsid w:val="003C661E"/>
    <w:rsid w:val="003C6D70"/>
    <w:rsid w:val="003C7C07"/>
    <w:rsid w:val="003D7546"/>
    <w:rsid w:val="003E0308"/>
    <w:rsid w:val="003F1EFF"/>
    <w:rsid w:val="003F1F30"/>
    <w:rsid w:val="003F2AF9"/>
    <w:rsid w:val="003F3512"/>
    <w:rsid w:val="003F6F61"/>
    <w:rsid w:val="003F7E7B"/>
    <w:rsid w:val="003F7F8A"/>
    <w:rsid w:val="0040269A"/>
    <w:rsid w:val="00403DCD"/>
    <w:rsid w:val="00412BF2"/>
    <w:rsid w:val="00415275"/>
    <w:rsid w:val="00415499"/>
    <w:rsid w:val="004217DE"/>
    <w:rsid w:val="00422FDD"/>
    <w:rsid w:val="00427E24"/>
    <w:rsid w:val="004320EB"/>
    <w:rsid w:val="00435AB2"/>
    <w:rsid w:val="00435E41"/>
    <w:rsid w:val="004364C8"/>
    <w:rsid w:val="004420C1"/>
    <w:rsid w:val="00455836"/>
    <w:rsid w:val="00461A95"/>
    <w:rsid w:val="00461B0E"/>
    <w:rsid w:val="004650F0"/>
    <w:rsid w:val="0046539C"/>
    <w:rsid w:val="00465642"/>
    <w:rsid w:val="0047199D"/>
    <w:rsid w:val="004731F2"/>
    <w:rsid w:val="00476E37"/>
    <w:rsid w:val="00483764"/>
    <w:rsid w:val="00484C35"/>
    <w:rsid w:val="00492220"/>
    <w:rsid w:val="00494143"/>
    <w:rsid w:val="00495EB6"/>
    <w:rsid w:val="00496C5B"/>
    <w:rsid w:val="004A586B"/>
    <w:rsid w:val="004B1D1C"/>
    <w:rsid w:val="004B27EE"/>
    <w:rsid w:val="004B4648"/>
    <w:rsid w:val="004B6D69"/>
    <w:rsid w:val="004C1C36"/>
    <w:rsid w:val="004C4663"/>
    <w:rsid w:val="004C4EC5"/>
    <w:rsid w:val="004D13EB"/>
    <w:rsid w:val="004E270E"/>
    <w:rsid w:val="004E6EB8"/>
    <w:rsid w:val="004F0466"/>
    <w:rsid w:val="004F26B1"/>
    <w:rsid w:val="004F34FF"/>
    <w:rsid w:val="004F66FD"/>
    <w:rsid w:val="004F784E"/>
    <w:rsid w:val="00500F20"/>
    <w:rsid w:val="00502350"/>
    <w:rsid w:val="00504A49"/>
    <w:rsid w:val="00505B79"/>
    <w:rsid w:val="005115DE"/>
    <w:rsid w:val="00513482"/>
    <w:rsid w:val="00516EF0"/>
    <w:rsid w:val="00523B62"/>
    <w:rsid w:val="00524F35"/>
    <w:rsid w:val="005270A5"/>
    <w:rsid w:val="00530A1F"/>
    <w:rsid w:val="00532560"/>
    <w:rsid w:val="005355E2"/>
    <w:rsid w:val="005357B1"/>
    <w:rsid w:val="00535C4F"/>
    <w:rsid w:val="00536904"/>
    <w:rsid w:val="0053783D"/>
    <w:rsid w:val="005401AA"/>
    <w:rsid w:val="00561049"/>
    <w:rsid w:val="00562211"/>
    <w:rsid w:val="00563956"/>
    <w:rsid w:val="00563D9E"/>
    <w:rsid w:val="00564610"/>
    <w:rsid w:val="00566092"/>
    <w:rsid w:val="00567680"/>
    <w:rsid w:val="00570F9A"/>
    <w:rsid w:val="0057119C"/>
    <w:rsid w:val="005729DA"/>
    <w:rsid w:val="0057552A"/>
    <w:rsid w:val="00576805"/>
    <w:rsid w:val="00582374"/>
    <w:rsid w:val="005831B3"/>
    <w:rsid w:val="0058460E"/>
    <w:rsid w:val="00585250"/>
    <w:rsid w:val="00590742"/>
    <w:rsid w:val="0059104E"/>
    <w:rsid w:val="005914D9"/>
    <w:rsid w:val="00596B8D"/>
    <w:rsid w:val="005A1F0C"/>
    <w:rsid w:val="005A2D6A"/>
    <w:rsid w:val="005A715B"/>
    <w:rsid w:val="005A7E6D"/>
    <w:rsid w:val="005B32FF"/>
    <w:rsid w:val="005B3839"/>
    <w:rsid w:val="005C0A09"/>
    <w:rsid w:val="005C2ED0"/>
    <w:rsid w:val="005C5B54"/>
    <w:rsid w:val="005C5B8A"/>
    <w:rsid w:val="005C6036"/>
    <w:rsid w:val="005C7AFF"/>
    <w:rsid w:val="005D0D47"/>
    <w:rsid w:val="005D47CE"/>
    <w:rsid w:val="005E0F15"/>
    <w:rsid w:val="005E1636"/>
    <w:rsid w:val="005E4D17"/>
    <w:rsid w:val="005F1564"/>
    <w:rsid w:val="005F4D94"/>
    <w:rsid w:val="005F6E9E"/>
    <w:rsid w:val="005F7274"/>
    <w:rsid w:val="005F7F63"/>
    <w:rsid w:val="006008EF"/>
    <w:rsid w:val="0060099B"/>
    <w:rsid w:val="00602718"/>
    <w:rsid w:val="00603D75"/>
    <w:rsid w:val="00605D03"/>
    <w:rsid w:val="006071D3"/>
    <w:rsid w:val="00613963"/>
    <w:rsid w:val="00614133"/>
    <w:rsid w:val="006163E8"/>
    <w:rsid w:val="00617C67"/>
    <w:rsid w:val="00620A06"/>
    <w:rsid w:val="00621664"/>
    <w:rsid w:val="00621A55"/>
    <w:rsid w:val="006263CB"/>
    <w:rsid w:val="006278C1"/>
    <w:rsid w:val="0062794B"/>
    <w:rsid w:val="00633964"/>
    <w:rsid w:val="00634D8C"/>
    <w:rsid w:val="006353B8"/>
    <w:rsid w:val="006361A0"/>
    <w:rsid w:val="00636C82"/>
    <w:rsid w:val="00637B82"/>
    <w:rsid w:val="0064486C"/>
    <w:rsid w:val="00646A04"/>
    <w:rsid w:val="00651846"/>
    <w:rsid w:val="00652638"/>
    <w:rsid w:val="00655846"/>
    <w:rsid w:val="00656836"/>
    <w:rsid w:val="00663994"/>
    <w:rsid w:val="00665D35"/>
    <w:rsid w:val="00675F66"/>
    <w:rsid w:val="00684FF4"/>
    <w:rsid w:val="00686B7E"/>
    <w:rsid w:val="0068742D"/>
    <w:rsid w:val="006874F6"/>
    <w:rsid w:val="006926B2"/>
    <w:rsid w:val="00693CEB"/>
    <w:rsid w:val="006A1AF8"/>
    <w:rsid w:val="006A5688"/>
    <w:rsid w:val="006A5786"/>
    <w:rsid w:val="006A5EA7"/>
    <w:rsid w:val="006B00B1"/>
    <w:rsid w:val="006B09BD"/>
    <w:rsid w:val="006B0D9F"/>
    <w:rsid w:val="006B396C"/>
    <w:rsid w:val="006C4059"/>
    <w:rsid w:val="006C652D"/>
    <w:rsid w:val="006D0722"/>
    <w:rsid w:val="006D0E60"/>
    <w:rsid w:val="006D2238"/>
    <w:rsid w:val="006E05F7"/>
    <w:rsid w:val="006E0DB6"/>
    <w:rsid w:val="006E432F"/>
    <w:rsid w:val="006E4533"/>
    <w:rsid w:val="006E51E1"/>
    <w:rsid w:val="006E7C30"/>
    <w:rsid w:val="006F1B05"/>
    <w:rsid w:val="006F53F7"/>
    <w:rsid w:val="006F5820"/>
    <w:rsid w:val="0072068A"/>
    <w:rsid w:val="007273F1"/>
    <w:rsid w:val="007306A1"/>
    <w:rsid w:val="0073083E"/>
    <w:rsid w:val="007347F7"/>
    <w:rsid w:val="00734CF4"/>
    <w:rsid w:val="00735061"/>
    <w:rsid w:val="007374E6"/>
    <w:rsid w:val="00743E10"/>
    <w:rsid w:val="007477F5"/>
    <w:rsid w:val="007521EB"/>
    <w:rsid w:val="007563A2"/>
    <w:rsid w:val="00756722"/>
    <w:rsid w:val="00761320"/>
    <w:rsid w:val="007620E1"/>
    <w:rsid w:val="00764ABA"/>
    <w:rsid w:val="00766634"/>
    <w:rsid w:val="00771E83"/>
    <w:rsid w:val="00772303"/>
    <w:rsid w:val="00772C4B"/>
    <w:rsid w:val="00781132"/>
    <w:rsid w:val="00781E61"/>
    <w:rsid w:val="00783724"/>
    <w:rsid w:val="00785E32"/>
    <w:rsid w:val="00796578"/>
    <w:rsid w:val="007A0D7E"/>
    <w:rsid w:val="007A1348"/>
    <w:rsid w:val="007A1CA2"/>
    <w:rsid w:val="007A1F06"/>
    <w:rsid w:val="007A5042"/>
    <w:rsid w:val="007A5149"/>
    <w:rsid w:val="007A52AC"/>
    <w:rsid w:val="007B2B6E"/>
    <w:rsid w:val="007B3EA3"/>
    <w:rsid w:val="007B4D15"/>
    <w:rsid w:val="007B582D"/>
    <w:rsid w:val="007C60BF"/>
    <w:rsid w:val="007C71FF"/>
    <w:rsid w:val="007C7D4B"/>
    <w:rsid w:val="007D0B4E"/>
    <w:rsid w:val="007D0EE8"/>
    <w:rsid w:val="007D1B2A"/>
    <w:rsid w:val="007E0F57"/>
    <w:rsid w:val="007E176D"/>
    <w:rsid w:val="007E2755"/>
    <w:rsid w:val="007E5403"/>
    <w:rsid w:val="007F53F3"/>
    <w:rsid w:val="007F6893"/>
    <w:rsid w:val="007F7FEC"/>
    <w:rsid w:val="008008AA"/>
    <w:rsid w:val="00802F0C"/>
    <w:rsid w:val="008060EB"/>
    <w:rsid w:val="0081155A"/>
    <w:rsid w:val="0081233A"/>
    <w:rsid w:val="00812A5B"/>
    <w:rsid w:val="00813D63"/>
    <w:rsid w:val="008168A9"/>
    <w:rsid w:val="0082015A"/>
    <w:rsid w:val="0082138A"/>
    <w:rsid w:val="0082385E"/>
    <w:rsid w:val="00826F04"/>
    <w:rsid w:val="00827750"/>
    <w:rsid w:val="00830975"/>
    <w:rsid w:val="008327BE"/>
    <w:rsid w:val="008328AD"/>
    <w:rsid w:val="00833993"/>
    <w:rsid w:val="00834A39"/>
    <w:rsid w:val="00837D32"/>
    <w:rsid w:val="00840073"/>
    <w:rsid w:val="008440C2"/>
    <w:rsid w:val="00847127"/>
    <w:rsid w:val="008506E0"/>
    <w:rsid w:val="008519E0"/>
    <w:rsid w:val="00851BAF"/>
    <w:rsid w:val="00851E8C"/>
    <w:rsid w:val="00862791"/>
    <w:rsid w:val="00864358"/>
    <w:rsid w:val="00866947"/>
    <w:rsid w:val="00866FB4"/>
    <w:rsid w:val="00873089"/>
    <w:rsid w:val="008741E5"/>
    <w:rsid w:val="00875676"/>
    <w:rsid w:val="008763E2"/>
    <w:rsid w:val="00876D6D"/>
    <w:rsid w:val="008908DC"/>
    <w:rsid w:val="00891B92"/>
    <w:rsid w:val="008B29BB"/>
    <w:rsid w:val="008B45A0"/>
    <w:rsid w:val="008C20BE"/>
    <w:rsid w:val="008C3C4D"/>
    <w:rsid w:val="008C4105"/>
    <w:rsid w:val="008D0DB7"/>
    <w:rsid w:val="008D3C65"/>
    <w:rsid w:val="008D4B99"/>
    <w:rsid w:val="008D7414"/>
    <w:rsid w:val="008D7CC1"/>
    <w:rsid w:val="008E29E1"/>
    <w:rsid w:val="008E3691"/>
    <w:rsid w:val="008E480A"/>
    <w:rsid w:val="008E6393"/>
    <w:rsid w:val="008F2226"/>
    <w:rsid w:val="008F58D7"/>
    <w:rsid w:val="008F6445"/>
    <w:rsid w:val="00900333"/>
    <w:rsid w:val="00900793"/>
    <w:rsid w:val="0091418E"/>
    <w:rsid w:val="00914FB9"/>
    <w:rsid w:val="00925104"/>
    <w:rsid w:val="00940883"/>
    <w:rsid w:val="0094221F"/>
    <w:rsid w:val="00953000"/>
    <w:rsid w:val="00955369"/>
    <w:rsid w:val="00955B66"/>
    <w:rsid w:val="009561C7"/>
    <w:rsid w:val="00957253"/>
    <w:rsid w:val="0096498F"/>
    <w:rsid w:val="00965C7F"/>
    <w:rsid w:val="009660D5"/>
    <w:rsid w:val="00971D55"/>
    <w:rsid w:val="0097330E"/>
    <w:rsid w:val="0097363B"/>
    <w:rsid w:val="009747D4"/>
    <w:rsid w:val="009757F7"/>
    <w:rsid w:val="00976087"/>
    <w:rsid w:val="009804CA"/>
    <w:rsid w:val="0098087A"/>
    <w:rsid w:val="009832CD"/>
    <w:rsid w:val="009851AE"/>
    <w:rsid w:val="009851C1"/>
    <w:rsid w:val="0098591A"/>
    <w:rsid w:val="00985FD0"/>
    <w:rsid w:val="009860BA"/>
    <w:rsid w:val="00986F06"/>
    <w:rsid w:val="00987986"/>
    <w:rsid w:val="00990A2D"/>
    <w:rsid w:val="00990BE6"/>
    <w:rsid w:val="00992A5A"/>
    <w:rsid w:val="00992DC6"/>
    <w:rsid w:val="00993CFB"/>
    <w:rsid w:val="00994710"/>
    <w:rsid w:val="00996A08"/>
    <w:rsid w:val="009A1038"/>
    <w:rsid w:val="009A128B"/>
    <w:rsid w:val="009A345C"/>
    <w:rsid w:val="009A7EDA"/>
    <w:rsid w:val="009B00D5"/>
    <w:rsid w:val="009B3D4A"/>
    <w:rsid w:val="009B5A90"/>
    <w:rsid w:val="009B739E"/>
    <w:rsid w:val="009C3AE7"/>
    <w:rsid w:val="009C5B8A"/>
    <w:rsid w:val="009D12C7"/>
    <w:rsid w:val="009D3273"/>
    <w:rsid w:val="009E31B7"/>
    <w:rsid w:val="009E3635"/>
    <w:rsid w:val="009F038F"/>
    <w:rsid w:val="009F1265"/>
    <w:rsid w:val="009F19FA"/>
    <w:rsid w:val="009F5D4B"/>
    <w:rsid w:val="00A01876"/>
    <w:rsid w:val="00A01B06"/>
    <w:rsid w:val="00A01C09"/>
    <w:rsid w:val="00A02293"/>
    <w:rsid w:val="00A02875"/>
    <w:rsid w:val="00A062E4"/>
    <w:rsid w:val="00A148E7"/>
    <w:rsid w:val="00A17A1A"/>
    <w:rsid w:val="00A21F59"/>
    <w:rsid w:val="00A22138"/>
    <w:rsid w:val="00A2240C"/>
    <w:rsid w:val="00A2266C"/>
    <w:rsid w:val="00A2474A"/>
    <w:rsid w:val="00A312DD"/>
    <w:rsid w:val="00A47956"/>
    <w:rsid w:val="00A5150A"/>
    <w:rsid w:val="00A532F8"/>
    <w:rsid w:val="00A63A51"/>
    <w:rsid w:val="00A71C17"/>
    <w:rsid w:val="00A75A37"/>
    <w:rsid w:val="00A75D22"/>
    <w:rsid w:val="00A77035"/>
    <w:rsid w:val="00A817C9"/>
    <w:rsid w:val="00A85540"/>
    <w:rsid w:val="00A85961"/>
    <w:rsid w:val="00A8620E"/>
    <w:rsid w:val="00A9098A"/>
    <w:rsid w:val="00AA0232"/>
    <w:rsid w:val="00AA4C83"/>
    <w:rsid w:val="00AA5D0A"/>
    <w:rsid w:val="00AA72E8"/>
    <w:rsid w:val="00AB1765"/>
    <w:rsid w:val="00AB46D8"/>
    <w:rsid w:val="00AB5C8D"/>
    <w:rsid w:val="00AC2464"/>
    <w:rsid w:val="00AC2CFA"/>
    <w:rsid w:val="00AC30A0"/>
    <w:rsid w:val="00AC3379"/>
    <w:rsid w:val="00AD3C64"/>
    <w:rsid w:val="00AD657C"/>
    <w:rsid w:val="00AE6B6A"/>
    <w:rsid w:val="00AF539A"/>
    <w:rsid w:val="00B03D8B"/>
    <w:rsid w:val="00B066F4"/>
    <w:rsid w:val="00B076C0"/>
    <w:rsid w:val="00B104C1"/>
    <w:rsid w:val="00B1297D"/>
    <w:rsid w:val="00B12D93"/>
    <w:rsid w:val="00B14541"/>
    <w:rsid w:val="00B15AD6"/>
    <w:rsid w:val="00B16899"/>
    <w:rsid w:val="00B176E7"/>
    <w:rsid w:val="00B22F6A"/>
    <w:rsid w:val="00B26341"/>
    <w:rsid w:val="00B33157"/>
    <w:rsid w:val="00B33ABB"/>
    <w:rsid w:val="00B364B0"/>
    <w:rsid w:val="00B36955"/>
    <w:rsid w:val="00B4168E"/>
    <w:rsid w:val="00B471F5"/>
    <w:rsid w:val="00B50854"/>
    <w:rsid w:val="00B52AED"/>
    <w:rsid w:val="00B53086"/>
    <w:rsid w:val="00B538DD"/>
    <w:rsid w:val="00B55637"/>
    <w:rsid w:val="00B60974"/>
    <w:rsid w:val="00B610A7"/>
    <w:rsid w:val="00B6370C"/>
    <w:rsid w:val="00B6481C"/>
    <w:rsid w:val="00B64F09"/>
    <w:rsid w:val="00B74B9A"/>
    <w:rsid w:val="00B75CA2"/>
    <w:rsid w:val="00B7733B"/>
    <w:rsid w:val="00B83C80"/>
    <w:rsid w:val="00B84F9E"/>
    <w:rsid w:val="00B90DB1"/>
    <w:rsid w:val="00B928FF"/>
    <w:rsid w:val="00B96BF4"/>
    <w:rsid w:val="00BA2FA9"/>
    <w:rsid w:val="00BA53C9"/>
    <w:rsid w:val="00BA60A1"/>
    <w:rsid w:val="00BA6118"/>
    <w:rsid w:val="00BA6D49"/>
    <w:rsid w:val="00BA7A58"/>
    <w:rsid w:val="00BB06B6"/>
    <w:rsid w:val="00BB2C0E"/>
    <w:rsid w:val="00BB7BDF"/>
    <w:rsid w:val="00BC67C9"/>
    <w:rsid w:val="00BC7998"/>
    <w:rsid w:val="00BC7B6C"/>
    <w:rsid w:val="00BD2EFB"/>
    <w:rsid w:val="00BD3B33"/>
    <w:rsid w:val="00BD5F70"/>
    <w:rsid w:val="00BE1189"/>
    <w:rsid w:val="00BE1F2B"/>
    <w:rsid w:val="00BE494A"/>
    <w:rsid w:val="00BF112D"/>
    <w:rsid w:val="00BF1D70"/>
    <w:rsid w:val="00BF4FD1"/>
    <w:rsid w:val="00C00F65"/>
    <w:rsid w:val="00C047CB"/>
    <w:rsid w:val="00C04B43"/>
    <w:rsid w:val="00C05B2C"/>
    <w:rsid w:val="00C071BC"/>
    <w:rsid w:val="00C2121D"/>
    <w:rsid w:val="00C25385"/>
    <w:rsid w:val="00C32B81"/>
    <w:rsid w:val="00C37756"/>
    <w:rsid w:val="00C40D92"/>
    <w:rsid w:val="00C43982"/>
    <w:rsid w:val="00C47041"/>
    <w:rsid w:val="00C6297C"/>
    <w:rsid w:val="00C835D2"/>
    <w:rsid w:val="00C84CD3"/>
    <w:rsid w:val="00C9075F"/>
    <w:rsid w:val="00C92AD2"/>
    <w:rsid w:val="00C92BCC"/>
    <w:rsid w:val="00C94F8F"/>
    <w:rsid w:val="00C96159"/>
    <w:rsid w:val="00CA3E60"/>
    <w:rsid w:val="00CA5B57"/>
    <w:rsid w:val="00CB0ADE"/>
    <w:rsid w:val="00CB2656"/>
    <w:rsid w:val="00CC7413"/>
    <w:rsid w:val="00CD083B"/>
    <w:rsid w:val="00CE2003"/>
    <w:rsid w:val="00CE5FF6"/>
    <w:rsid w:val="00CE6BAE"/>
    <w:rsid w:val="00CE7326"/>
    <w:rsid w:val="00CF1174"/>
    <w:rsid w:val="00CF749B"/>
    <w:rsid w:val="00D0007A"/>
    <w:rsid w:val="00D017B8"/>
    <w:rsid w:val="00D01D9D"/>
    <w:rsid w:val="00D052B2"/>
    <w:rsid w:val="00D130D8"/>
    <w:rsid w:val="00D23796"/>
    <w:rsid w:val="00D24DD4"/>
    <w:rsid w:val="00D25459"/>
    <w:rsid w:val="00D26C3B"/>
    <w:rsid w:val="00D30CBD"/>
    <w:rsid w:val="00D35C9E"/>
    <w:rsid w:val="00D35FED"/>
    <w:rsid w:val="00D47499"/>
    <w:rsid w:val="00D524BD"/>
    <w:rsid w:val="00D57D04"/>
    <w:rsid w:val="00D62B1A"/>
    <w:rsid w:val="00D6387C"/>
    <w:rsid w:val="00D6422F"/>
    <w:rsid w:val="00D64340"/>
    <w:rsid w:val="00D67DC1"/>
    <w:rsid w:val="00D72CA2"/>
    <w:rsid w:val="00D743B4"/>
    <w:rsid w:val="00D771A4"/>
    <w:rsid w:val="00D7786F"/>
    <w:rsid w:val="00D802AB"/>
    <w:rsid w:val="00D83253"/>
    <w:rsid w:val="00DA151C"/>
    <w:rsid w:val="00DA6BBD"/>
    <w:rsid w:val="00DA7D57"/>
    <w:rsid w:val="00DB2CC7"/>
    <w:rsid w:val="00DB46B9"/>
    <w:rsid w:val="00DB49BD"/>
    <w:rsid w:val="00DB5A0C"/>
    <w:rsid w:val="00DC1D3C"/>
    <w:rsid w:val="00DC26AA"/>
    <w:rsid w:val="00DC2DA8"/>
    <w:rsid w:val="00DC4DC9"/>
    <w:rsid w:val="00DC5A3B"/>
    <w:rsid w:val="00DD39F3"/>
    <w:rsid w:val="00DD52B1"/>
    <w:rsid w:val="00DD61A2"/>
    <w:rsid w:val="00DE07EB"/>
    <w:rsid w:val="00DE2D3A"/>
    <w:rsid w:val="00DE5947"/>
    <w:rsid w:val="00DF0123"/>
    <w:rsid w:val="00DF535B"/>
    <w:rsid w:val="00DF7C22"/>
    <w:rsid w:val="00E01026"/>
    <w:rsid w:val="00E06E64"/>
    <w:rsid w:val="00E07B82"/>
    <w:rsid w:val="00E133FE"/>
    <w:rsid w:val="00E21BEF"/>
    <w:rsid w:val="00E23F20"/>
    <w:rsid w:val="00E348F4"/>
    <w:rsid w:val="00E34969"/>
    <w:rsid w:val="00E349AA"/>
    <w:rsid w:val="00E4359F"/>
    <w:rsid w:val="00E46C29"/>
    <w:rsid w:val="00E53134"/>
    <w:rsid w:val="00E56489"/>
    <w:rsid w:val="00E61973"/>
    <w:rsid w:val="00E634D7"/>
    <w:rsid w:val="00E63891"/>
    <w:rsid w:val="00E67559"/>
    <w:rsid w:val="00E67D65"/>
    <w:rsid w:val="00E70B86"/>
    <w:rsid w:val="00E70FF1"/>
    <w:rsid w:val="00E71AB5"/>
    <w:rsid w:val="00E80D53"/>
    <w:rsid w:val="00E83559"/>
    <w:rsid w:val="00E87569"/>
    <w:rsid w:val="00E90A87"/>
    <w:rsid w:val="00E943A5"/>
    <w:rsid w:val="00E94AC0"/>
    <w:rsid w:val="00E9651B"/>
    <w:rsid w:val="00EA70D5"/>
    <w:rsid w:val="00EB5482"/>
    <w:rsid w:val="00EC495E"/>
    <w:rsid w:val="00EC6606"/>
    <w:rsid w:val="00EC6D3B"/>
    <w:rsid w:val="00ED2C5D"/>
    <w:rsid w:val="00ED4646"/>
    <w:rsid w:val="00ED6AD2"/>
    <w:rsid w:val="00ED7E43"/>
    <w:rsid w:val="00EE4199"/>
    <w:rsid w:val="00EE67B0"/>
    <w:rsid w:val="00EF5A32"/>
    <w:rsid w:val="00EF78D9"/>
    <w:rsid w:val="00F02814"/>
    <w:rsid w:val="00F02E86"/>
    <w:rsid w:val="00F0375B"/>
    <w:rsid w:val="00F04361"/>
    <w:rsid w:val="00F06157"/>
    <w:rsid w:val="00F07F9F"/>
    <w:rsid w:val="00F140EF"/>
    <w:rsid w:val="00F176F3"/>
    <w:rsid w:val="00F200C8"/>
    <w:rsid w:val="00F20CFF"/>
    <w:rsid w:val="00F23AE8"/>
    <w:rsid w:val="00F25FCA"/>
    <w:rsid w:val="00F27322"/>
    <w:rsid w:val="00F37E33"/>
    <w:rsid w:val="00F45379"/>
    <w:rsid w:val="00F46DBC"/>
    <w:rsid w:val="00F54A43"/>
    <w:rsid w:val="00F56BA9"/>
    <w:rsid w:val="00F57023"/>
    <w:rsid w:val="00F57905"/>
    <w:rsid w:val="00F6189E"/>
    <w:rsid w:val="00F65B1E"/>
    <w:rsid w:val="00F7688E"/>
    <w:rsid w:val="00F817CC"/>
    <w:rsid w:val="00F84442"/>
    <w:rsid w:val="00F90E50"/>
    <w:rsid w:val="00F930AF"/>
    <w:rsid w:val="00F9695A"/>
    <w:rsid w:val="00F96A16"/>
    <w:rsid w:val="00F96EB4"/>
    <w:rsid w:val="00FA07C2"/>
    <w:rsid w:val="00FA19A7"/>
    <w:rsid w:val="00FA1E47"/>
    <w:rsid w:val="00FA2B44"/>
    <w:rsid w:val="00FA447D"/>
    <w:rsid w:val="00FA55B7"/>
    <w:rsid w:val="00FA696C"/>
    <w:rsid w:val="00FB569E"/>
    <w:rsid w:val="00FC4105"/>
    <w:rsid w:val="00FC638F"/>
    <w:rsid w:val="00FC65B5"/>
    <w:rsid w:val="00FD0C6B"/>
    <w:rsid w:val="00FD6B93"/>
    <w:rsid w:val="00FD6F56"/>
    <w:rsid w:val="00FE1FB9"/>
    <w:rsid w:val="00FE4CE1"/>
    <w:rsid w:val="00FF0D4F"/>
    <w:rsid w:val="00FF2204"/>
    <w:rsid w:val="00FF221C"/>
    <w:rsid w:val="00FF70FE"/>
    <w:rsid w:val="00FF7386"/>
    <w:rsid w:val="00FF77B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E1917B"/>
  <w15:docId w15:val="{390FD3B9-57A9-4FAB-98E3-43B1D936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0C"/>
    <w:pPr>
      <w:keepLines/>
    </w:pPr>
    <w:rPr>
      <w:color w:val="54575A" w:themeColor="text1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EF4"/>
    <w:pPr>
      <w:keepNext/>
      <w:spacing w:before="240" w:after="240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EF4"/>
    <w:pPr>
      <w:keepNext/>
      <w:spacing w:before="40" w:after="24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EF4"/>
    <w:pPr>
      <w:keepNext/>
      <w:spacing w:before="40" w:after="120"/>
      <w:outlineLvl w:val="2"/>
    </w:pPr>
    <w:rPr>
      <w:rFonts w:ascii="Segoe UI Semibold" w:eastAsiaTheme="majorEastAsia" w:hAnsi="Segoe UI Semibold" w:cs="Segoe UI Semibold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6422F"/>
    <w:pPr>
      <w:spacing w:before="1200" w:after="0" w:line="1200" w:lineRule="exact"/>
      <w:contextualSpacing/>
    </w:pPr>
    <w:rPr>
      <w:rFonts w:ascii="Segoe UI Light" w:eastAsiaTheme="majorEastAsia" w:hAnsi="Segoe UI Light" w:cs="Segoe UI Light"/>
      <w:b/>
      <w:spacing w:val="-10"/>
      <w:kern w:val="28"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D6422F"/>
    <w:rPr>
      <w:rFonts w:ascii="Segoe UI Light" w:eastAsiaTheme="majorEastAsia" w:hAnsi="Segoe UI Light" w:cs="Segoe UI Light"/>
      <w:b/>
      <w:color w:val="54575A" w:themeColor="text1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143EF4"/>
    <w:rPr>
      <w:rFonts w:asciiTheme="majorHAnsi" w:eastAsiaTheme="majorEastAsia" w:hAnsiTheme="majorHAnsi" w:cstheme="majorBidi"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143EF4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3EF4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F46DBC"/>
    <w:pPr>
      <w:outlineLvl w:val="9"/>
    </w:pPr>
    <w:rPr>
      <w:color w:val="9F0040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37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76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83764"/>
    <w:rPr>
      <w:color w:val="0099A8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95EB6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6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0F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0F"/>
    <w:rPr>
      <w:b/>
      <w:bCs/>
      <w:color w:val="54575A" w:themeColor="text1"/>
      <w:sz w:val="20"/>
      <w:szCs w:val="20"/>
      <w:lang w:val="fr-CA"/>
    </w:rPr>
  </w:style>
  <w:style w:type="table" w:customStyle="1" w:styleId="PlainTable11">
    <w:name w:val="Plain Table 11"/>
    <w:basedOn w:val="TableNormal"/>
    <w:uiPriority w:val="41"/>
    <w:rsid w:val="00A01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6D8"/>
    <w:rPr>
      <w:color w:val="A5A5A5" w:themeColor="followedHyperlink"/>
      <w:u w:val="single"/>
    </w:rPr>
  </w:style>
  <w:style w:type="paragraph" w:styleId="Revision">
    <w:name w:val="Revision"/>
    <w:hidden/>
    <w:uiPriority w:val="99"/>
    <w:semiHidden/>
    <w:rsid w:val="00D62B1A"/>
    <w:pPr>
      <w:spacing w:after="0" w:line="240" w:lineRule="auto"/>
    </w:pPr>
    <w:rPr>
      <w:color w:val="54575A" w:themeColor="text1"/>
      <w:lang w:val="fr-CA"/>
    </w:rPr>
  </w:style>
  <w:style w:type="paragraph" w:styleId="Caption">
    <w:name w:val="caption"/>
    <w:basedOn w:val="Normal"/>
    <w:next w:val="Normal"/>
    <w:uiPriority w:val="35"/>
    <w:unhideWhenUsed/>
    <w:qFormat/>
    <w:rsid w:val="007C7D4B"/>
    <w:pPr>
      <w:spacing w:after="200" w:line="240" w:lineRule="auto"/>
    </w:pPr>
    <w:rPr>
      <w:i/>
      <w:iCs/>
      <w:color w:val="54575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Rapport-CFP2019.dotx" TargetMode="External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A237-5B63-4EBA-8D52-4D77DBE5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Rapport-CFP2019.dotx</Template>
  <TotalTime>213</TotalTime>
  <Pages>15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dbarbaga</dc:creator>
  <cp:lastModifiedBy>Daniel Spracklin</cp:lastModifiedBy>
  <cp:revision>61</cp:revision>
  <cp:lastPrinted>2019-07-11T17:58:00Z</cp:lastPrinted>
  <dcterms:created xsi:type="dcterms:W3CDTF">2020-09-18T16:31:00Z</dcterms:created>
  <dcterms:modified xsi:type="dcterms:W3CDTF">2020-12-09T01:13:00Z</dcterms:modified>
</cp:coreProperties>
</file>