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AE7A9" w14:textId="77777777" w:rsidR="00E21BEF" w:rsidRPr="00143EF4" w:rsidRDefault="000C19EC" w:rsidP="00B26341">
      <w:pPr>
        <w:pStyle w:val="Title"/>
      </w:pPr>
      <w:bookmarkStart w:id="0" w:name="_GoBack"/>
      <w:bookmarkEnd w:id="0"/>
      <w:r>
        <w:t>Public Service Commission</w:t>
      </w:r>
    </w:p>
    <w:p w14:paraId="46E481A3" w14:textId="56D16BDC" w:rsidR="00646A04" w:rsidRPr="00F07819" w:rsidRDefault="00FD6D4D" w:rsidP="00F07819">
      <w:pPr>
        <w:pStyle w:val="Subtitle"/>
        <w:rPr>
          <w:b/>
          <w:lang w:val="en-CA"/>
        </w:rPr>
      </w:pPr>
      <w:r w:rsidRPr="00FD6D4D">
        <w:rPr>
          <w:b/>
          <w:lang w:val="en-CA"/>
        </w:rPr>
        <w:t>Non-advertised appointments by employment equity group</w:t>
      </w:r>
      <w:r w:rsidR="00646A04" w:rsidRPr="000C19EC">
        <w:rPr>
          <w:lang w:val="en-CA"/>
        </w:rPr>
        <w:br w:type="page"/>
      </w:r>
    </w:p>
    <w:p w14:paraId="474E2F98" w14:textId="77777777" w:rsidR="001703E1" w:rsidRDefault="001703E1" w:rsidP="001703E1">
      <w:pPr>
        <w:pStyle w:val="Heading2"/>
      </w:pPr>
      <w:r>
        <w:lastRenderedPageBreak/>
        <w:t>Non-advertised appointments by employment equity group</w:t>
      </w:r>
    </w:p>
    <w:p w14:paraId="1D84AAD8" w14:textId="77777777" w:rsidR="006F67B0" w:rsidRPr="00590C6F" w:rsidRDefault="00A33241" w:rsidP="00B747A2">
      <w:pPr>
        <w:pStyle w:val="Heading3"/>
      </w:pPr>
      <w:r>
        <w:t>BACKGROUND</w:t>
      </w:r>
    </w:p>
    <w:p w14:paraId="059AE508" w14:textId="30E5D7E1" w:rsidR="007C190C" w:rsidRPr="00CA1A37" w:rsidRDefault="007C190C" w:rsidP="00B747A2">
      <w:pPr>
        <w:rPr>
          <w:lang w:val="en-CA"/>
        </w:rPr>
      </w:pPr>
      <w:r w:rsidRPr="00CA1A37">
        <w:rPr>
          <w:lang w:val="en-CA"/>
        </w:rPr>
        <w:t>The PSC</w:t>
      </w:r>
      <w:r w:rsidR="007E30C1">
        <w:rPr>
          <w:lang w:val="en-CA"/>
        </w:rPr>
        <w:t>’s</w:t>
      </w:r>
      <w:r w:rsidRPr="00CA1A37">
        <w:rPr>
          <w:lang w:val="en-CA"/>
        </w:rPr>
        <w:t xml:space="preserve"> New Direction in Staffing (NDS) came </w:t>
      </w:r>
      <w:r w:rsidR="00CA1A37">
        <w:rPr>
          <w:lang w:val="en-CA"/>
        </w:rPr>
        <w:t xml:space="preserve">into effect April 1st 2016. It </w:t>
      </w:r>
      <w:r w:rsidRPr="00CA1A37">
        <w:rPr>
          <w:lang w:val="en-CA"/>
        </w:rPr>
        <w:t>was</w:t>
      </w:r>
      <w:r w:rsidR="00CA1A37">
        <w:rPr>
          <w:lang w:val="en-CA"/>
        </w:rPr>
        <w:t xml:space="preserve"> intended</w:t>
      </w:r>
      <w:r w:rsidRPr="00CA1A37">
        <w:rPr>
          <w:lang w:val="en-CA"/>
        </w:rPr>
        <w:t xml:space="preserve"> to simplify and streamline staffing across the public service</w:t>
      </w:r>
      <w:r w:rsidR="00CA1A37">
        <w:rPr>
          <w:lang w:val="en-CA"/>
        </w:rPr>
        <w:t xml:space="preserve">, and provide a greater ability for </w:t>
      </w:r>
      <w:r w:rsidRPr="00CA1A37">
        <w:rPr>
          <w:lang w:val="en-CA"/>
        </w:rPr>
        <w:t xml:space="preserve">organizations to customize staffing based </w:t>
      </w:r>
      <w:r w:rsidR="00F07819">
        <w:rPr>
          <w:lang w:val="en-CA"/>
        </w:rPr>
        <w:t>on their organizational needs.</w:t>
      </w:r>
    </w:p>
    <w:p w14:paraId="22511F1A" w14:textId="77777777" w:rsidR="007C190C" w:rsidRDefault="00CA1A37" w:rsidP="00B747A2">
      <w:pPr>
        <w:rPr>
          <w:lang w:val="en-CA"/>
        </w:rPr>
      </w:pPr>
      <w:r>
        <w:rPr>
          <w:lang w:val="en-CA"/>
        </w:rPr>
        <w:t xml:space="preserve">As part of the NDS, the </w:t>
      </w:r>
      <w:r w:rsidRPr="00CA1A37">
        <w:rPr>
          <w:lang w:val="en-CA"/>
        </w:rPr>
        <w:t>Appointment Delegation and Accountability Instrument</w:t>
      </w:r>
      <w:r>
        <w:rPr>
          <w:lang w:val="en-CA"/>
        </w:rPr>
        <w:t xml:space="preserve"> </w:t>
      </w:r>
      <w:r w:rsidR="003144D9">
        <w:rPr>
          <w:lang w:val="en-CA"/>
        </w:rPr>
        <w:t xml:space="preserve">– </w:t>
      </w:r>
      <w:r>
        <w:rPr>
          <w:lang w:val="en-CA"/>
        </w:rPr>
        <w:t>which sets out the terms and conditions for de</w:t>
      </w:r>
      <w:r w:rsidR="003144D9">
        <w:rPr>
          <w:lang w:val="en-CA"/>
        </w:rPr>
        <w:t xml:space="preserve">legation of hiring authorities – </w:t>
      </w:r>
      <w:r>
        <w:rPr>
          <w:lang w:val="en-CA"/>
        </w:rPr>
        <w:t>requires deputy heads to “establish direction, through policy, planning or other means, on the use of advertised and non-advertised appointment processes”.</w:t>
      </w:r>
    </w:p>
    <w:p w14:paraId="1D22EEF5" w14:textId="7C979618" w:rsidR="00CA1A37" w:rsidRDefault="00CA1A37" w:rsidP="00BA616D">
      <w:pPr>
        <w:rPr>
          <w:lang w:val="en-CA"/>
        </w:rPr>
      </w:pPr>
      <w:r>
        <w:rPr>
          <w:lang w:val="en-CA"/>
        </w:rPr>
        <w:t>A common direction across organizations for the use of non-advertised processes is to support Employment Equity objectives.</w:t>
      </w:r>
    </w:p>
    <w:p w14:paraId="0D818567" w14:textId="3A076605" w:rsidR="00E16288" w:rsidRPr="00C0338C" w:rsidRDefault="00BA616D" w:rsidP="00703D8E">
      <w:pPr>
        <w:pStyle w:val="Heading3"/>
      </w:pPr>
      <w:r w:rsidRPr="00C0338C">
        <w:t>ANALYSIS</w:t>
      </w:r>
    </w:p>
    <w:p w14:paraId="4BDCCA03" w14:textId="1AE829AA" w:rsidR="008D3D84" w:rsidRPr="008D3D84" w:rsidRDefault="008D3D84" w:rsidP="008D3D84">
      <w:pPr>
        <w:pStyle w:val="Caption"/>
        <w:keepNext/>
        <w:jc w:val="center"/>
        <w:rPr>
          <w:rStyle w:val="Strong"/>
          <w:i w:val="0"/>
          <w:sz w:val="22"/>
          <w:szCs w:val="22"/>
          <w:lang w:val="en-CA"/>
        </w:rPr>
      </w:pPr>
      <w:r w:rsidRPr="008D3D84">
        <w:rPr>
          <w:rStyle w:val="Strong"/>
          <w:i w:val="0"/>
          <w:sz w:val="22"/>
          <w:szCs w:val="22"/>
          <w:lang w:val="en-CA"/>
        </w:rPr>
        <w:t xml:space="preserve">Table </w:t>
      </w:r>
      <w:r w:rsidRPr="008D3D84">
        <w:rPr>
          <w:rStyle w:val="Strong"/>
          <w:i w:val="0"/>
          <w:sz w:val="22"/>
          <w:szCs w:val="22"/>
        </w:rPr>
        <w:fldChar w:fldCharType="begin"/>
      </w:r>
      <w:r w:rsidRPr="008D3D84">
        <w:rPr>
          <w:rStyle w:val="Strong"/>
          <w:i w:val="0"/>
          <w:sz w:val="22"/>
          <w:szCs w:val="22"/>
          <w:lang w:val="en-CA"/>
        </w:rPr>
        <w:instrText xml:space="preserve"> SEQ Table \* ARABIC </w:instrText>
      </w:r>
      <w:r w:rsidRPr="008D3D84">
        <w:rPr>
          <w:rStyle w:val="Strong"/>
          <w:i w:val="0"/>
          <w:sz w:val="22"/>
          <w:szCs w:val="22"/>
        </w:rPr>
        <w:fldChar w:fldCharType="separate"/>
      </w:r>
      <w:r>
        <w:rPr>
          <w:rStyle w:val="Strong"/>
          <w:i w:val="0"/>
          <w:noProof/>
          <w:sz w:val="22"/>
          <w:szCs w:val="22"/>
          <w:lang w:val="en-CA"/>
        </w:rPr>
        <w:t>1</w:t>
      </w:r>
      <w:r w:rsidRPr="008D3D84">
        <w:rPr>
          <w:rStyle w:val="Strong"/>
          <w:i w:val="0"/>
          <w:sz w:val="22"/>
          <w:szCs w:val="22"/>
        </w:rPr>
        <w:fldChar w:fldCharType="end"/>
      </w:r>
      <w:r w:rsidRPr="008D3D84">
        <w:rPr>
          <w:rStyle w:val="Strong"/>
          <w:i w:val="0"/>
          <w:sz w:val="22"/>
          <w:szCs w:val="22"/>
          <w:lang w:val="en-CA"/>
        </w:rPr>
        <w:t>: Total number of appointments by appointment type, fiscal years 2013-2014 to 2018-2019</w:t>
      </w:r>
    </w:p>
    <w:tbl>
      <w:tblPr>
        <w:tblStyle w:val="ListTable6Colorful-Accent1"/>
        <w:tblW w:w="9924" w:type="dxa"/>
        <w:tblLook w:val="06E0" w:firstRow="1" w:lastRow="1" w:firstColumn="1" w:lastColumn="0" w:noHBand="1" w:noVBand="1"/>
        <w:tblCaption w:val="Total number of appointments by appointment type, fiscal years 2013-2014 to 2018-2019"/>
        <w:tblDescription w:val="Total number of appointments by appointment type, fiscal years 2013-2014 to 2018-2019"/>
      </w:tblPr>
      <w:tblGrid>
        <w:gridCol w:w="2366"/>
        <w:gridCol w:w="1183"/>
        <w:gridCol w:w="1293"/>
        <w:gridCol w:w="1277"/>
        <w:gridCol w:w="1285"/>
        <w:gridCol w:w="1235"/>
        <w:gridCol w:w="1285"/>
      </w:tblGrid>
      <w:tr w:rsidR="00104AD4" w:rsidRPr="00C0338C" w14:paraId="7AAA92C0" w14:textId="77777777" w:rsidTr="00F244C0">
        <w:trPr>
          <w:cnfStyle w:val="100000000000" w:firstRow="1" w:lastRow="0" w:firstColumn="0" w:lastColumn="0" w:oddVBand="0" w:evenVBand="0" w:oddHBand="0" w:evenHBand="0" w:firstRowFirstColumn="0" w:firstRowLastColumn="0" w:lastRowFirstColumn="0" w:lastRowLastColumn="0"/>
          <w:trHeight w:val="14"/>
          <w:tblHeader/>
        </w:trPr>
        <w:tc>
          <w:tcPr>
            <w:cnfStyle w:val="001000000000" w:firstRow="0" w:lastRow="0" w:firstColumn="1" w:lastColumn="0" w:oddVBand="0" w:evenVBand="0" w:oddHBand="0" w:evenHBand="0" w:firstRowFirstColumn="0" w:firstRowLastColumn="0" w:lastRowFirstColumn="0" w:lastRowLastColumn="0"/>
            <w:tcW w:w="2366" w:type="dxa"/>
            <w:tcBorders>
              <w:top w:val="single" w:sz="4" w:space="0" w:color="D50057" w:themeColor="accent1"/>
              <w:left w:val="single" w:sz="4" w:space="0" w:color="D50057" w:themeColor="accent1"/>
              <w:right w:val="single" w:sz="4" w:space="0" w:color="D50057" w:themeColor="accent1"/>
            </w:tcBorders>
            <w:hideMark/>
          </w:tcPr>
          <w:p w14:paraId="175B7E19" w14:textId="1DF5E5AB" w:rsidR="00104AD4" w:rsidRPr="00F244C0" w:rsidRDefault="00F244C0" w:rsidP="007A0971">
            <w:pPr>
              <w:spacing w:line="259" w:lineRule="auto"/>
              <w:rPr>
                <w:b w:val="0"/>
                <w:color w:val="auto"/>
                <w:lang w:val="en-CA"/>
              </w:rPr>
            </w:pPr>
            <w:r w:rsidRPr="00F244C0">
              <w:rPr>
                <w:b w:val="0"/>
                <w:color w:val="auto"/>
                <w:lang w:val="en-CA"/>
              </w:rPr>
              <w:t>Appointment type</w:t>
            </w:r>
          </w:p>
        </w:tc>
        <w:tc>
          <w:tcPr>
            <w:tcW w:w="1183" w:type="dxa"/>
            <w:tcBorders>
              <w:top w:val="single" w:sz="4" w:space="0" w:color="D50057" w:themeColor="accent1"/>
              <w:left w:val="single" w:sz="4" w:space="0" w:color="D50057" w:themeColor="accent1"/>
            </w:tcBorders>
            <w:hideMark/>
          </w:tcPr>
          <w:p w14:paraId="2C0140BA" w14:textId="77777777" w:rsidR="00104AD4" w:rsidRPr="00C0338C" w:rsidRDefault="00104AD4" w:rsidP="007A0971">
            <w:pPr>
              <w:spacing w:line="259" w:lineRule="auto"/>
              <w:cnfStyle w:val="100000000000" w:firstRow="1" w:lastRow="0" w:firstColumn="0" w:lastColumn="0" w:oddVBand="0" w:evenVBand="0" w:oddHBand="0" w:evenHBand="0" w:firstRowFirstColumn="0" w:firstRowLastColumn="0" w:lastRowFirstColumn="0" w:lastRowLastColumn="0"/>
              <w:rPr>
                <w:b w:val="0"/>
                <w:color w:val="auto"/>
                <w:lang w:val="en-CA"/>
              </w:rPr>
            </w:pPr>
            <w:r w:rsidRPr="00C0338C">
              <w:rPr>
                <w:b w:val="0"/>
                <w:color w:val="auto"/>
                <w:lang w:val="en-CA"/>
              </w:rPr>
              <w:t>2013-2014</w:t>
            </w:r>
          </w:p>
        </w:tc>
        <w:tc>
          <w:tcPr>
            <w:tcW w:w="1293" w:type="dxa"/>
            <w:tcBorders>
              <w:top w:val="single" w:sz="4" w:space="0" w:color="D50057" w:themeColor="accent1"/>
            </w:tcBorders>
            <w:hideMark/>
          </w:tcPr>
          <w:p w14:paraId="471CE986" w14:textId="77777777" w:rsidR="00104AD4" w:rsidRPr="00C0338C" w:rsidRDefault="00104AD4" w:rsidP="007A0971">
            <w:pPr>
              <w:spacing w:line="259" w:lineRule="auto"/>
              <w:cnfStyle w:val="100000000000" w:firstRow="1" w:lastRow="0" w:firstColumn="0" w:lastColumn="0" w:oddVBand="0" w:evenVBand="0" w:oddHBand="0" w:evenHBand="0" w:firstRowFirstColumn="0" w:firstRowLastColumn="0" w:lastRowFirstColumn="0" w:lastRowLastColumn="0"/>
              <w:rPr>
                <w:b w:val="0"/>
                <w:color w:val="auto"/>
                <w:lang w:val="en-CA"/>
              </w:rPr>
            </w:pPr>
            <w:r w:rsidRPr="00C0338C">
              <w:rPr>
                <w:b w:val="0"/>
                <w:color w:val="auto"/>
                <w:lang w:val="en-CA"/>
              </w:rPr>
              <w:t>2014-2015</w:t>
            </w:r>
          </w:p>
        </w:tc>
        <w:tc>
          <w:tcPr>
            <w:tcW w:w="1277" w:type="dxa"/>
            <w:tcBorders>
              <w:top w:val="single" w:sz="4" w:space="0" w:color="D50057" w:themeColor="accent1"/>
            </w:tcBorders>
            <w:hideMark/>
          </w:tcPr>
          <w:p w14:paraId="3B379E3C" w14:textId="77777777" w:rsidR="00104AD4" w:rsidRPr="00C0338C" w:rsidRDefault="00104AD4" w:rsidP="007A0971">
            <w:pPr>
              <w:spacing w:line="259" w:lineRule="auto"/>
              <w:cnfStyle w:val="100000000000" w:firstRow="1" w:lastRow="0" w:firstColumn="0" w:lastColumn="0" w:oddVBand="0" w:evenVBand="0" w:oddHBand="0" w:evenHBand="0" w:firstRowFirstColumn="0" w:firstRowLastColumn="0" w:lastRowFirstColumn="0" w:lastRowLastColumn="0"/>
              <w:rPr>
                <w:b w:val="0"/>
                <w:color w:val="auto"/>
                <w:lang w:val="en-CA"/>
              </w:rPr>
            </w:pPr>
            <w:r w:rsidRPr="00C0338C">
              <w:rPr>
                <w:b w:val="0"/>
                <w:color w:val="auto"/>
                <w:lang w:val="en-CA"/>
              </w:rPr>
              <w:t>2015-2016</w:t>
            </w:r>
          </w:p>
        </w:tc>
        <w:tc>
          <w:tcPr>
            <w:tcW w:w="1285" w:type="dxa"/>
            <w:tcBorders>
              <w:top w:val="single" w:sz="4" w:space="0" w:color="D50057" w:themeColor="accent1"/>
            </w:tcBorders>
            <w:hideMark/>
          </w:tcPr>
          <w:p w14:paraId="5FBE347E" w14:textId="77777777" w:rsidR="00104AD4" w:rsidRPr="00C0338C" w:rsidRDefault="00104AD4" w:rsidP="007A0971">
            <w:pPr>
              <w:spacing w:line="259" w:lineRule="auto"/>
              <w:cnfStyle w:val="100000000000" w:firstRow="1" w:lastRow="0" w:firstColumn="0" w:lastColumn="0" w:oddVBand="0" w:evenVBand="0" w:oddHBand="0" w:evenHBand="0" w:firstRowFirstColumn="0" w:firstRowLastColumn="0" w:lastRowFirstColumn="0" w:lastRowLastColumn="0"/>
              <w:rPr>
                <w:b w:val="0"/>
                <w:color w:val="auto"/>
                <w:lang w:val="en-CA"/>
              </w:rPr>
            </w:pPr>
            <w:r w:rsidRPr="00C0338C">
              <w:rPr>
                <w:b w:val="0"/>
                <w:color w:val="auto"/>
                <w:lang w:val="en-CA"/>
              </w:rPr>
              <w:t>2016-2017</w:t>
            </w:r>
          </w:p>
        </w:tc>
        <w:tc>
          <w:tcPr>
            <w:tcW w:w="1235" w:type="dxa"/>
            <w:tcBorders>
              <w:top w:val="single" w:sz="4" w:space="0" w:color="D50057" w:themeColor="accent1"/>
            </w:tcBorders>
            <w:hideMark/>
          </w:tcPr>
          <w:p w14:paraId="1EF0B7AB" w14:textId="77777777" w:rsidR="00104AD4" w:rsidRPr="00C0338C" w:rsidRDefault="00104AD4" w:rsidP="007A0971">
            <w:pPr>
              <w:spacing w:line="259" w:lineRule="auto"/>
              <w:cnfStyle w:val="100000000000" w:firstRow="1" w:lastRow="0" w:firstColumn="0" w:lastColumn="0" w:oddVBand="0" w:evenVBand="0" w:oddHBand="0" w:evenHBand="0" w:firstRowFirstColumn="0" w:firstRowLastColumn="0" w:lastRowFirstColumn="0" w:lastRowLastColumn="0"/>
              <w:rPr>
                <w:b w:val="0"/>
                <w:color w:val="auto"/>
                <w:lang w:val="en-CA"/>
              </w:rPr>
            </w:pPr>
            <w:r w:rsidRPr="00C0338C">
              <w:rPr>
                <w:b w:val="0"/>
                <w:color w:val="auto"/>
                <w:lang w:val="en-CA"/>
              </w:rPr>
              <w:t>2017-2018</w:t>
            </w:r>
          </w:p>
        </w:tc>
        <w:tc>
          <w:tcPr>
            <w:tcW w:w="1285" w:type="dxa"/>
            <w:tcBorders>
              <w:top w:val="single" w:sz="4" w:space="0" w:color="D50057" w:themeColor="accent1"/>
              <w:right w:val="single" w:sz="4" w:space="0" w:color="D50057" w:themeColor="accent1"/>
            </w:tcBorders>
            <w:hideMark/>
          </w:tcPr>
          <w:p w14:paraId="34068F0C" w14:textId="77777777" w:rsidR="00104AD4" w:rsidRPr="00C0338C" w:rsidRDefault="00104AD4" w:rsidP="007A0971">
            <w:pPr>
              <w:spacing w:line="259" w:lineRule="auto"/>
              <w:cnfStyle w:val="100000000000" w:firstRow="1" w:lastRow="0" w:firstColumn="0" w:lastColumn="0" w:oddVBand="0" w:evenVBand="0" w:oddHBand="0" w:evenHBand="0" w:firstRowFirstColumn="0" w:firstRowLastColumn="0" w:lastRowFirstColumn="0" w:lastRowLastColumn="0"/>
              <w:rPr>
                <w:b w:val="0"/>
                <w:color w:val="auto"/>
                <w:lang w:val="en-CA"/>
              </w:rPr>
            </w:pPr>
            <w:r w:rsidRPr="00C0338C">
              <w:rPr>
                <w:b w:val="0"/>
                <w:color w:val="auto"/>
                <w:lang w:val="en-CA"/>
              </w:rPr>
              <w:t>2018-2019</w:t>
            </w:r>
          </w:p>
        </w:tc>
      </w:tr>
      <w:tr w:rsidR="00104AD4" w:rsidRPr="00C0338C" w14:paraId="241079D9" w14:textId="77777777" w:rsidTr="00104AD4">
        <w:trPr>
          <w:trHeight w:val="14"/>
        </w:trPr>
        <w:tc>
          <w:tcPr>
            <w:cnfStyle w:val="001000000000" w:firstRow="0" w:lastRow="0" w:firstColumn="1" w:lastColumn="0" w:oddVBand="0" w:evenVBand="0" w:oddHBand="0" w:evenHBand="0" w:firstRowFirstColumn="0" w:firstRowLastColumn="0" w:lastRowFirstColumn="0" w:lastRowLastColumn="0"/>
            <w:tcW w:w="2366" w:type="dxa"/>
            <w:tcBorders>
              <w:top w:val="single" w:sz="4" w:space="0" w:color="D50057" w:themeColor="accent1"/>
              <w:left w:val="single" w:sz="4" w:space="0" w:color="D50057" w:themeColor="accent1"/>
              <w:right w:val="single" w:sz="4" w:space="0" w:color="D50057" w:themeColor="accent1"/>
            </w:tcBorders>
            <w:hideMark/>
          </w:tcPr>
          <w:p w14:paraId="7CCCD651" w14:textId="77777777" w:rsidR="00104AD4" w:rsidRPr="00C0338C" w:rsidRDefault="00104AD4" w:rsidP="007A0971">
            <w:pPr>
              <w:spacing w:line="259" w:lineRule="auto"/>
              <w:rPr>
                <w:b w:val="0"/>
                <w:color w:val="auto"/>
                <w:lang w:val="en-CA"/>
              </w:rPr>
            </w:pPr>
            <w:r w:rsidRPr="00C0338C">
              <w:rPr>
                <w:b w:val="0"/>
                <w:color w:val="auto"/>
                <w:lang w:val="en-CA"/>
              </w:rPr>
              <w:t>Advertised Appointments</w:t>
            </w:r>
          </w:p>
        </w:tc>
        <w:tc>
          <w:tcPr>
            <w:tcW w:w="1183" w:type="dxa"/>
            <w:tcBorders>
              <w:left w:val="single" w:sz="4" w:space="0" w:color="D50057" w:themeColor="accent1"/>
            </w:tcBorders>
            <w:vAlign w:val="center"/>
            <w:hideMark/>
          </w:tcPr>
          <w:p w14:paraId="5946EA52" w14:textId="77777777" w:rsidR="00104AD4" w:rsidRPr="00C0338C" w:rsidRDefault="00104AD4" w:rsidP="007A0971">
            <w:pPr>
              <w:spacing w:line="259" w:lineRule="auto"/>
              <w:cnfStyle w:val="000000000000" w:firstRow="0" w:lastRow="0" w:firstColumn="0" w:lastColumn="0" w:oddVBand="0" w:evenVBand="0" w:oddHBand="0" w:evenHBand="0" w:firstRowFirstColumn="0" w:firstRowLastColumn="0" w:lastRowFirstColumn="0" w:lastRowLastColumn="0"/>
              <w:rPr>
                <w:color w:val="auto"/>
                <w:lang w:val="en-CA"/>
              </w:rPr>
            </w:pPr>
            <w:r w:rsidRPr="00C0338C">
              <w:rPr>
                <w:color w:val="auto"/>
                <w:lang w:val="en-CA"/>
              </w:rPr>
              <w:t>10,671</w:t>
            </w:r>
          </w:p>
        </w:tc>
        <w:tc>
          <w:tcPr>
            <w:tcW w:w="1293" w:type="dxa"/>
            <w:vAlign w:val="center"/>
            <w:hideMark/>
          </w:tcPr>
          <w:p w14:paraId="1098203D" w14:textId="77777777" w:rsidR="00104AD4" w:rsidRPr="00C0338C" w:rsidRDefault="00104AD4" w:rsidP="007A0971">
            <w:pPr>
              <w:spacing w:line="259" w:lineRule="auto"/>
              <w:cnfStyle w:val="000000000000" w:firstRow="0" w:lastRow="0" w:firstColumn="0" w:lastColumn="0" w:oddVBand="0" w:evenVBand="0" w:oddHBand="0" w:evenHBand="0" w:firstRowFirstColumn="0" w:firstRowLastColumn="0" w:lastRowFirstColumn="0" w:lastRowLastColumn="0"/>
              <w:rPr>
                <w:color w:val="auto"/>
                <w:lang w:val="en-CA"/>
              </w:rPr>
            </w:pPr>
            <w:r w:rsidRPr="00C0338C">
              <w:rPr>
                <w:color w:val="auto"/>
                <w:lang w:val="en-CA"/>
              </w:rPr>
              <w:t>16,542</w:t>
            </w:r>
          </w:p>
        </w:tc>
        <w:tc>
          <w:tcPr>
            <w:tcW w:w="1277" w:type="dxa"/>
            <w:vAlign w:val="center"/>
            <w:hideMark/>
          </w:tcPr>
          <w:p w14:paraId="37196C79" w14:textId="77777777" w:rsidR="00104AD4" w:rsidRPr="00C0338C" w:rsidRDefault="00104AD4" w:rsidP="007A0971">
            <w:pPr>
              <w:spacing w:line="259" w:lineRule="auto"/>
              <w:cnfStyle w:val="000000000000" w:firstRow="0" w:lastRow="0" w:firstColumn="0" w:lastColumn="0" w:oddVBand="0" w:evenVBand="0" w:oddHBand="0" w:evenHBand="0" w:firstRowFirstColumn="0" w:firstRowLastColumn="0" w:lastRowFirstColumn="0" w:lastRowLastColumn="0"/>
              <w:rPr>
                <w:color w:val="auto"/>
                <w:lang w:val="en-CA"/>
              </w:rPr>
            </w:pPr>
            <w:r w:rsidRPr="00C0338C">
              <w:rPr>
                <w:color w:val="auto"/>
                <w:lang w:val="en-CA"/>
              </w:rPr>
              <w:t>18,264</w:t>
            </w:r>
          </w:p>
        </w:tc>
        <w:tc>
          <w:tcPr>
            <w:tcW w:w="1285" w:type="dxa"/>
            <w:vAlign w:val="center"/>
            <w:hideMark/>
          </w:tcPr>
          <w:p w14:paraId="65632D27" w14:textId="77777777" w:rsidR="00104AD4" w:rsidRPr="00C0338C" w:rsidRDefault="00104AD4" w:rsidP="007A0971">
            <w:pPr>
              <w:spacing w:line="259" w:lineRule="auto"/>
              <w:cnfStyle w:val="000000000000" w:firstRow="0" w:lastRow="0" w:firstColumn="0" w:lastColumn="0" w:oddVBand="0" w:evenVBand="0" w:oddHBand="0" w:evenHBand="0" w:firstRowFirstColumn="0" w:firstRowLastColumn="0" w:lastRowFirstColumn="0" w:lastRowLastColumn="0"/>
              <w:rPr>
                <w:color w:val="auto"/>
                <w:lang w:val="en-CA"/>
              </w:rPr>
            </w:pPr>
            <w:r w:rsidRPr="00C0338C">
              <w:rPr>
                <w:color w:val="auto"/>
                <w:lang w:val="en-CA"/>
              </w:rPr>
              <w:t>21,419</w:t>
            </w:r>
          </w:p>
        </w:tc>
        <w:tc>
          <w:tcPr>
            <w:tcW w:w="1235" w:type="dxa"/>
            <w:vAlign w:val="center"/>
            <w:hideMark/>
          </w:tcPr>
          <w:p w14:paraId="28C83126" w14:textId="77777777" w:rsidR="00104AD4" w:rsidRPr="00C0338C" w:rsidRDefault="00104AD4" w:rsidP="007A0971">
            <w:pPr>
              <w:spacing w:line="259" w:lineRule="auto"/>
              <w:cnfStyle w:val="000000000000" w:firstRow="0" w:lastRow="0" w:firstColumn="0" w:lastColumn="0" w:oddVBand="0" w:evenVBand="0" w:oddHBand="0" w:evenHBand="0" w:firstRowFirstColumn="0" w:firstRowLastColumn="0" w:lastRowFirstColumn="0" w:lastRowLastColumn="0"/>
              <w:rPr>
                <w:color w:val="auto"/>
                <w:lang w:val="en-CA"/>
              </w:rPr>
            </w:pPr>
            <w:r w:rsidRPr="00C0338C">
              <w:rPr>
                <w:color w:val="auto"/>
                <w:lang w:val="en-CA"/>
              </w:rPr>
              <w:t>24 179</w:t>
            </w:r>
          </w:p>
        </w:tc>
        <w:tc>
          <w:tcPr>
            <w:tcW w:w="1285" w:type="dxa"/>
            <w:tcBorders>
              <w:right w:val="single" w:sz="4" w:space="0" w:color="D50057" w:themeColor="accent1"/>
            </w:tcBorders>
            <w:vAlign w:val="center"/>
            <w:hideMark/>
          </w:tcPr>
          <w:p w14:paraId="0D8435CC" w14:textId="77777777" w:rsidR="00104AD4" w:rsidRPr="00C0338C" w:rsidRDefault="00104AD4" w:rsidP="007A0971">
            <w:pPr>
              <w:spacing w:line="259" w:lineRule="auto"/>
              <w:cnfStyle w:val="000000000000" w:firstRow="0" w:lastRow="0" w:firstColumn="0" w:lastColumn="0" w:oddVBand="0" w:evenVBand="0" w:oddHBand="0" w:evenHBand="0" w:firstRowFirstColumn="0" w:firstRowLastColumn="0" w:lastRowFirstColumn="0" w:lastRowLastColumn="0"/>
              <w:rPr>
                <w:color w:val="auto"/>
                <w:lang w:val="en-CA"/>
              </w:rPr>
            </w:pPr>
            <w:r w:rsidRPr="00C0338C">
              <w:rPr>
                <w:color w:val="auto"/>
                <w:lang w:val="en-CA"/>
              </w:rPr>
              <w:t>27,099</w:t>
            </w:r>
          </w:p>
        </w:tc>
      </w:tr>
      <w:tr w:rsidR="00104AD4" w:rsidRPr="00C0338C" w14:paraId="007A7952" w14:textId="77777777" w:rsidTr="00104AD4">
        <w:trPr>
          <w:trHeight w:val="14"/>
        </w:trPr>
        <w:tc>
          <w:tcPr>
            <w:cnfStyle w:val="001000000000" w:firstRow="0" w:lastRow="0" w:firstColumn="1" w:lastColumn="0" w:oddVBand="0" w:evenVBand="0" w:oddHBand="0" w:evenHBand="0" w:firstRowFirstColumn="0" w:firstRowLastColumn="0" w:lastRowFirstColumn="0" w:lastRowLastColumn="0"/>
            <w:tcW w:w="2366" w:type="dxa"/>
            <w:tcBorders>
              <w:left w:val="single" w:sz="4" w:space="0" w:color="D50057" w:themeColor="accent1"/>
              <w:right w:val="single" w:sz="4" w:space="0" w:color="D50057" w:themeColor="accent1"/>
            </w:tcBorders>
            <w:hideMark/>
          </w:tcPr>
          <w:p w14:paraId="271F5027" w14:textId="77777777" w:rsidR="00104AD4" w:rsidRPr="00C0338C" w:rsidRDefault="00104AD4" w:rsidP="007A0971">
            <w:pPr>
              <w:spacing w:line="259" w:lineRule="auto"/>
              <w:rPr>
                <w:b w:val="0"/>
                <w:color w:val="auto"/>
                <w:lang w:val="en-CA"/>
              </w:rPr>
            </w:pPr>
            <w:r w:rsidRPr="00C0338C">
              <w:rPr>
                <w:b w:val="0"/>
                <w:color w:val="auto"/>
                <w:lang w:val="en-CA"/>
              </w:rPr>
              <w:t>Non-advertised Appointments</w:t>
            </w:r>
          </w:p>
        </w:tc>
        <w:tc>
          <w:tcPr>
            <w:tcW w:w="1183" w:type="dxa"/>
            <w:tcBorders>
              <w:left w:val="single" w:sz="4" w:space="0" w:color="D50057" w:themeColor="accent1"/>
            </w:tcBorders>
            <w:vAlign w:val="center"/>
            <w:hideMark/>
          </w:tcPr>
          <w:p w14:paraId="7752A53B" w14:textId="77777777" w:rsidR="00104AD4" w:rsidRPr="00C0338C" w:rsidRDefault="00104AD4" w:rsidP="007A0971">
            <w:pPr>
              <w:spacing w:line="259" w:lineRule="auto"/>
              <w:cnfStyle w:val="000000000000" w:firstRow="0" w:lastRow="0" w:firstColumn="0" w:lastColumn="0" w:oddVBand="0" w:evenVBand="0" w:oddHBand="0" w:evenHBand="0" w:firstRowFirstColumn="0" w:firstRowLastColumn="0" w:lastRowFirstColumn="0" w:lastRowLastColumn="0"/>
              <w:rPr>
                <w:color w:val="auto"/>
                <w:lang w:val="en-CA"/>
              </w:rPr>
            </w:pPr>
            <w:r w:rsidRPr="00C0338C">
              <w:rPr>
                <w:color w:val="auto"/>
                <w:lang w:val="en-CA"/>
              </w:rPr>
              <w:t>4,680</w:t>
            </w:r>
          </w:p>
        </w:tc>
        <w:tc>
          <w:tcPr>
            <w:tcW w:w="1293" w:type="dxa"/>
            <w:vAlign w:val="center"/>
            <w:hideMark/>
          </w:tcPr>
          <w:p w14:paraId="3899CA0F" w14:textId="77777777" w:rsidR="00104AD4" w:rsidRPr="00C0338C" w:rsidRDefault="00104AD4" w:rsidP="007A0971">
            <w:pPr>
              <w:spacing w:line="259" w:lineRule="auto"/>
              <w:cnfStyle w:val="000000000000" w:firstRow="0" w:lastRow="0" w:firstColumn="0" w:lastColumn="0" w:oddVBand="0" w:evenVBand="0" w:oddHBand="0" w:evenHBand="0" w:firstRowFirstColumn="0" w:firstRowLastColumn="0" w:lastRowFirstColumn="0" w:lastRowLastColumn="0"/>
              <w:rPr>
                <w:color w:val="auto"/>
                <w:lang w:val="en-CA"/>
              </w:rPr>
            </w:pPr>
            <w:r w:rsidRPr="00C0338C">
              <w:rPr>
                <w:color w:val="auto"/>
                <w:lang w:val="en-CA"/>
              </w:rPr>
              <w:t>7,660</w:t>
            </w:r>
          </w:p>
        </w:tc>
        <w:tc>
          <w:tcPr>
            <w:tcW w:w="1277" w:type="dxa"/>
            <w:vAlign w:val="center"/>
            <w:hideMark/>
          </w:tcPr>
          <w:p w14:paraId="7EE98493" w14:textId="77777777" w:rsidR="00104AD4" w:rsidRPr="00C0338C" w:rsidRDefault="00104AD4" w:rsidP="007A0971">
            <w:pPr>
              <w:spacing w:line="259" w:lineRule="auto"/>
              <w:cnfStyle w:val="000000000000" w:firstRow="0" w:lastRow="0" w:firstColumn="0" w:lastColumn="0" w:oddVBand="0" w:evenVBand="0" w:oddHBand="0" w:evenHBand="0" w:firstRowFirstColumn="0" w:firstRowLastColumn="0" w:lastRowFirstColumn="0" w:lastRowLastColumn="0"/>
              <w:rPr>
                <w:color w:val="auto"/>
                <w:lang w:val="en-CA"/>
              </w:rPr>
            </w:pPr>
            <w:r w:rsidRPr="00C0338C">
              <w:rPr>
                <w:color w:val="auto"/>
                <w:lang w:val="en-CA"/>
              </w:rPr>
              <w:t>7,993</w:t>
            </w:r>
          </w:p>
        </w:tc>
        <w:tc>
          <w:tcPr>
            <w:tcW w:w="1285" w:type="dxa"/>
            <w:vAlign w:val="center"/>
            <w:hideMark/>
          </w:tcPr>
          <w:p w14:paraId="5F900784" w14:textId="77777777" w:rsidR="00104AD4" w:rsidRPr="00C0338C" w:rsidRDefault="00104AD4" w:rsidP="007A0971">
            <w:pPr>
              <w:spacing w:line="259" w:lineRule="auto"/>
              <w:cnfStyle w:val="000000000000" w:firstRow="0" w:lastRow="0" w:firstColumn="0" w:lastColumn="0" w:oddVBand="0" w:evenVBand="0" w:oddHBand="0" w:evenHBand="0" w:firstRowFirstColumn="0" w:firstRowLastColumn="0" w:lastRowFirstColumn="0" w:lastRowLastColumn="0"/>
              <w:rPr>
                <w:color w:val="auto"/>
                <w:lang w:val="en-CA"/>
              </w:rPr>
            </w:pPr>
            <w:r w:rsidRPr="00C0338C">
              <w:rPr>
                <w:color w:val="auto"/>
                <w:lang w:val="en-CA"/>
              </w:rPr>
              <w:t>9,048</w:t>
            </w:r>
          </w:p>
        </w:tc>
        <w:tc>
          <w:tcPr>
            <w:tcW w:w="1235" w:type="dxa"/>
            <w:vAlign w:val="center"/>
            <w:hideMark/>
          </w:tcPr>
          <w:p w14:paraId="337D4692" w14:textId="77777777" w:rsidR="00104AD4" w:rsidRPr="00C0338C" w:rsidRDefault="00104AD4" w:rsidP="007A0971">
            <w:pPr>
              <w:spacing w:line="259" w:lineRule="auto"/>
              <w:cnfStyle w:val="000000000000" w:firstRow="0" w:lastRow="0" w:firstColumn="0" w:lastColumn="0" w:oddVBand="0" w:evenVBand="0" w:oddHBand="0" w:evenHBand="0" w:firstRowFirstColumn="0" w:firstRowLastColumn="0" w:lastRowFirstColumn="0" w:lastRowLastColumn="0"/>
              <w:rPr>
                <w:color w:val="auto"/>
                <w:lang w:val="en-CA"/>
              </w:rPr>
            </w:pPr>
            <w:r w:rsidRPr="00C0338C">
              <w:rPr>
                <w:color w:val="auto"/>
                <w:lang w:val="en-CA"/>
              </w:rPr>
              <w:t>17,996</w:t>
            </w:r>
          </w:p>
        </w:tc>
        <w:tc>
          <w:tcPr>
            <w:tcW w:w="1285" w:type="dxa"/>
            <w:tcBorders>
              <w:right w:val="single" w:sz="4" w:space="0" w:color="D50057" w:themeColor="accent1"/>
            </w:tcBorders>
            <w:vAlign w:val="center"/>
            <w:hideMark/>
          </w:tcPr>
          <w:p w14:paraId="3E41E1A6" w14:textId="77777777" w:rsidR="00104AD4" w:rsidRPr="00C0338C" w:rsidRDefault="00104AD4" w:rsidP="007A0971">
            <w:pPr>
              <w:spacing w:line="259" w:lineRule="auto"/>
              <w:cnfStyle w:val="000000000000" w:firstRow="0" w:lastRow="0" w:firstColumn="0" w:lastColumn="0" w:oddVBand="0" w:evenVBand="0" w:oddHBand="0" w:evenHBand="0" w:firstRowFirstColumn="0" w:firstRowLastColumn="0" w:lastRowFirstColumn="0" w:lastRowLastColumn="0"/>
              <w:rPr>
                <w:color w:val="auto"/>
                <w:lang w:val="en-CA"/>
              </w:rPr>
            </w:pPr>
            <w:r w:rsidRPr="00C0338C">
              <w:rPr>
                <w:color w:val="auto"/>
                <w:lang w:val="en-CA"/>
              </w:rPr>
              <w:t>22,986</w:t>
            </w:r>
          </w:p>
        </w:tc>
      </w:tr>
      <w:tr w:rsidR="00104AD4" w:rsidRPr="00C0338C" w14:paraId="75AD8B84" w14:textId="77777777" w:rsidTr="00104AD4">
        <w:trPr>
          <w:cnfStyle w:val="010000000000" w:firstRow="0" w:lastRow="1" w:firstColumn="0" w:lastColumn="0" w:oddVBand="0" w:evenVBand="0" w:oddHBand="0"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366" w:type="dxa"/>
            <w:tcBorders>
              <w:left w:val="single" w:sz="4" w:space="0" w:color="D50057" w:themeColor="accent1"/>
              <w:bottom w:val="single" w:sz="4" w:space="0" w:color="D50057" w:themeColor="accent1"/>
              <w:right w:val="single" w:sz="4" w:space="0" w:color="D50057" w:themeColor="accent1"/>
            </w:tcBorders>
            <w:hideMark/>
          </w:tcPr>
          <w:p w14:paraId="758CF45C" w14:textId="77777777" w:rsidR="00104AD4" w:rsidRPr="00C0338C" w:rsidRDefault="00104AD4" w:rsidP="007A0971">
            <w:pPr>
              <w:spacing w:line="259" w:lineRule="auto"/>
              <w:rPr>
                <w:b w:val="0"/>
                <w:color w:val="auto"/>
                <w:lang w:val="en-CA"/>
              </w:rPr>
            </w:pPr>
            <w:r w:rsidRPr="00C0338C">
              <w:rPr>
                <w:b w:val="0"/>
                <w:color w:val="auto"/>
                <w:lang w:val="en-CA"/>
              </w:rPr>
              <w:t>Total</w:t>
            </w:r>
          </w:p>
        </w:tc>
        <w:tc>
          <w:tcPr>
            <w:tcW w:w="1183" w:type="dxa"/>
            <w:tcBorders>
              <w:left w:val="single" w:sz="4" w:space="0" w:color="D50057" w:themeColor="accent1"/>
              <w:bottom w:val="single" w:sz="4" w:space="0" w:color="D50057" w:themeColor="accent1"/>
            </w:tcBorders>
            <w:hideMark/>
          </w:tcPr>
          <w:p w14:paraId="3B8768C1" w14:textId="77777777" w:rsidR="00104AD4" w:rsidRPr="00C0338C" w:rsidRDefault="00104AD4" w:rsidP="007A0971">
            <w:pPr>
              <w:spacing w:line="259" w:lineRule="auto"/>
              <w:cnfStyle w:val="010000000000" w:firstRow="0" w:lastRow="1" w:firstColumn="0" w:lastColumn="0" w:oddVBand="0" w:evenVBand="0" w:oddHBand="0" w:evenHBand="0" w:firstRowFirstColumn="0" w:firstRowLastColumn="0" w:lastRowFirstColumn="0" w:lastRowLastColumn="0"/>
              <w:rPr>
                <w:b w:val="0"/>
                <w:color w:val="auto"/>
                <w:lang w:val="en-CA"/>
              </w:rPr>
            </w:pPr>
            <w:r w:rsidRPr="00C0338C">
              <w:rPr>
                <w:b w:val="0"/>
                <w:color w:val="auto"/>
                <w:lang w:val="en-CA"/>
              </w:rPr>
              <w:t>15,351</w:t>
            </w:r>
          </w:p>
        </w:tc>
        <w:tc>
          <w:tcPr>
            <w:tcW w:w="1293" w:type="dxa"/>
            <w:tcBorders>
              <w:bottom w:val="single" w:sz="4" w:space="0" w:color="D50057" w:themeColor="accent1"/>
            </w:tcBorders>
            <w:hideMark/>
          </w:tcPr>
          <w:p w14:paraId="54CA98BE" w14:textId="77777777" w:rsidR="00104AD4" w:rsidRPr="00C0338C" w:rsidRDefault="00104AD4" w:rsidP="007A0971">
            <w:pPr>
              <w:spacing w:line="259" w:lineRule="auto"/>
              <w:cnfStyle w:val="010000000000" w:firstRow="0" w:lastRow="1" w:firstColumn="0" w:lastColumn="0" w:oddVBand="0" w:evenVBand="0" w:oddHBand="0" w:evenHBand="0" w:firstRowFirstColumn="0" w:firstRowLastColumn="0" w:lastRowFirstColumn="0" w:lastRowLastColumn="0"/>
              <w:rPr>
                <w:b w:val="0"/>
                <w:color w:val="auto"/>
                <w:lang w:val="en-CA"/>
              </w:rPr>
            </w:pPr>
            <w:r w:rsidRPr="00C0338C">
              <w:rPr>
                <w:b w:val="0"/>
                <w:color w:val="auto"/>
                <w:lang w:val="en-CA"/>
              </w:rPr>
              <w:t>24,202</w:t>
            </w:r>
          </w:p>
        </w:tc>
        <w:tc>
          <w:tcPr>
            <w:tcW w:w="1277" w:type="dxa"/>
            <w:tcBorders>
              <w:bottom w:val="single" w:sz="4" w:space="0" w:color="D50057" w:themeColor="accent1"/>
            </w:tcBorders>
            <w:hideMark/>
          </w:tcPr>
          <w:p w14:paraId="7B5288B0" w14:textId="77777777" w:rsidR="00104AD4" w:rsidRPr="00C0338C" w:rsidRDefault="00104AD4" w:rsidP="007A0971">
            <w:pPr>
              <w:spacing w:line="259" w:lineRule="auto"/>
              <w:cnfStyle w:val="010000000000" w:firstRow="0" w:lastRow="1" w:firstColumn="0" w:lastColumn="0" w:oddVBand="0" w:evenVBand="0" w:oddHBand="0" w:evenHBand="0" w:firstRowFirstColumn="0" w:firstRowLastColumn="0" w:lastRowFirstColumn="0" w:lastRowLastColumn="0"/>
              <w:rPr>
                <w:b w:val="0"/>
                <w:color w:val="auto"/>
                <w:lang w:val="en-CA"/>
              </w:rPr>
            </w:pPr>
            <w:r w:rsidRPr="00C0338C">
              <w:rPr>
                <w:b w:val="0"/>
                <w:color w:val="auto"/>
                <w:lang w:val="en-CA"/>
              </w:rPr>
              <w:t>26,257</w:t>
            </w:r>
          </w:p>
        </w:tc>
        <w:tc>
          <w:tcPr>
            <w:tcW w:w="1285" w:type="dxa"/>
            <w:tcBorders>
              <w:bottom w:val="single" w:sz="4" w:space="0" w:color="D50057" w:themeColor="accent1"/>
            </w:tcBorders>
            <w:hideMark/>
          </w:tcPr>
          <w:p w14:paraId="2852B5B6" w14:textId="77777777" w:rsidR="00104AD4" w:rsidRPr="00C0338C" w:rsidRDefault="00104AD4" w:rsidP="007A0971">
            <w:pPr>
              <w:spacing w:line="259" w:lineRule="auto"/>
              <w:cnfStyle w:val="010000000000" w:firstRow="0" w:lastRow="1" w:firstColumn="0" w:lastColumn="0" w:oddVBand="0" w:evenVBand="0" w:oddHBand="0" w:evenHBand="0" w:firstRowFirstColumn="0" w:firstRowLastColumn="0" w:lastRowFirstColumn="0" w:lastRowLastColumn="0"/>
              <w:rPr>
                <w:b w:val="0"/>
                <w:color w:val="auto"/>
                <w:lang w:val="en-CA"/>
              </w:rPr>
            </w:pPr>
            <w:r w:rsidRPr="00C0338C">
              <w:rPr>
                <w:b w:val="0"/>
                <w:color w:val="auto"/>
                <w:lang w:val="en-CA"/>
              </w:rPr>
              <w:t>30,467</w:t>
            </w:r>
          </w:p>
        </w:tc>
        <w:tc>
          <w:tcPr>
            <w:tcW w:w="1235" w:type="dxa"/>
            <w:tcBorders>
              <w:bottom w:val="single" w:sz="4" w:space="0" w:color="D50057" w:themeColor="accent1"/>
            </w:tcBorders>
            <w:hideMark/>
          </w:tcPr>
          <w:p w14:paraId="0811BEA5" w14:textId="77777777" w:rsidR="00104AD4" w:rsidRPr="00C0338C" w:rsidRDefault="00104AD4" w:rsidP="007A0971">
            <w:pPr>
              <w:spacing w:line="259" w:lineRule="auto"/>
              <w:cnfStyle w:val="010000000000" w:firstRow="0" w:lastRow="1" w:firstColumn="0" w:lastColumn="0" w:oddVBand="0" w:evenVBand="0" w:oddHBand="0" w:evenHBand="0" w:firstRowFirstColumn="0" w:firstRowLastColumn="0" w:lastRowFirstColumn="0" w:lastRowLastColumn="0"/>
              <w:rPr>
                <w:b w:val="0"/>
                <w:color w:val="auto"/>
                <w:lang w:val="en-CA"/>
              </w:rPr>
            </w:pPr>
            <w:r w:rsidRPr="00C0338C">
              <w:rPr>
                <w:b w:val="0"/>
                <w:color w:val="auto"/>
                <w:lang w:val="en-CA"/>
              </w:rPr>
              <w:t>42,175</w:t>
            </w:r>
          </w:p>
        </w:tc>
        <w:tc>
          <w:tcPr>
            <w:tcW w:w="1285" w:type="dxa"/>
            <w:tcBorders>
              <w:bottom w:val="single" w:sz="4" w:space="0" w:color="D50057" w:themeColor="accent1"/>
              <w:right w:val="single" w:sz="4" w:space="0" w:color="D50057" w:themeColor="accent1"/>
            </w:tcBorders>
            <w:hideMark/>
          </w:tcPr>
          <w:p w14:paraId="34C49C50" w14:textId="77777777" w:rsidR="00104AD4" w:rsidRPr="00C0338C" w:rsidRDefault="00104AD4" w:rsidP="007A0971">
            <w:pPr>
              <w:spacing w:line="259" w:lineRule="auto"/>
              <w:cnfStyle w:val="010000000000" w:firstRow="0" w:lastRow="1" w:firstColumn="0" w:lastColumn="0" w:oddVBand="0" w:evenVBand="0" w:oddHBand="0" w:evenHBand="0" w:firstRowFirstColumn="0" w:firstRowLastColumn="0" w:lastRowFirstColumn="0" w:lastRowLastColumn="0"/>
              <w:rPr>
                <w:b w:val="0"/>
                <w:color w:val="auto"/>
                <w:lang w:val="en-CA"/>
              </w:rPr>
            </w:pPr>
            <w:r w:rsidRPr="00C0338C">
              <w:rPr>
                <w:b w:val="0"/>
                <w:color w:val="auto"/>
                <w:lang w:val="en-CA"/>
              </w:rPr>
              <w:t>50,085</w:t>
            </w:r>
          </w:p>
        </w:tc>
      </w:tr>
    </w:tbl>
    <w:p w14:paraId="6F0D53D2" w14:textId="0E8FF15D" w:rsidR="008D3D84" w:rsidRPr="008D3D84" w:rsidRDefault="008D3D84" w:rsidP="00321005">
      <w:pPr>
        <w:pStyle w:val="Caption"/>
        <w:keepNext/>
        <w:spacing w:before="300"/>
        <w:jc w:val="center"/>
        <w:rPr>
          <w:rStyle w:val="Strong"/>
          <w:i w:val="0"/>
          <w:sz w:val="22"/>
          <w:szCs w:val="22"/>
          <w:lang w:val="en-CA"/>
        </w:rPr>
      </w:pPr>
      <w:r w:rsidRPr="008D3D84">
        <w:rPr>
          <w:rStyle w:val="Strong"/>
          <w:i w:val="0"/>
          <w:sz w:val="22"/>
          <w:szCs w:val="22"/>
          <w:lang w:val="en-CA"/>
        </w:rPr>
        <w:t xml:space="preserve">Figure </w:t>
      </w:r>
      <w:r w:rsidRPr="008D3D84">
        <w:rPr>
          <w:rStyle w:val="Strong"/>
          <w:i w:val="0"/>
          <w:sz w:val="22"/>
          <w:szCs w:val="22"/>
        </w:rPr>
        <w:fldChar w:fldCharType="begin"/>
      </w:r>
      <w:r w:rsidRPr="008D3D84">
        <w:rPr>
          <w:rStyle w:val="Strong"/>
          <w:i w:val="0"/>
          <w:sz w:val="22"/>
          <w:szCs w:val="22"/>
          <w:lang w:val="en-CA"/>
        </w:rPr>
        <w:instrText xml:space="preserve"> SEQ Figure \* ARABIC </w:instrText>
      </w:r>
      <w:r w:rsidRPr="008D3D84">
        <w:rPr>
          <w:rStyle w:val="Strong"/>
          <w:i w:val="0"/>
          <w:sz w:val="22"/>
          <w:szCs w:val="22"/>
        </w:rPr>
        <w:fldChar w:fldCharType="separate"/>
      </w:r>
      <w:r>
        <w:rPr>
          <w:rStyle w:val="Strong"/>
          <w:i w:val="0"/>
          <w:noProof/>
          <w:sz w:val="22"/>
          <w:szCs w:val="22"/>
          <w:lang w:val="en-CA"/>
        </w:rPr>
        <w:t>1</w:t>
      </w:r>
      <w:r w:rsidRPr="008D3D84">
        <w:rPr>
          <w:rStyle w:val="Strong"/>
          <w:i w:val="0"/>
          <w:sz w:val="22"/>
          <w:szCs w:val="22"/>
        </w:rPr>
        <w:fldChar w:fldCharType="end"/>
      </w:r>
      <w:r w:rsidRPr="008D3D84">
        <w:rPr>
          <w:rStyle w:val="Strong"/>
          <w:i w:val="0"/>
          <w:sz w:val="22"/>
          <w:szCs w:val="22"/>
          <w:lang w:val="en-CA"/>
        </w:rPr>
        <w:t>: Proportion of non-advertised appointments among all appointments, fiscal years 2013-2014 to 2018-2019</w:t>
      </w:r>
    </w:p>
    <w:p w14:paraId="7FB51EA3" w14:textId="4FCE9260" w:rsidR="00321005" w:rsidRDefault="00BA616D" w:rsidP="00321005">
      <w:pPr>
        <w:jc w:val="center"/>
        <w:rPr>
          <w:b/>
          <w:color w:val="auto"/>
          <w:lang w:val="en-CA"/>
        </w:rPr>
      </w:pPr>
      <w:r>
        <w:rPr>
          <w:noProof/>
          <w:lang w:val="en-CA" w:eastAsia="en-CA"/>
        </w:rPr>
        <w:drawing>
          <wp:inline distT="0" distB="0" distL="0" distR="0" wp14:anchorId="236E1F4F" wp14:editId="732C0EB7">
            <wp:extent cx="5010150" cy="2295525"/>
            <wp:effectExtent l="0" t="0" r="0" b="9525"/>
            <wp:docPr id="3" name="Picture 3" descr="Proportion of non-advertised appointments among all appointments, fiscal years 2013-2014 to 2018-2019. See table below" title="Proportion of non-advertised appointments among all appointments, fiscal years 2013-2014 to 2018-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10150" cy="2295525"/>
                    </a:xfrm>
                    <a:prstGeom prst="rect">
                      <a:avLst/>
                    </a:prstGeom>
                  </pic:spPr>
                </pic:pic>
              </a:graphicData>
            </a:graphic>
          </wp:inline>
        </w:drawing>
      </w:r>
      <w:r w:rsidR="00321005">
        <w:rPr>
          <w:b/>
          <w:color w:val="auto"/>
          <w:lang w:val="en-CA"/>
        </w:rPr>
        <w:br w:type="page"/>
      </w:r>
    </w:p>
    <w:p w14:paraId="4CCD9091" w14:textId="40C4FF4A" w:rsidR="008D3D84" w:rsidRPr="008D3D84" w:rsidRDefault="008D3D84" w:rsidP="008D3D84">
      <w:pPr>
        <w:pStyle w:val="Caption"/>
        <w:keepNext/>
        <w:jc w:val="center"/>
        <w:rPr>
          <w:rStyle w:val="Strong"/>
          <w:i w:val="0"/>
          <w:sz w:val="22"/>
          <w:szCs w:val="22"/>
          <w:lang w:val="en-CA"/>
        </w:rPr>
      </w:pPr>
      <w:r w:rsidRPr="008D3D84">
        <w:rPr>
          <w:rStyle w:val="Strong"/>
          <w:i w:val="0"/>
          <w:sz w:val="22"/>
          <w:szCs w:val="22"/>
          <w:lang w:val="en-CA"/>
        </w:rPr>
        <w:lastRenderedPageBreak/>
        <w:t xml:space="preserve">Table </w:t>
      </w:r>
      <w:r w:rsidRPr="008D3D84">
        <w:rPr>
          <w:rStyle w:val="Strong"/>
          <w:i w:val="0"/>
          <w:sz w:val="22"/>
          <w:szCs w:val="22"/>
        </w:rPr>
        <w:fldChar w:fldCharType="begin"/>
      </w:r>
      <w:r w:rsidRPr="008D3D84">
        <w:rPr>
          <w:rStyle w:val="Strong"/>
          <w:i w:val="0"/>
          <w:sz w:val="22"/>
          <w:szCs w:val="22"/>
          <w:lang w:val="en-CA"/>
        </w:rPr>
        <w:instrText xml:space="preserve"> SEQ Table \* ARABIC </w:instrText>
      </w:r>
      <w:r w:rsidRPr="008D3D84">
        <w:rPr>
          <w:rStyle w:val="Strong"/>
          <w:i w:val="0"/>
          <w:sz w:val="22"/>
          <w:szCs w:val="22"/>
        </w:rPr>
        <w:fldChar w:fldCharType="separate"/>
      </w:r>
      <w:r>
        <w:rPr>
          <w:rStyle w:val="Strong"/>
          <w:i w:val="0"/>
          <w:noProof/>
          <w:sz w:val="22"/>
          <w:szCs w:val="22"/>
          <w:lang w:val="en-CA"/>
        </w:rPr>
        <w:t>2</w:t>
      </w:r>
      <w:r w:rsidRPr="008D3D84">
        <w:rPr>
          <w:rStyle w:val="Strong"/>
          <w:i w:val="0"/>
          <w:sz w:val="22"/>
          <w:szCs w:val="22"/>
        </w:rPr>
        <w:fldChar w:fldCharType="end"/>
      </w:r>
      <w:r w:rsidRPr="008D3D84">
        <w:rPr>
          <w:rStyle w:val="Strong"/>
          <w:i w:val="0"/>
          <w:sz w:val="22"/>
          <w:szCs w:val="22"/>
          <w:lang w:val="en-CA"/>
        </w:rPr>
        <w:t>: Proportion of non-advertised appointments among all appointments, fiscal years 2013-2014 to 2018-2019</w:t>
      </w:r>
    </w:p>
    <w:tbl>
      <w:tblPr>
        <w:tblStyle w:val="ListTable6Colorful-Accent1"/>
        <w:tblW w:w="9091" w:type="dxa"/>
        <w:tblLook w:val="06A0" w:firstRow="1" w:lastRow="0" w:firstColumn="1" w:lastColumn="0" w:noHBand="1" w:noVBand="1"/>
        <w:tblCaption w:val="Proportion of non-advertised appointments among all appointments, fiscal years 2013-2014 to 2018-2019"/>
        <w:tblDescription w:val="Proportion of non-advertised appointments among all appointments, fiscal years 2013-2014 to 2018-2019"/>
      </w:tblPr>
      <w:tblGrid>
        <w:gridCol w:w="1879"/>
        <w:gridCol w:w="1202"/>
        <w:gridCol w:w="1202"/>
        <w:gridCol w:w="1202"/>
        <w:gridCol w:w="1202"/>
        <w:gridCol w:w="1202"/>
        <w:gridCol w:w="1202"/>
      </w:tblGrid>
      <w:tr w:rsidR="00E42D8E" w:rsidRPr="00E42D8E" w14:paraId="33EF0C1B" w14:textId="77777777" w:rsidTr="0003327B">
        <w:trPr>
          <w:cnfStyle w:val="100000000000" w:firstRow="1" w:lastRow="0" w:firstColumn="0" w:lastColumn="0" w:oddVBand="0" w:evenVBand="0" w:oddHBand="0" w:evenHBand="0" w:firstRowFirstColumn="0" w:firstRowLastColumn="0" w:lastRowFirstColumn="0" w:lastRowLastColumn="0"/>
          <w:trHeight w:val="96"/>
          <w:tblHeader/>
        </w:trPr>
        <w:tc>
          <w:tcPr>
            <w:cnfStyle w:val="001000000000" w:firstRow="0" w:lastRow="0" w:firstColumn="1" w:lastColumn="0" w:oddVBand="0" w:evenVBand="0" w:oddHBand="0" w:evenHBand="0" w:firstRowFirstColumn="0" w:firstRowLastColumn="0" w:lastRowFirstColumn="0" w:lastRowLastColumn="0"/>
            <w:tcW w:w="1879" w:type="dxa"/>
            <w:tcBorders>
              <w:left w:val="single" w:sz="4" w:space="0" w:color="D50057" w:themeColor="accent1"/>
              <w:right w:val="single" w:sz="4" w:space="0" w:color="D50057" w:themeColor="accent1"/>
            </w:tcBorders>
            <w:noWrap/>
            <w:hideMark/>
          </w:tcPr>
          <w:p w14:paraId="258E7A48" w14:textId="21DBEFB3" w:rsidR="00E42D8E" w:rsidRPr="00E42D8E" w:rsidRDefault="007128DF" w:rsidP="00E42D8E">
            <w:pPr>
              <w:keepLines w:val="0"/>
              <w:rPr>
                <w:rFonts w:eastAsia="Times New Roman" w:cstheme="minorHAnsi"/>
                <w:b w:val="0"/>
                <w:color w:val="000000"/>
                <w:lang w:val="en-CA" w:eastAsia="en-CA"/>
              </w:rPr>
            </w:pPr>
            <w:r>
              <w:rPr>
                <w:rFonts w:eastAsia="Times New Roman" w:cstheme="minorHAnsi"/>
                <w:b w:val="0"/>
                <w:color w:val="000000"/>
                <w:lang w:val="en-CA" w:eastAsia="en-CA"/>
              </w:rPr>
              <w:t>Measure</w:t>
            </w:r>
          </w:p>
        </w:tc>
        <w:tc>
          <w:tcPr>
            <w:tcW w:w="1202" w:type="dxa"/>
            <w:tcBorders>
              <w:left w:val="single" w:sz="4" w:space="0" w:color="D50057" w:themeColor="accent1"/>
            </w:tcBorders>
            <w:noWrap/>
            <w:hideMark/>
          </w:tcPr>
          <w:p w14:paraId="65F5DDB7" w14:textId="77777777" w:rsidR="00E42D8E" w:rsidRPr="00E42D8E" w:rsidRDefault="00E42D8E" w:rsidP="00E42D8E">
            <w:pPr>
              <w:keepLines w:val="0"/>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lang w:val="en-CA" w:eastAsia="en-CA"/>
              </w:rPr>
            </w:pPr>
            <w:r w:rsidRPr="00E42D8E">
              <w:rPr>
                <w:rFonts w:eastAsia="Times New Roman" w:cstheme="minorHAnsi"/>
                <w:b w:val="0"/>
                <w:color w:val="000000"/>
                <w:lang w:val="en-CA" w:eastAsia="en-CA"/>
              </w:rPr>
              <w:t>2013-2014</w:t>
            </w:r>
          </w:p>
        </w:tc>
        <w:tc>
          <w:tcPr>
            <w:tcW w:w="1202" w:type="dxa"/>
            <w:noWrap/>
            <w:hideMark/>
          </w:tcPr>
          <w:p w14:paraId="2447B336" w14:textId="77777777" w:rsidR="00E42D8E" w:rsidRPr="00E42D8E" w:rsidRDefault="00E42D8E" w:rsidP="00E42D8E">
            <w:pPr>
              <w:keepLines w:val="0"/>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lang w:val="en-CA" w:eastAsia="en-CA"/>
              </w:rPr>
            </w:pPr>
            <w:r w:rsidRPr="00E42D8E">
              <w:rPr>
                <w:rFonts w:eastAsia="Times New Roman" w:cstheme="minorHAnsi"/>
                <w:b w:val="0"/>
                <w:color w:val="000000"/>
                <w:lang w:val="en-CA" w:eastAsia="en-CA"/>
              </w:rPr>
              <w:t>2014-2015</w:t>
            </w:r>
          </w:p>
        </w:tc>
        <w:tc>
          <w:tcPr>
            <w:tcW w:w="1202" w:type="dxa"/>
            <w:noWrap/>
            <w:hideMark/>
          </w:tcPr>
          <w:p w14:paraId="6DB2F083" w14:textId="77777777" w:rsidR="00E42D8E" w:rsidRPr="00E42D8E" w:rsidRDefault="00E42D8E" w:rsidP="00E42D8E">
            <w:pPr>
              <w:keepLines w:val="0"/>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lang w:val="en-CA" w:eastAsia="en-CA"/>
              </w:rPr>
            </w:pPr>
            <w:r w:rsidRPr="00E42D8E">
              <w:rPr>
                <w:rFonts w:eastAsia="Times New Roman" w:cstheme="minorHAnsi"/>
                <w:b w:val="0"/>
                <w:color w:val="000000"/>
                <w:lang w:val="en-CA" w:eastAsia="en-CA"/>
              </w:rPr>
              <w:t>2015-2016</w:t>
            </w:r>
          </w:p>
        </w:tc>
        <w:tc>
          <w:tcPr>
            <w:tcW w:w="1202" w:type="dxa"/>
            <w:noWrap/>
            <w:hideMark/>
          </w:tcPr>
          <w:p w14:paraId="04C1BFE3" w14:textId="77777777" w:rsidR="00E42D8E" w:rsidRPr="00E42D8E" w:rsidRDefault="00E42D8E" w:rsidP="00E42D8E">
            <w:pPr>
              <w:keepLines w:val="0"/>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lang w:val="en-CA" w:eastAsia="en-CA"/>
              </w:rPr>
            </w:pPr>
            <w:r w:rsidRPr="00E42D8E">
              <w:rPr>
                <w:rFonts w:eastAsia="Times New Roman" w:cstheme="minorHAnsi"/>
                <w:b w:val="0"/>
                <w:color w:val="000000"/>
                <w:lang w:val="en-CA" w:eastAsia="en-CA"/>
              </w:rPr>
              <w:t>2016-2017</w:t>
            </w:r>
          </w:p>
        </w:tc>
        <w:tc>
          <w:tcPr>
            <w:tcW w:w="1202" w:type="dxa"/>
            <w:noWrap/>
            <w:hideMark/>
          </w:tcPr>
          <w:p w14:paraId="17EB2954" w14:textId="77777777" w:rsidR="00E42D8E" w:rsidRPr="00E42D8E" w:rsidRDefault="00E42D8E" w:rsidP="00E42D8E">
            <w:pPr>
              <w:keepLines w:val="0"/>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lang w:val="en-CA" w:eastAsia="en-CA"/>
              </w:rPr>
            </w:pPr>
            <w:r w:rsidRPr="00E42D8E">
              <w:rPr>
                <w:rFonts w:eastAsia="Times New Roman" w:cstheme="minorHAnsi"/>
                <w:b w:val="0"/>
                <w:color w:val="000000"/>
                <w:lang w:val="en-CA" w:eastAsia="en-CA"/>
              </w:rPr>
              <w:t>2017-2018</w:t>
            </w:r>
          </w:p>
        </w:tc>
        <w:tc>
          <w:tcPr>
            <w:tcW w:w="1202" w:type="dxa"/>
            <w:tcBorders>
              <w:right w:val="single" w:sz="4" w:space="0" w:color="D50057" w:themeColor="accent1"/>
            </w:tcBorders>
            <w:noWrap/>
            <w:hideMark/>
          </w:tcPr>
          <w:p w14:paraId="339D4865" w14:textId="77777777" w:rsidR="00E42D8E" w:rsidRPr="00E42D8E" w:rsidRDefault="00E42D8E" w:rsidP="00E42D8E">
            <w:pPr>
              <w:keepLines w:val="0"/>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lang w:val="en-CA" w:eastAsia="en-CA"/>
              </w:rPr>
            </w:pPr>
            <w:r w:rsidRPr="00E42D8E">
              <w:rPr>
                <w:rFonts w:eastAsia="Times New Roman" w:cstheme="minorHAnsi"/>
                <w:b w:val="0"/>
                <w:color w:val="000000"/>
                <w:lang w:val="en-CA" w:eastAsia="en-CA"/>
              </w:rPr>
              <w:t>2018-2019</w:t>
            </w:r>
          </w:p>
        </w:tc>
      </w:tr>
      <w:tr w:rsidR="00E42D8E" w:rsidRPr="00E42D8E" w14:paraId="523DBF2D" w14:textId="77777777" w:rsidTr="00E42D8E">
        <w:trPr>
          <w:trHeight w:val="96"/>
        </w:trPr>
        <w:tc>
          <w:tcPr>
            <w:cnfStyle w:val="001000000000" w:firstRow="0" w:lastRow="0" w:firstColumn="1" w:lastColumn="0" w:oddVBand="0" w:evenVBand="0" w:oddHBand="0" w:evenHBand="0" w:firstRowFirstColumn="0" w:firstRowLastColumn="0" w:lastRowFirstColumn="0" w:lastRowLastColumn="0"/>
            <w:tcW w:w="1879" w:type="dxa"/>
            <w:tcBorders>
              <w:left w:val="single" w:sz="4" w:space="0" w:color="D50057" w:themeColor="accent1"/>
              <w:right w:val="single" w:sz="4" w:space="0" w:color="D50057" w:themeColor="accent1"/>
            </w:tcBorders>
            <w:noWrap/>
            <w:hideMark/>
          </w:tcPr>
          <w:p w14:paraId="74B0313C" w14:textId="77777777" w:rsidR="00E42D8E" w:rsidRPr="00E42D8E" w:rsidRDefault="00E42D8E" w:rsidP="00E42D8E">
            <w:pPr>
              <w:keepLines w:val="0"/>
              <w:rPr>
                <w:rFonts w:eastAsia="Times New Roman" w:cstheme="minorHAnsi"/>
                <w:b w:val="0"/>
                <w:color w:val="000000"/>
                <w:lang w:val="en-CA" w:eastAsia="en-CA"/>
              </w:rPr>
            </w:pPr>
            <w:r w:rsidRPr="00E42D8E">
              <w:rPr>
                <w:rFonts w:eastAsia="Times New Roman" w:cstheme="minorHAnsi"/>
                <w:b w:val="0"/>
                <w:color w:val="000000"/>
                <w:lang w:val="en-CA" w:eastAsia="en-CA"/>
              </w:rPr>
              <w:t>Proportion of non-advertised appointments</w:t>
            </w:r>
          </w:p>
        </w:tc>
        <w:tc>
          <w:tcPr>
            <w:tcW w:w="1202" w:type="dxa"/>
            <w:tcBorders>
              <w:left w:val="single" w:sz="4" w:space="0" w:color="D50057" w:themeColor="accent1"/>
            </w:tcBorders>
            <w:noWrap/>
            <w:vAlign w:val="center"/>
            <w:hideMark/>
          </w:tcPr>
          <w:p w14:paraId="265DCB4D" w14:textId="77777777" w:rsidR="00E42D8E" w:rsidRPr="00E42D8E" w:rsidRDefault="00E42D8E" w:rsidP="00E42D8E">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CA" w:eastAsia="en-CA"/>
              </w:rPr>
            </w:pPr>
            <w:r w:rsidRPr="00E42D8E">
              <w:rPr>
                <w:rFonts w:eastAsia="Times New Roman" w:cstheme="minorHAnsi"/>
                <w:color w:val="000000"/>
                <w:lang w:val="en-CA" w:eastAsia="en-CA"/>
              </w:rPr>
              <w:t>30.50%</w:t>
            </w:r>
          </w:p>
        </w:tc>
        <w:tc>
          <w:tcPr>
            <w:tcW w:w="1202" w:type="dxa"/>
            <w:noWrap/>
            <w:vAlign w:val="center"/>
            <w:hideMark/>
          </w:tcPr>
          <w:p w14:paraId="774D103A" w14:textId="77777777" w:rsidR="00E42D8E" w:rsidRPr="00E42D8E" w:rsidRDefault="00E42D8E" w:rsidP="00E42D8E">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CA" w:eastAsia="en-CA"/>
              </w:rPr>
            </w:pPr>
            <w:r w:rsidRPr="00E42D8E">
              <w:rPr>
                <w:rFonts w:eastAsia="Times New Roman" w:cstheme="minorHAnsi"/>
                <w:color w:val="000000"/>
                <w:lang w:val="en-CA" w:eastAsia="en-CA"/>
              </w:rPr>
              <w:t>31.70%</w:t>
            </w:r>
          </w:p>
        </w:tc>
        <w:tc>
          <w:tcPr>
            <w:tcW w:w="1202" w:type="dxa"/>
            <w:noWrap/>
            <w:vAlign w:val="center"/>
            <w:hideMark/>
          </w:tcPr>
          <w:p w14:paraId="6274774E" w14:textId="77777777" w:rsidR="00E42D8E" w:rsidRPr="00E42D8E" w:rsidRDefault="00E42D8E" w:rsidP="00E42D8E">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CA" w:eastAsia="en-CA"/>
              </w:rPr>
            </w:pPr>
            <w:r w:rsidRPr="00E42D8E">
              <w:rPr>
                <w:rFonts w:eastAsia="Times New Roman" w:cstheme="minorHAnsi"/>
                <w:color w:val="000000"/>
                <w:lang w:val="en-CA" w:eastAsia="en-CA"/>
              </w:rPr>
              <w:t>30.40%</w:t>
            </w:r>
          </w:p>
        </w:tc>
        <w:tc>
          <w:tcPr>
            <w:tcW w:w="1202" w:type="dxa"/>
            <w:noWrap/>
            <w:vAlign w:val="center"/>
            <w:hideMark/>
          </w:tcPr>
          <w:p w14:paraId="2911DD74" w14:textId="77777777" w:rsidR="00E42D8E" w:rsidRPr="00E42D8E" w:rsidRDefault="00E42D8E" w:rsidP="00E42D8E">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CA" w:eastAsia="en-CA"/>
              </w:rPr>
            </w:pPr>
            <w:r w:rsidRPr="00E42D8E">
              <w:rPr>
                <w:rFonts w:eastAsia="Times New Roman" w:cstheme="minorHAnsi"/>
                <w:color w:val="000000"/>
                <w:lang w:val="en-CA" w:eastAsia="en-CA"/>
              </w:rPr>
              <w:t>29.70%</w:t>
            </w:r>
          </w:p>
        </w:tc>
        <w:tc>
          <w:tcPr>
            <w:tcW w:w="1202" w:type="dxa"/>
            <w:noWrap/>
            <w:vAlign w:val="center"/>
            <w:hideMark/>
          </w:tcPr>
          <w:p w14:paraId="2D69771F" w14:textId="77777777" w:rsidR="00E42D8E" w:rsidRPr="00E42D8E" w:rsidRDefault="00E42D8E" w:rsidP="00E42D8E">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CA" w:eastAsia="en-CA"/>
              </w:rPr>
            </w:pPr>
            <w:r w:rsidRPr="00E42D8E">
              <w:rPr>
                <w:rFonts w:eastAsia="Times New Roman" w:cstheme="minorHAnsi"/>
                <w:color w:val="000000"/>
                <w:lang w:val="en-CA" w:eastAsia="en-CA"/>
              </w:rPr>
              <w:t>42.70%</w:t>
            </w:r>
          </w:p>
        </w:tc>
        <w:tc>
          <w:tcPr>
            <w:tcW w:w="1202" w:type="dxa"/>
            <w:tcBorders>
              <w:right w:val="single" w:sz="4" w:space="0" w:color="D50057" w:themeColor="accent1"/>
            </w:tcBorders>
            <w:noWrap/>
            <w:vAlign w:val="center"/>
            <w:hideMark/>
          </w:tcPr>
          <w:p w14:paraId="420B9AC8" w14:textId="77777777" w:rsidR="00E42D8E" w:rsidRPr="00E42D8E" w:rsidRDefault="00E42D8E" w:rsidP="00E42D8E">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val="en-CA" w:eastAsia="en-CA"/>
              </w:rPr>
            </w:pPr>
            <w:r w:rsidRPr="00E42D8E">
              <w:rPr>
                <w:rFonts w:eastAsia="Times New Roman" w:cstheme="minorHAnsi"/>
                <w:color w:val="000000"/>
                <w:lang w:val="en-CA" w:eastAsia="en-CA"/>
              </w:rPr>
              <w:t>45.90%</w:t>
            </w:r>
          </w:p>
        </w:tc>
      </w:tr>
    </w:tbl>
    <w:p w14:paraId="638E479C" w14:textId="64868F3B" w:rsidR="00CA1A37" w:rsidRPr="00BA616D" w:rsidRDefault="00681AE7" w:rsidP="00321005">
      <w:pPr>
        <w:spacing w:before="320" w:after="120"/>
        <w:rPr>
          <w:lang w:val="en-CA"/>
        </w:rPr>
      </w:pPr>
      <w:r>
        <w:rPr>
          <w:lang w:val="en-CA"/>
        </w:rPr>
        <w:t>Since</w:t>
      </w:r>
      <w:r w:rsidR="00185335" w:rsidRPr="00BA616D">
        <w:rPr>
          <w:lang w:val="en-CA"/>
        </w:rPr>
        <w:t xml:space="preserve"> the </w:t>
      </w:r>
      <w:r>
        <w:rPr>
          <w:lang w:val="en-CA"/>
        </w:rPr>
        <w:t>implementation</w:t>
      </w:r>
      <w:r w:rsidR="00185335" w:rsidRPr="00BA616D">
        <w:rPr>
          <w:lang w:val="en-CA"/>
        </w:rPr>
        <w:t xml:space="preserve"> of the NDS, there was an increase in the proportion of non-advertised</w:t>
      </w:r>
      <w:r w:rsidR="00BA616D">
        <w:rPr>
          <w:lang w:val="en-CA"/>
        </w:rPr>
        <w:t xml:space="preserve"> </w:t>
      </w:r>
      <w:r w:rsidR="00185335" w:rsidRPr="00BA616D">
        <w:rPr>
          <w:lang w:val="en-CA"/>
        </w:rPr>
        <w:t>appointments</w:t>
      </w:r>
      <w:r w:rsidR="00611A0A" w:rsidRPr="00BA616D">
        <w:rPr>
          <w:lang w:val="en-CA"/>
        </w:rPr>
        <w:t xml:space="preserve"> from approximately 30% to 46%</w:t>
      </w:r>
      <w:r w:rsidR="00185335" w:rsidRPr="00BA616D">
        <w:rPr>
          <w:lang w:val="en-CA"/>
        </w:rPr>
        <w:t>.</w:t>
      </w:r>
    </w:p>
    <w:p w14:paraId="7F82246A" w14:textId="0B6640FB" w:rsidR="00D7171C" w:rsidRDefault="00D7171C" w:rsidP="00703D8E">
      <w:pPr>
        <w:spacing w:after="120"/>
        <w:rPr>
          <w:lang w:val="en-CA"/>
        </w:rPr>
      </w:pPr>
      <w:r>
        <w:rPr>
          <w:lang w:val="en-CA"/>
        </w:rPr>
        <w:t xml:space="preserve">To determine whether this increase in non-advertised appointments impacted employment equity </w:t>
      </w:r>
      <w:r w:rsidR="00CD6F58">
        <w:rPr>
          <w:lang w:val="en-CA"/>
        </w:rPr>
        <w:t xml:space="preserve">(EE) </w:t>
      </w:r>
      <w:r>
        <w:rPr>
          <w:lang w:val="en-CA"/>
        </w:rPr>
        <w:t>group members,</w:t>
      </w:r>
      <w:r w:rsidDel="0006134C">
        <w:rPr>
          <w:lang w:val="en-CA"/>
        </w:rPr>
        <w:t xml:space="preserve"> </w:t>
      </w:r>
      <w:r>
        <w:rPr>
          <w:lang w:val="en-CA"/>
        </w:rPr>
        <w:t xml:space="preserve">we analysed the representation of each </w:t>
      </w:r>
      <w:r w:rsidR="00CD6F58">
        <w:rPr>
          <w:lang w:val="en-CA"/>
        </w:rPr>
        <w:t>EE</w:t>
      </w:r>
      <w:r w:rsidR="001A6D28">
        <w:rPr>
          <w:lang w:val="en-CA"/>
        </w:rPr>
        <w:t xml:space="preserve"> group in non-advertised</w:t>
      </w:r>
      <w:r w:rsidR="00681AE7">
        <w:rPr>
          <w:lang w:val="en-CA"/>
        </w:rPr>
        <w:t xml:space="preserve"> appointments</w:t>
      </w:r>
      <w:r>
        <w:rPr>
          <w:lang w:val="en-CA"/>
        </w:rPr>
        <w:t>.</w:t>
      </w:r>
    </w:p>
    <w:p w14:paraId="3EBBFA9B" w14:textId="0F3C3A08" w:rsidR="00D7171C" w:rsidRDefault="00D7171C" w:rsidP="00D7171C">
      <w:pPr>
        <w:pStyle w:val="ListParagraph"/>
        <w:numPr>
          <w:ilvl w:val="0"/>
          <w:numId w:val="34"/>
        </w:numPr>
        <w:spacing w:after="120"/>
        <w:contextualSpacing w:val="0"/>
        <w:rPr>
          <w:lang w:val="en-CA"/>
        </w:rPr>
      </w:pPr>
      <w:r>
        <w:rPr>
          <w:lang w:val="en-CA"/>
        </w:rPr>
        <w:t>As demonstrated in the graphs below, there is no adverse effect</w:t>
      </w:r>
      <w:r w:rsidR="00681AE7">
        <w:rPr>
          <w:lang w:val="en-CA"/>
        </w:rPr>
        <w:t xml:space="preserve"> of</w:t>
      </w:r>
      <w:r>
        <w:rPr>
          <w:lang w:val="en-CA"/>
        </w:rPr>
        <w:t xml:space="preserve"> </w:t>
      </w:r>
      <w:r w:rsidR="00681AE7">
        <w:rPr>
          <w:lang w:val="en-CA"/>
        </w:rPr>
        <w:t xml:space="preserve">non-advertised appointments </w:t>
      </w:r>
      <w:r>
        <w:rPr>
          <w:lang w:val="en-CA"/>
        </w:rPr>
        <w:t xml:space="preserve">on </w:t>
      </w:r>
      <w:r w:rsidR="00CD6F58">
        <w:rPr>
          <w:lang w:val="en-CA"/>
        </w:rPr>
        <w:t>EE</w:t>
      </w:r>
      <w:r w:rsidR="00F07819">
        <w:rPr>
          <w:lang w:val="en-CA"/>
        </w:rPr>
        <w:t xml:space="preserve"> representation.</w:t>
      </w:r>
    </w:p>
    <w:p w14:paraId="6A990FF3" w14:textId="77777777" w:rsidR="00270E44" w:rsidRDefault="00681AE7" w:rsidP="00FA191A">
      <w:pPr>
        <w:pStyle w:val="ListParagraph"/>
        <w:numPr>
          <w:ilvl w:val="0"/>
          <w:numId w:val="56"/>
        </w:numPr>
        <w:rPr>
          <w:lang w:val="en-CA"/>
        </w:rPr>
      </w:pPr>
      <w:r>
        <w:rPr>
          <w:lang w:val="en-CA"/>
        </w:rPr>
        <w:t>The r</w:t>
      </w:r>
      <w:r w:rsidR="001A6D28">
        <w:rPr>
          <w:lang w:val="en-CA"/>
        </w:rPr>
        <w:t xml:space="preserve">epresentation of members of visible minorities </w:t>
      </w:r>
      <w:r>
        <w:rPr>
          <w:lang w:val="en-CA"/>
        </w:rPr>
        <w:t xml:space="preserve">in non-advertised appointments </w:t>
      </w:r>
      <w:r w:rsidR="001A6D28">
        <w:rPr>
          <w:lang w:val="en-CA"/>
        </w:rPr>
        <w:t xml:space="preserve">increased since the </w:t>
      </w:r>
      <w:r w:rsidR="00E25C5E">
        <w:rPr>
          <w:lang w:val="en-CA"/>
        </w:rPr>
        <w:t>implementation</w:t>
      </w:r>
      <w:r w:rsidR="001A6D28">
        <w:rPr>
          <w:lang w:val="en-CA"/>
        </w:rPr>
        <w:t xml:space="preserve"> of</w:t>
      </w:r>
      <w:r w:rsidR="00E25C5E">
        <w:rPr>
          <w:lang w:val="en-CA"/>
        </w:rPr>
        <w:t xml:space="preserve"> the</w:t>
      </w:r>
      <w:r w:rsidR="001A6D28">
        <w:rPr>
          <w:lang w:val="en-CA"/>
        </w:rPr>
        <w:t xml:space="preserve"> NDS</w:t>
      </w:r>
      <w:r>
        <w:rPr>
          <w:lang w:val="en-CA"/>
        </w:rPr>
        <w:t>, while the r</w:t>
      </w:r>
      <w:r w:rsidR="00D7171C" w:rsidRPr="00B021C6">
        <w:rPr>
          <w:lang w:val="en-CA"/>
        </w:rPr>
        <w:t>epresentation of all</w:t>
      </w:r>
      <w:r w:rsidR="001A6D28">
        <w:rPr>
          <w:lang w:val="en-CA"/>
        </w:rPr>
        <w:t xml:space="preserve"> other</w:t>
      </w:r>
      <w:r w:rsidR="00D7171C" w:rsidRPr="00B021C6">
        <w:rPr>
          <w:lang w:val="en-CA"/>
        </w:rPr>
        <w:t xml:space="preserve"> EE groups </w:t>
      </w:r>
      <w:r w:rsidR="001A6D28">
        <w:rPr>
          <w:lang w:val="en-CA"/>
        </w:rPr>
        <w:t xml:space="preserve">remained </w:t>
      </w:r>
      <w:r>
        <w:rPr>
          <w:lang w:val="en-CA"/>
        </w:rPr>
        <w:t>stable</w:t>
      </w:r>
      <w:r w:rsidR="00D7171C" w:rsidRPr="00B021C6">
        <w:rPr>
          <w:lang w:val="en-CA"/>
        </w:rPr>
        <w:t>.</w:t>
      </w:r>
    </w:p>
    <w:p w14:paraId="20DB8068" w14:textId="742544DB" w:rsidR="00FA191A" w:rsidRDefault="00270E44" w:rsidP="00270E44">
      <w:pPr>
        <w:pStyle w:val="ListParagraph"/>
        <w:numPr>
          <w:ilvl w:val="1"/>
          <w:numId w:val="56"/>
        </w:numPr>
        <w:rPr>
          <w:lang w:val="en-CA"/>
        </w:rPr>
      </w:pPr>
      <w:r w:rsidRPr="00270E44">
        <w:rPr>
          <w:lang w:val="en-CA"/>
        </w:rPr>
        <w:t xml:space="preserve">It is important to </w:t>
      </w:r>
      <w:r>
        <w:rPr>
          <w:lang w:val="en-CA"/>
        </w:rPr>
        <w:t xml:space="preserve">note </w:t>
      </w:r>
      <w:r w:rsidRPr="00270E44">
        <w:rPr>
          <w:lang w:val="en-CA"/>
        </w:rPr>
        <w:t xml:space="preserve">that this analysis </w:t>
      </w:r>
      <w:r w:rsidR="0078278C">
        <w:rPr>
          <w:lang w:val="en-CA"/>
        </w:rPr>
        <w:t>focusses on</w:t>
      </w:r>
      <w:r w:rsidRPr="00270E44">
        <w:rPr>
          <w:lang w:val="en-CA"/>
        </w:rPr>
        <w:t xml:space="preserve"> visible minorities as a </w:t>
      </w:r>
      <w:r>
        <w:rPr>
          <w:lang w:val="en-CA"/>
        </w:rPr>
        <w:t>whole</w:t>
      </w:r>
      <w:r w:rsidRPr="00270E44">
        <w:rPr>
          <w:lang w:val="en-CA"/>
        </w:rPr>
        <w:t>. A disaggregated analysis by sub-group may reveal difference</w:t>
      </w:r>
      <w:r>
        <w:rPr>
          <w:lang w:val="en-CA"/>
        </w:rPr>
        <w:t>s</w:t>
      </w:r>
      <w:r w:rsidRPr="00270E44">
        <w:rPr>
          <w:lang w:val="en-CA"/>
        </w:rPr>
        <w:t xml:space="preserve"> in </w:t>
      </w:r>
      <w:r>
        <w:rPr>
          <w:lang w:val="en-CA"/>
        </w:rPr>
        <w:t>non-advertis</w:t>
      </w:r>
      <w:r w:rsidRPr="00270E44">
        <w:rPr>
          <w:lang w:val="en-CA"/>
        </w:rPr>
        <w:t xml:space="preserve">ed </w:t>
      </w:r>
      <w:r>
        <w:rPr>
          <w:lang w:val="en-CA"/>
        </w:rPr>
        <w:t xml:space="preserve">appointments </w:t>
      </w:r>
      <w:r w:rsidRPr="00270E44">
        <w:rPr>
          <w:lang w:val="en-CA"/>
        </w:rPr>
        <w:t>between sub-groups</w:t>
      </w:r>
      <w:r>
        <w:rPr>
          <w:lang w:val="en-CA"/>
        </w:rPr>
        <w:t>.</w:t>
      </w:r>
    </w:p>
    <w:p w14:paraId="1EF4ED4D" w14:textId="6ECBF14A" w:rsidR="00FA191A" w:rsidRDefault="00FA191A" w:rsidP="00FA191A">
      <w:pPr>
        <w:pStyle w:val="ListParagraph"/>
        <w:numPr>
          <w:ilvl w:val="0"/>
          <w:numId w:val="56"/>
        </w:numPr>
        <w:rPr>
          <w:lang w:val="en-CA"/>
        </w:rPr>
      </w:pPr>
      <w:r>
        <w:rPr>
          <w:lang w:val="en-CA"/>
        </w:rPr>
        <w:t>This increase in representation for members of visible minorities in non-advertised appointments is partially closing an existing gap with their representation in advertised appointments.</w:t>
      </w:r>
    </w:p>
    <w:p w14:paraId="354070AD" w14:textId="77777777" w:rsidR="00FA191A" w:rsidRDefault="00FA191A" w:rsidP="00FA191A">
      <w:pPr>
        <w:pStyle w:val="ListParagraph"/>
        <w:numPr>
          <w:ilvl w:val="1"/>
          <w:numId w:val="56"/>
        </w:numPr>
        <w:rPr>
          <w:lang w:val="en-CA"/>
        </w:rPr>
      </w:pPr>
      <w:r>
        <w:rPr>
          <w:lang w:val="en-CA"/>
        </w:rPr>
        <w:t>In 2013-2014, the representation of members of visible minorities was 16.1% in advertised appointments and 13.1% in non-advertised appointments.</w:t>
      </w:r>
    </w:p>
    <w:p w14:paraId="501332BD" w14:textId="74440F0F" w:rsidR="00FA191A" w:rsidRPr="00F07819" w:rsidRDefault="00FA191A" w:rsidP="00DD7CAE">
      <w:pPr>
        <w:pStyle w:val="ListParagraph"/>
        <w:keepLines w:val="0"/>
        <w:numPr>
          <w:ilvl w:val="1"/>
          <w:numId w:val="34"/>
        </w:numPr>
        <w:spacing w:after="160"/>
        <w:rPr>
          <w:b/>
          <w:color w:val="auto"/>
          <w:lang w:val="en-CA"/>
        </w:rPr>
      </w:pPr>
      <w:r w:rsidRPr="00F07819">
        <w:rPr>
          <w:lang w:val="en-CA"/>
        </w:rPr>
        <w:t>In 2018-2019, the representation of members of visible minorities was 20.1% in advertised appointments and 18.0% for non-advertised appointments.</w:t>
      </w:r>
      <w:r w:rsidRPr="00F07819">
        <w:rPr>
          <w:b/>
          <w:color w:val="auto"/>
          <w:lang w:val="en-CA"/>
        </w:rPr>
        <w:br w:type="page"/>
      </w:r>
    </w:p>
    <w:p w14:paraId="3B5A6CD1" w14:textId="1F6175AD" w:rsidR="008D3D84" w:rsidRPr="008D3D84" w:rsidRDefault="008D3D84" w:rsidP="008D3D84">
      <w:pPr>
        <w:pStyle w:val="Caption"/>
        <w:keepNext/>
        <w:jc w:val="center"/>
        <w:rPr>
          <w:rStyle w:val="Strong"/>
          <w:i w:val="0"/>
          <w:sz w:val="22"/>
          <w:szCs w:val="22"/>
          <w:lang w:val="en-CA"/>
        </w:rPr>
      </w:pPr>
      <w:r w:rsidRPr="008D3D84">
        <w:rPr>
          <w:rStyle w:val="Strong"/>
          <w:i w:val="0"/>
          <w:sz w:val="22"/>
          <w:szCs w:val="22"/>
          <w:lang w:val="en-CA"/>
        </w:rPr>
        <w:lastRenderedPageBreak/>
        <w:t xml:space="preserve">Figure </w:t>
      </w:r>
      <w:r w:rsidRPr="008D3D84">
        <w:rPr>
          <w:rStyle w:val="Strong"/>
          <w:i w:val="0"/>
          <w:sz w:val="22"/>
          <w:szCs w:val="22"/>
        </w:rPr>
        <w:fldChar w:fldCharType="begin"/>
      </w:r>
      <w:r w:rsidRPr="008D3D84">
        <w:rPr>
          <w:rStyle w:val="Strong"/>
          <w:i w:val="0"/>
          <w:sz w:val="22"/>
          <w:szCs w:val="22"/>
          <w:lang w:val="en-CA"/>
        </w:rPr>
        <w:instrText xml:space="preserve"> SEQ Figure \* ARABIC </w:instrText>
      </w:r>
      <w:r w:rsidRPr="008D3D84">
        <w:rPr>
          <w:rStyle w:val="Strong"/>
          <w:i w:val="0"/>
          <w:sz w:val="22"/>
          <w:szCs w:val="22"/>
        </w:rPr>
        <w:fldChar w:fldCharType="separate"/>
      </w:r>
      <w:r w:rsidRPr="008D3D84">
        <w:rPr>
          <w:rStyle w:val="Strong"/>
          <w:i w:val="0"/>
          <w:sz w:val="22"/>
          <w:szCs w:val="22"/>
          <w:lang w:val="en-CA"/>
        </w:rPr>
        <w:t>2</w:t>
      </w:r>
      <w:r w:rsidRPr="008D3D84">
        <w:rPr>
          <w:rStyle w:val="Strong"/>
          <w:i w:val="0"/>
          <w:sz w:val="22"/>
          <w:szCs w:val="22"/>
        </w:rPr>
        <w:fldChar w:fldCharType="end"/>
      </w:r>
      <w:r w:rsidRPr="008D3D84">
        <w:rPr>
          <w:rStyle w:val="Strong"/>
          <w:i w:val="0"/>
          <w:sz w:val="22"/>
          <w:szCs w:val="22"/>
          <w:lang w:val="en-CA"/>
        </w:rPr>
        <w:t>: Representation of employment equity groups in non-advertised appointments, fiscal years 2013-2014 to 2018-2019</w:t>
      </w:r>
      <w:r w:rsidRPr="008D3D84">
        <w:rPr>
          <w:rStyle w:val="Strong"/>
          <w:vertAlign w:val="superscript"/>
          <w:lang w:val="en-CA"/>
        </w:rPr>
        <w:footnoteReference w:id="1"/>
      </w:r>
    </w:p>
    <w:p w14:paraId="15C402AD" w14:textId="50D15AD9" w:rsidR="00CA1A37" w:rsidRDefault="001C5F83" w:rsidP="001C5F83">
      <w:pPr>
        <w:spacing w:after="0"/>
        <w:jc w:val="center"/>
        <w:rPr>
          <w:b/>
          <w:color w:val="auto"/>
          <w:lang w:val="en-CA"/>
        </w:rPr>
      </w:pPr>
      <w:r>
        <w:rPr>
          <w:noProof/>
          <w:lang w:val="en-CA" w:eastAsia="en-CA"/>
        </w:rPr>
        <w:drawing>
          <wp:inline distT="0" distB="0" distL="0" distR="0" wp14:anchorId="61DA4913" wp14:editId="7E3790A2">
            <wp:extent cx="5468906" cy="4184650"/>
            <wp:effectExtent l="0" t="0" r="0" b="6350"/>
            <wp:docPr id="2" name="Picture 2" descr="Representation of employment equity groups in non-advertised appointments, fiscal years 2013-2014 to 2018-2019. See tables belows" title="Representation of employment equity groups in non-advertised appointments, fiscal years 2013-2014 to 2018-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95384" cy="4204911"/>
                    </a:xfrm>
                    <a:prstGeom prst="rect">
                      <a:avLst/>
                    </a:prstGeom>
                  </pic:spPr>
                </pic:pic>
              </a:graphicData>
            </a:graphic>
          </wp:inline>
        </w:drawing>
      </w:r>
    </w:p>
    <w:p w14:paraId="19CCABDD" w14:textId="51141EA7" w:rsidR="008D3D84" w:rsidRPr="008D3D84" w:rsidRDefault="008D3D84" w:rsidP="00321005">
      <w:pPr>
        <w:pStyle w:val="Caption"/>
        <w:keepNext/>
        <w:spacing w:before="400"/>
        <w:jc w:val="center"/>
        <w:rPr>
          <w:rStyle w:val="Strong"/>
          <w:i w:val="0"/>
          <w:sz w:val="22"/>
          <w:szCs w:val="22"/>
          <w:lang w:val="en-CA"/>
        </w:rPr>
      </w:pPr>
      <w:r w:rsidRPr="008D3D84">
        <w:rPr>
          <w:rStyle w:val="Strong"/>
          <w:i w:val="0"/>
          <w:sz w:val="22"/>
          <w:szCs w:val="22"/>
          <w:lang w:val="en-CA"/>
        </w:rPr>
        <w:t xml:space="preserve">Table </w:t>
      </w:r>
      <w:r w:rsidRPr="008D3D84">
        <w:rPr>
          <w:rStyle w:val="Strong"/>
          <w:i w:val="0"/>
          <w:sz w:val="22"/>
          <w:szCs w:val="22"/>
        </w:rPr>
        <w:fldChar w:fldCharType="begin"/>
      </w:r>
      <w:r w:rsidRPr="008D3D84">
        <w:rPr>
          <w:rStyle w:val="Strong"/>
          <w:i w:val="0"/>
          <w:sz w:val="22"/>
          <w:szCs w:val="22"/>
          <w:lang w:val="en-CA"/>
        </w:rPr>
        <w:instrText xml:space="preserve"> SEQ Table \* ARABIC </w:instrText>
      </w:r>
      <w:r w:rsidRPr="008D3D84">
        <w:rPr>
          <w:rStyle w:val="Strong"/>
          <w:i w:val="0"/>
          <w:sz w:val="22"/>
          <w:szCs w:val="22"/>
        </w:rPr>
        <w:fldChar w:fldCharType="separate"/>
      </w:r>
      <w:r w:rsidRPr="008D3D84">
        <w:rPr>
          <w:rStyle w:val="Strong"/>
          <w:i w:val="0"/>
          <w:sz w:val="22"/>
          <w:szCs w:val="22"/>
          <w:lang w:val="en-CA"/>
        </w:rPr>
        <w:t>3</w:t>
      </w:r>
      <w:r w:rsidRPr="008D3D84">
        <w:rPr>
          <w:rStyle w:val="Strong"/>
          <w:i w:val="0"/>
          <w:sz w:val="22"/>
          <w:szCs w:val="22"/>
        </w:rPr>
        <w:fldChar w:fldCharType="end"/>
      </w:r>
      <w:r w:rsidRPr="008D3D84">
        <w:rPr>
          <w:rStyle w:val="Strong"/>
          <w:i w:val="0"/>
          <w:sz w:val="22"/>
          <w:szCs w:val="22"/>
          <w:lang w:val="en-CA"/>
        </w:rPr>
        <w:t>: Representation of women in non-advertised appointments, fiscal years 2013-2014 to 2018-2019</w:t>
      </w:r>
    </w:p>
    <w:tbl>
      <w:tblPr>
        <w:tblStyle w:val="ListTable6Colorful-Accent1"/>
        <w:tblW w:w="9721" w:type="dxa"/>
        <w:tblLook w:val="06A0" w:firstRow="1" w:lastRow="0" w:firstColumn="1" w:lastColumn="0" w:noHBand="1" w:noVBand="1"/>
        <w:tblCaption w:val="Representation of women in non-advertised appointments, fiscal years 2013-2014 to 2018-2019"/>
        <w:tblDescription w:val="Representation of women in non-advertised appointments, fiscal years 2013-2014 to 2018-2019"/>
      </w:tblPr>
      <w:tblGrid>
        <w:gridCol w:w="2659"/>
        <w:gridCol w:w="1177"/>
        <w:gridCol w:w="1177"/>
        <w:gridCol w:w="1177"/>
        <w:gridCol w:w="1177"/>
        <w:gridCol w:w="1177"/>
        <w:gridCol w:w="1177"/>
      </w:tblGrid>
      <w:tr w:rsidR="00E42D8E" w:rsidRPr="00E42D8E" w14:paraId="6DF40031" w14:textId="77777777" w:rsidTr="0003327B">
        <w:trPr>
          <w:cnfStyle w:val="100000000000" w:firstRow="1" w:lastRow="0" w:firstColumn="0" w:lastColumn="0" w:oddVBand="0" w:evenVBand="0" w:oddHBand="0" w:evenHBand="0" w:firstRowFirstColumn="0" w:firstRowLastColumn="0" w:lastRowFirstColumn="0" w:lastRowLastColumn="0"/>
          <w:trHeight w:val="51"/>
          <w:tblHeader/>
        </w:trPr>
        <w:tc>
          <w:tcPr>
            <w:cnfStyle w:val="001000000000" w:firstRow="0" w:lastRow="0" w:firstColumn="1" w:lastColumn="0" w:oddVBand="0" w:evenVBand="0" w:oddHBand="0" w:evenHBand="0" w:firstRowFirstColumn="0" w:firstRowLastColumn="0" w:lastRowFirstColumn="0" w:lastRowLastColumn="0"/>
            <w:tcW w:w="2659" w:type="dxa"/>
            <w:tcBorders>
              <w:left w:val="single" w:sz="4" w:space="0" w:color="D50057" w:themeColor="accent1"/>
              <w:right w:val="single" w:sz="4" w:space="0" w:color="D50057" w:themeColor="accent1"/>
            </w:tcBorders>
            <w:noWrap/>
            <w:vAlign w:val="center"/>
            <w:hideMark/>
          </w:tcPr>
          <w:p w14:paraId="67243602" w14:textId="3BFC0E40" w:rsidR="00E42D8E" w:rsidRPr="00E42D8E" w:rsidRDefault="007128DF" w:rsidP="0003327B">
            <w:pPr>
              <w:keepLines w:val="0"/>
              <w:rPr>
                <w:rFonts w:eastAsia="Times New Roman" w:cstheme="minorHAnsi"/>
                <w:b w:val="0"/>
                <w:color w:val="000000"/>
                <w:lang w:val="en-CA" w:eastAsia="en-CA"/>
              </w:rPr>
            </w:pPr>
            <w:r>
              <w:rPr>
                <w:rFonts w:eastAsia="Times New Roman" w:cstheme="minorHAnsi"/>
                <w:b w:val="0"/>
                <w:color w:val="000000"/>
                <w:lang w:val="en-CA" w:eastAsia="en-CA"/>
              </w:rPr>
              <w:t>Measure</w:t>
            </w:r>
          </w:p>
        </w:tc>
        <w:tc>
          <w:tcPr>
            <w:tcW w:w="1177" w:type="dxa"/>
            <w:tcBorders>
              <w:left w:val="single" w:sz="4" w:space="0" w:color="D50057" w:themeColor="accent1"/>
            </w:tcBorders>
            <w:noWrap/>
            <w:vAlign w:val="center"/>
            <w:hideMark/>
          </w:tcPr>
          <w:p w14:paraId="7338E708" w14:textId="77777777" w:rsidR="00E42D8E" w:rsidRPr="00E42D8E" w:rsidRDefault="00E42D8E" w:rsidP="00E42D8E">
            <w:pPr>
              <w:keepLines w:val="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lang w:val="en-CA" w:eastAsia="en-CA"/>
              </w:rPr>
            </w:pPr>
            <w:r w:rsidRPr="00E42D8E">
              <w:rPr>
                <w:rFonts w:eastAsia="Times New Roman" w:cstheme="minorHAnsi"/>
                <w:b w:val="0"/>
                <w:color w:val="000000"/>
                <w:lang w:val="en-CA" w:eastAsia="en-CA"/>
              </w:rPr>
              <w:t>2013-2014</w:t>
            </w:r>
          </w:p>
        </w:tc>
        <w:tc>
          <w:tcPr>
            <w:tcW w:w="1177" w:type="dxa"/>
            <w:noWrap/>
            <w:vAlign w:val="center"/>
            <w:hideMark/>
          </w:tcPr>
          <w:p w14:paraId="690404DB" w14:textId="77777777" w:rsidR="00E42D8E" w:rsidRPr="00E42D8E" w:rsidRDefault="00E42D8E" w:rsidP="00E42D8E">
            <w:pPr>
              <w:keepLines w:val="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lang w:val="en-CA" w:eastAsia="en-CA"/>
              </w:rPr>
            </w:pPr>
            <w:r w:rsidRPr="00E42D8E">
              <w:rPr>
                <w:rFonts w:eastAsia="Times New Roman" w:cstheme="minorHAnsi"/>
                <w:b w:val="0"/>
                <w:color w:val="000000"/>
                <w:lang w:val="en-CA" w:eastAsia="en-CA"/>
              </w:rPr>
              <w:t>2014-2015</w:t>
            </w:r>
          </w:p>
        </w:tc>
        <w:tc>
          <w:tcPr>
            <w:tcW w:w="1177" w:type="dxa"/>
            <w:noWrap/>
            <w:vAlign w:val="center"/>
            <w:hideMark/>
          </w:tcPr>
          <w:p w14:paraId="5A3B3593" w14:textId="77777777" w:rsidR="00E42D8E" w:rsidRPr="00E42D8E" w:rsidRDefault="00E42D8E" w:rsidP="00E42D8E">
            <w:pPr>
              <w:keepLines w:val="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lang w:val="en-CA" w:eastAsia="en-CA"/>
              </w:rPr>
            </w:pPr>
            <w:r w:rsidRPr="00E42D8E">
              <w:rPr>
                <w:rFonts w:eastAsia="Times New Roman" w:cstheme="minorHAnsi"/>
                <w:b w:val="0"/>
                <w:color w:val="000000"/>
                <w:lang w:val="en-CA" w:eastAsia="en-CA"/>
              </w:rPr>
              <w:t>2015-2016</w:t>
            </w:r>
          </w:p>
        </w:tc>
        <w:tc>
          <w:tcPr>
            <w:tcW w:w="1177" w:type="dxa"/>
            <w:noWrap/>
            <w:vAlign w:val="center"/>
            <w:hideMark/>
          </w:tcPr>
          <w:p w14:paraId="2C833773" w14:textId="77777777" w:rsidR="00E42D8E" w:rsidRPr="00E42D8E" w:rsidRDefault="00E42D8E" w:rsidP="00E42D8E">
            <w:pPr>
              <w:keepLines w:val="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lang w:val="en-CA" w:eastAsia="en-CA"/>
              </w:rPr>
            </w:pPr>
            <w:r w:rsidRPr="00E42D8E">
              <w:rPr>
                <w:rFonts w:eastAsia="Times New Roman" w:cstheme="minorHAnsi"/>
                <w:b w:val="0"/>
                <w:color w:val="000000"/>
                <w:lang w:val="en-CA" w:eastAsia="en-CA"/>
              </w:rPr>
              <w:t>2016-2017</w:t>
            </w:r>
          </w:p>
        </w:tc>
        <w:tc>
          <w:tcPr>
            <w:tcW w:w="1177" w:type="dxa"/>
            <w:noWrap/>
            <w:vAlign w:val="center"/>
            <w:hideMark/>
          </w:tcPr>
          <w:p w14:paraId="40F2F199" w14:textId="77777777" w:rsidR="00E42D8E" w:rsidRPr="00E42D8E" w:rsidRDefault="00E42D8E" w:rsidP="00E42D8E">
            <w:pPr>
              <w:keepLines w:val="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lang w:val="en-CA" w:eastAsia="en-CA"/>
              </w:rPr>
            </w:pPr>
            <w:r w:rsidRPr="00E42D8E">
              <w:rPr>
                <w:rFonts w:eastAsia="Times New Roman" w:cstheme="minorHAnsi"/>
                <w:b w:val="0"/>
                <w:color w:val="000000"/>
                <w:lang w:val="en-CA" w:eastAsia="en-CA"/>
              </w:rPr>
              <w:t>2017-2018</w:t>
            </w:r>
          </w:p>
        </w:tc>
        <w:tc>
          <w:tcPr>
            <w:tcW w:w="1177" w:type="dxa"/>
            <w:tcBorders>
              <w:right w:val="single" w:sz="4" w:space="0" w:color="D50057" w:themeColor="accent1"/>
            </w:tcBorders>
            <w:noWrap/>
            <w:vAlign w:val="center"/>
            <w:hideMark/>
          </w:tcPr>
          <w:p w14:paraId="432B449C" w14:textId="77777777" w:rsidR="00E42D8E" w:rsidRPr="00E42D8E" w:rsidRDefault="00E42D8E" w:rsidP="00E42D8E">
            <w:pPr>
              <w:keepLines w:val="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lang w:val="en-CA" w:eastAsia="en-CA"/>
              </w:rPr>
            </w:pPr>
            <w:r w:rsidRPr="00E42D8E">
              <w:rPr>
                <w:rFonts w:eastAsia="Times New Roman" w:cstheme="minorHAnsi"/>
                <w:b w:val="0"/>
                <w:color w:val="000000"/>
                <w:lang w:val="en-CA" w:eastAsia="en-CA"/>
              </w:rPr>
              <w:t>2018-2019</w:t>
            </w:r>
          </w:p>
        </w:tc>
      </w:tr>
      <w:tr w:rsidR="00E42D8E" w:rsidRPr="00E42D8E" w14:paraId="274F3405" w14:textId="77777777" w:rsidTr="00757111">
        <w:trPr>
          <w:trHeight w:val="680"/>
        </w:trPr>
        <w:tc>
          <w:tcPr>
            <w:cnfStyle w:val="001000000000" w:firstRow="0" w:lastRow="0" w:firstColumn="1" w:lastColumn="0" w:oddVBand="0" w:evenVBand="0" w:oddHBand="0" w:evenHBand="0" w:firstRowFirstColumn="0" w:firstRowLastColumn="0" w:lastRowFirstColumn="0" w:lastRowLastColumn="0"/>
            <w:tcW w:w="2659" w:type="dxa"/>
            <w:tcBorders>
              <w:left w:val="single" w:sz="4" w:space="0" w:color="D50057" w:themeColor="accent1"/>
              <w:right w:val="single" w:sz="4" w:space="0" w:color="D50057" w:themeColor="accent1"/>
            </w:tcBorders>
            <w:noWrap/>
            <w:vAlign w:val="center"/>
            <w:hideMark/>
          </w:tcPr>
          <w:p w14:paraId="44B84ABE" w14:textId="77777777" w:rsidR="00E42D8E" w:rsidRPr="00E42D8E" w:rsidRDefault="00E42D8E" w:rsidP="00E42D8E">
            <w:pPr>
              <w:keepLines w:val="0"/>
              <w:rPr>
                <w:rFonts w:eastAsia="Times New Roman" w:cstheme="minorHAnsi"/>
                <w:b w:val="0"/>
                <w:color w:val="000000"/>
                <w:lang w:val="en-CA" w:eastAsia="en-CA"/>
              </w:rPr>
            </w:pPr>
            <w:r w:rsidRPr="00E42D8E">
              <w:rPr>
                <w:rFonts w:eastAsia="Times New Roman" w:cstheme="minorHAnsi"/>
                <w:b w:val="0"/>
                <w:color w:val="000000"/>
                <w:lang w:val="en-CA" w:eastAsia="en-CA"/>
              </w:rPr>
              <w:t>Representation in non-Advertised appointments</w:t>
            </w:r>
          </w:p>
        </w:tc>
        <w:tc>
          <w:tcPr>
            <w:tcW w:w="1177" w:type="dxa"/>
            <w:tcBorders>
              <w:left w:val="single" w:sz="4" w:space="0" w:color="D50057" w:themeColor="accent1"/>
            </w:tcBorders>
            <w:noWrap/>
            <w:vAlign w:val="center"/>
            <w:hideMark/>
          </w:tcPr>
          <w:p w14:paraId="6D182713" w14:textId="77777777" w:rsidR="00E42D8E" w:rsidRPr="00E42D8E" w:rsidRDefault="00E42D8E" w:rsidP="00E42D8E">
            <w:pPr>
              <w:keepLines w:val="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E42D8E">
              <w:rPr>
                <w:rFonts w:eastAsia="Times New Roman" w:cstheme="minorHAnsi"/>
                <w:color w:val="auto"/>
                <w:lang w:val="en-CA" w:eastAsia="en-CA"/>
              </w:rPr>
              <w:t>57.50%</w:t>
            </w:r>
          </w:p>
        </w:tc>
        <w:tc>
          <w:tcPr>
            <w:tcW w:w="1177" w:type="dxa"/>
            <w:noWrap/>
            <w:vAlign w:val="center"/>
            <w:hideMark/>
          </w:tcPr>
          <w:p w14:paraId="529FEBC1" w14:textId="77777777" w:rsidR="00E42D8E" w:rsidRPr="00E42D8E" w:rsidRDefault="00E42D8E" w:rsidP="00E42D8E">
            <w:pPr>
              <w:keepLines w:val="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E42D8E">
              <w:rPr>
                <w:rFonts w:eastAsia="Times New Roman" w:cstheme="minorHAnsi"/>
                <w:color w:val="auto"/>
                <w:lang w:val="en-CA" w:eastAsia="en-CA"/>
              </w:rPr>
              <w:t>59.00%</w:t>
            </w:r>
          </w:p>
        </w:tc>
        <w:tc>
          <w:tcPr>
            <w:tcW w:w="1177" w:type="dxa"/>
            <w:noWrap/>
            <w:vAlign w:val="center"/>
            <w:hideMark/>
          </w:tcPr>
          <w:p w14:paraId="5C241BA9" w14:textId="77777777" w:rsidR="00E42D8E" w:rsidRPr="00E42D8E" w:rsidRDefault="00E42D8E" w:rsidP="00E42D8E">
            <w:pPr>
              <w:keepLines w:val="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E42D8E">
              <w:rPr>
                <w:rFonts w:eastAsia="Times New Roman" w:cstheme="minorHAnsi"/>
                <w:color w:val="auto"/>
                <w:lang w:val="en-CA" w:eastAsia="en-CA"/>
              </w:rPr>
              <w:t>57.80%</w:t>
            </w:r>
          </w:p>
        </w:tc>
        <w:tc>
          <w:tcPr>
            <w:tcW w:w="1177" w:type="dxa"/>
            <w:noWrap/>
            <w:vAlign w:val="center"/>
            <w:hideMark/>
          </w:tcPr>
          <w:p w14:paraId="70460659" w14:textId="77777777" w:rsidR="00E42D8E" w:rsidRPr="00E42D8E" w:rsidRDefault="00E42D8E" w:rsidP="00E42D8E">
            <w:pPr>
              <w:keepLines w:val="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E42D8E">
              <w:rPr>
                <w:rFonts w:eastAsia="Times New Roman" w:cstheme="minorHAnsi"/>
                <w:color w:val="auto"/>
                <w:lang w:val="en-CA" w:eastAsia="en-CA"/>
              </w:rPr>
              <w:t>59.10%</w:t>
            </w:r>
          </w:p>
        </w:tc>
        <w:tc>
          <w:tcPr>
            <w:tcW w:w="1177" w:type="dxa"/>
            <w:noWrap/>
            <w:vAlign w:val="center"/>
            <w:hideMark/>
          </w:tcPr>
          <w:p w14:paraId="496E6A02" w14:textId="77777777" w:rsidR="00E42D8E" w:rsidRPr="00E42D8E" w:rsidRDefault="00E42D8E" w:rsidP="00E42D8E">
            <w:pPr>
              <w:keepLines w:val="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E42D8E">
              <w:rPr>
                <w:rFonts w:eastAsia="Times New Roman" w:cstheme="minorHAnsi"/>
                <w:color w:val="auto"/>
                <w:lang w:val="en-CA" w:eastAsia="en-CA"/>
              </w:rPr>
              <w:t>61.40%</w:t>
            </w:r>
          </w:p>
        </w:tc>
        <w:tc>
          <w:tcPr>
            <w:tcW w:w="1177" w:type="dxa"/>
            <w:tcBorders>
              <w:right w:val="single" w:sz="4" w:space="0" w:color="D50057" w:themeColor="accent1"/>
            </w:tcBorders>
            <w:noWrap/>
            <w:vAlign w:val="center"/>
            <w:hideMark/>
          </w:tcPr>
          <w:p w14:paraId="2BE5BB4D" w14:textId="77777777" w:rsidR="00E42D8E" w:rsidRPr="00E42D8E" w:rsidRDefault="00E42D8E" w:rsidP="00E42D8E">
            <w:pPr>
              <w:keepLines w:val="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E42D8E">
              <w:rPr>
                <w:rFonts w:eastAsia="Times New Roman" w:cstheme="minorHAnsi"/>
                <w:color w:val="auto"/>
                <w:lang w:val="en-CA" w:eastAsia="en-CA"/>
              </w:rPr>
              <w:t>61.90%</w:t>
            </w:r>
          </w:p>
        </w:tc>
      </w:tr>
      <w:tr w:rsidR="00E42D8E" w:rsidRPr="00E42D8E" w14:paraId="71F86A54" w14:textId="77777777" w:rsidTr="00757111">
        <w:trPr>
          <w:trHeight w:val="680"/>
        </w:trPr>
        <w:tc>
          <w:tcPr>
            <w:cnfStyle w:val="001000000000" w:firstRow="0" w:lastRow="0" w:firstColumn="1" w:lastColumn="0" w:oddVBand="0" w:evenVBand="0" w:oddHBand="0" w:evenHBand="0" w:firstRowFirstColumn="0" w:firstRowLastColumn="0" w:lastRowFirstColumn="0" w:lastRowLastColumn="0"/>
            <w:tcW w:w="2659" w:type="dxa"/>
            <w:tcBorders>
              <w:left w:val="single" w:sz="4" w:space="0" w:color="D50057" w:themeColor="accent1"/>
              <w:right w:val="single" w:sz="4" w:space="0" w:color="D50057" w:themeColor="accent1"/>
            </w:tcBorders>
            <w:noWrap/>
            <w:vAlign w:val="center"/>
            <w:hideMark/>
          </w:tcPr>
          <w:p w14:paraId="248B5C64" w14:textId="77777777" w:rsidR="00E42D8E" w:rsidRPr="00E42D8E" w:rsidRDefault="00E42D8E" w:rsidP="00E42D8E">
            <w:pPr>
              <w:keepLines w:val="0"/>
              <w:rPr>
                <w:rFonts w:eastAsia="Times New Roman" w:cstheme="minorHAnsi"/>
                <w:b w:val="0"/>
                <w:color w:val="000000"/>
                <w:lang w:val="en-CA" w:eastAsia="en-CA"/>
              </w:rPr>
            </w:pPr>
            <w:r w:rsidRPr="00E42D8E">
              <w:rPr>
                <w:rFonts w:eastAsia="Times New Roman" w:cstheme="minorHAnsi"/>
                <w:b w:val="0"/>
                <w:color w:val="000000"/>
                <w:lang w:val="en-CA" w:eastAsia="en-CA"/>
              </w:rPr>
              <w:t>WFA benchmark FY 2013-2014 to FY 2017-2018</w:t>
            </w:r>
          </w:p>
        </w:tc>
        <w:tc>
          <w:tcPr>
            <w:tcW w:w="1177" w:type="dxa"/>
            <w:tcBorders>
              <w:left w:val="single" w:sz="4" w:space="0" w:color="D50057" w:themeColor="accent1"/>
            </w:tcBorders>
            <w:noWrap/>
            <w:vAlign w:val="center"/>
            <w:hideMark/>
          </w:tcPr>
          <w:p w14:paraId="11642120" w14:textId="77777777" w:rsidR="00E42D8E" w:rsidRPr="00E42D8E" w:rsidRDefault="00E42D8E" w:rsidP="00E42D8E">
            <w:pPr>
              <w:keepLines w:val="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E42D8E">
              <w:rPr>
                <w:rFonts w:eastAsia="Times New Roman" w:cstheme="minorHAnsi"/>
                <w:color w:val="auto"/>
                <w:lang w:val="en-CA" w:eastAsia="en-CA"/>
              </w:rPr>
              <w:t>52.50%</w:t>
            </w:r>
          </w:p>
        </w:tc>
        <w:tc>
          <w:tcPr>
            <w:tcW w:w="1177" w:type="dxa"/>
            <w:noWrap/>
            <w:vAlign w:val="center"/>
            <w:hideMark/>
          </w:tcPr>
          <w:p w14:paraId="49579653" w14:textId="77777777" w:rsidR="00E42D8E" w:rsidRPr="00E42D8E" w:rsidRDefault="00E42D8E" w:rsidP="00E42D8E">
            <w:pPr>
              <w:keepLines w:val="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E42D8E">
              <w:rPr>
                <w:rFonts w:eastAsia="Times New Roman" w:cstheme="minorHAnsi"/>
                <w:color w:val="auto"/>
                <w:lang w:val="en-CA" w:eastAsia="en-CA"/>
              </w:rPr>
              <w:t>52.50%</w:t>
            </w:r>
          </w:p>
        </w:tc>
        <w:tc>
          <w:tcPr>
            <w:tcW w:w="1177" w:type="dxa"/>
            <w:noWrap/>
            <w:vAlign w:val="center"/>
            <w:hideMark/>
          </w:tcPr>
          <w:p w14:paraId="402ED5DA" w14:textId="77777777" w:rsidR="00E42D8E" w:rsidRPr="00E42D8E" w:rsidRDefault="00E42D8E" w:rsidP="00E42D8E">
            <w:pPr>
              <w:keepLines w:val="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E42D8E">
              <w:rPr>
                <w:rFonts w:eastAsia="Times New Roman" w:cstheme="minorHAnsi"/>
                <w:color w:val="auto"/>
                <w:lang w:val="en-CA" w:eastAsia="en-CA"/>
              </w:rPr>
              <w:t>52.50%</w:t>
            </w:r>
          </w:p>
        </w:tc>
        <w:tc>
          <w:tcPr>
            <w:tcW w:w="1177" w:type="dxa"/>
            <w:noWrap/>
            <w:vAlign w:val="center"/>
            <w:hideMark/>
          </w:tcPr>
          <w:p w14:paraId="5FCEF505" w14:textId="77777777" w:rsidR="00E42D8E" w:rsidRPr="00E42D8E" w:rsidRDefault="00E42D8E" w:rsidP="00E42D8E">
            <w:pPr>
              <w:keepLines w:val="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E42D8E">
              <w:rPr>
                <w:rFonts w:eastAsia="Times New Roman" w:cstheme="minorHAnsi"/>
                <w:color w:val="auto"/>
                <w:lang w:val="en-CA" w:eastAsia="en-CA"/>
              </w:rPr>
              <w:t>52.50%</w:t>
            </w:r>
          </w:p>
        </w:tc>
        <w:tc>
          <w:tcPr>
            <w:tcW w:w="1177" w:type="dxa"/>
            <w:noWrap/>
            <w:vAlign w:val="center"/>
            <w:hideMark/>
          </w:tcPr>
          <w:p w14:paraId="219A9F14" w14:textId="77777777" w:rsidR="00E42D8E" w:rsidRPr="00E42D8E" w:rsidRDefault="00E42D8E" w:rsidP="00E42D8E">
            <w:pPr>
              <w:keepLines w:val="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E42D8E">
              <w:rPr>
                <w:rFonts w:eastAsia="Times New Roman" w:cstheme="minorHAnsi"/>
                <w:color w:val="auto"/>
                <w:lang w:val="en-CA" w:eastAsia="en-CA"/>
              </w:rPr>
              <w:t>52.50%</w:t>
            </w:r>
          </w:p>
        </w:tc>
        <w:tc>
          <w:tcPr>
            <w:tcW w:w="1177" w:type="dxa"/>
            <w:tcBorders>
              <w:right w:val="single" w:sz="4" w:space="0" w:color="D50057" w:themeColor="accent1"/>
            </w:tcBorders>
            <w:noWrap/>
            <w:vAlign w:val="center"/>
            <w:hideMark/>
          </w:tcPr>
          <w:p w14:paraId="43D58913" w14:textId="77777777" w:rsidR="00E42D8E" w:rsidRPr="00E42D8E" w:rsidRDefault="00E42D8E" w:rsidP="00E42D8E">
            <w:pPr>
              <w:keepLines w:val="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E42D8E">
              <w:rPr>
                <w:rFonts w:eastAsia="Times New Roman" w:cstheme="minorHAnsi"/>
                <w:color w:val="auto"/>
                <w:lang w:val="en-CA" w:eastAsia="en-CA"/>
              </w:rPr>
              <w:t> </w:t>
            </w:r>
          </w:p>
        </w:tc>
      </w:tr>
      <w:tr w:rsidR="00E42D8E" w:rsidRPr="00E42D8E" w14:paraId="58D0C576" w14:textId="77777777" w:rsidTr="00757111">
        <w:trPr>
          <w:trHeight w:val="680"/>
        </w:trPr>
        <w:tc>
          <w:tcPr>
            <w:cnfStyle w:val="001000000000" w:firstRow="0" w:lastRow="0" w:firstColumn="1" w:lastColumn="0" w:oddVBand="0" w:evenVBand="0" w:oddHBand="0" w:evenHBand="0" w:firstRowFirstColumn="0" w:firstRowLastColumn="0" w:lastRowFirstColumn="0" w:lastRowLastColumn="0"/>
            <w:tcW w:w="2659" w:type="dxa"/>
            <w:tcBorders>
              <w:left w:val="single" w:sz="4" w:space="0" w:color="D50057" w:themeColor="accent1"/>
              <w:right w:val="single" w:sz="4" w:space="0" w:color="D50057" w:themeColor="accent1"/>
            </w:tcBorders>
            <w:noWrap/>
            <w:vAlign w:val="center"/>
            <w:hideMark/>
          </w:tcPr>
          <w:p w14:paraId="6213FCD8" w14:textId="77777777" w:rsidR="00E42D8E" w:rsidRPr="00E42D8E" w:rsidRDefault="00E42D8E" w:rsidP="00E42D8E">
            <w:pPr>
              <w:keepLines w:val="0"/>
              <w:rPr>
                <w:rFonts w:eastAsia="Times New Roman" w:cstheme="minorHAnsi"/>
                <w:b w:val="0"/>
                <w:color w:val="000000"/>
                <w:lang w:val="en-CA" w:eastAsia="en-CA"/>
              </w:rPr>
            </w:pPr>
            <w:r w:rsidRPr="00E42D8E">
              <w:rPr>
                <w:rFonts w:eastAsia="Times New Roman" w:cstheme="minorHAnsi"/>
                <w:b w:val="0"/>
                <w:color w:val="000000"/>
                <w:lang w:val="en-CA" w:eastAsia="en-CA"/>
              </w:rPr>
              <w:t>WFA benchmark FY 2018-2019</w:t>
            </w:r>
          </w:p>
        </w:tc>
        <w:tc>
          <w:tcPr>
            <w:tcW w:w="1177" w:type="dxa"/>
            <w:tcBorders>
              <w:left w:val="single" w:sz="4" w:space="0" w:color="D50057" w:themeColor="accent1"/>
            </w:tcBorders>
            <w:noWrap/>
            <w:vAlign w:val="center"/>
            <w:hideMark/>
          </w:tcPr>
          <w:p w14:paraId="33D7CCB3" w14:textId="77777777" w:rsidR="00E42D8E" w:rsidRPr="00E42D8E" w:rsidRDefault="00E42D8E" w:rsidP="00E42D8E">
            <w:pPr>
              <w:keepLines w:val="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E42D8E">
              <w:rPr>
                <w:rFonts w:eastAsia="Times New Roman" w:cstheme="minorHAnsi"/>
                <w:color w:val="auto"/>
                <w:lang w:val="en-CA" w:eastAsia="en-CA"/>
              </w:rPr>
              <w:t> </w:t>
            </w:r>
          </w:p>
        </w:tc>
        <w:tc>
          <w:tcPr>
            <w:tcW w:w="1177" w:type="dxa"/>
            <w:noWrap/>
            <w:vAlign w:val="center"/>
            <w:hideMark/>
          </w:tcPr>
          <w:p w14:paraId="78D4CDE2" w14:textId="77777777" w:rsidR="00E42D8E" w:rsidRPr="00E42D8E" w:rsidRDefault="00E42D8E" w:rsidP="00E42D8E">
            <w:pPr>
              <w:keepLines w:val="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E42D8E">
              <w:rPr>
                <w:rFonts w:eastAsia="Times New Roman" w:cstheme="minorHAnsi"/>
                <w:color w:val="auto"/>
                <w:lang w:val="en-CA" w:eastAsia="en-CA"/>
              </w:rPr>
              <w:t> </w:t>
            </w:r>
          </w:p>
        </w:tc>
        <w:tc>
          <w:tcPr>
            <w:tcW w:w="1177" w:type="dxa"/>
            <w:noWrap/>
            <w:vAlign w:val="center"/>
            <w:hideMark/>
          </w:tcPr>
          <w:p w14:paraId="16EB55A9" w14:textId="77777777" w:rsidR="00E42D8E" w:rsidRPr="00E42D8E" w:rsidRDefault="00E42D8E" w:rsidP="00E42D8E">
            <w:pPr>
              <w:keepLines w:val="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E42D8E">
              <w:rPr>
                <w:rFonts w:eastAsia="Times New Roman" w:cstheme="minorHAnsi"/>
                <w:color w:val="auto"/>
                <w:lang w:val="en-CA" w:eastAsia="en-CA"/>
              </w:rPr>
              <w:t> </w:t>
            </w:r>
          </w:p>
        </w:tc>
        <w:tc>
          <w:tcPr>
            <w:tcW w:w="1177" w:type="dxa"/>
            <w:noWrap/>
            <w:vAlign w:val="center"/>
            <w:hideMark/>
          </w:tcPr>
          <w:p w14:paraId="5D41DFED" w14:textId="77777777" w:rsidR="00E42D8E" w:rsidRPr="00E42D8E" w:rsidRDefault="00E42D8E" w:rsidP="00E42D8E">
            <w:pPr>
              <w:keepLines w:val="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E42D8E">
              <w:rPr>
                <w:rFonts w:eastAsia="Times New Roman" w:cstheme="minorHAnsi"/>
                <w:color w:val="auto"/>
                <w:lang w:val="en-CA" w:eastAsia="en-CA"/>
              </w:rPr>
              <w:t> </w:t>
            </w:r>
          </w:p>
        </w:tc>
        <w:tc>
          <w:tcPr>
            <w:tcW w:w="1177" w:type="dxa"/>
            <w:noWrap/>
            <w:vAlign w:val="center"/>
            <w:hideMark/>
          </w:tcPr>
          <w:p w14:paraId="43387564" w14:textId="77777777" w:rsidR="00E42D8E" w:rsidRPr="00E42D8E" w:rsidRDefault="00E42D8E" w:rsidP="00E42D8E">
            <w:pPr>
              <w:keepLines w:val="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E42D8E">
              <w:rPr>
                <w:rFonts w:eastAsia="Times New Roman" w:cstheme="minorHAnsi"/>
                <w:color w:val="auto"/>
                <w:lang w:val="en-CA" w:eastAsia="en-CA"/>
              </w:rPr>
              <w:t> </w:t>
            </w:r>
          </w:p>
        </w:tc>
        <w:tc>
          <w:tcPr>
            <w:tcW w:w="1177" w:type="dxa"/>
            <w:tcBorders>
              <w:right w:val="single" w:sz="4" w:space="0" w:color="D50057" w:themeColor="accent1"/>
            </w:tcBorders>
            <w:noWrap/>
            <w:vAlign w:val="center"/>
            <w:hideMark/>
          </w:tcPr>
          <w:p w14:paraId="67FC658D" w14:textId="77777777" w:rsidR="00E42D8E" w:rsidRPr="00E42D8E" w:rsidRDefault="00E42D8E" w:rsidP="00E42D8E">
            <w:pPr>
              <w:keepLines w:val="0"/>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E42D8E">
              <w:rPr>
                <w:rFonts w:eastAsia="Times New Roman" w:cstheme="minorHAnsi"/>
                <w:color w:val="auto"/>
                <w:lang w:val="en-CA" w:eastAsia="en-CA"/>
              </w:rPr>
              <w:t>52.70%</w:t>
            </w:r>
          </w:p>
        </w:tc>
      </w:tr>
    </w:tbl>
    <w:p w14:paraId="1114E128" w14:textId="3B7E0905" w:rsidR="008D3D84" w:rsidRPr="008D3D84" w:rsidRDefault="008D3D84" w:rsidP="008D3D84">
      <w:pPr>
        <w:pStyle w:val="Caption"/>
        <w:keepNext/>
        <w:jc w:val="center"/>
        <w:rPr>
          <w:rStyle w:val="Strong"/>
          <w:i w:val="0"/>
          <w:sz w:val="22"/>
          <w:szCs w:val="22"/>
          <w:lang w:val="en-CA"/>
        </w:rPr>
      </w:pPr>
      <w:r w:rsidRPr="008D3D84">
        <w:rPr>
          <w:rStyle w:val="Strong"/>
          <w:i w:val="0"/>
          <w:sz w:val="22"/>
          <w:szCs w:val="22"/>
          <w:lang w:val="en-CA"/>
        </w:rPr>
        <w:lastRenderedPageBreak/>
        <w:t xml:space="preserve">Table </w:t>
      </w:r>
      <w:r w:rsidRPr="008D3D84">
        <w:rPr>
          <w:rStyle w:val="Strong"/>
          <w:i w:val="0"/>
          <w:sz w:val="22"/>
          <w:szCs w:val="22"/>
        </w:rPr>
        <w:fldChar w:fldCharType="begin"/>
      </w:r>
      <w:r w:rsidRPr="008D3D84">
        <w:rPr>
          <w:rStyle w:val="Strong"/>
          <w:i w:val="0"/>
          <w:sz w:val="22"/>
          <w:szCs w:val="22"/>
          <w:lang w:val="en-CA"/>
        </w:rPr>
        <w:instrText xml:space="preserve"> SEQ Table \* ARABIC </w:instrText>
      </w:r>
      <w:r w:rsidRPr="008D3D84">
        <w:rPr>
          <w:rStyle w:val="Strong"/>
          <w:i w:val="0"/>
          <w:sz w:val="22"/>
          <w:szCs w:val="22"/>
        </w:rPr>
        <w:fldChar w:fldCharType="separate"/>
      </w:r>
      <w:r w:rsidRPr="008D3D84">
        <w:rPr>
          <w:rStyle w:val="Strong"/>
          <w:i w:val="0"/>
          <w:sz w:val="22"/>
          <w:szCs w:val="22"/>
          <w:lang w:val="en-CA"/>
        </w:rPr>
        <w:t>4</w:t>
      </w:r>
      <w:r w:rsidRPr="008D3D84">
        <w:rPr>
          <w:rStyle w:val="Strong"/>
          <w:i w:val="0"/>
          <w:sz w:val="22"/>
          <w:szCs w:val="22"/>
        </w:rPr>
        <w:fldChar w:fldCharType="end"/>
      </w:r>
      <w:r w:rsidRPr="008D3D84">
        <w:rPr>
          <w:rStyle w:val="Strong"/>
          <w:i w:val="0"/>
          <w:sz w:val="22"/>
          <w:szCs w:val="22"/>
          <w:lang w:val="en-CA"/>
        </w:rPr>
        <w:t>: Representation of members of visible minorities in non-advertised appointments, fiscal years 2013-2014 to 2018-2019</w:t>
      </w:r>
    </w:p>
    <w:tbl>
      <w:tblPr>
        <w:tblStyle w:val="ListTable6Colorful-Accent1"/>
        <w:tblW w:w="9721" w:type="dxa"/>
        <w:tblLook w:val="06A0" w:firstRow="1" w:lastRow="0" w:firstColumn="1" w:lastColumn="0" w:noHBand="1" w:noVBand="1"/>
        <w:tblCaption w:val="Representation of members of visible minorities in non-advertised appointments, fiscal years 2013-2014 to 2018-2019"/>
        <w:tblDescription w:val="Representation of members of visible minorities in non-advertised appointments, fiscal years 2013-2014 to 2018-2019"/>
      </w:tblPr>
      <w:tblGrid>
        <w:gridCol w:w="2659"/>
        <w:gridCol w:w="1177"/>
        <w:gridCol w:w="1177"/>
        <w:gridCol w:w="1177"/>
        <w:gridCol w:w="1177"/>
        <w:gridCol w:w="1177"/>
        <w:gridCol w:w="1177"/>
      </w:tblGrid>
      <w:tr w:rsidR="00757111" w:rsidRPr="00E42D8E" w14:paraId="22BF6158" w14:textId="77777777" w:rsidTr="0003327B">
        <w:trPr>
          <w:cnfStyle w:val="100000000000" w:firstRow="1" w:lastRow="0" w:firstColumn="0" w:lastColumn="0" w:oddVBand="0" w:evenVBand="0" w:oddHBand="0" w:evenHBand="0" w:firstRowFirstColumn="0" w:firstRowLastColumn="0" w:lastRowFirstColumn="0" w:lastRowLastColumn="0"/>
          <w:trHeight w:val="51"/>
          <w:tblHeader/>
        </w:trPr>
        <w:tc>
          <w:tcPr>
            <w:cnfStyle w:val="001000000000" w:firstRow="0" w:lastRow="0" w:firstColumn="1" w:lastColumn="0" w:oddVBand="0" w:evenVBand="0" w:oddHBand="0" w:evenHBand="0" w:firstRowFirstColumn="0" w:firstRowLastColumn="0" w:lastRowFirstColumn="0" w:lastRowLastColumn="0"/>
            <w:tcW w:w="2659" w:type="dxa"/>
            <w:tcBorders>
              <w:left w:val="single" w:sz="4" w:space="0" w:color="D50057" w:themeColor="accent1"/>
              <w:right w:val="single" w:sz="4" w:space="0" w:color="D50057" w:themeColor="accent1"/>
            </w:tcBorders>
            <w:noWrap/>
            <w:vAlign w:val="center"/>
            <w:hideMark/>
          </w:tcPr>
          <w:p w14:paraId="301250CD" w14:textId="381E8522" w:rsidR="00757111" w:rsidRPr="00590A8C" w:rsidRDefault="007128DF" w:rsidP="00A17A1E">
            <w:pPr>
              <w:keepLines w:val="0"/>
              <w:rPr>
                <w:rFonts w:eastAsia="Times New Roman" w:cstheme="minorHAnsi"/>
                <w:b w:val="0"/>
                <w:color w:val="000000"/>
                <w:lang w:val="en-CA" w:eastAsia="en-CA"/>
              </w:rPr>
            </w:pPr>
            <w:r>
              <w:rPr>
                <w:rFonts w:eastAsia="Times New Roman" w:cstheme="minorHAnsi"/>
                <w:b w:val="0"/>
                <w:color w:val="000000"/>
                <w:lang w:val="en-CA" w:eastAsia="en-CA"/>
              </w:rPr>
              <w:t>Measure</w:t>
            </w:r>
          </w:p>
        </w:tc>
        <w:tc>
          <w:tcPr>
            <w:tcW w:w="1177" w:type="dxa"/>
            <w:tcBorders>
              <w:left w:val="single" w:sz="4" w:space="0" w:color="D50057" w:themeColor="accent1"/>
            </w:tcBorders>
            <w:noWrap/>
            <w:vAlign w:val="center"/>
            <w:hideMark/>
          </w:tcPr>
          <w:p w14:paraId="49B282EB" w14:textId="77777777" w:rsidR="00757111" w:rsidRPr="00590A8C" w:rsidRDefault="00757111" w:rsidP="00A17A1E">
            <w:pPr>
              <w:keepLines w:val="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lang w:val="en-CA" w:eastAsia="en-CA"/>
              </w:rPr>
            </w:pPr>
            <w:r w:rsidRPr="00590A8C">
              <w:rPr>
                <w:rFonts w:eastAsia="Times New Roman" w:cstheme="minorHAnsi"/>
                <w:b w:val="0"/>
                <w:color w:val="000000"/>
                <w:lang w:val="en-CA" w:eastAsia="en-CA"/>
              </w:rPr>
              <w:t>2013-2014</w:t>
            </w:r>
          </w:p>
        </w:tc>
        <w:tc>
          <w:tcPr>
            <w:tcW w:w="1177" w:type="dxa"/>
            <w:noWrap/>
            <w:vAlign w:val="center"/>
            <w:hideMark/>
          </w:tcPr>
          <w:p w14:paraId="60553EEC" w14:textId="77777777" w:rsidR="00757111" w:rsidRPr="00590A8C" w:rsidRDefault="00757111" w:rsidP="00A17A1E">
            <w:pPr>
              <w:keepLines w:val="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lang w:val="en-CA" w:eastAsia="en-CA"/>
              </w:rPr>
            </w:pPr>
            <w:r w:rsidRPr="00590A8C">
              <w:rPr>
                <w:rFonts w:eastAsia="Times New Roman" w:cstheme="minorHAnsi"/>
                <w:b w:val="0"/>
                <w:color w:val="000000"/>
                <w:lang w:val="en-CA" w:eastAsia="en-CA"/>
              </w:rPr>
              <w:t>2014-2015</w:t>
            </w:r>
          </w:p>
        </w:tc>
        <w:tc>
          <w:tcPr>
            <w:tcW w:w="1177" w:type="dxa"/>
            <w:noWrap/>
            <w:vAlign w:val="center"/>
            <w:hideMark/>
          </w:tcPr>
          <w:p w14:paraId="415BBD80" w14:textId="77777777" w:rsidR="00757111" w:rsidRPr="00590A8C" w:rsidRDefault="00757111" w:rsidP="00A17A1E">
            <w:pPr>
              <w:keepLines w:val="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lang w:val="en-CA" w:eastAsia="en-CA"/>
              </w:rPr>
            </w:pPr>
            <w:r w:rsidRPr="00590A8C">
              <w:rPr>
                <w:rFonts w:eastAsia="Times New Roman" w:cstheme="minorHAnsi"/>
                <w:b w:val="0"/>
                <w:color w:val="000000"/>
                <w:lang w:val="en-CA" w:eastAsia="en-CA"/>
              </w:rPr>
              <w:t>2015-2016</w:t>
            </w:r>
          </w:p>
        </w:tc>
        <w:tc>
          <w:tcPr>
            <w:tcW w:w="1177" w:type="dxa"/>
            <w:noWrap/>
            <w:vAlign w:val="center"/>
            <w:hideMark/>
          </w:tcPr>
          <w:p w14:paraId="7781A233" w14:textId="77777777" w:rsidR="00757111" w:rsidRPr="00590A8C" w:rsidRDefault="00757111" w:rsidP="00A17A1E">
            <w:pPr>
              <w:keepLines w:val="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lang w:val="en-CA" w:eastAsia="en-CA"/>
              </w:rPr>
            </w:pPr>
            <w:r w:rsidRPr="00590A8C">
              <w:rPr>
                <w:rFonts w:eastAsia="Times New Roman" w:cstheme="minorHAnsi"/>
                <w:b w:val="0"/>
                <w:color w:val="000000"/>
                <w:lang w:val="en-CA" w:eastAsia="en-CA"/>
              </w:rPr>
              <w:t>2016-2017</w:t>
            </w:r>
          </w:p>
        </w:tc>
        <w:tc>
          <w:tcPr>
            <w:tcW w:w="1177" w:type="dxa"/>
            <w:noWrap/>
            <w:vAlign w:val="center"/>
            <w:hideMark/>
          </w:tcPr>
          <w:p w14:paraId="43388267" w14:textId="77777777" w:rsidR="00757111" w:rsidRPr="00590A8C" w:rsidRDefault="00757111" w:rsidP="00A17A1E">
            <w:pPr>
              <w:keepLines w:val="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lang w:val="en-CA" w:eastAsia="en-CA"/>
              </w:rPr>
            </w:pPr>
            <w:r w:rsidRPr="00590A8C">
              <w:rPr>
                <w:rFonts w:eastAsia="Times New Roman" w:cstheme="minorHAnsi"/>
                <w:b w:val="0"/>
                <w:color w:val="000000"/>
                <w:lang w:val="en-CA" w:eastAsia="en-CA"/>
              </w:rPr>
              <w:t>2017-2018</w:t>
            </w:r>
          </w:p>
        </w:tc>
        <w:tc>
          <w:tcPr>
            <w:tcW w:w="1177" w:type="dxa"/>
            <w:tcBorders>
              <w:right w:val="single" w:sz="4" w:space="0" w:color="D50057" w:themeColor="accent1"/>
            </w:tcBorders>
            <w:noWrap/>
            <w:vAlign w:val="center"/>
            <w:hideMark/>
          </w:tcPr>
          <w:p w14:paraId="69EF7744" w14:textId="77777777" w:rsidR="00757111" w:rsidRPr="00590A8C" w:rsidRDefault="00757111" w:rsidP="00A17A1E">
            <w:pPr>
              <w:keepLines w:val="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lang w:val="en-CA" w:eastAsia="en-CA"/>
              </w:rPr>
            </w:pPr>
            <w:r w:rsidRPr="00590A8C">
              <w:rPr>
                <w:rFonts w:eastAsia="Times New Roman" w:cstheme="minorHAnsi"/>
                <w:b w:val="0"/>
                <w:color w:val="000000"/>
                <w:lang w:val="en-CA" w:eastAsia="en-CA"/>
              </w:rPr>
              <w:t>2018-2019</w:t>
            </w:r>
          </w:p>
        </w:tc>
      </w:tr>
      <w:tr w:rsidR="00757111" w:rsidRPr="00E42D8E" w14:paraId="7BF6CFD5" w14:textId="77777777" w:rsidTr="00757111">
        <w:trPr>
          <w:trHeight w:val="680"/>
        </w:trPr>
        <w:tc>
          <w:tcPr>
            <w:cnfStyle w:val="001000000000" w:firstRow="0" w:lastRow="0" w:firstColumn="1" w:lastColumn="0" w:oddVBand="0" w:evenVBand="0" w:oddHBand="0" w:evenHBand="0" w:firstRowFirstColumn="0" w:firstRowLastColumn="0" w:lastRowFirstColumn="0" w:lastRowLastColumn="0"/>
            <w:tcW w:w="2659" w:type="dxa"/>
            <w:tcBorders>
              <w:left w:val="single" w:sz="4" w:space="0" w:color="D50057" w:themeColor="accent1"/>
              <w:right w:val="single" w:sz="4" w:space="0" w:color="D50057" w:themeColor="accent1"/>
            </w:tcBorders>
            <w:noWrap/>
            <w:vAlign w:val="center"/>
            <w:hideMark/>
          </w:tcPr>
          <w:p w14:paraId="23062731" w14:textId="77777777" w:rsidR="00757111" w:rsidRPr="00590A8C" w:rsidRDefault="00757111" w:rsidP="00757111">
            <w:pPr>
              <w:keepLines w:val="0"/>
              <w:rPr>
                <w:rFonts w:eastAsia="Times New Roman" w:cstheme="minorHAnsi"/>
                <w:b w:val="0"/>
                <w:color w:val="000000"/>
                <w:lang w:val="en-CA" w:eastAsia="en-CA"/>
              </w:rPr>
            </w:pPr>
            <w:r w:rsidRPr="00590A8C">
              <w:rPr>
                <w:rFonts w:eastAsia="Times New Roman" w:cstheme="minorHAnsi"/>
                <w:b w:val="0"/>
                <w:color w:val="000000"/>
                <w:lang w:val="en-CA" w:eastAsia="en-CA"/>
              </w:rPr>
              <w:t>Representation in non-Advertised appointments</w:t>
            </w:r>
          </w:p>
        </w:tc>
        <w:tc>
          <w:tcPr>
            <w:tcW w:w="1177" w:type="dxa"/>
            <w:tcBorders>
              <w:left w:val="single" w:sz="4" w:space="0" w:color="D50057" w:themeColor="accent1"/>
            </w:tcBorders>
            <w:noWrap/>
            <w:vAlign w:val="center"/>
            <w:hideMark/>
          </w:tcPr>
          <w:p w14:paraId="3E1A3B72" w14:textId="42E21C57"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13.10%</w:t>
            </w:r>
          </w:p>
        </w:tc>
        <w:tc>
          <w:tcPr>
            <w:tcW w:w="1177" w:type="dxa"/>
            <w:noWrap/>
            <w:vAlign w:val="center"/>
            <w:hideMark/>
          </w:tcPr>
          <w:p w14:paraId="0F676A8B" w14:textId="2106BE9D"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13.30%</w:t>
            </w:r>
          </w:p>
        </w:tc>
        <w:tc>
          <w:tcPr>
            <w:tcW w:w="1177" w:type="dxa"/>
            <w:noWrap/>
            <w:vAlign w:val="center"/>
            <w:hideMark/>
          </w:tcPr>
          <w:p w14:paraId="0D6F2014" w14:textId="06C6819B"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14.80%</w:t>
            </w:r>
          </w:p>
        </w:tc>
        <w:tc>
          <w:tcPr>
            <w:tcW w:w="1177" w:type="dxa"/>
            <w:noWrap/>
            <w:vAlign w:val="center"/>
            <w:hideMark/>
          </w:tcPr>
          <w:p w14:paraId="7B2E60F9" w14:textId="68FD2405"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15.70%</w:t>
            </w:r>
          </w:p>
        </w:tc>
        <w:tc>
          <w:tcPr>
            <w:tcW w:w="1177" w:type="dxa"/>
            <w:noWrap/>
            <w:vAlign w:val="center"/>
            <w:hideMark/>
          </w:tcPr>
          <w:p w14:paraId="3D4B3C20" w14:textId="24553E5B"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17.00%</w:t>
            </w:r>
          </w:p>
        </w:tc>
        <w:tc>
          <w:tcPr>
            <w:tcW w:w="1177" w:type="dxa"/>
            <w:tcBorders>
              <w:right w:val="single" w:sz="4" w:space="0" w:color="D50057" w:themeColor="accent1"/>
            </w:tcBorders>
            <w:noWrap/>
            <w:vAlign w:val="center"/>
            <w:hideMark/>
          </w:tcPr>
          <w:p w14:paraId="0A4E6148" w14:textId="198847A0"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18.00%</w:t>
            </w:r>
          </w:p>
        </w:tc>
      </w:tr>
      <w:tr w:rsidR="00757111" w:rsidRPr="00E42D8E" w14:paraId="7BC79D3E" w14:textId="77777777" w:rsidTr="00757111">
        <w:trPr>
          <w:trHeight w:val="680"/>
        </w:trPr>
        <w:tc>
          <w:tcPr>
            <w:cnfStyle w:val="001000000000" w:firstRow="0" w:lastRow="0" w:firstColumn="1" w:lastColumn="0" w:oddVBand="0" w:evenVBand="0" w:oddHBand="0" w:evenHBand="0" w:firstRowFirstColumn="0" w:firstRowLastColumn="0" w:lastRowFirstColumn="0" w:lastRowLastColumn="0"/>
            <w:tcW w:w="2659" w:type="dxa"/>
            <w:tcBorders>
              <w:left w:val="single" w:sz="4" w:space="0" w:color="D50057" w:themeColor="accent1"/>
              <w:right w:val="single" w:sz="4" w:space="0" w:color="D50057" w:themeColor="accent1"/>
            </w:tcBorders>
            <w:noWrap/>
            <w:vAlign w:val="center"/>
            <w:hideMark/>
          </w:tcPr>
          <w:p w14:paraId="469025ED" w14:textId="77777777" w:rsidR="00757111" w:rsidRPr="00590A8C" w:rsidRDefault="00757111" w:rsidP="00757111">
            <w:pPr>
              <w:keepLines w:val="0"/>
              <w:rPr>
                <w:rFonts w:eastAsia="Times New Roman" w:cstheme="minorHAnsi"/>
                <w:b w:val="0"/>
                <w:color w:val="000000"/>
                <w:lang w:val="en-CA" w:eastAsia="en-CA"/>
              </w:rPr>
            </w:pPr>
            <w:r w:rsidRPr="00590A8C">
              <w:rPr>
                <w:rFonts w:eastAsia="Times New Roman" w:cstheme="minorHAnsi"/>
                <w:b w:val="0"/>
                <w:color w:val="000000"/>
                <w:lang w:val="en-CA" w:eastAsia="en-CA"/>
              </w:rPr>
              <w:t>WFA benchmark FY 2013-2014 to FY 2017-2018</w:t>
            </w:r>
          </w:p>
        </w:tc>
        <w:tc>
          <w:tcPr>
            <w:tcW w:w="1177" w:type="dxa"/>
            <w:tcBorders>
              <w:left w:val="single" w:sz="4" w:space="0" w:color="D50057" w:themeColor="accent1"/>
            </w:tcBorders>
            <w:noWrap/>
            <w:vAlign w:val="center"/>
            <w:hideMark/>
          </w:tcPr>
          <w:p w14:paraId="230BBF34" w14:textId="0E3E5334"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13.00%</w:t>
            </w:r>
          </w:p>
        </w:tc>
        <w:tc>
          <w:tcPr>
            <w:tcW w:w="1177" w:type="dxa"/>
            <w:noWrap/>
            <w:vAlign w:val="center"/>
            <w:hideMark/>
          </w:tcPr>
          <w:p w14:paraId="14B2FA05" w14:textId="1A0CA91E"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13.00%</w:t>
            </w:r>
          </w:p>
        </w:tc>
        <w:tc>
          <w:tcPr>
            <w:tcW w:w="1177" w:type="dxa"/>
            <w:noWrap/>
            <w:vAlign w:val="center"/>
            <w:hideMark/>
          </w:tcPr>
          <w:p w14:paraId="312E5A46" w14:textId="647E6CE3"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13.00%</w:t>
            </w:r>
          </w:p>
        </w:tc>
        <w:tc>
          <w:tcPr>
            <w:tcW w:w="1177" w:type="dxa"/>
            <w:noWrap/>
            <w:vAlign w:val="center"/>
            <w:hideMark/>
          </w:tcPr>
          <w:p w14:paraId="5A49FBB5" w14:textId="423CE68F"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13.00%</w:t>
            </w:r>
          </w:p>
        </w:tc>
        <w:tc>
          <w:tcPr>
            <w:tcW w:w="1177" w:type="dxa"/>
            <w:noWrap/>
            <w:vAlign w:val="center"/>
            <w:hideMark/>
          </w:tcPr>
          <w:p w14:paraId="634A2525" w14:textId="1DB94437"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13.00%</w:t>
            </w:r>
          </w:p>
        </w:tc>
        <w:tc>
          <w:tcPr>
            <w:tcW w:w="1177" w:type="dxa"/>
            <w:tcBorders>
              <w:right w:val="single" w:sz="4" w:space="0" w:color="D50057" w:themeColor="accent1"/>
            </w:tcBorders>
            <w:noWrap/>
            <w:vAlign w:val="center"/>
            <w:hideMark/>
          </w:tcPr>
          <w:p w14:paraId="2E7FE6D7" w14:textId="677AA8C0"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p>
        </w:tc>
      </w:tr>
      <w:tr w:rsidR="00757111" w:rsidRPr="00E42D8E" w14:paraId="3853BA39" w14:textId="77777777" w:rsidTr="00757111">
        <w:trPr>
          <w:trHeight w:val="680"/>
        </w:trPr>
        <w:tc>
          <w:tcPr>
            <w:cnfStyle w:val="001000000000" w:firstRow="0" w:lastRow="0" w:firstColumn="1" w:lastColumn="0" w:oddVBand="0" w:evenVBand="0" w:oddHBand="0" w:evenHBand="0" w:firstRowFirstColumn="0" w:firstRowLastColumn="0" w:lastRowFirstColumn="0" w:lastRowLastColumn="0"/>
            <w:tcW w:w="2659" w:type="dxa"/>
            <w:tcBorders>
              <w:left w:val="single" w:sz="4" w:space="0" w:color="D50057" w:themeColor="accent1"/>
              <w:right w:val="single" w:sz="4" w:space="0" w:color="D50057" w:themeColor="accent1"/>
            </w:tcBorders>
            <w:noWrap/>
            <w:vAlign w:val="center"/>
            <w:hideMark/>
          </w:tcPr>
          <w:p w14:paraId="33E85D3E" w14:textId="77777777" w:rsidR="00757111" w:rsidRPr="00590A8C" w:rsidRDefault="00757111" w:rsidP="00757111">
            <w:pPr>
              <w:keepLines w:val="0"/>
              <w:rPr>
                <w:rFonts w:eastAsia="Times New Roman" w:cstheme="minorHAnsi"/>
                <w:b w:val="0"/>
                <w:color w:val="000000"/>
                <w:lang w:val="en-CA" w:eastAsia="en-CA"/>
              </w:rPr>
            </w:pPr>
            <w:r w:rsidRPr="00590A8C">
              <w:rPr>
                <w:rFonts w:eastAsia="Times New Roman" w:cstheme="minorHAnsi"/>
                <w:b w:val="0"/>
                <w:color w:val="000000"/>
                <w:lang w:val="en-CA" w:eastAsia="en-CA"/>
              </w:rPr>
              <w:t>WFA benchmark FY 2018-2019</w:t>
            </w:r>
          </w:p>
        </w:tc>
        <w:tc>
          <w:tcPr>
            <w:tcW w:w="1177" w:type="dxa"/>
            <w:tcBorders>
              <w:left w:val="single" w:sz="4" w:space="0" w:color="D50057" w:themeColor="accent1"/>
            </w:tcBorders>
            <w:noWrap/>
            <w:vAlign w:val="center"/>
            <w:hideMark/>
          </w:tcPr>
          <w:p w14:paraId="744DE7F7" w14:textId="67A8C57C"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p>
        </w:tc>
        <w:tc>
          <w:tcPr>
            <w:tcW w:w="1177" w:type="dxa"/>
            <w:noWrap/>
            <w:vAlign w:val="center"/>
            <w:hideMark/>
          </w:tcPr>
          <w:p w14:paraId="6BC8E3C4" w14:textId="50AD09ED"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p>
        </w:tc>
        <w:tc>
          <w:tcPr>
            <w:tcW w:w="1177" w:type="dxa"/>
            <w:noWrap/>
            <w:vAlign w:val="center"/>
            <w:hideMark/>
          </w:tcPr>
          <w:p w14:paraId="14D6CBEB" w14:textId="1962A7CF"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p>
        </w:tc>
        <w:tc>
          <w:tcPr>
            <w:tcW w:w="1177" w:type="dxa"/>
            <w:noWrap/>
            <w:vAlign w:val="center"/>
            <w:hideMark/>
          </w:tcPr>
          <w:p w14:paraId="0F59B7A3" w14:textId="78CC7A73"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p>
        </w:tc>
        <w:tc>
          <w:tcPr>
            <w:tcW w:w="1177" w:type="dxa"/>
            <w:noWrap/>
            <w:vAlign w:val="center"/>
            <w:hideMark/>
          </w:tcPr>
          <w:p w14:paraId="7FE6A3B4" w14:textId="57828E34"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p>
        </w:tc>
        <w:tc>
          <w:tcPr>
            <w:tcW w:w="1177" w:type="dxa"/>
            <w:tcBorders>
              <w:right w:val="single" w:sz="4" w:space="0" w:color="D50057" w:themeColor="accent1"/>
            </w:tcBorders>
            <w:noWrap/>
            <w:vAlign w:val="center"/>
            <w:hideMark/>
          </w:tcPr>
          <w:p w14:paraId="4E233922" w14:textId="0E46535D"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15.30%</w:t>
            </w:r>
          </w:p>
        </w:tc>
      </w:tr>
    </w:tbl>
    <w:p w14:paraId="45712AA9" w14:textId="3CA2C187" w:rsidR="008D3D84" w:rsidRPr="008D3D84" w:rsidRDefault="008D3D84" w:rsidP="00321005">
      <w:pPr>
        <w:pStyle w:val="Caption"/>
        <w:keepNext/>
        <w:spacing w:before="400"/>
        <w:jc w:val="center"/>
        <w:rPr>
          <w:rStyle w:val="Strong"/>
          <w:i w:val="0"/>
          <w:sz w:val="22"/>
          <w:szCs w:val="22"/>
          <w:lang w:val="en-CA"/>
        </w:rPr>
      </w:pPr>
      <w:r w:rsidRPr="008D3D84">
        <w:rPr>
          <w:rStyle w:val="Strong"/>
          <w:i w:val="0"/>
          <w:sz w:val="22"/>
          <w:szCs w:val="22"/>
          <w:lang w:val="en-CA"/>
        </w:rPr>
        <w:t xml:space="preserve">Table </w:t>
      </w:r>
      <w:r w:rsidRPr="008D3D84">
        <w:rPr>
          <w:rStyle w:val="Strong"/>
          <w:i w:val="0"/>
          <w:sz w:val="22"/>
          <w:szCs w:val="22"/>
        </w:rPr>
        <w:fldChar w:fldCharType="begin"/>
      </w:r>
      <w:r w:rsidRPr="008D3D84">
        <w:rPr>
          <w:rStyle w:val="Strong"/>
          <w:i w:val="0"/>
          <w:sz w:val="22"/>
          <w:szCs w:val="22"/>
          <w:lang w:val="en-CA"/>
        </w:rPr>
        <w:instrText xml:space="preserve"> SEQ Table \* ARABIC </w:instrText>
      </w:r>
      <w:r w:rsidRPr="008D3D84">
        <w:rPr>
          <w:rStyle w:val="Strong"/>
          <w:i w:val="0"/>
          <w:sz w:val="22"/>
          <w:szCs w:val="22"/>
        </w:rPr>
        <w:fldChar w:fldCharType="separate"/>
      </w:r>
      <w:r w:rsidRPr="008D3D84">
        <w:rPr>
          <w:rStyle w:val="Strong"/>
          <w:i w:val="0"/>
          <w:sz w:val="22"/>
          <w:szCs w:val="22"/>
          <w:lang w:val="en-CA"/>
        </w:rPr>
        <w:t>5</w:t>
      </w:r>
      <w:r w:rsidRPr="008D3D84">
        <w:rPr>
          <w:rStyle w:val="Strong"/>
          <w:i w:val="0"/>
          <w:sz w:val="22"/>
          <w:szCs w:val="22"/>
        </w:rPr>
        <w:fldChar w:fldCharType="end"/>
      </w:r>
      <w:r w:rsidRPr="008D3D84">
        <w:rPr>
          <w:rStyle w:val="Strong"/>
          <w:i w:val="0"/>
          <w:sz w:val="22"/>
          <w:szCs w:val="22"/>
          <w:lang w:val="en-CA"/>
        </w:rPr>
        <w:t>: Representation of Indigenous people in non-advertised appointments, fiscal years 2013-2014 to 2018-2019</w:t>
      </w:r>
    </w:p>
    <w:tbl>
      <w:tblPr>
        <w:tblStyle w:val="ListTable6Colorful-Accent1"/>
        <w:tblW w:w="9721" w:type="dxa"/>
        <w:tblLook w:val="06A0" w:firstRow="1" w:lastRow="0" w:firstColumn="1" w:lastColumn="0" w:noHBand="1" w:noVBand="1"/>
        <w:tblCaption w:val="Representation of members of Indigenous people in non-advertised appointments, fiscal years 2013-2014 to 2018-2019"/>
        <w:tblDescription w:val="Representation of Indigenous people in non-advertised appointments, fiscal years 2013-2014 to 2018-2019"/>
      </w:tblPr>
      <w:tblGrid>
        <w:gridCol w:w="2659"/>
        <w:gridCol w:w="1177"/>
        <w:gridCol w:w="1177"/>
        <w:gridCol w:w="1177"/>
        <w:gridCol w:w="1177"/>
        <w:gridCol w:w="1177"/>
        <w:gridCol w:w="1177"/>
      </w:tblGrid>
      <w:tr w:rsidR="00757111" w:rsidRPr="00E42D8E" w14:paraId="046C5534" w14:textId="77777777" w:rsidTr="0003327B">
        <w:trPr>
          <w:cnfStyle w:val="100000000000" w:firstRow="1" w:lastRow="0" w:firstColumn="0" w:lastColumn="0" w:oddVBand="0" w:evenVBand="0" w:oddHBand="0" w:evenHBand="0" w:firstRowFirstColumn="0" w:firstRowLastColumn="0" w:lastRowFirstColumn="0" w:lastRowLastColumn="0"/>
          <w:trHeight w:val="51"/>
          <w:tblHeader/>
        </w:trPr>
        <w:tc>
          <w:tcPr>
            <w:cnfStyle w:val="001000000000" w:firstRow="0" w:lastRow="0" w:firstColumn="1" w:lastColumn="0" w:oddVBand="0" w:evenVBand="0" w:oddHBand="0" w:evenHBand="0" w:firstRowFirstColumn="0" w:firstRowLastColumn="0" w:lastRowFirstColumn="0" w:lastRowLastColumn="0"/>
            <w:tcW w:w="2659" w:type="dxa"/>
            <w:tcBorders>
              <w:left w:val="single" w:sz="4" w:space="0" w:color="D50057" w:themeColor="accent1"/>
              <w:right w:val="single" w:sz="4" w:space="0" w:color="D50057" w:themeColor="accent1"/>
            </w:tcBorders>
            <w:noWrap/>
            <w:vAlign w:val="center"/>
            <w:hideMark/>
          </w:tcPr>
          <w:p w14:paraId="09455244" w14:textId="33B5731A" w:rsidR="00757111" w:rsidRPr="00590A8C" w:rsidRDefault="007128DF" w:rsidP="00A17A1E">
            <w:pPr>
              <w:keepLines w:val="0"/>
              <w:rPr>
                <w:rFonts w:eastAsia="Times New Roman" w:cstheme="minorHAnsi"/>
                <w:b w:val="0"/>
                <w:color w:val="000000"/>
                <w:lang w:val="en-CA" w:eastAsia="en-CA"/>
              </w:rPr>
            </w:pPr>
            <w:r>
              <w:rPr>
                <w:rFonts w:eastAsia="Times New Roman" w:cstheme="minorHAnsi"/>
                <w:b w:val="0"/>
                <w:color w:val="000000"/>
                <w:lang w:val="en-CA" w:eastAsia="en-CA"/>
              </w:rPr>
              <w:t>Measure</w:t>
            </w:r>
          </w:p>
        </w:tc>
        <w:tc>
          <w:tcPr>
            <w:tcW w:w="1177" w:type="dxa"/>
            <w:tcBorders>
              <w:left w:val="single" w:sz="4" w:space="0" w:color="D50057" w:themeColor="accent1"/>
            </w:tcBorders>
            <w:noWrap/>
            <w:vAlign w:val="center"/>
            <w:hideMark/>
          </w:tcPr>
          <w:p w14:paraId="4371BAEB" w14:textId="77777777" w:rsidR="00757111" w:rsidRPr="00590A8C" w:rsidRDefault="00757111" w:rsidP="00A17A1E">
            <w:pPr>
              <w:keepLines w:val="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lang w:val="en-CA" w:eastAsia="en-CA"/>
              </w:rPr>
            </w:pPr>
            <w:r w:rsidRPr="00590A8C">
              <w:rPr>
                <w:rFonts w:eastAsia="Times New Roman" w:cstheme="minorHAnsi"/>
                <w:b w:val="0"/>
                <w:color w:val="000000"/>
                <w:lang w:val="en-CA" w:eastAsia="en-CA"/>
              </w:rPr>
              <w:t>2013-2014</w:t>
            </w:r>
          </w:p>
        </w:tc>
        <w:tc>
          <w:tcPr>
            <w:tcW w:w="1177" w:type="dxa"/>
            <w:noWrap/>
            <w:vAlign w:val="center"/>
            <w:hideMark/>
          </w:tcPr>
          <w:p w14:paraId="7D1C9665" w14:textId="77777777" w:rsidR="00757111" w:rsidRPr="00590A8C" w:rsidRDefault="00757111" w:rsidP="00A17A1E">
            <w:pPr>
              <w:keepLines w:val="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lang w:val="en-CA" w:eastAsia="en-CA"/>
              </w:rPr>
            </w:pPr>
            <w:r w:rsidRPr="00590A8C">
              <w:rPr>
                <w:rFonts w:eastAsia="Times New Roman" w:cstheme="minorHAnsi"/>
                <w:b w:val="0"/>
                <w:color w:val="000000"/>
                <w:lang w:val="en-CA" w:eastAsia="en-CA"/>
              </w:rPr>
              <w:t>2014-2015</w:t>
            </w:r>
          </w:p>
        </w:tc>
        <w:tc>
          <w:tcPr>
            <w:tcW w:w="1177" w:type="dxa"/>
            <w:noWrap/>
            <w:vAlign w:val="center"/>
            <w:hideMark/>
          </w:tcPr>
          <w:p w14:paraId="4CC29667" w14:textId="77777777" w:rsidR="00757111" w:rsidRPr="00590A8C" w:rsidRDefault="00757111" w:rsidP="00A17A1E">
            <w:pPr>
              <w:keepLines w:val="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lang w:val="en-CA" w:eastAsia="en-CA"/>
              </w:rPr>
            </w:pPr>
            <w:r w:rsidRPr="00590A8C">
              <w:rPr>
                <w:rFonts w:eastAsia="Times New Roman" w:cstheme="minorHAnsi"/>
                <w:b w:val="0"/>
                <w:color w:val="000000"/>
                <w:lang w:val="en-CA" w:eastAsia="en-CA"/>
              </w:rPr>
              <w:t>2015-2016</w:t>
            </w:r>
          </w:p>
        </w:tc>
        <w:tc>
          <w:tcPr>
            <w:tcW w:w="1177" w:type="dxa"/>
            <w:noWrap/>
            <w:vAlign w:val="center"/>
            <w:hideMark/>
          </w:tcPr>
          <w:p w14:paraId="6010D50B" w14:textId="77777777" w:rsidR="00757111" w:rsidRPr="00590A8C" w:rsidRDefault="00757111" w:rsidP="00A17A1E">
            <w:pPr>
              <w:keepLines w:val="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lang w:val="en-CA" w:eastAsia="en-CA"/>
              </w:rPr>
            </w:pPr>
            <w:r w:rsidRPr="00590A8C">
              <w:rPr>
                <w:rFonts w:eastAsia="Times New Roman" w:cstheme="minorHAnsi"/>
                <w:b w:val="0"/>
                <w:color w:val="000000"/>
                <w:lang w:val="en-CA" w:eastAsia="en-CA"/>
              </w:rPr>
              <w:t>2016-2017</w:t>
            </w:r>
          </w:p>
        </w:tc>
        <w:tc>
          <w:tcPr>
            <w:tcW w:w="1177" w:type="dxa"/>
            <w:noWrap/>
            <w:vAlign w:val="center"/>
            <w:hideMark/>
          </w:tcPr>
          <w:p w14:paraId="00C9E8DB" w14:textId="77777777" w:rsidR="00757111" w:rsidRPr="00590A8C" w:rsidRDefault="00757111" w:rsidP="00A17A1E">
            <w:pPr>
              <w:keepLines w:val="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lang w:val="en-CA" w:eastAsia="en-CA"/>
              </w:rPr>
            </w:pPr>
            <w:r w:rsidRPr="00590A8C">
              <w:rPr>
                <w:rFonts w:eastAsia="Times New Roman" w:cstheme="minorHAnsi"/>
                <w:b w:val="0"/>
                <w:color w:val="000000"/>
                <w:lang w:val="en-CA" w:eastAsia="en-CA"/>
              </w:rPr>
              <w:t>2017-2018</w:t>
            </w:r>
          </w:p>
        </w:tc>
        <w:tc>
          <w:tcPr>
            <w:tcW w:w="1177" w:type="dxa"/>
            <w:tcBorders>
              <w:right w:val="single" w:sz="4" w:space="0" w:color="D50057" w:themeColor="accent1"/>
            </w:tcBorders>
            <w:noWrap/>
            <w:vAlign w:val="center"/>
            <w:hideMark/>
          </w:tcPr>
          <w:p w14:paraId="5CF6D593" w14:textId="77777777" w:rsidR="00757111" w:rsidRPr="00590A8C" w:rsidRDefault="00757111" w:rsidP="00A17A1E">
            <w:pPr>
              <w:keepLines w:val="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lang w:val="en-CA" w:eastAsia="en-CA"/>
              </w:rPr>
            </w:pPr>
            <w:r w:rsidRPr="00590A8C">
              <w:rPr>
                <w:rFonts w:eastAsia="Times New Roman" w:cstheme="minorHAnsi"/>
                <w:b w:val="0"/>
                <w:color w:val="000000"/>
                <w:lang w:val="en-CA" w:eastAsia="en-CA"/>
              </w:rPr>
              <w:t>2018-2019</w:t>
            </w:r>
          </w:p>
        </w:tc>
      </w:tr>
      <w:tr w:rsidR="00757111" w:rsidRPr="00E42D8E" w14:paraId="07C03181" w14:textId="77777777" w:rsidTr="00757111">
        <w:trPr>
          <w:trHeight w:val="680"/>
        </w:trPr>
        <w:tc>
          <w:tcPr>
            <w:cnfStyle w:val="001000000000" w:firstRow="0" w:lastRow="0" w:firstColumn="1" w:lastColumn="0" w:oddVBand="0" w:evenVBand="0" w:oddHBand="0" w:evenHBand="0" w:firstRowFirstColumn="0" w:firstRowLastColumn="0" w:lastRowFirstColumn="0" w:lastRowLastColumn="0"/>
            <w:tcW w:w="2659" w:type="dxa"/>
            <w:tcBorders>
              <w:left w:val="single" w:sz="4" w:space="0" w:color="D50057" w:themeColor="accent1"/>
              <w:right w:val="single" w:sz="4" w:space="0" w:color="D50057" w:themeColor="accent1"/>
            </w:tcBorders>
            <w:noWrap/>
            <w:vAlign w:val="center"/>
            <w:hideMark/>
          </w:tcPr>
          <w:p w14:paraId="4B0D60F1" w14:textId="77777777" w:rsidR="00757111" w:rsidRPr="00590A8C" w:rsidRDefault="00757111" w:rsidP="007128DF">
            <w:pPr>
              <w:keepLines w:val="0"/>
              <w:rPr>
                <w:rFonts w:eastAsia="Times New Roman" w:cstheme="minorHAnsi"/>
                <w:b w:val="0"/>
                <w:color w:val="000000"/>
                <w:lang w:val="en-CA" w:eastAsia="en-CA"/>
              </w:rPr>
            </w:pPr>
            <w:r w:rsidRPr="00590A8C">
              <w:rPr>
                <w:rFonts w:eastAsia="Times New Roman" w:cstheme="minorHAnsi"/>
                <w:b w:val="0"/>
                <w:color w:val="000000"/>
                <w:lang w:val="en-CA" w:eastAsia="en-CA"/>
              </w:rPr>
              <w:t>Representation in non-Advertised appointments</w:t>
            </w:r>
          </w:p>
        </w:tc>
        <w:tc>
          <w:tcPr>
            <w:tcW w:w="1177" w:type="dxa"/>
            <w:tcBorders>
              <w:left w:val="single" w:sz="4" w:space="0" w:color="D50057" w:themeColor="accent1"/>
            </w:tcBorders>
            <w:noWrap/>
            <w:vAlign w:val="center"/>
            <w:hideMark/>
          </w:tcPr>
          <w:p w14:paraId="5B4CC81A" w14:textId="6475C8C9"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5.30%</w:t>
            </w:r>
          </w:p>
        </w:tc>
        <w:tc>
          <w:tcPr>
            <w:tcW w:w="1177" w:type="dxa"/>
            <w:noWrap/>
            <w:vAlign w:val="center"/>
            <w:hideMark/>
          </w:tcPr>
          <w:p w14:paraId="2BA58362" w14:textId="6914DA13"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4.70%</w:t>
            </w:r>
          </w:p>
        </w:tc>
        <w:tc>
          <w:tcPr>
            <w:tcW w:w="1177" w:type="dxa"/>
            <w:noWrap/>
            <w:vAlign w:val="center"/>
            <w:hideMark/>
          </w:tcPr>
          <w:p w14:paraId="07AE1CB3" w14:textId="5129D83A"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5.10%</w:t>
            </w:r>
          </w:p>
        </w:tc>
        <w:tc>
          <w:tcPr>
            <w:tcW w:w="1177" w:type="dxa"/>
            <w:noWrap/>
            <w:vAlign w:val="center"/>
            <w:hideMark/>
          </w:tcPr>
          <w:p w14:paraId="3D8FA730" w14:textId="6E5DCD72"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5.00%</w:t>
            </w:r>
          </w:p>
        </w:tc>
        <w:tc>
          <w:tcPr>
            <w:tcW w:w="1177" w:type="dxa"/>
            <w:noWrap/>
            <w:vAlign w:val="center"/>
            <w:hideMark/>
          </w:tcPr>
          <w:p w14:paraId="4B0DC410" w14:textId="476E524D"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5.00%</w:t>
            </w:r>
          </w:p>
        </w:tc>
        <w:tc>
          <w:tcPr>
            <w:tcW w:w="1177" w:type="dxa"/>
            <w:tcBorders>
              <w:right w:val="single" w:sz="4" w:space="0" w:color="D50057" w:themeColor="accent1"/>
            </w:tcBorders>
            <w:noWrap/>
            <w:vAlign w:val="center"/>
            <w:hideMark/>
          </w:tcPr>
          <w:p w14:paraId="6A277BAB" w14:textId="46C5C30A"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5.40%</w:t>
            </w:r>
          </w:p>
        </w:tc>
      </w:tr>
      <w:tr w:rsidR="00757111" w:rsidRPr="00E42D8E" w14:paraId="19BEAEFF" w14:textId="77777777" w:rsidTr="00757111">
        <w:trPr>
          <w:trHeight w:val="680"/>
        </w:trPr>
        <w:tc>
          <w:tcPr>
            <w:cnfStyle w:val="001000000000" w:firstRow="0" w:lastRow="0" w:firstColumn="1" w:lastColumn="0" w:oddVBand="0" w:evenVBand="0" w:oddHBand="0" w:evenHBand="0" w:firstRowFirstColumn="0" w:firstRowLastColumn="0" w:lastRowFirstColumn="0" w:lastRowLastColumn="0"/>
            <w:tcW w:w="2659" w:type="dxa"/>
            <w:tcBorders>
              <w:left w:val="single" w:sz="4" w:space="0" w:color="D50057" w:themeColor="accent1"/>
              <w:right w:val="single" w:sz="4" w:space="0" w:color="D50057" w:themeColor="accent1"/>
            </w:tcBorders>
            <w:noWrap/>
            <w:vAlign w:val="center"/>
            <w:hideMark/>
          </w:tcPr>
          <w:p w14:paraId="7337E84B" w14:textId="77777777" w:rsidR="00757111" w:rsidRPr="00590A8C" w:rsidRDefault="00757111" w:rsidP="00757111">
            <w:pPr>
              <w:keepLines w:val="0"/>
              <w:rPr>
                <w:rFonts w:eastAsia="Times New Roman" w:cstheme="minorHAnsi"/>
                <w:b w:val="0"/>
                <w:color w:val="000000"/>
                <w:lang w:val="en-CA" w:eastAsia="en-CA"/>
              </w:rPr>
            </w:pPr>
            <w:r w:rsidRPr="00590A8C">
              <w:rPr>
                <w:rFonts w:eastAsia="Times New Roman" w:cstheme="minorHAnsi"/>
                <w:b w:val="0"/>
                <w:color w:val="000000"/>
                <w:lang w:val="en-CA" w:eastAsia="en-CA"/>
              </w:rPr>
              <w:t>WFA benchmark FY 2013-2014 to FY 2017-2018</w:t>
            </w:r>
          </w:p>
        </w:tc>
        <w:tc>
          <w:tcPr>
            <w:tcW w:w="1177" w:type="dxa"/>
            <w:tcBorders>
              <w:left w:val="single" w:sz="4" w:space="0" w:color="D50057" w:themeColor="accent1"/>
            </w:tcBorders>
            <w:noWrap/>
            <w:vAlign w:val="center"/>
            <w:hideMark/>
          </w:tcPr>
          <w:p w14:paraId="42D77B8F" w14:textId="1DA07C76"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3.40%</w:t>
            </w:r>
          </w:p>
        </w:tc>
        <w:tc>
          <w:tcPr>
            <w:tcW w:w="1177" w:type="dxa"/>
            <w:noWrap/>
            <w:vAlign w:val="center"/>
            <w:hideMark/>
          </w:tcPr>
          <w:p w14:paraId="5FABEF98" w14:textId="3DC38F08"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3.40%</w:t>
            </w:r>
          </w:p>
        </w:tc>
        <w:tc>
          <w:tcPr>
            <w:tcW w:w="1177" w:type="dxa"/>
            <w:noWrap/>
            <w:vAlign w:val="center"/>
            <w:hideMark/>
          </w:tcPr>
          <w:p w14:paraId="62138178" w14:textId="16A582FE"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3.40%</w:t>
            </w:r>
          </w:p>
        </w:tc>
        <w:tc>
          <w:tcPr>
            <w:tcW w:w="1177" w:type="dxa"/>
            <w:noWrap/>
            <w:vAlign w:val="center"/>
            <w:hideMark/>
          </w:tcPr>
          <w:p w14:paraId="215ABDF9" w14:textId="7B5FCD18"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3.40%</w:t>
            </w:r>
          </w:p>
        </w:tc>
        <w:tc>
          <w:tcPr>
            <w:tcW w:w="1177" w:type="dxa"/>
            <w:noWrap/>
            <w:vAlign w:val="center"/>
            <w:hideMark/>
          </w:tcPr>
          <w:p w14:paraId="3136CA15" w14:textId="6F8F7C8D"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3.40%</w:t>
            </w:r>
          </w:p>
        </w:tc>
        <w:tc>
          <w:tcPr>
            <w:tcW w:w="1177" w:type="dxa"/>
            <w:tcBorders>
              <w:right w:val="single" w:sz="4" w:space="0" w:color="D50057" w:themeColor="accent1"/>
            </w:tcBorders>
            <w:noWrap/>
            <w:vAlign w:val="center"/>
            <w:hideMark/>
          </w:tcPr>
          <w:p w14:paraId="1DF34C31" w14:textId="77777777"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p>
        </w:tc>
      </w:tr>
      <w:tr w:rsidR="00757111" w:rsidRPr="00E42D8E" w14:paraId="0A255542" w14:textId="77777777" w:rsidTr="00757111">
        <w:trPr>
          <w:trHeight w:val="680"/>
        </w:trPr>
        <w:tc>
          <w:tcPr>
            <w:cnfStyle w:val="001000000000" w:firstRow="0" w:lastRow="0" w:firstColumn="1" w:lastColumn="0" w:oddVBand="0" w:evenVBand="0" w:oddHBand="0" w:evenHBand="0" w:firstRowFirstColumn="0" w:firstRowLastColumn="0" w:lastRowFirstColumn="0" w:lastRowLastColumn="0"/>
            <w:tcW w:w="2659" w:type="dxa"/>
            <w:tcBorders>
              <w:left w:val="single" w:sz="4" w:space="0" w:color="D50057" w:themeColor="accent1"/>
              <w:right w:val="single" w:sz="4" w:space="0" w:color="D50057" w:themeColor="accent1"/>
            </w:tcBorders>
            <w:noWrap/>
            <w:vAlign w:val="center"/>
            <w:hideMark/>
          </w:tcPr>
          <w:p w14:paraId="434C3325" w14:textId="77777777" w:rsidR="00757111" w:rsidRPr="00590A8C" w:rsidRDefault="00757111" w:rsidP="00757111">
            <w:pPr>
              <w:keepLines w:val="0"/>
              <w:rPr>
                <w:rFonts w:eastAsia="Times New Roman" w:cstheme="minorHAnsi"/>
                <w:b w:val="0"/>
                <w:color w:val="000000"/>
                <w:lang w:val="en-CA" w:eastAsia="en-CA"/>
              </w:rPr>
            </w:pPr>
            <w:r w:rsidRPr="00590A8C">
              <w:rPr>
                <w:rFonts w:eastAsia="Times New Roman" w:cstheme="minorHAnsi"/>
                <w:b w:val="0"/>
                <w:color w:val="000000"/>
                <w:lang w:val="en-CA" w:eastAsia="en-CA"/>
              </w:rPr>
              <w:t>WFA benchmark FY 2018-2019</w:t>
            </w:r>
          </w:p>
        </w:tc>
        <w:tc>
          <w:tcPr>
            <w:tcW w:w="1177" w:type="dxa"/>
            <w:tcBorders>
              <w:left w:val="single" w:sz="4" w:space="0" w:color="D50057" w:themeColor="accent1"/>
            </w:tcBorders>
            <w:noWrap/>
            <w:vAlign w:val="center"/>
            <w:hideMark/>
          </w:tcPr>
          <w:p w14:paraId="5D52E95B" w14:textId="77777777"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p>
        </w:tc>
        <w:tc>
          <w:tcPr>
            <w:tcW w:w="1177" w:type="dxa"/>
            <w:noWrap/>
            <w:vAlign w:val="center"/>
            <w:hideMark/>
          </w:tcPr>
          <w:p w14:paraId="50CF3CDF" w14:textId="77777777"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p>
        </w:tc>
        <w:tc>
          <w:tcPr>
            <w:tcW w:w="1177" w:type="dxa"/>
            <w:noWrap/>
            <w:vAlign w:val="center"/>
            <w:hideMark/>
          </w:tcPr>
          <w:p w14:paraId="395F17AC" w14:textId="77777777"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p>
        </w:tc>
        <w:tc>
          <w:tcPr>
            <w:tcW w:w="1177" w:type="dxa"/>
            <w:noWrap/>
            <w:vAlign w:val="center"/>
            <w:hideMark/>
          </w:tcPr>
          <w:p w14:paraId="101BE11A" w14:textId="77777777"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p>
        </w:tc>
        <w:tc>
          <w:tcPr>
            <w:tcW w:w="1177" w:type="dxa"/>
            <w:noWrap/>
            <w:vAlign w:val="center"/>
            <w:hideMark/>
          </w:tcPr>
          <w:p w14:paraId="18975E17" w14:textId="77777777"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p>
        </w:tc>
        <w:tc>
          <w:tcPr>
            <w:tcW w:w="1177" w:type="dxa"/>
            <w:tcBorders>
              <w:right w:val="single" w:sz="4" w:space="0" w:color="D50057" w:themeColor="accent1"/>
            </w:tcBorders>
            <w:noWrap/>
            <w:vAlign w:val="center"/>
            <w:hideMark/>
          </w:tcPr>
          <w:p w14:paraId="02016250" w14:textId="1086ACF8"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4.00%</w:t>
            </w:r>
          </w:p>
        </w:tc>
      </w:tr>
    </w:tbl>
    <w:p w14:paraId="62BAA536" w14:textId="751CC446" w:rsidR="008D3D84" w:rsidRPr="008D3D84" w:rsidRDefault="008D3D84" w:rsidP="00321005">
      <w:pPr>
        <w:pStyle w:val="Caption"/>
        <w:keepNext/>
        <w:spacing w:before="400"/>
        <w:jc w:val="center"/>
        <w:rPr>
          <w:rStyle w:val="Strong"/>
          <w:i w:val="0"/>
          <w:sz w:val="22"/>
          <w:szCs w:val="22"/>
          <w:lang w:val="en-CA"/>
        </w:rPr>
      </w:pPr>
      <w:r w:rsidRPr="008D3D84">
        <w:rPr>
          <w:rStyle w:val="Strong"/>
          <w:i w:val="0"/>
          <w:sz w:val="22"/>
          <w:szCs w:val="22"/>
          <w:lang w:val="en-CA"/>
        </w:rPr>
        <w:t xml:space="preserve">Table </w:t>
      </w:r>
      <w:r w:rsidRPr="008D3D84">
        <w:rPr>
          <w:rStyle w:val="Strong"/>
          <w:i w:val="0"/>
          <w:sz w:val="22"/>
          <w:szCs w:val="22"/>
        </w:rPr>
        <w:fldChar w:fldCharType="begin"/>
      </w:r>
      <w:r w:rsidRPr="008D3D84">
        <w:rPr>
          <w:rStyle w:val="Strong"/>
          <w:i w:val="0"/>
          <w:sz w:val="22"/>
          <w:szCs w:val="22"/>
          <w:lang w:val="en-CA"/>
        </w:rPr>
        <w:instrText xml:space="preserve"> SEQ Table \* ARABIC </w:instrText>
      </w:r>
      <w:r w:rsidRPr="008D3D84">
        <w:rPr>
          <w:rStyle w:val="Strong"/>
          <w:i w:val="0"/>
          <w:sz w:val="22"/>
          <w:szCs w:val="22"/>
        </w:rPr>
        <w:fldChar w:fldCharType="separate"/>
      </w:r>
      <w:r w:rsidRPr="008D3D84">
        <w:rPr>
          <w:rStyle w:val="Strong"/>
          <w:i w:val="0"/>
          <w:sz w:val="22"/>
          <w:szCs w:val="22"/>
          <w:lang w:val="en-CA"/>
        </w:rPr>
        <w:t>6</w:t>
      </w:r>
      <w:r w:rsidRPr="008D3D84">
        <w:rPr>
          <w:rStyle w:val="Strong"/>
          <w:i w:val="0"/>
          <w:sz w:val="22"/>
          <w:szCs w:val="22"/>
        </w:rPr>
        <w:fldChar w:fldCharType="end"/>
      </w:r>
      <w:r w:rsidRPr="008D3D84">
        <w:rPr>
          <w:rStyle w:val="Strong"/>
          <w:i w:val="0"/>
          <w:sz w:val="22"/>
          <w:szCs w:val="22"/>
          <w:lang w:val="en-CA"/>
        </w:rPr>
        <w:t>: Representation of persons with disabilities in non-advertised appointments, fiscal years 2013-2014 to 2018-2019</w:t>
      </w:r>
    </w:p>
    <w:tbl>
      <w:tblPr>
        <w:tblStyle w:val="ListTable6Colorful-Accent1"/>
        <w:tblW w:w="9721" w:type="dxa"/>
        <w:tblLook w:val="06A0" w:firstRow="1" w:lastRow="0" w:firstColumn="1" w:lastColumn="0" w:noHBand="1" w:noVBand="1"/>
        <w:tblCaption w:val="Representation of persons with disabilities in non-advertised appointments, fiscal years 2013-2014 to 2018-2019"/>
        <w:tblDescription w:val="Representation of persons with disabilities in non-advertised appointments, fiscal years 2013-2014 to 2018-2019"/>
      </w:tblPr>
      <w:tblGrid>
        <w:gridCol w:w="2659"/>
        <w:gridCol w:w="1177"/>
        <w:gridCol w:w="1177"/>
        <w:gridCol w:w="1177"/>
        <w:gridCol w:w="1177"/>
        <w:gridCol w:w="1177"/>
        <w:gridCol w:w="1177"/>
      </w:tblGrid>
      <w:tr w:rsidR="00757111" w:rsidRPr="00E42D8E" w14:paraId="29F0AC54" w14:textId="77777777" w:rsidTr="0003327B">
        <w:trPr>
          <w:cnfStyle w:val="100000000000" w:firstRow="1" w:lastRow="0" w:firstColumn="0" w:lastColumn="0" w:oddVBand="0" w:evenVBand="0" w:oddHBand="0" w:evenHBand="0" w:firstRowFirstColumn="0" w:firstRowLastColumn="0" w:lastRowFirstColumn="0" w:lastRowLastColumn="0"/>
          <w:trHeight w:val="51"/>
          <w:tblHeader/>
        </w:trPr>
        <w:tc>
          <w:tcPr>
            <w:cnfStyle w:val="001000000000" w:firstRow="0" w:lastRow="0" w:firstColumn="1" w:lastColumn="0" w:oddVBand="0" w:evenVBand="0" w:oddHBand="0" w:evenHBand="0" w:firstRowFirstColumn="0" w:firstRowLastColumn="0" w:lastRowFirstColumn="0" w:lastRowLastColumn="0"/>
            <w:tcW w:w="2659" w:type="dxa"/>
            <w:tcBorders>
              <w:left w:val="single" w:sz="4" w:space="0" w:color="D50057" w:themeColor="accent1"/>
              <w:right w:val="single" w:sz="4" w:space="0" w:color="D50057" w:themeColor="accent1"/>
            </w:tcBorders>
            <w:noWrap/>
            <w:vAlign w:val="center"/>
            <w:hideMark/>
          </w:tcPr>
          <w:p w14:paraId="6DF46993" w14:textId="385414FB" w:rsidR="00757111" w:rsidRPr="00590A8C" w:rsidRDefault="007128DF" w:rsidP="00A17A1E">
            <w:pPr>
              <w:keepLines w:val="0"/>
              <w:rPr>
                <w:rFonts w:eastAsia="Times New Roman" w:cstheme="minorHAnsi"/>
                <w:b w:val="0"/>
                <w:color w:val="000000"/>
                <w:lang w:val="en-CA" w:eastAsia="en-CA"/>
              </w:rPr>
            </w:pPr>
            <w:r>
              <w:rPr>
                <w:rFonts w:eastAsia="Times New Roman" w:cstheme="minorHAnsi"/>
                <w:b w:val="0"/>
                <w:color w:val="000000"/>
                <w:lang w:val="en-CA" w:eastAsia="en-CA"/>
              </w:rPr>
              <w:t>Measure</w:t>
            </w:r>
          </w:p>
        </w:tc>
        <w:tc>
          <w:tcPr>
            <w:tcW w:w="1177" w:type="dxa"/>
            <w:tcBorders>
              <w:left w:val="single" w:sz="4" w:space="0" w:color="D50057" w:themeColor="accent1"/>
            </w:tcBorders>
            <w:noWrap/>
            <w:vAlign w:val="center"/>
            <w:hideMark/>
          </w:tcPr>
          <w:p w14:paraId="54831860" w14:textId="77777777" w:rsidR="00757111" w:rsidRPr="00590A8C" w:rsidRDefault="00757111" w:rsidP="00A17A1E">
            <w:pPr>
              <w:keepLines w:val="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lang w:val="en-CA" w:eastAsia="en-CA"/>
              </w:rPr>
            </w:pPr>
            <w:r w:rsidRPr="00590A8C">
              <w:rPr>
                <w:rFonts w:eastAsia="Times New Roman" w:cstheme="minorHAnsi"/>
                <w:b w:val="0"/>
                <w:color w:val="000000"/>
                <w:lang w:val="en-CA" w:eastAsia="en-CA"/>
              </w:rPr>
              <w:t>2013-2014</w:t>
            </w:r>
          </w:p>
        </w:tc>
        <w:tc>
          <w:tcPr>
            <w:tcW w:w="1177" w:type="dxa"/>
            <w:noWrap/>
            <w:vAlign w:val="center"/>
            <w:hideMark/>
          </w:tcPr>
          <w:p w14:paraId="444AEAF9" w14:textId="77777777" w:rsidR="00757111" w:rsidRPr="00590A8C" w:rsidRDefault="00757111" w:rsidP="00A17A1E">
            <w:pPr>
              <w:keepLines w:val="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lang w:val="en-CA" w:eastAsia="en-CA"/>
              </w:rPr>
            </w:pPr>
            <w:r w:rsidRPr="00590A8C">
              <w:rPr>
                <w:rFonts w:eastAsia="Times New Roman" w:cstheme="minorHAnsi"/>
                <w:b w:val="0"/>
                <w:color w:val="000000"/>
                <w:lang w:val="en-CA" w:eastAsia="en-CA"/>
              </w:rPr>
              <w:t>2014-2015</w:t>
            </w:r>
          </w:p>
        </w:tc>
        <w:tc>
          <w:tcPr>
            <w:tcW w:w="1177" w:type="dxa"/>
            <w:noWrap/>
            <w:vAlign w:val="center"/>
            <w:hideMark/>
          </w:tcPr>
          <w:p w14:paraId="092532F8" w14:textId="77777777" w:rsidR="00757111" w:rsidRPr="00590A8C" w:rsidRDefault="00757111" w:rsidP="00A17A1E">
            <w:pPr>
              <w:keepLines w:val="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lang w:val="en-CA" w:eastAsia="en-CA"/>
              </w:rPr>
            </w:pPr>
            <w:r w:rsidRPr="00590A8C">
              <w:rPr>
                <w:rFonts w:eastAsia="Times New Roman" w:cstheme="minorHAnsi"/>
                <w:b w:val="0"/>
                <w:color w:val="000000"/>
                <w:lang w:val="en-CA" w:eastAsia="en-CA"/>
              </w:rPr>
              <w:t>2015-2016</w:t>
            </w:r>
          </w:p>
        </w:tc>
        <w:tc>
          <w:tcPr>
            <w:tcW w:w="1177" w:type="dxa"/>
            <w:noWrap/>
            <w:vAlign w:val="center"/>
            <w:hideMark/>
          </w:tcPr>
          <w:p w14:paraId="732105C5" w14:textId="77777777" w:rsidR="00757111" w:rsidRPr="00590A8C" w:rsidRDefault="00757111" w:rsidP="00A17A1E">
            <w:pPr>
              <w:keepLines w:val="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lang w:val="en-CA" w:eastAsia="en-CA"/>
              </w:rPr>
            </w:pPr>
            <w:r w:rsidRPr="00590A8C">
              <w:rPr>
                <w:rFonts w:eastAsia="Times New Roman" w:cstheme="minorHAnsi"/>
                <w:b w:val="0"/>
                <w:color w:val="000000"/>
                <w:lang w:val="en-CA" w:eastAsia="en-CA"/>
              </w:rPr>
              <w:t>2016-2017</w:t>
            </w:r>
          </w:p>
        </w:tc>
        <w:tc>
          <w:tcPr>
            <w:tcW w:w="1177" w:type="dxa"/>
            <w:noWrap/>
            <w:vAlign w:val="center"/>
            <w:hideMark/>
          </w:tcPr>
          <w:p w14:paraId="54E740D0" w14:textId="77777777" w:rsidR="00757111" w:rsidRPr="00590A8C" w:rsidRDefault="00757111" w:rsidP="00A17A1E">
            <w:pPr>
              <w:keepLines w:val="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lang w:val="en-CA" w:eastAsia="en-CA"/>
              </w:rPr>
            </w:pPr>
            <w:r w:rsidRPr="00590A8C">
              <w:rPr>
                <w:rFonts w:eastAsia="Times New Roman" w:cstheme="minorHAnsi"/>
                <w:b w:val="0"/>
                <w:color w:val="000000"/>
                <w:lang w:val="en-CA" w:eastAsia="en-CA"/>
              </w:rPr>
              <w:t>2017-2018</w:t>
            </w:r>
          </w:p>
        </w:tc>
        <w:tc>
          <w:tcPr>
            <w:tcW w:w="1177" w:type="dxa"/>
            <w:tcBorders>
              <w:right w:val="single" w:sz="4" w:space="0" w:color="D50057" w:themeColor="accent1"/>
            </w:tcBorders>
            <w:noWrap/>
            <w:vAlign w:val="center"/>
            <w:hideMark/>
          </w:tcPr>
          <w:p w14:paraId="46AE5B48" w14:textId="77777777" w:rsidR="00757111" w:rsidRPr="00590A8C" w:rsidRDefault="00757111" w:rsidP="00A17A1E">
            <w:pPr>
              <w:keepLines w:val="0"/>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color w:val="000000"/>
                <w:lang w:val="en-CA" w:eastAsia="en-CA"/>
              </w:rPr>
            </w:pPr>
            <w:r w:rsidRPr="00590A8C">
              <w:rPr>
                <w:rFonts w:eastAsia="Times New Roman" w:cstheme="minorHAnsi"/>
                <w:b w:val="0"/>
                <w:color w:val="000000"/>
                <w:lang w:val="en-CA" w:eastAsia="en-CA"/>
              </w:rPr>
              <w:t>2018-2019</w:t>
            </w:r>
          </w:p>
        </w:tc>
      </w:tr>
      <w:tr w:rsidR="00757111" w:rsidRPr="00E42D8E" w14:paraId="08CD9ACB" w14:textId="77777777" w:rsidTr="00757111">
        <w:trPr>
          <w:trHeight w:val="680"/>
        </w:trPr>
        <w:tc>
          <w:tcPr>
            <w:cnfStyle w:val="001000000000" w:firstRow="0" w:lastRow="0" w:firstColumn="1" w:lastColumn="0" w:oddVBand="0" w:evenVBand="0" w:oddHBand="0" w:evenHBand="0" w:firstRowFirstColumn="0" w:firstRowLastColumn="0" w:lastRowFirstColumn="0" w:lastRowLastColumn="0"/>
            <w:tcW w:w="2659" w:type="dxa"/>
            <w:tcBorders>
              <w:left w:val="single" w:sz="4" w:space="0" w:color="D50057" w:themeColor="accent1"/>
              <w:right w:val="single" w:sz="4" w:space="0" w:color="D50057" w:themeColor="accent1"/>
            </w:tcBorders>
            <w:noWrap/>
            <w:vAlign w:val="center"/>
            <w:hideMark/>
          </w:tcPr>
          <w:p w14:paraId="110FDDD2" w14:textId="77777777" w:rsidR="00757111" w:rsidRPr="00590A8C" w:rsidRDefault="00757111" w:rsidP="00757111">
            <w:pPr>
              <w:keepLines w:val="0"/>
              <w:rPr>
                <w:rFonts w:eastAsia="Times New Roman" w:cstheme="minorHAnsi"/>
                <w:b w:val="0"/>
                <w:color w:val="000000"/>
                <w:lang w:val="en-CA" w:eastAsia="en-CA"/>
              </w:rPr>
            </w:pPr>
            <w:r w:rsidRPr="00590A8C">
              <w:rPr>
                <w:rFonts w:eastAsia="Times New Roman" w:cstheme="minorHAnsi"/>
                <w:b w:val="0"/>
                <w:color w:val="000000"/>
                <w:lang w:val="en-CA" w:eastAsia="en-CA"/>
              </w:rPr>
              <w:t>Representation in non-Advertised appointments</w:t>
            </w:r>
          </w:p>
        </w:tc>
        <w:tc>
          <w:tcPr>
            <w:tcW w:w="1177" w:type="dxa"/>
            <w:tcBorders>
              <w:left w:val="single" w:sz="4" w:space="0" w:color="D50057" w:themeColor="accent1"/>
            </w:tcBorders>
            <w:noWrap/>
            <w:vAlign w:val="center"/>
            <w:hideMark/>
          </w:tcPr>
          <w:p w14:paraId="28BD89D2" w14:textId="70550428"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4.40%</w:t>
            </w:r>
          </w:p>
        </w:tc>
        <w:tc>
          <w:tcPr>
            <w:tcW w:w="1177" w:type="dxa"/>
            <w:noWrap/>
            <w:vAlign w:val="center"/>
            <w:hideMark/>
          </w:tcPr>
          <w:p w14:paraId="0A5D108A" w14:textId="33947DC5"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4.30%</w:t>
            </w:r>
          </w:p>
        </w:tc>
        <w:tc>
          <w:tcPr>
            <w:tcW w:w="1177" w:type="dxa"/>
            <w:noWrap/>
            <w:vAlign w:val="center"/>
            <w:hideMark/>
          </w:tcPr>
          <w:p w14:paraId="2F502A0B" w14:textId="27B9211A"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4.20%</w:t>
            </w:r>
          </w:p>
        </w:tc>
        <w:tc>
          <w:tcPr>
            <w:tcW w:w="1177" w:type="dxa"/>
            <w:noWrap/>
            <w:vAlign w:val="center"/>
            <w:hideMark/>
          </w:tcPr>
          <w:p w14:paraId="3169AC68" w14:textId="63DE2C23"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3.80%</w:t>
            </w:r>
          </w:p>
        </w:tc>
        <w:tc>
          <w:tcPr>
            <w:tcW w:w="1177" w:type="dxa"/>
            <w:noWrap/>
            <w:vAlign w:val="center"/>
            <w:hideMark/>
          </w:tcPr>
          <w:p w14:paraId="3E07E567" w14:textId="66BDDFE6"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4.10%</w:t>
            </w:r>
          </w:p>
        </w:tc>
        <w:tc>
          <w:tcPr>
            <w:tcW w:w="1177" w:type="dxa"/>
            <w:tcBorders>
              <w:right w:val="single" w:sz="4" w:space="0" w:color="D50057" w:themeColor="accent1"/>
            </w:tcBorders>
            <w:noWrap/>
            <w:vAlign w:val="center"/>
            <w:hideMark/>
          </w:tcPr>
          <w:p w14:paraId="4FF86F2B" w14:textId="3E81B067"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4.20%</w:t>
            </w:r>
          </w:p>
        </w:tc>
      </w:tr>
      <w:tr w:rsidR="00757111" w:rsidRPr="00E42D8E" w14:paraId="32EDD7E9" w14:textId="77777777" w:rsidTr="00757111">
        <w:trPr>
          <w:trHeight w:val="680"/>
        </w:trPr>
        <w:tc>
          <w:tcPr>
            <w:cnfStyle w:val="001000000000" w:firstRow="0" w:lastRow="0" w:firstColumn="1" w:lastColumn="0" w:oddVBand="0" w:evenVBand="0" w:oddHBand="0" w:evenHBand="0" w:firstRowFirstColumn="0" w:firstRowLastColumn="0" w:lastRowFirstColumn="0" w:lastRowLastColumn="0"/>
            <w:tcW w:w="2659" w:type="dxa"/>
            <w:tcBorders>
              <w:left w:val="single" w:sz="4" w:space="0" w:color="D50057" w:themeColor="accent1"/>
              <w:right w:val="single" w:sz="4" w:space="0" w:color="D50057" w:themeColor="accent1"/>
            </w:tcBorders>
            <w:noWrap/>
            <w:vAlign w:val="center"/>
            <w:hideMark/>
          </w:tcPr>
          <w:p w14:paraId="52B80CE0" w14:textId="77777777" w:rsidR="00757111" w:rsidRPr="00590A8C" w:rsidRDefault="00757111" w:rsidP="00757111">
            <w:pPr>
              <w:keepLines w:val="0"/>
              <w:rPr>
                <w:rFonts w:eastAsia="Times New Roman" w:cstheme="minorHAnsi"/>
                <w:b w:val="0"/>
                <w:color w:val="000000"/>
                <w:lang w:val="en-CA" w:eastAsia="en-CA"/>
              </w:rPr>
            </w:pPr>
            <w:r w:rsidRPr="00590A8C">
              <w:rPr>
                <w:rFonts w:eastAsia="Times New Roman" w:cstheme="minorHAnsi"/>
                <w:b w:val="0"/>
                <w:color w:val="000000"/>
                <w:lang w:val="en-CA" w:eastAsia="en-CA"/>
              </w:rPr>
              <w:t>WFA benchmark FY 2013-2014 to FY 2017-2018</w:t>
            </w:r>
          </w:p>
        </w:tc>
        <w:tc>
          <w:tcPr>
            <w:tcW w:w="1177" w:type="dxa"/>
            <w:tcBorders>
              <w:left w:val="single" w:sz="4" w:space="0" w:color="D50057" w:themeColor="accent1"/>
            </w:tcBorders>
            <w:noWrap/>
            <w:vAlign w:val="center"/>
            <w:hideMark/>
          </w:tcPr>
          <w:p w14:paraId="79D2D0E0" w14:textId="48C8983A"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4.40%</w:t>
            </w:r>
          </w:p>
        </w:tc>
        <w:tc>
          <w:tcPr>
            <w:tcW w:w="1177" w:type="dxa"/>
            <w:noWrap/>
            <w:vAlign w:val="center"/>
            <w:hideMark/>
          </w:tcPr>
          <w:p w14:paraId="27A429F9" w14:textId="4BC00499"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4.40%</w:t>
            </w:r>
          </w:p>
        </w:tc>
        <w:tc>
          <w:tcPr>
            <w:tcW w:w="1177" w:type="dxa"/>
            <w:noWrap/>
            <w:vAlign w:val="center"/>
            <w:hideMark/>
          </w:tcPr>
          <w:p w14:paraId="5FEAEE07" w14:textId="00ECFDEF"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4.40%</w:t>
            </w:r>
          </w:p>
        </w:tc>
        <w:tc>
          <w:tcPr>
            <w:tcW w:w="1177" w:type="dxa"/>
            <w:noWrap/>
            <w:vAlign w:val="center"/>
            <w:hideMark/>
          </w:tcPr>
          <w:p w14:paraId="52BA61B3" w14:textId="237F50E6"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4.40%</w:t>
            </w:r>
          </w:p>
        </w:tc>
        <w:tc>
          <w:tcPr>
            <w:tcW w:w="1177" w:type="dxa"/>
            <w:noWrap/>
            <w:vAlign w:val="center"/>
            <w:hideMark/>
          </w:tcPr>
          <w:p w14:paraId="53430417" w14:textId="0996D823"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4.40%</w:t>
            </w:r>
          </w:p>
        </w:tc>
        <w:tc>
          <w:tcPr>
            <w:tcW w:w="1177" w:type="dxa"/>
            <w:tcBorders>
              <w:right w:val="single" w:sz="4" w:space="0" w:color="D50057" w:themeColor="accent1"/>
            </w:tcBorders>
            <w:noWrap/>
            <w:vAlign w:val="center"/>
            <w:hideMark/>
          </w:tcPr>
          <w:p w14:paraId="4D00CE0E" w14:textId="77777777"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p>
        </w:tc>
      </w:tr>
      <w:tr w:rsidR="00757111" w:rsidRPr="00E42D8E" w14:paraId="2D1980EA" w14:textId="77777777" w:rsidTr="00757111">
        <w:trPr>
          <w:trHeight w:val="680"/>
        </w:trPr>
        <w:tc>
          <w:tcPr>
            <w:cnfStyle w:val="001000000000" w:firstRow="0" w:lastRow="0" w:firstColumn="1" w:lastColumn="0" w:oddVBand="0" w:evenVBand="0" w:oddHBand="0" w:evenHBand="0" w:firstRowFirstColumn="0" w:firstRowLastColumn="0" w:lastRowFirstColumn="0" w:lastRowLastColumn="0"/>
            <w:tcW w:w="2659" w:type="dxa"/>
            <w:tcBorders>
              <w:left w:val="single" w:sz="4" w:space="0" w:color="D50057" w:themeColor="accent1"/>
              <w:right w:val="single" w:sz="4" w:space="0" w:color="D50057" w:themeColor="accent1"/>
            </w:tcBorders>
            <w:noWrap/>
            <w:vAlign w:val="center"/>
            <w:hideMark/>
          </w:tcPr>
          <w:p w14:paraId="6980E3E7" w14:textId="77777777" w:rsidR="00757111" w:rsidRPr="00590A8C" w:rsidRDefault="00757111" w:rsidP="00757111">
            <w:pPr>
              <w:keepLines w:val="0"/>
              <w:rPr>
                <w:rFonts w:eastAsia="Times New Roman" w:cstheme="minorHAnsi"/>
                <w:b w:val="0"/>
                <w:color w:val="000000"/>
                <w:lang w:val="en-CA" w:eastAsia="en-CA"/>
              </w:rPr>
            </w:pPr>
            <w:r w:rsidRPr="00590A8C">
              <w:rPr>
                <w:rFonts w:eastAsia="Times New Roman" w:cstheme="minorHAnsi"/>
                <w:b w:val="0"/>
                <w:color w:val="000000"/>
                <w:lang w:val="en-CA" w:eastAsia="en-CA"/>
              </w:rPr>
              <w:t>WFA benchmark FY 2018-2019</w:t>
            </w:r>
          </w:p>
        </w:tc>
        <w:tc>
          <w:tcPr>
            <w:tcW w:w="1177" w:type="dxa"/>
            <w:tcBorders>
              <w:left w:val="single" w:sz="4" w:space="0" w:color="D50057" w:themeColor="accent1"/>
            </w:tcBorders>
            <w:noWrap/>
            <w:vAlign w:val="center"/>
            <w:hideMark/>
          </w:tcPr>
          <w:p w14:paraId="10B40217" w14:textId="77777777"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p>
        </w:tc>
        <w:tc>
          <w:tcPr>
            <w:tcW w:w="1177" w:type="dxa"/>
            <w:noWrap/>
            <w:vAlign w:val="center"/>
            <w:hideMark/>
          </w:tcPr>
          <w:p w14:paraId="64C0F8C8" w14:textId="77777777"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p>
        </w:tc>
        <w:tc>
          <w:tcPr>
            <w:tcW w:w="1177" w:type="dxa"/>
            <w:noWrap/>
            <w:vAlign w:val="center"/>
            <w:hideMark/>
          </w:tcPr>
          <w:p w14:paraId="5A14F4FC" w14:textId="77777777"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p>
        </w:tc>
        <w:tc>
          <w:tcPr>
            <w:tcW w:w="1177" w:type="dxa"/>
            <w:noWrap/>
            <w:vAlign w:val="center"/>
            <w:hideMark/>
          </w:tcPr>
          <w:p w14:paraId="710749B3" w14:textId="77777777"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p>
        </w:tc>
        <w:tc>
          <w:tcPr>
            <w:tcW w:w="1177" w:type="dxa"/>
            <w:noWrap/>
            <w:vAlign w:val="center"/>
            <w:hideMark/>
          </w:tcPr>
          <w:p w14:paraId="3FA35648" w14:textId="77777777"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p>
        </w:tc>
        <w:tc>
          <w:tcPr>
            <w:tcW w:w="1177" w:type="dxa"/>
            <w:tcBorders>
              <w:right w:val="single" w:sz="4" w:space="0" w:color="D50057" w:themeColor="accent1"/>
            </w:tcBorders>
            <w:noWrap/>
            <w:vAlign w:val="center"/>
            <w:hideMark/>
          </w:tcPr>
          <w:p w14:paraId="7831E48A" w14:textId="2752CCA3" w:rsidR="00757111" w:rsidRPr="00590A8C" w:rsidRDefault="00757111" w:rsidP="00757111">
            <w:pPr>
              <w:keepLines w:val="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lang w:val="en-CA" w:eastAsia="en-CA"/>
              </w:rPr>
            </w:pPr>
            <w:r w:rsidRPr="00590A8C">
              <w:rPr>
                <w:color w:val="auto"/>
                <w:lang w:val="en-CA"/>
              </w:rPr>
              <w:t>9.00%</w:t>
            </w:r>
          </w:p>
        </w:tc>
      </w:tr>
    </w:tbl>
    <w:p w14:paraId="1BA77201" w14:textId="2E52BC13" w:rsidR="00BA616D" w:rsidRPr="00BA616D" w:rsidRDefault="00BA616D" w:rsidP="00321005">
      <w:pPr>
        <w:spacing w:before="320"/>
        <w:rPr>
          <w:lang w:val="en-CA"/>
        </w:rPr>
      </w:pPr>
      <w:r w:rsidRPr="00BA616D">
        <w:rPr>
          <w:lang w:val="en-CA"/>
        </w:rPr>
        <w:t xml:space="preserve">Representation compared to the </w:t>
      </w:r>
      <w:r w:rsidR="00A3358D">
        <w:rPr>
          <w:lang w:val="en-CA"/>
        </w:rPr>
        <w:t>workforce availability (</w:t>
      </w:r>
      <w:r w:rsidRPr="00BA616D">
        <w:rPr>
          <w:lang w:val="en-CA"/>
        </w:rPr>
        <w:t>WFA</w:t>
      </w:r>
      <w:r w:rsidR="00A3358D">
        <w:rPr>
          <w:lang w:val="en-CA"/>
        </w:rPr>
        <w:t>)</w:t>
      </w:r>
      <w:r w:rsidRPr="00BA616D">
        <w:rPr>
          <w:lang w:val="en-CA"/>
        </w:rPr>
        <w:t>:</w:t>
      </w:r>
    </w:p>
    <w:p w14:paraId="77FFF828" w14:textId="77777777" w:rsidR="00321005" w:rsidRDefault="00BA616D" w:rsidP="00321005">
      <w:pPr>
        <w:pStyle w:val="ListParagraph"/>
        <w:numPr>
          <w:ilvl w:val="0"/>
          <w:numId w:val="54"/>
        </w:numPr>
        <w:rPr>
          <w:lang w:val="en-CA"/>
        </w:rPr>
      </w:pPr>
      <w:r w:rsidRPr="00BA616D">
        <w:rPr>
          <w:lang w:val="en-CA"/>
        </w:rPr>
        <w:t xml:space="preserve">From 2013-14 to 2017-18, the representation of persons with disabilities in non-advertised </w:t>
      </w:r>
      <w:r w:rsidR="00C36719">
        <w:rPr>
          <w:lang w:val="en-CA"/>
        </w:rPr>
        <w:t xml:space="preserve">appointments </w:t>
      </w:r>
      <w:r w:rsidRPr="00BA616D">
        <w:rPr>
          <w:lang w:val="en-CA"/>
        </w:rPr>
        <w:t>was equal to or slightly lower than their WFA. In 2018-19, there was a methodological change in calculating their WFA. As a result, they show a much lower representation in comparison to their WFA in this period</w:t>
      </w:r>
      <w:r w:rsidR="00DB6BDF">
        <w:rPr>
          <w:lang w:val="en-CA"/>
        </w:rPr>
        <w:t>.</w:t>
      </w:r>
    </w:p>
    <w:p w14:paraId="4150C132" w14:textId="0F0D714F" w:rsidR="00BE1588" w:rsidRPr="00081342" w:rsidRDefault="00BA616D" w:rsidP="004704D0">
      <w:pPr>
        <w:pStyle w:val="ListParagraph"/>
        <w:keepLines w:val="0"/>
        <w:numPr>
          <w:ilvl w:val="0"/>
          <w:numId w:val="54"/>
        </w:numPr>
        <w:rPr>
          <w:lang w:val="en-CA"/>
        </w:rPr>
      </w:pPr>
      <w:r w:rsidRPr="00081342">
        <w:rPr>
          <w:lang w:val="en-CA"/>
        </w:rPr>
        <w:lastRenderedPageBreak/>
        <w:t xml:space="preserve">All other </w:t>
      </w:r>
      <w:r w:rsidR="00CD6F58" w:rsidRPr="00081342">
        <w:rPr>
          <w:lang w:val="en-CA"/>
        </w:rPr>
        <w:t>EE</w:t>
      </w:r>
      <w:r w:rsidRPr="00081342">
        <w:rPr>
          <w:lang w:val="en-CA"/>
        </w:rPr>
        <w:t xml:space="preserve"> groups have a higher re</w:t>
      </w:r>
      <w:r w:rsidR="005F4F00" w:rsidRPr="00081342">
        <w:rPr>
          <w:lang w:val="en-CA"/>
        </w:rPr>
        <w:t>presentation in non-advertised appointments than their WFA</w:t>
      </w:r>
      <w:r w:rsidR="00DB6BDF" w:rsidRPr="00081342">
        <w:rPr>
          <w:lang w:val="en-CA"/>
        </w:rPr>
        <w:t>.</w:t>
      </w:r>
      <w:r w:rsidR="00BE1588" w:rsidRPr="00081342">
        <w:rPr>
          <w:lang w:val="en-CA"/>
        </w:rPr>
        <w:br w:type="page"/>
      </w:r>
    </w:p>
    <w:p w14:paraId="3254E5C2" w14:textId="0B878A23" w:rsidR="00CE6BAE" w:rsidRDefault="00992A5A" w:rsidP="00BE1588">
      <w:pPr>
        <w:pStyle w:val="Heading2"/>
      </w:pPr>
      <w:r>
        <w:lastRenderedPageBreak/>
        <w:t>Methodology</w:t>
      </w:r>
    </w:p>
    <w:p w14:paraId="7DFF2182" w14:textId="42EAE98F" w:rsidR="00E7663C" w:rsidRPr="00E7663C" w:rsidRDefault="00E7663C" w:rsidP="00E7663C">
      <w:pPr>
        <w:rPr>
          <w:lang w:val="en-CA"/>
        </w:rPr>
      </w:pPr>
      <w:r w:rsidRPr="00E7663C">
        <w:rPr>
          <w:lang w:val="en-CA"/>
        </w:rPr>
        <w:t>Results are based on the fiscal year in which the staffing activity took place. As such, the results are not comparable to the PSC’s Annual Report. The Annual Report uses the fiscal year in which the staffing activity wa</w:t>
      </w:r>
      <w:r w:rsidR="00F07819">
        <w:rPr>
          <w:lang w:val="en-CA"/>
        </w:rPr>
        <w:t>s reflected in the pay system.</w:t>
      </w:r>
    </w:p>
    <w:p w14:paraId="3FB576DB" w14:textId="5BBE9D24" w:rsidR="00E7663C" w:rsidRPr="00E7663C" w:rsidRDefault="00E7663C" w:rsidP="00E7663C">
      <w:pPr>
        <w:rPr>
          <w:lang w:val="en-CA"/>
        </w:rPr>
      </w:pPr>
      <w:r w:rsidRPr="00E7663C">
        <w:rPr>
          <w:lang w:val="en-CA"/>
        </w:rPr>
        <w:t>The number of appointments to</w:t>
      </w:r>
      <w:r w:rsidR="00F07819">
        <w:rPr>
          <w:lang w:val="en-CA"/>
        </w:rPr>
        <w:t xml:space="preserve"> advertised positions includes:</w:t>
      </w:r>
    </w:p>
    <w:p w14:paraId="2F9D8880" w14:textId="0DB33BBC" w:rsidR="00E7663C" w:rsidRPr="00E7663C" w:rsidRDefault="00E7663C" w:rsidP="00CA1A37">
      <w:pPr>
        <w:pStyle w:val="ListParagraph"/>
        <w:numPr>
          <w:ilvl w:val="0"/>
          <w:numId w:val="36"/>
        </w:numPr>
        <w:rPr>
          <w:lang w:val="en-CA"/>
        </w:rPr>
      </w:pPr>
      <w:r w:rsidRPr="00E7663C">
        <w:rPr>
          <w:lang w:val="en-CA"/>
        </w:rPr>
        <w:t>Ad</w:t>
      </w:r>
      <w:r w:rsidR="00F07819">
        <w:rPr>
          <w:lang w:val="en-CA"/>
        </w:rPr>
        <w:t>vertisements open to the public</w:t>
      </w:r>
    </w:p>
    <w:p w14:paraId="498A6147" w14:textId="22352150" w:rsidR="00E7663C" w:rsidRPr="00E7663C" w:rsidRDefault="00E7663C" w:rsidP="00CA1A37">
      <w:pPr>
        <w:pStyle w:val="ListParagraph"/>
        <w:numPr>
          <w:ilvl w:val="0"/>
          <w:numId w:val="36"/>
        </w:numPr>
        <w:rPr>
          <w:lang w:val="en-CA"/>
        </w:rPr>
      </w:pPr>
      <w:r w:rsidRPr="00E7663C">
        <w:rPr>
          <w:lang w:val="en-CA"/>
        </w:rPr>
        <w:t>Advertisements open o</w:t>
      </w:r>
      <w:r w:rsidR="00F07819">
        <w:rPr>
          <w:lang w:val="en-CA"/>
        </w:rPr>
        <w:t>nly to current public servants.</w:t>
      </w:r>
    </w:p>
    <w:p w14:paraId="5CC2C545" w14:textId="77777777" w:rsidR="00E7663C" w:rsidRPr="00E7663C" w:rsidRDefault="00E7663C" w:rsidP="00E7663C">
      <w:pPr>
        <w:rPr>
          <w:lang w:val="en-CA"/>
        </w:rPr>
      </w:pPr>
      <w:r w:rsidRPr="00E7663C">
        <w:rPr>
          <w:lang w:val="en-CA"/>
        </w:rPr>
        <w:t>The number of appointments to non-advertised positions includes:</w:t>
      </w:r>
    </w:p>
    <w:p w14:paraId="3716D829" w14:textId="77777777" w:rsidR="00E7663C" w:rsidRPr="00E7663C" w:rsidRDefault="00E7663C" w:rsidP="00CA1A37">
      <w:pPr>
        <w:pStyle w:val="ListParagraph"/>
        <w:numPr>
          <w:ilvl w:val="0"/>
          <w:numId w:val="37"/>
        </w:numPr>
        <w:rPr>
          <w:lang w:val="en-CA"/>
        </w:rPr>
      </w:pPr>
      <w:r w:rsidRPr="00E7663C">
        <w:rPr>
          <w:lang w:val="en-CA"/>
        </w:rPr>
        <w:t>Promotions</w:t>
      </w:r>
    </w:p>
    <w:p w14:paraId="026F6C8C" w14:textId="53753FF9" w:rsidR="00E7663C" w:rsidRPr="00E7663C" w:rsidRDefault="00E7663C" w:rsidP="00CA1A37">
      <w:pPr>
        <w:pStyle w:val="ListParagraph"/>
        <w:numPr>
          <w:ilvl w:val="0"/>
          <w:numId w:val="37"/>
        </w:numPr>
        <w:rPr>
          <w:lang w:val="en-CA"/>
        </w:rPr>
      </w:pPr>
      <w:r w:rsidRPr="00E7663C">
        <w:rPr>
          <w:lang w:val="en-CA"/>
        </w:rPr>
        <w:t>Acting app</w:t>
      </w:r>
      <w:r w:rsidR="00F07819">
        <w:rPr>
          <w:lang w:val="en-CA"/>
        </w:rPr>
        <w:t>ointments greater than 4 months</w:t>
      </w:r>
    </w:p>
    <w:p w14:paraId="07A3ED90" w14:textId="77777777" w:rsidR="00E7663C" w:rsidRPr="00E7663C" w:rsidRDefault="00E7663C" w:rsidP="00CA1A37">
      <w:pPr>
        <w:pStyle w:val="ListParagraph"/>
        <w:numPr>
          <w:ilvl w:val="0"/>
          <w:numId w:val="37"/>
        </w:numPr>
        <w:rPr>
          <w:lang w:val="en-CA"/>
        </w:rPr>
      </w:pPr>
      <w:r>
        <w:rPr>
          <w:lang w:val="en-CA"/>
        </w:rPr>
        <w:t>New public servant</w:t>
      </w:r>
      <w:r w:rsidRPr="00E7663C">
        <w:rPr>
          <w:lang w:val="en-CA"/>
        </w:rPr>
        <w:t xml:space="preserve"> hires to indeterminate positions</w:t>
      </w:r>
    </w:p>
    <w:p w14:paraId="36DD515B" w14:textId="77777777" w:rsidR="00E7663C" w:rsidRPr="00E7663C" w:rsidRDefault="00E7663C" w:rsidP="00CA1A37">
      <w:pPr>
        <w:pStyle w:val="ListParagraph"/>
        <w:numPr>
          <w:ilvl w:val="0"/>
          <w:numId w:val="37"/>
        </w:numPr>
        <w:rPr>
          <w:lang w:val="en-CA"/>
        </w:rPr>
      </w:pPr>
      <w:r>
        <w:rPr>
          <w:lang w:val="en-CA"/>
        </w:rPr>
        <w:t>New public servant</w:t>
      </w:r>
      <w:r w:rsidRPr="00E7663C">
        <w:rPr>
          <w:lang w:val="en-CA"/>
        </w:rPr>
        <w:t xml:space="preserve"> hires term positions greater than 3 months</w:t>
      </w:r>
    </w:p>
    <w:p w14:paraId="6386E8B0" w14:textId="5EC05031" w:rsidR="00913E86" w:rsidRPr="009D4886" w:rsidRDefault="00E7663C" w:rsidP="005E474B">
      <w:pPr>
        <w:rPr>
          <w:lang w:val="en-CA"/>
        </w:rPr>
      </w:pPr>
      <w:r w:rsidRPr="00E7663C">
        <w:rPr>
          <w:lang w:val="en-CA"/>
        </w:rPr>
        <w:t>Appo</w:t>
      </w:r>
      <w:r>
        <w:rPr>
          <w:lang w:val="en-CA"/>
        </w:rPr>
        <w:t xml:space="preserve">intment data comes from the </w:t>
      </w:r>
      <w:r w:rsidRPr="00E7663C">
        <w:rPr>
          <w:lang w:val="en-CA"/>
        </w:rPr>
        <w:t xml:space="preserve">Hiring and Staffing Activities Database. Only departments and agencies subject to the </w:t>
      </w:r>
      <w:r w:rsidRPr="00DB6BDF">
        <w:rPr>
          <w:i/>
          <w:lang w:val="en-CA"/>
        </w:rPr>
        <w:t>P</w:t>
      </w:r>
      <w:r w:rsidR="00DB6BDF" w:rsidRPr="00DB6BDF">
        <w:rPr>
          <w:i/>
          <w:lang w:val="en-CA"/>
        </w:rPr>
        <w:t xml:space="preserve">ublic </w:t>
      </w:r>
      <w:r w:rsidRPr="00DB6BDF">
        <w:rPr>
          <w:i/>
          <w:lang w:val="en-CA"/>
        </w:rPr>
        <w:t>S</w:t>
      </w:r>
      <w:r w:rsidR="00DB6BDF" w:rsidRPr="00DB6BDF">
        <w:rPr>
          <w:i/>
          <w:lang w:val="en-CA"/>
        </w:rPr>
        <w:t xml:space="preserve">ervice </w:t>
      </w:r>
      <w:r w:rsidRPr="00DB6BDF">
        <w:rPr>
          <w:i/>
          <w:lang w:val="en-CA"/>
        </w:rPr>
        <w:t>E</w:t>
      </w:r>
      <w:r w:rsidR="00DB6BDF" w:rsidRPr="00DB6BDF">
        <w:rPr>
          <w:i/>
          <w:lang w:val="en-CA"/>
        </w:rPr>
        <w:t>mployment Act</w:t>
      </w:r>
      <w:r w:rsidR="00DB6BDF">
        <w:rPr>
          <w:lang w:val="en-CA"/>
        </w:rPr>
        <w:t xml:space="preserve"> (PSEA)</w:t>
      </w:r>
      <w:r w:rsidRPr="00E7663C">
        <w:rPr>
          <w:lang w:val="en-CA"/>
        </w:rPr>
        <w:t xml:space="preserve"> mandate are included. Self-identification data comes from the Employment Equity Data Bank.</w:t>
      </w:r>
    </w:p>
    <w:sectPr w:rsidR="00913E86" w:rsidRPr="009D4886" w:rsidSect="00F07819">
      <w:footerReference w:type="even" r:id="rId10"/>
      <w:footerReference w:type="default" r:id="rId11"/>
      <w:headerReference w:type="first" r:id="rId12"/>
      <w:footerReference w:type="first" r:id="rId13"/>
      <w:pgSz w:w="12240" w:h="15840"/>
      <w:pgMar w:top="1560" w:right="1440" w:bottom="1985" w:left="1440" w:header="709"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F3CDF" w14:textId="77777777" w:rsidR="00BD2440" w:rsidRDefault="00BD2440" w:rsidP="00A2240C">
      <w:r>
        <w:separator/>
      </w:r>
    </w:p>
  </w:endnote>
  <w:endnote w:type="continuationSeparator" w:id="0">
    <w:p w14:paraId="0FB5245A" w14:textId="77777777" w:rsidR="00BD2440" w:rsidRDefault="00BD2440" w:rsidP="00A22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860177"/>
      <w:docPartObj>
        <w:docPartGallery w:val="Page Numbers (Bottom of Page)"/>
        <w:docPartUnique/>
      </w:docPartObj>
    </w:sdtPr>
    <w:sdtEndPr>
      <w:rPr>
        <w:noProof/>
      </w:rPr>
    </w:sdtEndPr>
    <w:sdtContent>
      <w:p w14:paraId="78A1F0E7" w14:textId="77777777" w:rsidR="00646A04" w:rsidRDefault="00646A04" w:rsidP="00A2240C">
        <w:pPr>
          <w:pStyle w:val="Footer"/>
          <w:rPr>
            <w:noProof/>
          </w:rPr>
        </w:pPr>
        <w:r>
          <w:rPr>
            <w:noProof/>
            <w:lang w:val="en-CA" w:eastAsia="en-CA"/>
          </w:rPr>
          <w:drawing>
            <wp:anchor distT="0" distB="0" distL="114300" distR="114300" simplePos="0" relativeHeight="251659264" behindDoc="1" locked="0" layoutInCell="1" allowOverlap="1" wp14:anchorId="24807504" wp14:editId="358CD348">
              <wp:simplePos x="0" y="0"/>
              <wp:positionH relativeFrom="column">
                <wp:posOffset>-886460</wp:posOffset>
              </wp:positionH>
              <wp:positionV relativeFrom="paragraph">
                <wp:posOffset>219075</wp:posOffset>
              </wp:positionV>
              <wp:extent cx="7829550" cy="651510"/>
              <wp:effectExtent l="0" t="0" r="0" b="0"/>
              <wp:wrapNone/>
              <wp:docPr id="527" name="Picture 527" descr="PSC background logo" title="PSC backg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Word-Inside-colorbars.png"/>
                      <pic:cNvPicPr/>
                    </pic:nvPicPr>
                    <pic:blipFill>
                      <a:blip r:embed="rId1">
                        <a:extLst>
                          <a:ext uri="{28A0092B-C50C-407E-A947-70E740481C1C}">
                            <a14:useLocalDpi xmlns:a14="http://schemas.microsoft.com/office/drawing/2010/main" val="0"/>
                          </a:ext>
                        </a:extLst>
                      </a:blip>
                      <a:stretch>
                        <a:fillRect/>
                      </a:stretch>
                    </pic:blipFill>
                    <pic:spPr>
                      <a:xfrm>
                        <a:off x="0" y="0"/>
                        <a:ext cx="7829550" cy="65151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757111">
          <w:rPr>
            <w:noProof/>
          </w:rPr>
          <w:t>1</w:t>
        </w:r>
        <w:r>
          <w:rPr>
            <w:noProof/>
          </w:rPr>
          <w:fldChar w:fldCharType="end"/>
        </w:r>
      </w:p>
      <w:p w14:paraId="77A3CB1F" w14:textId="77777777" w:rsidR="00646A04" w:rsidRDefault="00BD2440" w:rsidP="00A2240C">
        <w:pPr>
          <w:pStyle w:val="Footer"/>
        </w:pPr>
      </w:p>
    </w:sdtContent>
  </w:sdt>
  <w:p w14:paraId="61B4522E" w14:textId="77777777" w:rsidR="00646A04" w:rsidRDefault="00646A04" w:rsidP="00A224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53F05" w14:textId="09DF31B6" w:rsidR="00CB0ADE" w:rsidRPr="00143EF4" w:rsidRDefault="00CB0ADE" w:rsidP="00A2240C">
    <w:pPr>
      <w:pStyle w:val="Footer"/>
      <w:rPr>
        <w:lang w:val="en-CA"/>
      </w:rPr>
    </w:pPr>
    <w:r>
      <w:rPr>
        <w:noProof/>
        <w:lang w:val="en-CA" w:eastAsia="en-CA"/>
      </w:rPr>
      <w:drawing>
        <wp:anchor distT="0" distB="0" distL="114300" distR="114300" simplePos="0" relativeHeight="251660288" behindDoc="1" locked="0" layoutInCell="1" allowOverlap="1" wp14:anchorId="34C31B87" wp14:editId="6C48F1C9">
          <wp:simplePos x="0" y="0"/>
          <wp:positionH relativeFrom="column">
            <wp:posOffset>-967563</wp:posOffset>
          </wp:positionH>
          <wp:positionV relativeFrom="page">
            <wp:posOffset>9388549</wp:posOffset>
          </wp:positionV>
          <wp:extent cx="7830000" cy="643620"/>
          <wp:effectExtent l="0" t="0" r="0" b="4445"/>
          <wp:wrapNone/>
          <wp:docPr id="528" name="Picture 528" descr="PSC footer logo" title="PSC foo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Word-Inside-colorbars.png"/>
                  <pic:cNvPicPr/>
                </pic:nvPicPr>
                <pic:blipFill>
                  <a:blip r:embed="rId1">
                    <a:extLst>
                      <a:ext uri="{28A0092B-C50C-407E-A947-70E740481C1C}">
                        <a14:useLocalDpi xmlns:a14="http://schemas.microsoft.com/office/drawing/2010/main" val="0"/>
                      </a:ext>
                    </a:extLst>
                  </a:blip>
                  <a:stretch>
                    <a:fillRect/>
                  </a:stretch>
                </pic:blipFill>
                <pic:spPr>
                  <a:xfrm>
                    <a:off x="0" y="0"/>
                    <a:ext cx="7830000" cy="64362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rsidRPr="00143EF4">
      <w:rPr>
        <w:lang w:val="en-CA"/>
      </w:rPr>
      <w:instrText xml:space="preserve"> PAGE   \* MERGEFORMAT </w:instrText>
    </w:r>
    <w:r>
      <w:fldChar w:fldCharType="separate"/>
    </w:r>
    <w:r w:rsidR="002B189D">
      <w:rPr>
        <w:noProof/>
        <w:lang w:val="en-CA"/>
      </w:rPr>
      <w:t>2</w:t>
    </w:r>
    <w:r>
      <w:rPr>
        <w:noProof/>
      </w:rPr>
      <w:fldChar w:fldCharType="end"/>
    </w:r>
    <w:r w:rsidRPr="00143EF4">
      <w:rPr>
        <w:noProof/>
        <w:lang w:val="en-CA"/>
      </w:rPr>
      <w:t xml:space="preserve"> </w:t>
    </w:r>
    <w:r w:rsidR="00067BCD" w:rsidRPr="00143EF4">
      <w:rPr>
        <w:noProof/>
        <w:lang w:val="en-CA"/>
      </w:rPr>
      <w:t>–</w:t>
    </w:r>
    <w:r w:rsidR="00332C01">
      <w:rPr>
        <w:noProof/>
        <w:lang w:val="en-CA"/>
      </w:rPr>
      <w:t xml:space="preserve"> </w:t>
    </w:r>
    <w:r w:rsidR="00143EF4" w:rsidRPr="00143EF4">
      <w:rPr>
        <w:lang w:val="en-CA"/>
      </w:rPr>
      <w:t>Public Service Commission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60183" w14:textId="378032FC" w:rsidR="0010662E" w:rsidRPr="0061126A" w:rsidRDefault="0061126A" w:rsidP="0061126A">
    <w:pPr>
      <w:rPr>
        <w:color w:val="auto"/>
      </w:rPr>
    </w:pPr>
    <w:r w:rsidRPr="00C118D5">
      <w:rPr>
        <w:color w:val="auto"/>
      </w:rPr>
      <w:t xml:space="preserve">Last Update: </w:t>
    </w:r>
    <w:proofErr w:type="spellStart"/>
    <w:r>
      <w:rPr>
        <w:color w:val="auto"/>
      </w:rPr>
      <w:t>September</w:t>
    </w:r>
    <w:proofErr w:type="spellEnd"/>
    <w:r>
      <w:rPr>
        <w:color w:val="auto"/>
      </w:rPr>
      <w:t xml:space="preserve"> 21</w:t>
    </w:r>
    <w:r w:rsidRPr="00C118D5">
      <w:rPr>
        <w:color w:val="auto"/>
      </w:rPr>
      <w:t xml:space="preserve">, 2020 / </w:t>
    </w:r>
    <w:proofErr w:type="spellStart"/>
    <w:r w:rsidRPr="00C118D5">
      <w:rPr>
        <w:color w:val="auto"/>
      </w:rPr>
      <w:t>GCDocs</w:t>
    </w:r>
    <w:proofErr w:type="spellEnd"/>
    <w:r w:rsidRPr="00C118D5">
      <w:rPr>
        <w:color w:val="auto"/>
      </w:rPr>
      <w:t xml:space="preserve"> # </w:t>
    </w:r>
    <w:r w:rsidRPr="00CD6F58">
      <w:rPr>
        <w:color w:val="auto"/>
      </w:rPr>
      <w:t>10903168</w:t>
    </w:r>
    <w:r w:rsidR="0010662E">
      <w:rPr>
        <w:noProof/>
        <w:lang w:val="en-CA" w:eastAsia="en-CA"/>
      </w:rPr>
      <w:drawing>
        <wp:anchor distT="0" distB="0" distL="114300" distR="114300" simplePos="0" relativeHeight="251658240" behindDoc="1" locked="0" layoutInCell="1" allowOverlap="1" wp14:anchorId="1CA221E5" wp14:editId="4C3F16EF">
          <wp:simplePos x="0" y="0"/>
          <wp:positionH relativeFrom="column">
            <wp:posOffset>-892175</wp:posOffset>
          </wp:positionH>
          <wp:positionV relativeFrom="page">
            <wp:posOffset>5787228</wp:posOffset>
          </wp:positionV>
          <wp:extent cx="7800212" cy="3891600"/>
          <wp:effectExtent l="0" t="0" r="0" b="0"/>
          <wp:wrapNone/>
          <wp:docPr id="530" name="Picture 530" descr="PSC background image" title="PSC 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Footer-colobars.png"/>
                  <pic:cNvPicPr/>
                </pic:nvPicPr>
                <pic:blipFill>
                  <a:blip r:embed="rId1">
                    <a:extLst>
                      <a:ext uri="{28A0092B-C50C-407E-A947-70E740481C1C}">
                        <a14:useLocalDpi xmlns:a14="http://schemas.microsoft.com/office/drawing/2010/main" val="0"/>
                      </a:ext>
                    </a:extLst>
                  </a:blip>
                  <a:stretch>
                    <a:fillRect/>
                  </a:stretch>
                </pic:blipFill>
                <pic:spPr>
                  <a:xfrm>
                    <a:off x="0" y="0"/>
                    <a:ext cx="7800212" cy="389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BEDBA" w14:textId="77777777" w:rsidR="00BD2440" w:rsidRDefault="00BD2440" w:rsidP="00A2240C">
      <w:r>
        <w:separator/>
      </w:r>
    </w:p>
  </w:footnote>
  <w:footnote w:type="continuationSeparator" w:id="0">
    <w:p w14:paraId="3384DAFA" w14:textId="77777777" w:rsidR="00BD2440" w:rsidRDefault="00BD2440" w:rsidP="00A2240C">
      <w:r>
        <w:continuationSeparator/>
      </w:r>
    </w:p>
  </w:footnote>
  <w:footnote w:id="1">
    <w:p w14:paraId="78EC2C56" w14:textId="4EB5DACF" w:rsidR="008D3D84" w:rsidRPr="0075018E" w:rsidRDefault="008D3D84" w:rsidP="008D3D84">
      <w:pPr>
        <w:pStyle w:val="FootnoteText"/>
        <w:rPr>
          <w:lang w:val="en-CA"/>
        </w:rPr>
      </w:pPr>
      <w:r w:rsidRPr="00CA1A37">
        <w:rPr>
          <w:rStyle w:val="FootnoteReference"/>
          <w:sz w:val="18"/>
        </w:rPr>
        <w:footnoteRef/>
      </w:r>
      <w:r w:rsidRPr="00CA1A37">
        <w:rPr>
          <w:sz w:val="18"/>
          <w:lang w:val="en-CA"/>
        </w:rPr>
        <w:t>The 2016 census and the 2017 Canadian Survey on Disability</w:t>
      </w:r>
      <w:r>
        <w:rPr>
          <w:sz w:val="18"/>
          <w:lang w:val="en-CA"/>
        </w:rPr>
        <w:t xml:space="preserve"> added</w:t>
      </w:r>
      <w:r w:rsidRPr="00CA1A37">
        <w:rPr>
          <w:sz w:val="18"/>
          <w:lang w:val="en-CA"/>
        </w:rPr>
        <w:t xml:space="preserve"> new questions to screen for disabilities. As a result of this methodology change</w:t>
      </w:r>
      <w:r>
        <w:rPr>
          <w:sz w:val="18"/>
          <w:lang w:val="en-CA"/>
        </w:rPr>
        <w:t>,</w:t>
      </w:r>
      <w:r w:rsidRPr="00CA1A37">
        <w:rPr>
          <w:sz w:val="18"/>
          <w:lang w:val="en-CA"/>
        </w:rPr>
        <w:t xml:space="preserve"> the WFA for persons with disabilities more than doubled. The new WFA estimates became the official benchmarks for employment equity for the federal public service in FY 2018-2019</w:t>
      </w:r>
      <w:r w:rsidR="00E1600B">
        <w:rPr>
          <w:sz w:val="18"/>
          <w:lang w:val="en-C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3A516" w14:textId="77777777" w:rsidR="0010662E" w:rsidRDefault="0010662E" w:rsidP="00A2240C">
    <w:pPr>
      <w:pStyle w:val="Header"/>
    </w:pPr>
    <w:r>
      <w:rPr>
        <w:noProof/>
        <w:lang w:val="en-CA" w:eastAsia="en-CA"/>
      </w:rPr>
      <w:drawing>
        <wp:inline distT="0" distB="0" distL="0" distR="0" wp14:anchorId="7AAC3965" wp14:editId="320F7F77">
          <wp:extent cx="4510800" cy="267086"/>
          <wp:effectExtent l="0" t="0" r="0" b="0"/>
          <wp:docPr id="529" name="Picture 529" descr="Comission de la fonction publique du Canada // Public Service Commission of Canada" title="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Sign-FR.png"/>
                  <pic:cNvPicPr/>
                </pic:nvPicPr>
                <pic:blipFill>
                  <a:blip r:embed="rId1">
                    <a:extLst>
                      <a:ext uri="{28A0092B-C50C-407E-A947-70E740481C1C}">
                        <a14:useLocalDpi xmlns:a14="http://schemas.microsoft.com/office/drawing/2010/main" val="0"/>
                      </a:ext>
                    </a:extLst>
                  </a:blip>
                  <a:stretch>
                    <a:fillRect/>
                  </a:stretch>
                </pic:blipFill>
                <pic:spPr>
                  <a:xfrm>
                    <a:off x="0" y="0"/>
                    <a:ext cx="4510800" cy="26708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7BC8"/>
    <w:multiLevelType w:val="hybridMultilevel"/>
    <w:tmpl w:val="E61204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020449"/>
    <w:multiLevelType w:val="hybridMultilevel"/>
    <w:tmpl w:val="0B5C0CB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A6B4E9D"/>
    <w:multiLevelType w:val="hybridMultilevel"/>
    <w:tmpl w:val="5F2A66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23320D"/>
    <w:multiLevelType w:val="hybridMultilevel"/>
    <w:tmpl w:val="A2D8A5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2E5D72"/>
    <w:multiLevelType w:val="hybridMultilevel"/>
    <w:tmpl w:val="5C6055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951543"/>
    <w:multiLevelType w:val="hybridMultilevel"/>
    <w:tmpl w:val="DA126D3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13B4851"/>
    <w:multiLevelType w:val="hybridMultilevel"/>
    <w:tmpl w:val="41C6BAE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3C51324"/>
    <w:multiLevelType w:val="hybridMultilevel"/>
    <w:tmpl w:val="E2FEAA08"/>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abstractNum w:abstractNumId="8" w15:restartNumberingAfterBreak="0">
    <w:nsid w:val="1672411A"/>
    <w:multiLevelType w:val="hybridMultilevel"/>
    <w:tmpl w:val="A68A8638"/>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9" w15:restartNumberingAfterBreak="0">
    <w:nsid w:val="16B374EC"/>
    <w:multiLevelType w:val="hybridMultilevel"/>
    <w:tmpl w:val="C05633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99F1483"/>
    <w:multiLevelType w:val="hybridMultilevel"/>
    <w:tmpl w:val="47AE62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BBF182C"/>
    <w:multiLevelType w:val="hybridMultilevel"/>
    <w:tmpl w:val="43CE8EF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BE710FF"/>
    <w:multiLevelType w:val="hybridMultilevel"/>
    <w:tmpl w:val="6F5211AC"/>
    <w:lvl w:ilvl="0" w:tplc="309E786C">
      <w:start w:val="1"/>
      <w:numFmt w:val="decimal"/>
      <w:pStyle w:val="Numberedlist"/>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C2C6BF6"/>
    <w:multiLevelType w:val="hybridMultilevel"/>
    <w:tmpl w:val="56FA14D2"/>
    <w:lvl w:ilvl="0" w:tplc="3FAE77F8">
      <w:numFmt w:val="bullet"/>
      <w:pStyle w:val="ListParagraph"/>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CC7262C"/>
    <w:multiLevelType w:val="hybridMultilevel"/>
    <w:tmpl w:val="474216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1F5C3E5E"/>
    <w:multiLevelType w:val="hybridMultilevel"/>
    <w:tmpl w:val="ADCE6A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FE30748"/>
    <w:multiLevelType w:val="hybridMultilevel"/>
    <w:tmpl w:val="FDF6665A"/>
    <w:lvl w:ilvl="0" w:tplc="10090001">
      <w:start w:val="1"/>
      <w:numFmt w:val="bullet"/>
      <w:lvlText w:val=""/>
      <w:lvlJc w:val="left"/>
      <w:pPr>
        <w:ind w:left="787" w:hanging="360"/>
      </w:pPr>
      <w:rPr>
        <w:rFonts w:ascii="Symbol" w:hAnsi="Symbol" w:hint="default"/>
      </w:rPr>
    </w:lvl>
    <w:lvl w:ilvl="1" w:tplc="10090003" w:tentative="1">
      <w:start w:val="1"/>
      <w:numFmt w:val="bullet"/>
      <w:lvlText w:val="o"/>
      <w:lvlJc w:val="left"/>
      <w:pPr>
        <w:ind w:left="1507" w:hanging="360"/>
      </w:pPr>
      <w:rPr>
        <w:rFonts w:ascii="Courier New" w:hAnsi="Courier New" w:cs="Courier New" w:hint="default"/>
      </w:rPr>
    </w:lvl>
    <w:lvl w:ilvl="2" w:tplc="10090005" w:tentative="1">
      <w:start w:val="1"/>
      <w:numFmt w:val="bullet"/>
      <w:lvlText w:val=""/>
      <w:lvlJc w:val="left"/>
      <w:pPr>
        <w:ind w:left="2227" w:hanging="360"/>
      </w:pPr>
      <w:rPr>
        <w:rFonts w:ascii="Wingdings" w:hAnsi="Wingdings" w:hint="default"/>
      </w:rPr>
    </w:lvl>
    <w:lvl w:ilvl="3" w:tplc="10090001" w:tentative="1">
      <w:start w:val="1"/>
      <w:numFmt w:val="bullet"/>
      <w:lvlText w:val=""/>
      <w:lvlJc w:val="left"/>
      <w:pPr>
        <w:ind w:left="2947" w:hanging="360"/>
      </w:pPr>
      <w:rPr>
        <w:rFonts w:ascii="Symbol" w:hAnsi="Symbol" w:hint="default"/>
      </w:rPr>
    </w:lvl>
    <w:lvl w:ilvl="4" w:tplc="10090003" w:tentative="1">
      <w:start w:val="1"/>
      <w:numFmt w:val="bullet"/>
      <w:lvlText w:val="o"/>
      <w:lvlJc w:val="left"/>
      <w:pPr>
        <w:ind w:left="3667" w:hanging="360"/>
      </w:pPr>
      <w:rPr>
        <w:rFonts w:ascii="Courier New" w:hAnsi="Courier New" w:cs="Courier New" w:hint="default"/>
      </w:rPr>
    </w:lvl>
    <w:lvl w:ilvl="5" w:tplc="10090005" w:tentative="1">
      <w:start w:val="1"/>
      <w:numFmt w:val="bullet"/>
      <w:lvlText w:val=""/>
      <w:lvlJc w:val="left"/>
      <w:pPr>
        <w:ind w:left="4387" w:hanging="360"/>
      </w:pPr>
      <w:rPr>
        <w:rFonts w:ascii="Wingdings" w:hAnsi="Wingdings" w:hint="default"/>
      </w:rPr>
    </w:lvl>
    <w:lvl w:ilvl="6" w:tplc="10090001" w:tentative="1">
      <w:start w:val="1"/>
      <w:numFmt w:val="bullet"/>
      <w:lvlText w:val=""/>
      <w:lvlJc w:val="left"/>
      <w:pPr>
        <w:ind w:left="5107" w:hanging="360"/>
      </w:pPr>
      <w:rPr>
        <w:rFonts w:ascii="Symbol" w:hAnsi="Symbol" w:hint="default"/>
      </w:rPr>
    </w:lvl>
    <w:lvl w:ilvl="7" w:tplc="10090003" w:tentative="1">
      <w:start w:val="1"/>
      <w:numFmt w:val="bullet"/>
      <w:lvlText w:val="o"/>
      <w:lvlJc w:val="left"/>
      <w:pPr>
        <w:ind w:left="5827" w:hanging="360"/>
      </w:pPr>
      <w:rPr>
        <w:rFonts w:ascii="Courier New" w:hAnsi="Courier New" w:cs="Courier New" w:hint="default"/>
      </w:rPr>
    </w:lvl>
    <w:lvl w:ilvl="8" w:tplc="10090005" w:tentative="1">
      <w:start w:val="1"/>
      <w:numFmt w:val="bullet"/>
      <w:lvlText w:val=""/>
      <w:lvlJc w:val="left"/>
      <w:pPr>
        <w:ind w:left="6547" w:hanging="360"/>
      </w:pPr>
      <w:rPr>
        <w:rFonts w:ascii="Wingdings" w:hAnsi="Wingdings" w:hint="default"/>
      </w:rPr>
    </w:lvl>
  </w:abstractNum>
  <w:abstractNum w:abstractNumId="17" w15:restartNumberingAfterBreak="0">
    <w:nsid w:val="2216618F"/>
    <w:multiLevelType w:val="hybridMultilevel"/>
    <w:tmpl w:val="F7ECDE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235C3C24"/>
    <w:multiLevelType w:val="hybridMultilevel"/>
    <w:tmpl w:val="C24A0D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29A43739"/>
    <w:multiLevelType w:val="hybridMultilevel"/>
    <w:tmpl w:val="642454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2BAE6E6B"/>
    <w:multiLevelType w:val="hybridMultilevel"/>
    <w:tmpl w:val="8EDAC92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2FAA3B5D"/>
    <w:multiLevelType w:val="multilevel"/>
    <w:tmpl w:val="553EBA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2970022"/>
    <w:multiLevelType w:val="multilevel"/>
    <w:tmpl w:val="553EBA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5CA4DF5"/>
    <w:multiLevelType w:val="hybridMultilevel"/>
    <w:tmpl w:val="94AE41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36B16CBA"/>
    <w:multiLevelType w:val="multilevel"/>
    <w:tmpl w:val="553EBA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72B1FF8"/>
    <w:multiLevelType w:val="hybridMultilevel"/>
    <w:tmpl w:val="412E13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793546F"/>
    <w:multiLevelType w:val="hybridMultilevel"/>
    <w:tmpl w:val="DF986AF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38401D1E"/>
    <w:multiLevelType w:val="hybridMultilevel"/>
    <w:tmpl w:val="8354AF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B9E5BA4"/>
    <w:multiLevelType w:val="hybridMultilevel"/>
    <w:tmpl w:val="DAD604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CD73304"/>
    <w:multiLevelType w:val="hybridMultilevel"/>
    <w:tmpl w:val="DA1634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F0A1E1E"/>
    <w:multiLevelType w:val="hybridMultilevel"/>
    <w:tmpl w:val="2040BF8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3F183E03"/>
    <w:multiLevelType w:val="hybridMultilevel"/>
    <w:tmpl w:val="917A66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F7402F4"/>
    <w:multiLevelType w:val="hybridMultilevel"/>
    <w:tmpl w:val="F7CCE1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8E53FD7"/>
    <w:multiLevelType w:val="hybridMultilevel"/>
    <w:tmpl w:val="CEF067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AC41655"/>
    <w:multiLevelType w:val="hybridMultilevel"/>
    <w:tmpl w:val="D30E437E"/>
    <w:lvl w:ilvl="0" w:tplc="10090001">
      <w:start w:val="1"/>
      <w:numFmt w:val="bullet"/>
      <w:lvlText w:val=""/>
      <w:lvlJc w:val="left"/>
      <w:pPr>
        <w:ind w:left="1080" w:hanging="72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BCE637B"/>
    <w:multiLevelType w:val="multilevel"/>
    <w:tmpl w:val="553EBA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4E183175"/>
    <w:multiLevelType w:val="hybridMultilevel"/>
    <w:tmpl w:val="FF4248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7633A2F"/>
    <w:multiLevelType w:val="hybridMultilevel"/>
    <w:tmpl w:val="94F05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DB52E4E"/>
    <w:multiLevelType w:val="hybridMultilevel"/>
    <w:tmpl w:val="36A4A09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9" w15:restartNumberingAfterBreak="0">
    <w:nsid w:val="5E720BC8"/>
    <w:multiLevelType w:val="hybridMultilevel"/>
    <w:tmpl w:val="61F0CB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19272B9"/>
    <w:multiLevelType w:val="hybridMultilevel"/>
    <w:tmpl w:val="F176F9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66C1D2D"/>
    <w:multiLevelType w:val="hybridMultilevel"/>
    <w:tmpl w:val="E78C931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15:restartNumberingAfterBreak="0">
    <w:nsid w:val="6BDC1F17"/>
    <w:multiLevelType w:val="hybridMultilevel"/>
    <w:tmpl w:val="DF624580"/>
    <w:lvl w:ilvl="0" w:tplc="B158149E">
      <w:start w:val="1"/>
      <w:numFmt w:val="bullet"/>
      <w:lvlText w:val="•"/>
      <w:lvlJc w:val="left"/>
      <w:pPr>
        <w:tabs>
          <w:tab w:val="num" w:pos="720"/>
        </w:tabs>
        <w:ind w:left="720" w:hanging="360"/>
      </w:pPr>
      <w:rPr>
        <w:rFonts w:ascii="Arial" w:hAnsi="Arial" w:hint="default"/>
      </w:rPr>
    </w:lvl>
    <w:lvl w:ilvl="1" w:tplc="39525FCE" w:tentative="1">
      <w:start w:val="1"/>
      <w:numFmt w:val="bullet"/>
      <w:lvlText w:val="•"/>
      <w:lvlJc w:val="left"/>
      <w:pPr>
        <w:tabs>
          <w:tab w:val="num" w:pos="1440"/>
        </w:tabs>
        <w:ind w:left="1440" w:hanging="360"/>
      </w:pPr>
      <w:rPr>
        <w:rFonts w:ascii="Arial" w:hAnsi="Arial" w:hint="default"/>
      </w:rPr>
    </w:lvl>
    <w:lvl w:ilvl="2" w:tplc="DD2433DE" w:tentative="1">
      <w:start w:val="1"/>
      <w:numFmt w:val="bullet"/>
      <w:lvlText w:val="•"/>
      <w:lvlJc w:val="left"/>
      <w:pPr>
        <w:tabs>
          <w:tab w:val="num" w:pos="2160"/>
        </w:tabs>
        <w:ind w:left="2160" w:hanging="360"/>
      </w:pPr>
      <w:rPr>
        <w:rFonts w:ascii="Arial" w:hAnsi="Arial" w:hint="default"/>
      </w:rPr>
    </w:lvl>
    <w:lvl w:ilvl="3" w:tplc="4AEA4AE4" w:tentative="1">
      <w:start w:val="1"/>
      <w:numFmt w:val="bullet"/>
      <w:lvlText w:val="•"/>
      <w:lvlJc w:val="left"/>
      <w:pPr>
        <w:tabs>
          <w:tab w:val="num" w:pos="2880"/>
        </w:tabs>
        <w:ind w:left="2880" w:hanging="360"/>
      </w:pPr>
      <w:rPr>
        <w:rFonts w:ascii="Arial" w:hAnsi="Arial" w:hint="default"/>
      </w:rPr>
    </w:lvl>
    <w:lvl w:ilvl="4" w:tplc="6222284A" w:tentative="1">
      <w:start w:val="1"/>
      <w:numFmt w:val="bullet"/>
      <w:lvlText w:val="•"/>
      <w:lvlJc w:val="left"/>
      <w:pPr>
        <w:tabs>
          <w:tab w:val="num" w:pos="3600"/>
        </w:tabs>
        <w:ind w:left="3600" w:hanging="360"/>
      </w:pPr>
      <w:rPr>
        <w:rFonts w:ascii="Arial" w:hAnsi="Arial" w:hint="default"/>
      </w:rPr>
    </w:lvl>
    <w:lvl w:ilvl="5" w:tplc="1278082E" w:tentative="1">
      <w:start w:val="1"/>
      <w:numFmt w:val="bullet"/>
      <w:lvlText w:val="•"/>
      <w:lvlJc w:val="left"/>
      <w:pPr>
        <w:tabs>
          <w:tab w:val="num" w:pos="4320"/>
        </w:tabs>
        <w:ind w:left="4320" w:hanging="360"/>
      </w:pPr>
      <w:rPr>
        <w:rFonts w:ascii="Arial" w:hAnsi="Arial" w:hint="default"/>
      </w:rPr>
    </w:lvl>
    <w:lvl w:ilvl="6" w:tplc="1A8819A0" w:tentative="1">
      <w:start w:val="1"/>
      <w:numFmt w:val="bullet"/>
      <w:lvlText w:val="•"/>
      <w:lvlJc w:val="left"/>
      <w:pPr>
        <w:tabs>
          <w:tab w:val="num" w:pos="5040"/>
        </w:tabs>
        <w:ind w:left="5040" w:hanging="360"/>
      </w:pPr>
      <w:rPr>
        <w:rFonts w:ascii="Arial" w:hAnsi="Arial" w:hint="default"/>
      </w:rPr>
    </w:lvl>
    <w:lvl w:ilvl="7" w:tplc="889E8488" w:tentative="1">
      <w:start w:val="1"/>
      <w:numFmt w:val="bullet"/>
      <w:lvlText w:val="•"/>
      <w:lvlJc w:val="left"/>
      <w:pPr>
        <w:tabs>
          <w:tab w:val="num" w:pos="5760"/>
        </w:tabs>
        <w:ind w:left="5760" w:hanging="360"/>
      </w:pPr>
      <w:rPr>
        <w:rFonts w:ascii="Arial" w:hAnsi="Arial" w:hint="default"/>
      </w:rPr>
    </w:lvl>
    <w:lvl w:ilvl="8" w:tplc="F676BB1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FCD56DB"/>
    <w:multiLevelType w:val="hybridMultilevel"/>
    <w:tmpl w:val="7D56AB58"/>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4" w15:restartNumberingAfterBreak="0">
    <w:nsid w:val="7017780A"/>
    <w:multiLevelType w:val="hybridMultilevel"/>
    <w:tmpl w:val="04A8E7C8"/>
    <w:lvl w:ilvl="0" w:tplc="E614539C">
      <w:numFmt w:val="bullet"/>
      <w:lvlText w:val="•"/>
      <w:lvlJc w:val="left"/>
      <w:pPr>
        <w:ind w:left="1080" w:hanging="72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4424816"/>
    <w:multiLevelType w:val="multilevel"/>
    <w:tmpl w:val="553EBA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759E0280"/>
    <w:multiLevelType w:val="hybridMultilevel"/>
    <w:tmpl w:val="228814C8"/>
    <w:lvl w:ilvl="0" w:tplc="8D965190">
      <w:start w:val="1"/>
      <w:numFmt w:val="bullet"/>
      <w:lvlText w:val="•"/>
      <w:lvlJc w:val="left"/>
      <w:pPr>
        <w:tabs>
          <w:tab w:val="num" w:pos="720"/>
        </w:tabs>
        <w:ind w:left="720" w:hanging="360"/>
      </w:pPr>
      <w:rPr>
        <w:rFonts w:ascii="Arial" w:hAnsi="Arial" w:hint="default"/>
      </w:rPr>
    </w:lvl>
    <w:lvl w:ilvl="1" w:tplc="8A58E43E">
      <w:start w:val="1"/>
      <w:numFmt w:val="bullet"/>
      <w:lvlText w:val="•"/>
      <w:lvlJc w:val="left"/>
      <w:pPr>
        <w:tabs>
          <w:tab w:val="num" w:pos="1440"/>
        </w:tabs>
        <w:ind w:left="1440" w:hanging="360"/>
      </w:pPr>
      <w:rPr>
        <w:rFonts w:ascii="Arial" w:hAnsi="Arial" w:hint="default"/>
      </w:rPr>
    </w:lvl>
    <w:lvl w:ilvl="2" w:tplc="D8E2E030" w:tentative="1">
      <w:start w:val="1"/>
      <w:numFmt w:val="bullet"/>
      <w:lvlText w:val="•"/>
      <w:lvlJc w:val="left"/>
      <w:pPr>
        <w:tabs>
          <w:tab w:val="num" w:pos="2160"/>
        </w:tabs>
        <w:ind w:left="2160" w:hanging="360"/>
      </w:pPr>
      <w:rPr>
        <w:rFonts w:ascii="Arial" w:hAnsi="Arial" w:hint="default"/>
      </w:rPr>
    </w:lvl>
    <w:lvl w:ilvl="3" w:tplc="4BC8A294" w:tentative="1">
      <w:start w:val="1"/>
      <w:numFmt w:val="bullet"/>
      <w:lvlText w:val="•"/>
      <w:lvlJc w:val="left"/>
      <w:pPr>
        <w:tabs>
          <w:tab w:val="num" w:pos="2880"/>
        </w:tabs>
        <w:ind w:left="2880" w:hanging="360"/>
      </w:pPr>
      <w:rPr>
        <w:rFonts w:ascii="Arial" w:hAnsi="Arial" w:hint="default"/>
      </w:rPr>
    </w:lvl>
    <w:lvl w:ilvl="4" w:tplc="B11ABA56" w:tentative="1">
      <w:start w:val="1"/>
      <w:numFmt w:val="bullet"/>
      <w:lvlText w:val="•"/>
      <w:lvlJc w:val="left"/>
      <w:pPr>
        <w:tabs>
          <w:tab w:val="num" w:pos="3600"/>
        </w:tabs>
        <w:ind w:left="3600" w:hanging="360"/>
      </w:pPr>
      <w:rPr>
        <w:rFonts w:ascii="Arial" w:hAnsi="Arial" w:hint="default"/>
      </w:rPr>
    </w:lvl>
    <w:lvl w:ilvl="5" w:tplc="1BE22730" w:tentative="1">
      <w:start w:val="1"/>
      <w:numFmt w:val="bullet"/>
      <w:lvlText w:val="•"/>
      <w:lvlJc w:val="left"/>
      <w:pPr>
        <w:tabs>
          <w:tab w:val="num" w:pos="4320"/>
        </w:tabs>
        <w:ind w:left="4320" w:hanging="360"/>
      </w:pPr>
      <w:rPr>
        <w:rFonts w:ascii="Arial" w:hAnsi="Arial" w:hint="default"/>
      </w:rPr>
    </w:lvl>
    <w:lvl w:ilvl="6" w:tplc="DEF035B6" w:tentative="1">
      <w:start w:val="1"/>
      <w:numFmt w:val="bullet"/>
      <w:lvlText w:val="•"/>
      <w:lvlJc w:val="left"/>
      <w:pPr>
        <w:tabs>
          <w:tab w:val="num" w:pos="5040"/>
        </w:tabs>
        <w:ind w:left="5040" w:hanging="360"/>
      </w:pPr>
      <w:rPr>
        <w:rFonts w:ascii="Arial" w:hAnsi="Arial" w:hint="default"/>
      </w:rPr>
    </w:lvl>
    <w:lvl w:ilvl="7" w:tplc="E4C4D382" w:tentative="1">
      <w:start w:val="1"/>
      <w:numFmt w:val="bullet"/>
      <w:lvlText w:val="•"/>
      <w:lvlJc w:val="left"/>
      <w:pPr>
        <w:tabs>
          <w:tab w:val="num" w:pos="5760"/>
        </w:tabs>
        <w:ind w:left="5760" w:hanging="360"/>
      </w:pPr>
      <w:rPr>
        <w:rFonts w:ascii="Arial" w:hAnsi="Arial" w:hint="default"/>
      </w:rPr>
    </w:lvl>
    <w:lvl w:ilvl="8" w:tplc="CA469B56"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5A05862"/>
    <w:multiLevelType w:val="hybridMultilevel"/>
    <w:tmpl w:val="C8D4257E"/>
    <w:lvl w:ilvl="0" w:tplc="CE1A5306">
      <w:start w:val="1"/>
      <w:numFmt w:val="bullet"/>
      <w:lvlText w:val="•"/>
      <w:lvlJc w:val="left"/>
      <w:pPr>
        <w:tabs>
          <w:tab w:val="num" w:pos="720"/>
        </w:tabs>
        <w:ind w:left="720" w:hanging="360"/>
      </w:pPr>
      <w:rPr>
        <w:rFonts w:ascii="Arial" w:hAnsi="Arial" w:hint="default"/>
      </w:rPr>
    </w:lvl>
    <w:lvl w:ilvl="1" w:tplc="99A002C0" w:tentative="1">
      <w:start w:val="1"/>
      <w:numFmt w:val="bullet"/>
      <w:lvlText w:val="•"/>
      <w:lvlJc w:val="left"/>
      <w:pPr>
        <w:tabs>
          <w:tab w:val="num" w:pos="1440"/>
        </w:tabs>
        <w:ind w:left="1440" w:hanging="360"/>
      </w:pPr>
      <w:rPr>
        <w:rFonts w:ascii="Arial" w:hAnsi="Arial" w:hint="default"/>
      </w:rPr>
    </w:lvl>
    <w:lvl w:ilvl="2" w:tplc="B80AFEEC" w:tentative="1">
      <w:start w:val="1"/>
      <w:numFmt w:val="bullet"/>
      <w:lvlText w:val="•"/>
      <w:lvlJc w:val="left"/>
      <w:pPr>
        <w:tabs>
          <w:tab w:val="num" w:pos="2160"/>
        </w:tabs>
        <w:ind w:left="2160" w:hanging="360"/>
      </w:pPr>
      <w:rPr>
        <w:rFonts w:ascii="Arial" w:hAnsi="Arial" w:hint="default"/>
      </w:rPr>
    </w:lvl>
    <w:lvl w:ilvl="3" w:tplc="2976F1F4" w:tentative="1">
      <w:start w:val="1"/>
      <w:numFmt w:val="bullet"/>
      <w:lvlText w:val="•"/>
      <w:lvlJc w:val="left"/>
      <w:pPr>
        <w:tabs>
          <w:tab w:val="num" w:pos="2880"/>
        </w:tabs>
        <w:ind w:left="2880" w:hanging="360"/>
      </w:pPr>
      <w:rPr>
        <w:rFonts w:ascii="Arial" w:hAnsi="Arial" w:hint="default"/>
      </w:rPr>
    </w:lvl>
    <w:lvl w:ilvl="4" w:tplc="B32E60DC" w:tentative="1">
      <w:start w:val="1"/>
      <w:numFmt w:val="bullet"/>
      <w:lvlText w:val="•"/>
      <w:lvlJc w:val="left"/>
      <w:pPr>
        <w:tabs>
          <w:tab w:val="num" w:pos="3600"/>
        </w:tabs>
        <w:ind w:left="3600" w:hanging="360"/>
      </w:pPr>
      <w:rPr>
        <w:rFonts w:ascii="Arial" w:hAnsi="Arial" w:hint="default"/>
      </w:rPr>
    </w:lvl>
    <w:lvl w:ilvl="5" w:tplc="5F72F4CA" w:tentative="1">
      <w:start w:val="1"/>
      <w:numFmt w:val="bullet"/>
      <w:lvlText w:val="•"/>
      <w:lvlJc w:val="left"/>
      <w:pPr>
        <w:tabs>
          <w:tab w:val="num" w:pos="4320"/>
        </w:tabs>
        <w:ind w:left="4320" w:hanging="360"/>
      </w:pPr>
      <w:rPr>
        <w:rFonts w:ascii="Arial" w:hAnsi="Arial" w:hint="default"/>
      </w:rPr>
    </w:lvl>
    <w:lvl w:ilvl="6" w:tplc="96AAA34A" w:tentative="1">
      <w:start w:val="1"/>
      <w:numFmt w:val="bullet"/>
      <w:lvlText w:val="•"/>
      <w:lvlJc w:val="left"/>
      <w:pPr>
        <w:tabs>
          <w:tab w:val="num" w:pos="5040"/>
        </w:tabs>
        <w:ind w:left="5040" w:hanging="360"/>
      </w:pPr>
      <w:rPr>
        <w:rFonts w:ascii="Arial" w:hAnsi="Arial" w:hint="default"/>
      </w:rPr>
    </w:lvl>
    <w:lvl w:ilvl="7" w:tplc="C068CAA2" w:tentative="1">
      <w:start w:val="1"/>
      <w:numFmt w:val="bullet"/>
      <w:lvlText w:val="•"/>
      <w:lvlJc w:val="left"/>
      <w:pPr>
        <w:tabs>
          <w:tab w:val="num" w:pos="5760"/>
        </w:tabs>
        <w:ind w:left="5760" w:hanging="360"/>
      </w:pPr>
      <w:rPr>
        <w:rFonts w:ascii="Arial" w:hAnsi="Arial" w:hint="default"/>
      </w:rPr>
    </w:lvl>
    <w:lvl w:ilvl="8" w:tplc="2A04365E"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60B59FA"/>
    <w:multiLevelType w:val="hybridMultilevel"/>
    <w:tmpl w:val="2FD424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768220E4"/>
    <w:multiLevelType w:val="hybridMultilevel"/>
    <w:tmpl w:val="31A27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0" w15:restartNumberingAfterBreak="0">
    <w:nsid w:val="7ADD36BC"/>
    <w:multiLevelType w:val="hybridMultilevel"/>
    <w:tmpl w:val="363036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7F082565"/>
    <w:multiLevelType w:val="hybridMultilevel"/>
    <w:tmpl w:val="B050656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12"/>
  </w:num>
  <w:num w:numId="4">
    <w:abstractNumId w:val="33"/>
  </w:num>
  <w:num w:numId="5">
    <w:abstractNumId w:val="19"/>
  </w:num>
  <w:num w:numId="6">
    <w:abstractNumId w:val="43"/>
  </w:num>
  <w:num w:numId="7">
    <w:abstractNumId w:val="5"/>
  </w:num>
  <w:num w:numId="8">
    <w:abstractNumId w:val="6"/>
  </w:num>
  <w:num w:numId="9">
    <w:abstractNumId w:val="2"/>
  </w:num>
  <w:num w:numId="10">
    <w:abstractNumId w:val="22"/>
  </w:num>
  <w:num w:numId="11">
    <w:abstractNumId w:val="45"/>
  </w:num>
  <w:num w:numId="12">
    <w:abstractNumId w:val="35"/>
  </w:num>
  <w:num w:numId="13">
    <w:abstractNumId w:val="24"/>
  </w:num>
  <w:num w:numId="14">
    <w:abstractNumId w:val="21"/>
  </w:num>
  <w:num w:numId="15">
    <w:abstractNumId w:val="18"/>
  </w:num>
  <w:num w:numId="16">
    <w:abstractNumId w:val="49"/>
  </w:num>
  <w:num w:numId="17">
    <w:abstractNumId w:val="26"/>
  </w:num>
  <w:num w:numId="18">
    <w:abstractNumId w:val="40"/>
  </w:num>
  <w:num w:numId="19">
    <w:abstractNumId w:val="11"/>
  </w:num>
  <w:num w:numId="20">
    <w:abstractNumId w:val="23"/>
  </w:num>
  <w:num w:numId="21">
    <w:abstractNumId w:val="28"/>
  </w:num>
  <w:num w:numId="22">
    <w:abstractNumId w:val="14"/>
  </w:num>
  <w:num w:numId="23">
    <w:abstractNumId w:val="17"/>
  </w:num>
  <w:num w:numId="24">
    <w:abstractNumId w:val="16"/>
  </w:num>
  <w:num w:numId="25">
    <w:abstractNumId w:val="38"/>
  </w:num>
  <w:num w:numId="26">
    <w:abstractNumId w:val="30"/>
  </w:num>
  <w:num w:numId="27">
    <w:abstractNumId w:val="20"/>
  </w:num>
  <w:num w:numId="28">
    <w:abstractNumId w:val="0"/>
  </w:num>
  <w:num w:numId="29">
    <w:abstractNumId w:val="32"/>
  </w:num>
  <w:num w:numId="30">
    <w:abstractNumId w:val="4"/>
  </w:num>
  <w:num w:numId="31">
    <w:abstractNumId w:val="47"/>
  </w:num>
  <w:num w:numId="32">
    <w:abstractNumId w:val="42"/>
  </w:num>
  <w:num w:numId="33">
    <w:abstractNumId w:val="36"/>
  </w:num>
  <w:num w:numId="34">
    <w:abstractNumId w:val="9"/>
  </w:num>
  <w:num w:numId="35">
    <w:abstractNumId w:val="1"/>
  </w:num>
  <w:num w:numId="36">
    <w:abstractNumId w:val="15"/>
  </w:num>
  <w:num w:numId="37">
    <w:abstractNumId w:val="48"/>
  </w:num>
  <w:num w:numId="38">
    <w:abstractNumId w:val="8"/>
  </w:num>
  <w:num w:numId="39">
    <w:abstractNumId w:val="50"/>
  </w:num>
  <w:num w:numId="40">
    <w:abstractNumId w:val="7"/>
  </w:num>
  <w:num w:numId="41">
    <w:abstractNumId w:val="31"/>
  </w:num>
  <w:num w:numId="42">
    <w:abstractNumId w:val="39"/>
  </w:num>
  <w:num w:numId="43">
    <w:abstractNumId w:val="46"/>
  </w:num>
  <w:num w:numId="44">
    <w:abstractNumId w:val="3"/>
  </w:num>
  <w:num w:numId="45">
    <w:abstractNumId w:val="37"/>
  </w:num>
  <w:num w:numId="46">
    <w:abstractNumId w:val="29"/>
  </w:num>
  <w:num w:numId="47">
    <w:abstractNumId w:val="13"/>
  </w:num>
  <w:num w:numId="48">
    <w:abstractNumId w:val="13"/>
  </w:num>
  <w:num w:numId="49">
    <w:abstractNumId w:val="13"/>
  </w:num>
  <w:num w:numId="50">
    <w:abstractNumId w:val="13"/>
  </w:num>
  <w:num w:numId="51">
    <w:abstractNumId w:val="10"/>
  </w:num>
  <w:num w:numId="52">
    <w:abstractNumId w:val="44"/>
  </w:num>
  <w:num w:numId="53">
    <w:abstractNumId w:val="34"/>
  </w:num>
  <w:num w:numId="54">
    <w:abstractNumId w:val="27"/>
  </w:num>
  <w:num w:numId="55">
    <w:abstractNumId w:val="41"/>
  </w:num>
  <w:num w:numId="56">
    <w:abstractNumId w:val="5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411"/>
    <w:rsid w:val="000046AD"/>
    <w:rsid w:val="00005B71"/>
    <w:rsid w:val="00011FB4"/>
    <w:rsid w:val="0001777C"/>
    <w:rsid w:val="00031AE9"/>
    <w:rsid w:val="0003327B"/>
    <w:rsid w:val="00035642"/>
    <w:rsid w:val="00037567"/>
    <w:rsid w:val="0003764E"/>
    <w:rsid w:val="00043FE5"/>
    <w:rsid w:val="00044C18"/>
    <w:rsid w:val="00044DED"/>
    <w:rsid w:val="000527E5"/>
    <w:rsid w:val="000539F9"/>
    <w:rsid w:val="00055211"/>
    <w:rsid w:val="0006067E"/>
    <w:rsid w:val="00067BCD"/>
    <w:rsid w:val="00081342"/>
    <w:rsid w:val="000841D5"/>
    <w:rsid w:val="00085DF6"/>
    <w:rsid w:val="000A023E"/>
    <w:rsid w:val="000A6750"/>
    <w:rsid w:val="000A7BE7"/>
    <w:rsid w:val="000B2F87"/>
    <w:rsid w:val="000B5C78"/>
    <w:rsid w:val="000B7D89"/>
    <w:rsid w:val="000C19EC"/>
    <w:rsid w:val="000D35A9"/>
    <w:rsid w:val="000D579C"/>
    <w:rsid w:val="000D5CF5"/>
    <w:rsid w:val="000E4BDC"/>
    <w:rsid w:val="000F2F98"/>
    <w:rsid w:val="000F4F85"/>
    <w:rsid w:val="000F52D2"/>
    <w:rsid w:val="001037ED"/>
    <w:rsid w:val="00104AD4"/>
    <w:rsid w:val="0010662E"/>
    <w:rsid w:val="00114459"/>
    <w:rsid w:val="0011577E"/>
    <w:rsid w:val="001167AF"/>
    <w:rsid w:val="0013187A"/>
    <w:rsid w:val="00143EF4"/>
    <w:rsid w:val="00144747"/>
    <w:rsid w:val="001452B1"/>
    <w:rsid w:val="00156716"/>
    <w:rsid w:val="001578F2"/>
    <w:rsid w:val="001703E1"/>
    <w:rsid w:val="00171A52"/>
    <w:rsid w:val="00182827"/>
    <w:rsid w:val="00182F8D"/>
    <w:rsid w:val="00185335"/>
    <w:rsid w:val="00186646"/>
    <w:rsid w:val="00190490"/>
    <w:rsid w:val="00191314"/>
    <w:rsid w:val="0019410D"/>
    <w:rsid w:val="00196C49"/>
    <w:rsid w:val="001A3952"/>
    <w:rsid w:val="001A6D28"/>
    <w:rsid w:val="001B6202"/>
    <w:rsid w:val="001B66D3"/>
    <w:rsid w:val="001C0C8F"/>
    <w:rsid w:val="001C11E9"/>
    <w:rsid w:val="001C1DA9"/>
    <w:rsid w:val="001C4301"/>
    <w:rsid w:val="001C5F83"/>
    <w:rsid w:val="001D6781"/>
    <w:rsid w:val="001E53A9"/>
    <w:rsid w:val="001E7D47"/>
    <w:rsid w:val="002029F1"/>
    <w:rsid w:val="002045DF"/>
    <w:rsid w:val="002056B7"/>
    <w:rsid w:val="002105C2"/>
    <w:rsid w:val="002116E1"/>
    <w:rsid w:val="00212B04"/>
    <w:rsid w:val="00222D81"/>
    <w:rsid w:val="0022373C"/>
    <w:rsid w:val="00223FF2"/>
    <w:rsid w:val="00227A72"/>
    <w:rsid w:val="0023379D"/>
    <w:rsid w:val="002349C3"/>
    <w:rsid w:val="00237B91"/>
    <w:rsid w:val="00243374"/>
    <w:rsid w:val="00247D7B"/>
    <w:rsid w:val="00254D39"/>
    <w:rsid w:val="00254ECB"/>
    <w:rsid w:val="0026150F"/>
    <w:rsid w:val="0026183E"/>
    <w:rsid w:val="0026195F"/>
    <w:rsid w:val="0026497D"/>
    <w:rsid w:val="00266411"/>
    <w:rsid w:val="002669DD"/>
    <w:rsid w:val="00267BAB"/>
    <w:rsid w:val="00270E44"/>
    <w:rsid w:val="002769F1"/>
    <w:rsid w:val="00293BFB"/>
    <w:rsid w:val="002A0213"/>
    <w:rsid w:val="002A1BD4"/>
    <w:rsid w:val="002A478E"/>
    <w:rsid w:val="002A5E4E"/>
    <w:rsid w:val="002A7785"/>
    <w:rsid w:val="002B0264"/>
    <w:rsid w:val="002B189D"/>
    <w:rsid w:val="002C13E3"/>
    <w:rsid w:val="002C57C1"/>
    <w:rsid w:val="002D0E0E"/>
    <w:rsid w:val="002D228F"/>
    <w:rsid w:val="002D6960"/>
    <w:rsid w:val="002E0490"/>
    <w:rsid w:val="002E50F6"/>
    <w:rsid w:val="002F0DBB"/>
    <w:rsid w:val="002F12C8"/>
    <w:rsid w:val="002F1E1A"/>
    <w:rsid w:val="002F574D"/>
    <w:rsid w:val="00301027"/>
    <w:rsid w:val="00301CBD"/>
    <w:rsid w:val="00313348"/>
    <w:rsid w:val="003144D9"/>
    <w:rsid w:val="00321005"/>
    <w:rsid w:val="00321FDE"/>
    <w:rsid w:val="003231AA"/>
    <w:rsid w:val="00324714"/>
    <w:rsid w:val="00332C01"/>
    <w:rsid w:val="00334533"/>
    <w:rsid w:val="00350CE8"/>
    <w:rsid w:val="00360856"/>
    <w:rsid w:val="003618EC"/>
    <w:rsid w:val="003761CB"/>
    <w:rsid w:val="00377B7A"/>
    <w:rsid w:val="00377E75"/>
    <w:rsid w:val="003802AD"/>
    <w:rsid w:val="00384BE6"/>
    <w:rsid w:val="003869B6"/>
    <w:rsid w:val="00395AE6"/>
    <w:rsid w:val="0039690A"/>
    <w:rsid w:val="003A77AC"/>
    <w:rsid w:val="003B227A"/>
    <w:rsid w:val="003C0C34"/>
    <w:rsid w:val="003C1CFF"/>
    <w:rsid w:val="003C6D70"/>
    <w:rsid w:val="003C7C07"/>
    <w:rsid w:val="003F1EFF"/>
    <w:rsid w:val="003F1F30"/>
    <w:rsid w:val="003F2AF9"/>
    <w:rsid w:val="003F7F8A"/>
    <w:rsid w:val="0040269A"/>
    <w:rsid w:val="00403DCD"/>
    <w:rsid w:val="00415275"/>
    <w:rsid w:val="00415499"/>
    <w:rsid w:val="004217DE"/>
    <w:rsid w:val="00427E24"/>
    <w:rsid w:val="004320EB"/>
    <w:rsid w:val="00435AB2"/>
    <w:rsid w:val="00435E41"/>
    <w:rsid w:val="00436243"/>
    <w:rsid w:val="004420C1"/>
    <w:rsid w:val="00455836"/>
    <w:rsid w:val="00461A95"/>
    <w:rsid w:val="004650F0"/>
    <w:rsid w:val="00465642"/>
    <w:rsid w:val="0047199D"/>
    <w:rsid w:val="004731F2"/>
    <w:rsid w:val="00483764"/>
    <w:rsid w:val="00492220"/>
    <w:rsid w:val="00495EB6"/>
    <w:rsid w:val="004A586B"/>
    <w:rsid w:val="004B27EE"/>
    <w:rsid w:val="004B3823"/>
    <w:rsid w:val="004B4648"/>
    <w:rsid w:val="004D13EB"/>
    <w:rsid w:val="004E6EB8"/>
    <w:rsid w:val="004F26B1"/>
    <w:rsid w:val="004F34FF"/>
    <w:rsid w:val="00502350"/>
    <w:rsid w:val="00505B79"/>
    <w:rsid w:val="005129F7"/>
    <w:rsid w:val="00516EF0"/>
    <w:rsid w:val="00524F35"/>
    <w:rsid w:val="00530A1F"/>
    <w:rsid w:val="00532560"/>
    <w:rsid w:val="005355E2"/>
    <w:rsid w:val="00535C4F"/>
    <w:rsid w:val="00536904"/>
    <w:rsid w:val="0053783D"/>
    <w:rsid w:val="00545E9A"/>
    <w:rsid w:val="00561049"/>
    <w:rsid w:val="00562211"/>
    <w:rsid w:val="00563956"/>
    <w:rsid w:val="00563D9E"/>
    <w:rsid w:val="005642C1"/>
    <w:rsid w:val="00564610"/>
    <w:rsid w:val="00566092"/>
    <w:rsid w:val="005729DA"/>
    <w:rsid w:val="005752B3"/>
    <w:rsid w:val="0057552A"/>
    <w:rsid w:val="00582374"/>
    <w:rsid w:val="0058460E"/>
    <w:rsid w:val="005851DB"/>
    <w:rsid w:val="00585250"/>
    <w:rsid w:val="00590A8C"/>
    <w:rsid w:val="00590C6F"/>
    <w:rsid w:val="0059104E"/>
    <w:rsid w:val="005914D9"/>
    <w:rsid w:val="0059629B"/>
    <w:rsid w:val="00596B8D"/>
    <w:rsid w:val="005A1F0C"/>
    <w:rsid w:val="005A2D6A"/>
    <w:rsid w:val="005A4008"/>
    <w:rsid w:val="005A5C2E"/>
    <w:rsid w:val="005A7E6D"/>
    <w:rsid w:val="005B32FF"/>
    <w:rsid w:val="005B3839"/>
    <w:rsid w:val="005C2ED0"/>
    <w:rsid w:val="005C7AFF"/>
    <w:rsid w:val="005D3BF7"/>
    <w:rsid w:val="005D47CE"/>
    <w:rsid w:val="005E1636"/>
    <w:rsid w:val="005E474B"/>
    <w:rsid w:val="005E4D17"/>
    <w:rsid w:val="005F4D94"/>
    <w:rsid w:val="005F4F00"/>
    <w:rsid w:val="005F6E9E"/>
    <w:rsid w:val="005F7F63"/>
    <w:rsid w:val="00602718"/>
    <w:rsid w:val="006071D3"/>
    <w:rsid w:val="0061126A"/>
    <w:rsid w:val="00611A0A"/>
    <w:rsid w:val="00613963"/>
    <w:rsid w:val="00614133"/>
    <w:rsid w:val="00617C67"/>
    <w:rsid w:val="00620A06"/>
    <w:rsid w:val="00621664"/>
    <w:rsid w:val="00621A55"/>
    <w:rsid w:val="006263CB"/>
    <w:rsid w:val="006278C1"/>
    <w:rsid w:val="00633540"/>
    <w:rsid w:val="00633964"/>
    <w:rsid w:val="006353B8"/>
    <w:rsid w:val="006361A0"/>
    <w:rsid w:val="00637B82"/>
    <w:rsid w:val="0064486C"/>
    <w:rsid w:val="00646A04"/>
    <w:rsid w:val="00652638"/>
    <w:rsid w:val="00655846"/>
    <w:rsid w:val="00665D35"/>
    <w:rsid w:val="0066719A"/>
    <w:rsid w:val="00681AE7"/>
    <w:rsid w:val="00684FF4"/>
    <w:rsid w:val="00686B7E"/>
    <w:rsid w:val="0068742D"/>
    <w:rsid w:val="006926B2"/>
    <w:rsid w:val="006A5688"/>
    <w:rsid w:val="006A5786"/>
    <w:rsid w:val="006A5EA7"/>
    <w:rsid w:val="006C018F"/>
    <w:rsid w:val="006C4059"/>
    <w:rsid w:val="006C652D"/>
    <w:rsid w:val="006D0E60"/>
    <w:rsid w:val="006E05F7"/>
    <w:rsid w:val="006E51E1"/>
    <w:rsid w:val="006E7C30"/>
    <w:rsid w:val="006F1B05"/>
    <w:rsid w:val="006F5820"/>
    <w:rsid w:val="006F67B0"/>
    <w:rsid w:val="00703D8E"/>
    <w:rsid w:val="007116C9"/>
    <w:rsid w:val="007128DF"/>
    <w:rsid w:val="0072068A"/>
    <w:rsid w:val="007273F1"/>
    <w:rsid w:val="007374E6"/>
    <w:rsid w:val="00743E10"/>
    <w:rsid w:val="007563A2"/>
    <w:rsid w:val="00756722"/>
    <w:rsid w:val="00757111"/>
    <w:rsid w:val="007620E1"/>
    <w:rsid w:val="00764ABA"/>
    <w:rsid w:val="00766634"/>
    <w:rsid w:val="00772303"/>
    <w:rsid w:val="00772C4B"/>
    <w:rsid w:val="00781132"/>
    <w:rsid w:val="00781E61"/>
    <w:rsid w:val="0078278C"/>
    <w:rsid w:val="00783724"/>
    <w:rsid w:val="007918F8"/>
    <w:rsid w:val="00796578"/>
    <w:rsid w:val="007A0D7E"/>
    <w:rsid w:val="007A1CA2"/>
    <w:rsid w:val="007A1F06"/>
    <w:rsid w:val="007A2822"/>
    <w:rsid w:val="007A5149"/>
    <w:rsid w:val="007B2B6E"/>
    <w:rsid w:val="007B3EA3"/>
    <w:rsid w:val="007C190C"/>
    <w:rsid w:val="007C60BF"/>
    <w:rsid w:val="007C71FF"/>
    <w:rsid w:val="007D1B2A"/>
    <w:rsid w:val="007E30C1"/>
    <w:rsid w:val="007E5403"/>
    <w:rsid w:val="007F5637"/>
    <w:rsid w:val="007F6893"/>
    <w:rsid w:val="00802F0C"/>
    <w:rsid w:val="008060EB"/>
    <w:rsid w:val="00812A5B"/>
    <w:rsid w:val="00813D63"/>
    <w:rsid w:val="008168A9"/>
    <w:rsid w:val="0082015A"/>
    <w:rsid w:val="0082138A"/>
    <w:rsid w:val="0082385E"/>
    <w:rsid w:val="00824834"/>
    <w:rsid w:val="00826F04"/>
    <w:rsid w:val="00827750"/>
    <w:rsid w:val="00827940"/>
    <w:rsid w:val="00834A39"/>
    <w:rsid w:val="008376CD"/>
    <w:rsid w:val="00837D32"/>
    <w:rsid w:val="008524F7"/>
    <w:rsid w:val="00862791"/>
    <w:rsid w:val="00864358"/>
    <w:rsid w:val="00866947"/>
    <w:rsid w:val="00873089"/>
    <w:rsid w:val="00876D6D"/>
    <w:rsid w:val="00891B92"/>
    <w:rsid w:val="008B29BB"/>
    <w:rsid w:val="008C20BE"/>
    <w:rsid w:val="008C3C4D"/>
    <w:rsid w:val="008D1CE6"/>
    <w:rsid w:val="008D3D84"/>
    <w:rsid w:val="008D4B99"/>
    <w:rsid w:val="008E3691"/>
    <w:rsid w:val="008E480A"/>
    <w:rsid w:val="008E6393"/>
    <w:rsid w:val="008E6ADB"/>
    <w:rsid w:val="008F6445"/>
    <w:rsid w:val="00900333"/>
    <w:rsid w:val="00900793"/>
    <w:rsid w:val="00902565"/>
    <w:rsid w:val="00913E86"/>
    <w:rsid w:val="00914FB9"/>
    <w:rsid w:val="00925104"/>
    <w:rsid w:val="00940883"/>
    <w:rsid w:val="009451C8"/>
    <w:rsid w:val="00955B66"/>
    <w:rsid w:val="00957253"/>
    <w:rsid w:val="00971D55"/>
    <w:rsid w:val="0097363B"/>
    <w:rsid w:val="009747D4"/>
    <w:rsid w:val="0098087A"/>
    <w:rsid w:val="009851C1"/>
    <w:rsid w:val="00985FD0"/>
    <w:rsid w:val="009860BA"/>
    <w:rsid w:val="00987986"/>
    <w:rsid w:val="00990BE6"/>
    <w:rsid w:val="00992A5A"/>
    <w:rsid w:val="00993CFB"/>
    <w:rsid w:val="00996A08"/>
    <w:rsid w:val="009A02FB"/>
    <w:rsid w:val="009A128B"/>
    <w:rsid w:val="009A3E6A"/>
    <w:rsid w:val="009B00D5"/>
    <w:rsid w:val="009B5A90"/>
    <w:rsid w:val="009B739E"/>
    <w:rsid w:val="009C3AE7"/>
    <w:rsid w:val="009C5B8A"/>
    <w:rsid w:val="009C66C3"/>
    <w:rsid w:val="009D12C7"/>
    <w:rsid w:val="009D3273"/>
    <w:rsid w:val="009D4886"/>
    <w:rsid w:val="009E31B7"/>
    <w:rsid w:val="009E3635"/>
    <w:rsid w:val="009F5D4B"/>
    <w:rsid w:val="00A01B06"/>
    <w:rsid w:val="00A148E7"/>
    <w:rsid w:val="00A21F59"/>
    <w:rsid w:val="00A2240C"/>
    <w:rsid w:val="00A2266C"/>
    <w:rsid w:val="00A312DD"/>
    <w:rsid w:val="00A33241"/>
    <w:rsid w:val="00A3358D"/>
    <w:rsid w:val="00A40508"/>
    <w:rsid w:val="00A7388A"/>
    <w:rsid w:val="00A75D22"/>
    <w:rsid w:val="00A85961"/>
    <w:rsid w:val="00A8620E"/>
    <w:rsid w:val="00A9098A"/>
    <w:rsid w:val="00AA4C83"/>
    <w:rsid w:val="00AA5D0A"/>
    <w:rsid w:val="00AA72E8"/>
    <w:rsid w:val="00AB1765"/>
    <w:rsid w:val="00AB46D8"/>
    <w:rsid w:val="00AC2CFA"/>
    <w:rsid w:val="00AC30A0"/>
    <w:rsid w:val="00AD3C64"/>
    <w:rsid w:val="00AD657C"/>
    <w:rsid w:val="00AF539A"/>
    <w:rsid w:val="00B021C6"/>
    <w:rsid w:val="00B03D8B"/>
    <w:rsid w:val="00B066F4"/>
    <w:rsid w:val="00B104C1"/>
    <w:rsid w:val="00B1297D"/>
    <w:rsid w:val="00B14541"/>
    <w:rsid w:val="00B15AD6"/>
    <w:rsid w:val="00B16899"/>
    <w:rsid w:val="00B22F6A"/>
    <w:rsid w:val="00B26341"/>
    <w:rsid w:val="00B33ABB"/>
    <w:rsid w:val="00B471F5"/>
    <w:rsid w:val="00B50854"/>
    <w:rsid w:val="00B60079"/>
    <w:rsid w:val="00B60974"/>
    <w:rsid w:val="00B610A7"/>
    <w:rsid w:val="00B6370C"/>
    <w:rsid w:val="00B6481C"/>
    <w:rsid w:val="00B64F09"/>
    <w:rsid w:val="00B747A2"/>
    <w:rsid w:val="00B92777"/>
    <w:rsid w:val="00B96BF4"/>
    <w:rsid w:val="00BA2FA9"/>
    <w:rsid w:val="00BA53C9"/>
    <w:rsid w:val="00BA60A1"/>
    <w:rsid w:val="00BA616D"/>
    <w:rsid w:val="00BA6D49"/>
    <w:rsid w:val="00BA7A58"/>
    <w:rsid w:val="00BB06B6"/>
    <w:rsid w:val="00BB7BDF"/>
    <w:rsid w:val="00BC67C9"/>
    <w:rsid w:val="00BC7998"/>
    <w:rsid w:val="00BC7B6C"/>
    <w:rsid w:val="00BD2440"/>
    <w:rsid w:val="00BD2EFB"/>
    <w:rsid w:val="00BD5F70"/>
    <w:rsid w:val="00BE1588"/>
    <w:rsid w:val="00BE1F2B"/>
    <w:rsid w:val="00BF1D70"/>
    <w:rsid w:val="00BF4FD1"/>
    <w:rsid w:val="00C0338C"/>
    <w:rsid w:val="00C047CB"/>
    <w:rsid w:val="00C118D5"/>
    <w:rsid w:val="00C2121D"/>
    <w:rsid w:val="00C36719"/>
    <w:rsid w:val="00C40D92"/>
    <w:rsid w:val="00C47041"/>
    <w:rsid w:val="00C6297C"/>
    <w:rsid w:val="00C835D2"/>
    <w:rsid w:val="00C84CD3"/>
    <w:rsid w:val="00C9075F"/>
    <w:rsid w:val="00C91933"/>
    <w:rsid w:val="00C92BCC"/>
    <w:rsid w:val="00C94F8F"/>
    <w:rsid w:val="00C96159"/>
    <w:rsid w:val="00CA1A37"/>
    <w:rsid w:val="00CA3E60"/>
    <w:rsid w:val="00CB0ADE"/>
    <w:rsid w:val="00CB2622"/>
    <w:rsid w:val="00CD08BE"/>
    <w:rsid w:val="00CD6F58"/>
    <w:rsid w:val="00CE5FF6"/>
    <w:rsid w:val="00CE6BAE"/>
    <w:rsid w:val="00CE7D09"/>
    <w:rsid w:val="00CF749B"/>
    <w:rsid w:val="00D01D9D"/>
    <w:rsid w:val="00D130D8"/>
    <w:rsid w:val="00D134C1"/>
    <w:rsid w:val="00D23796"/>
    <w:rsid w:val="00D24DD4"/>
    <w:rsid w:val="00D26C3B"/>
    <w:rsid w:val="00D30CBD"/>
    <w:rsid w:val="00D35FED"/>
    <w:rsid w:val="00D57D04"/>
    <w:rsid w:val="00D62B1A"/>
    <w:rsid w:val="00D67DC1"/>
    <w:rsid w:val="00D7171C"/>
    <w:rsid w:val="00D730D3"/>
    <w:rsid w:val="00D743B4"/>
    <w:rsid w:val="00D771A4"/>
    <w:rsid w:val="00D7786F"/>
    <w:rsid w:val="00DA6BBD"/>
    <w:rsid w:val="00DA7D57"/>
    <w:rsid w:val="00DB46B9"/>
    <w:rsid w:val="00DB6BDF"/>
    <w:rsid w:val="00DC2DA8"/>
    <w:rsid w:val="00DC4DC9"/>
    <w:rsid w:val="00DC5A3B"/>
    <w:rsid w:val="00DD52B1"/>
    <w:rsid w:val="00DE07EB"/>
    <w:rsid w:val="00DE2D3A"/>
    <w:rsid w:val="00DF535B"/>
    <w:rsid w:val="00DF7C22"/>
    <w:rsid w:val="00E037FA"/>
    <w:rsid w:val="00E06E64"/>
    <w:rsid w:val="00E133FE"/>
    <w:rsid w:val="00E1600B"/>
    <w:rsid w:val="00E16288"/>
    <w:rsid w:val="00E21BEF"/>
    <w:rsid w:val="00E259EF"/>
    <w:rsid w:val="00E25C5E"/>
    <w:rsid w:val="00E348F4"/>
    <w:rsid w:val="00E42B4C"/>
    <w:rsid w:val="00E42D8E"/>
    <w:rsid w:val="00E4359F"/>
    <w:rsid w:val="00E46C29"/>
    <w:rsid w:val="00E50BE9"/>
    <w:rsid w:val="00E53134"/>
    <w:rsid w:val="00E60FCB"/>
    <w:rsid w:val="00E65807"/>
    <w:rsid w:val="00E67559"/>
    <w:rsid w:val="00E67D65"/>
    <w:rsid w:val="00E70FF1"/>
    <w:rsid w:val="00E7663C"/>
    <w:rsid w:val="00E87569"/>
    <w:rsid w:val="00E943A5"/>
    <w:rsid w:val="00E945B1"/>
    <w:rsid w:val="00E94AC0"/>
    <w:rsid w:val="00EC3B23"/>
    <w:rsid w:val="00EC495E"/>
    <w:rsid w:val="00EC6606"/>
    <w:rsid w:val="00EC77B6"/>
    <w:rsid w:val="00ED4646"/>
    <w:rsid w:val="00ED6AD2"/>
    <w:rsid w:val="00ED7E43"/>
    <w:rsid w:val="00EE3AE5"/>
    <w:rsid w:val="00EE57C5"/>
    <w:rsid w:val="00EE67B0"/>
    <w:rsid w:val="00EF5A32"/>
    <w:rsid w:val="00EF78D9"/>
    <w:rsid w:val="00F02814"/>
    <w:rsid w:val="00F02E86"/>
    <w:rsid w:val="00F04361"/>
    <w:rsid w:val="00F07819"/>
    <w:rsid w:val="00F140EF"/>
    <w:rsid w:val="00F23AE8"/>
    <w:rsid w:val="00F244C0"/>
    <w:rsid w:val="00F25FCA"/>
    <w:rsid w:val="00F37BAE"/>
    <w:rsid w:val="00F45379"/>
    <w:rsid w:val="00F46DBC"/>
    <w:rsid w:val="00F54A43"/>
    <w:rsid w:val="00F56BA9"/>
    <w:rsid w:val="00F57023"/>
    <w:rsid w:val="00F65B1E"/>
    <w:rsid w:val="00F90E50"/>
    <w:rsid w:val="00F930AF"/>
    <w:rsid w:val="00F96A16"/>
    <w:rsid w:val="00F96EB4"/>
    <w:rsid w:val="00FA191A"/>
    <w:rsid w:val="00FA19A7"/>
    <w:rsid w:val="00FA2B44"/>
    <w:rsid w:val="00FA696C"/>
    <w:rsid w:val="00FB569E"/>
    <w:rsid w:val="00FC638F"/>
    <w:rsid w:val="00FC65B5"/>
    <w:rsid w:val="00FD0C6B"/>
    <w:rsid w:val="00FD6B93"/>
    <w:rsid w:val="00FD6D4D"/>
    <w:rsid w:val="00FD6F56"/>
    <w:rsid w:val="00FE271E"/>
    <w:rsid w:val="00FE4CE1"/>
    <w:rsid w:val="00FF70FE"/>
    <w:rsid w:val="00FF73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79050"/>
  <w15:chartTrackingRefBased/>
  <w15:docId w15:val="{41EC70A8-7A31-47DF-B6C1-9D16B558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40C"/>
    <w:pPr>
      <w:keepLines/>
    </w:pPr>
    <w:rPr>
      <w:color w:val="54575A" w:themeColor="text1"/>
      <w:lang w:val="fr-CA"/>
    </w:rPr>
  </w:style>
  <w:style w:type="paragraph" w:styleId="Heading1">
    <w:name w:val="heading 1"/>
    <w:basedOn w:val="Normal"/>
    <w:next w:val="Normal"/>
    <w:link w:val="Heading1Char"/>
    <w:uiPriority w:val="9"/>
    <w:qFormat/>
    <w:rsid w:val="00143EF4"/>
    <w:pPr>
      <w:keepNext/>
      <w:spacing w:before="240" w:after="240"/>
      <w:outlineLvl w:val="0"/>
    </w:pPr>
    <w:rPr>
      <w:rFonts w:asciiTheme="majorHAnsi" w:eastAsiaTheme="majorEastAsia" w:hAnsiTheme="majorHAnsi" w:cstheme="majorBidi"/>
      <w:sz w:val="48"/>
      <w:szCs w:val="48"/>
    </w:rPr>
  </w:style>
  <w:style w:type="paragraph" w:styleId="Heading2">
    <w:name w:val="heading 2"/>
    <w:basedOn w:val="Normal"/>
    <w:next w:val="Normal"/>
    <w:link w:val="Heading2Char"/>
    <w:uiPriority w:val="9"/>
    <w:unhideWhenUsed/>
    <w:qFormat/>
    <w:rsid w:val="00143EF4"/>
    <w:pPr>
      <w:keepNext/>
      <w:spacing w:before="40" w:after="240"/>
      <w:outlineLvl w:val="1"/>
    </w:pPr>
    <w:rPr>
      <w:rFonts w:ascii="Segoe UI" w:eastAsiaTheme="majorEastAsia" w:hAnsi="Segoe UI" w:cs="Segoe UI"/>
      <w:b/>
      <w:color w:val="5B315E" w:themeColor="accent2"/>
      <w:sz w:val="32"/>
      <w:szCs w:val="32"/>
      <w:lang w:val="en-CA"/>
    </w:rPr>
  </w:style>
  <w:style w:type="paragraph" w:styleId="Heading3">
    <w:name w:val="heading 3"/>
    <w:basedOn w:val="Normal"/>
    <w:next w:val="Normal"/>
    <w:link w:val="Heading3Char"/>
    <w:uiPriority w:val="9"/>
    <w:unhideWhenUsed/>
    <w:qFormat/>
    <w:rsid w:val="00143EF4"/>
    <w:pPr>
      <w:keepNext/>
      <w:spacing w:before="40" w:after="120"/>
      <w:outlineLvl w:val="2"/>
    </w:pPr>
    <w:rPr>
      <w:rFonts w:ascii="Segoe UI Semibold" w:eastAsiaTheme="majorEastAsia" w:hAnsi="Segoe UI Semibold" w:cs="Segoe UI Semibold"/>
      <w:sz w:val="24"/>
      <w:szCs w:val="24"/>
      <w:lang w:val="en-CA"/>
    </w:rPr>
  </w:style>
  <w:style w:type="paragraph" w:styleId="Heading4">
    <w:name w:val="heading 4"/>
    <w:basedOn w:val="Normal"/>
    <w:next w:val="Normal"/>
    <w:link w:val="Heading4Char"/>
    <w:uiPriority w:val="9"/>
    <w:unhideWhenUsed/>
    <w:qFormat/>
    <w:rsid w:val="00222D81"/>
    <w:pPr>
      <w:keepNext/>
      <w:spacing w:before="40" w:after="0"/>
      <w:outlineLvl w:val="3"/>
    </w:pPr>
    <w:rPr>
      <w:rFonts w:asciiTheme="majorHAnsi" w:eastAsiaTheme="majorEastAsia" w:hAnsiTheme="majorHAnsi" w:cstheme="majorBidi"/>
      <w:iCs/>
      <w:color w:val="54575A" w:themeColor="text2"/>
    </w:rPr>
  </w:style>
  <w:style w:type="paragraph" w:styleId="Heading5">
    <w:name w:val="heading 5"/>
    <w:basedOn w:val="Normal"/>
    <w:next w:val="Normal"/>
    <w:link w:val="Heading5Char"/>
    <w:uiPriority w:val="9"/>
    <w:unhideWhenUsed/>
    <w:qFormat/>
    <w:rsid w:val="00C92BCC"/>
    <w:pPr>
      <w:keepNext/>
      <w:spacing w:before="40" w:after="0"/>
      <w:outlineLvl w:val="4"/>
    </w:pPr>
    <w:rPr>
      <w:rFonts w:asciiTheme="majorHAnsi" w:eastAsiaTheme="majorEastAsia" w:hAnsiTheme="majorHAnsi" w:cstheme="majorBidi"/>
      <w:color w:val="9F004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62E"/>
  </w:style>
  <w:style w:type="paragraph" w:styleId="Footer">
    <w:name w:val="footer"/>
    <w:basedOn w:val="Normal"/>
    <w:link w:val="FooterChar"/>
    <w:uiPriority w:val="99"/>
    <w:unhideWhenUsed/>
    <w:rsid w:val="003F1F30"/>
    <w:pPr>
      <w:tabs>
        <w:tab w:val="center" w:pos="4680"/>
        <w:tab w:val="right" w:pos="9360"/>
      </w:tabs>
      <w:spacing w:after="0" w:line="240" w:lineRule="auto"/>
    </w:pPr>
    <w:rPr>
      <w:sz w:val="18"/>
    </w:rPr>
  </w:style>
  <w:style w:type="character" w:customStyle="1" w:styleId="FooterChar">
    <w:name w:val="Footer Char"/>
    <w:basedOn w:val="DefaultParagraphFont"/>
    <w:link w:val="Footer"/>
    <w:uiPriority w:val="99"/>
    <w:rsid w:val="003F1F30"/>
    <w:rPr>
      <w:sz w:val="18"/>
    </w:rPr>
  </w:style>
  <w:style w:type="paragraph" w:styleId="Title">
    <w:name w:val="Title"/>
    <w:basedOn w:val="Normal"/>
    <w:next w:val="Normal"/>
    <w:link w:val="TitleChar"/>
    <w:autoRedefine/>
    <w:uiPriority w:val="10"/>
    <w:qFormat/>
    <w:rsid w:val="00B26341"/>
    <w:pPr>
      <w:spacing w:before="1200" w:after="0" w:line="1200" w:lineRule="exact"/>
      <w:contextualSpacing/>
    </w:pPr>
    <w:rPr>
      <w:rFonts w:ascii="Segoe UI Light" w:eastAsiaTheme="majorEastAsia" w:hAnsi="Segoe UI Light" w:cs="Segoe UI Light"/>
      <w:b/>
      <w:spacing w:val="-10"/>
      <w:kern w:val="28"/>
      <w:sz w:val="72"/>
      <w:szCs w:val="72"/>
      <w:lang w:val="en-CA"/>
    </w:rPr>
  </w:style>
  <w:style w:type="character" w:customStyle="1" w:styleId="TitleChar">
    <w:name w:val="Title Char"/>
    <w:basedOn w:val="DefaultParagraphFont"/>
    <w:link w:val="Title"/>
    <w:uiPriority w:val="10"/>
    <w:rsid w:val="00B26341"/>
    <w:rPr>
      <w:rFonts w:ascii="Segoe UI Light" w:eastAsiaTheme="majorEastAsia" w:hAnsi="Segoe UI Light" w:cs="Segoe UI Light"/>
      <w:b/>
      <w:color w:val="54575A" w:themeColor="text1"/>
      <w:spacing w:val="-10"/>
      <w:kern w:val="28"/>
      <w:sz w:val="72"/>
      <w:szCs w:val="72"/>
    </w:rPr>
  </w:style>
  <w:style w:type="paragraph" w:styleId="Subtitle">
    <w:name w:val="Subtitle"/>
    <w:basedOn w:val="Normal"/>
    <w:next w:val="Normal"/>
    <w:link w:val="SubtitleChar"/>
    <w:uiPriority w:val="11"/>
    <w:qFormat/>
    <w:rsid w:val="00743E10"/>
    <w:rPr>
      <w:rFonts w:ascii="Segoe UI Light" w:hAnsi="Segoe UI Light" w:cs="Segoe UI Light"/>
      <w:sz w:val="36"/>
      <w:szCs w:val="36"/>
    </w:rPr>
  </w:style>
  <w:style w:type="character" w:customStyle="1" w:styleId="SubtitleChar">
    <w:name w:val="Subtitle Char"/>
    <w:basedOn w:val="DefaultParagraphFont"/>
    <w:link w:val="Subtitle"/>
    <w:uiPriority w:val="11"/>
    <w:rsid w:val="00743E10"/>
    <w:rPr>
      <w:rFonts w:ascii="Segoe UI Light" w:hAnsi="Segoe UI Light" w:cs="Segoe UI Light"/>
      <w:color w:val="54575A" w:themeColor="text1"/>
      <w:sz w:val="36"/>
      <w:szCs w:val="36"/>
      <w:lang w:val="fr-CA"/>
    </w:rPr>
  </w:style>
  <w:style w:type="character" w:customStyle="1" w:styleId="Heading1Char">
    <w:name w:val="Heading 1 Char"/>
    <w:basedOn w:val="DefaultParagraphFont"/>
    <w:link w:val="Heading1"/>
    <w:uiPriority w:val="9"/>
    <w:rsid w:val="00143EF4"/>
    <w:rPr>
      <w:rFonts w:asciiTheme="majorHAnsi" w:eastAsiaTheme="majorEastAsia" w:hAnsiTheme="majorHAnsi" w:cstheme="majorBidi"/>
      <w:color w:val="54575A" w:themeColor="text1"/>
      <w:sz w:val="48"/>
      <w:szCs w:val="48"/>
      <w:lang w:val="fr-CA"/>
    </w:rPr>
  </w:style>
  <w:style w:type="character" w:customStyle="1" w:styleId="Heading2Char">
    <w:name w:val="Heading 2 Char"/>
    <w:basedOn w:val="DefaultParagraphFont"/>
    <w:link w:val="Heading2"/>
    <w:uiPriority w:val="9"/>
    <w:rsid w:val="00143EF4"/>
    <w:rPr>
      <w:rFonts w:ascii="Segoe UI" w:eastAsiaTheme="majorEastAsia" w:hAnsi="Segoe UI" w:cs="Segoe UI"/>
      <w:b/>
      <w:color w:val="5B315E" w:themeColor="accent2"/>
      <w:sz w:val="32"/>
      <w:szCs w:val="32"/>
    </w:rPr>
  </w:style>
  <w:style w:type="character" w:customStyle="1" w:styleId="Heading3Char">
    <w:name w:val="Heading 3 Char"/>
    <w:basedOn w:val="DefaultParagraphFont"/>
    <w:link w:val="Heading3"/>
    <w:uiPriority w:val="9"/>
    <w:rsid w:val="00143EF4"/>
    <w:rPr>
      <w:rFonts w:ascii="Segoe UI Semibold" w:eastAsiaTheme="majorEastAsia" w:hAnsi="Segoe UI Semibold" w:cs="Segoe UI Semibold"/>
      <w:color w:val="54575A" w:themeColor="text1"/>
      <w:sz w:val="24"/>
      <w:szCs w:val="24"/>
    </w:rPr>
  </w:style>
  <w:style w:type="paragraph" w:styleId="ListParagraph">
    <w:name w:val="List Paragraph"/>
    <w:basedOn w:val="Normal"/>
    <w:uiPriority w:val="34"/>
    <w:qFormat/>
    <w:rsid w:val="006C652D"/>
    <w:pPr>
      <w:numPr>
        <w:numId w:val="2"/>
      </w:numPr>
      <w:spacing w:after="320"/>
      <w:contextualSpacing/>
    </w:pPr>
  </w:style>
  <w:style w:type="character" w:customStyle="1" w:styleId="Heading4Char">
    <w:name w:val="Heading 4 Char"/>
    <w:basedOn w:val="DefaultParagraphFont"/>
    <w:link w:val="Heading4"/>
    <w:uiPriority w:val="9"/>
    <w:rsid w:val="00222D81"/>
    <w:rPr>
      <w:rFonts w:asciiTheme="majorHAnsi" w:eastAsiaTheme="majorEastAsia" w:hAnsiTheme="majorHAnsi" w:cstheme="majorBidi"/>
      <w:iCs/>
      <w:color w:val="54575A" w:themeColor="text2"/>
    </w:rPr>
  </w:style>
  <w:style w:type="paragraph" w:styleId="BalloonText">
    <w:name w:val="Balloon Text"/>
    <w:basedOn w:val="Normal"/>
    <w:link w:val="BalloonTextChar"/>
    <w:uiPriority w:val="99"/>
    <w:semiHidden/>
    <w:unhideWhenUsed/>
    <w:rsid w:val="003C0C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C34"/>
    <w:rPr>
      <w:rFonts w:ascii="Segoe UI" w:hAnsi="Segoe UI" w:cs="Segoe UI"/>
      <w:sz w:val="18"/>
      <w:szCs w:val="18"/>
    </w:rPr>
  </w:style>
  <w:style w:type="paragraph" w:customStyle="1" w:styleId="Numberedlist">
    <w:name w:val="Numbered list"/>
    <w:basedOn w:val="ListParagraph"/>
    <w:qFormat/>
    <w:rsid w:val="003C0C34"/>
    <w:pPr>
      <w:numPr>
        <w:numId w:val="3"/>
      </w:numPr>
    </w:pPr>
  </w:style>
  <w:style w:type="table" w:styleId="TableGrid">
    <w:name w:val="Table Grid"/>
    <w:basedOn w:val="TableNormal"/>
    <w:uiPriority w:val="39"/>
    <w:rsid w:val="00985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2"/>
    <w:qFormat/>
    <w:rsid w:val="00985FD0"/>
    <w:rPr>
      <w:rFonts w:ascii="Segoe UI Semibold" w:hAnsi="Segoe UI Semibold"/>
      <w:b w:val="0"/>
      <w:color w:val="54575A" w:themeColor="text1"/>
    </w:rPr>
  </w:style>
  <w:style w:type="paragraph" w:customStyle="1" w:styleId="ColumnTitle">
    <w:name w:val="Column Title"/>
    <w:basedOn w:val="Normal"/>
    <w:qFormat/>
    <w:rsid w:val="002669DD"/>
    <w:pPr>
      <w:spacing w:after="0" w:line="240" w:lineRule="auto"/>
    </w:pPr>
    <w:rPr>
      <w:rFonts w:ascii="Segoe UI Semibold" w:hAnsi="Segoe UI Semibold" w:cs="Segoe UI Semibold"/>
      <w:color w:val="F2F2F2" w:themeColor="background2"/>
      <w:sz w:val="24"/>
      <w:szCs w:val="24"/>
    </w:rPr>
  </w:style>
  <w:style w:type="paragraph" w:customStyle="1" w:styleId="DataText">
    <w:name w:val="Data Text"/>
    <w:basedOn w:val="Normal"/>
    <w:qFormat/>
    <w:rsid w:val="002669DD"/>
    <w:pPr>
      <w:spacing w:after="0" w:line="240" w:lineRule="auto"/>
    </w:pPr>
  </w:style>
  <w:style w:type="paragraph" w:customStyle="1" w:styleId="Heading3forBox">
    <w:name w:val="Heading 3 for Box"/>
    <w:basedOn w:val="Normal"/>
    <w:qFormat/>
    <w:rsid w:val="00BC7998"/>
    <w:rPr>
      <w:rFonts w:ascii="Segoe UI Semibold" w:eastAsiaTheme="majorEastAsia" w:hAnsi="Segoe UI Semibold" w:cs="Segoe UI Semibold"/>
      <w:color w:val="FFFFFF" w:themeColor="background1"/>
      <w:sz w:val="24"/>
      <w:szCs w:val="24"/>
    </w:rPr>
  </w:style>
  <w:style w:type="paragraph" w:customStyle="1" w:styleId="NormalWhiteforBox">
    <w:name w:val="Normal White for Box"/>
    <w:basedOn w:val="Normal"/>
    <w:qFormat/>
    <w:rsid w:val="00BC7998"/>
  </w:style>
  <w:style w:type="paragraph" w:styleId="FootnoteText">
    <w:name w:val="footnote text"/>
    <w:basedOn w:val="Normal"/>
    <w:link w:val="FootnoteTextChar"/>
    <w:uiPriority w:val="99"/>
    <w:unhideWhenUsed/>
    <w:rsid w:val="00F45379"/>
    <w:pPr>
      <w:spacing w:after="0" w:line="240" w:lineRule="auto"/>
    </w:pPr>
    <w:rPr>
      <w:sz w:val="20"/>
      <w:szCs w:val="20"/>
    </w:rPr>
  </w:style>
  <w:style w:type="character" w:customStyle="1" w:styleId="FootnoteTextChar">
    <w:name w:val="Footnote Text Char"/>
    <w:basedOn w:val="DefaultParagraphFont"/>
    <w:link w:val="FootnoteText"/>
    <w:uiPriority w:val="99"/>
    <w:rsid w:val="00F45379"/>
    <w:rPr>
      <w:sz w:val="20"/>
      <w:szCs w:val="20"/>
    </w:rPr>
  </w:style>
  <w:style w:type="character" w:styleId="FootnoteReference">
    <w:name w:val="footnote reference"/>
    <w:basedOn w:val="DefaultParagraphFont"/>
    <w:uiPriority w:val="99"/>
    <w:semiHidden/>
    <w:unhideWhenUsed/>
    <w:rsid w:val="00F45379"/>
    <w:rPr>
      <w:vertAlign w:val="superscript"/>
    </w:rPr>
  </w:style>
  <w:style w:type="character" w:customStyle="1" w:styleId="Heading5Char">
    <w:name w:val="Heading 5 Char"/>
    <w:basedOn w:val="DefaultParagraphFont"/>
    <w:link w:val="Heading5"/>
    <w:uiPriority w:val="9"/>
    <w:rsid w:val="00C92BCC"/>
    <w:rPr>
      <w:rFonts w:asciiTheme="majorHAnsi" w:eastAsiaTheme="majorEastAsia" w:hAnsiTheme="majorHAnsi" w:cstheme="majorBidi"/>
      <w:color w:val="9F0040" w:themeColor="accent1" w:themeShade="BF"/>
    </w:rPr>
  </w:style>
  <w:style w:type="paragraph" w:styleId="TOCHeading">
    <w:name w:val="TOC Heading"/>
    <w:basedOn w:val="Heading1"/>
    <w:next w:val="Normal"/>
    <w:uiPriority w:val="39"/>
    <w:unhideWhenUsed/>
    <w:qFormat/>
    <w:rsid w:val="00F46DBC"/>
    <w:pPr>
      <w:outlineLvl w:val="9"/>
    </w:pPr>
    <w:rPr>
      <w:color w:val="9F0040" w:themeColor="accent1" w:themeShade="BF"/>
      <w:sz w:val="32"/>
      <w:szCs w:val="32"/>
      <w:lang w:val="en-US"/>
    </w:rPr>
  </w:style>
  <w:style w:type="paragraph" w:styleId="TOC1">
    <w:name w:val="toc 1"/>
    <w:basedOn w:val="Normal"/>
    <w:next w:val="Normal"/>
    <w:autoRedefine/>
    <w:uiPriority w:val="39"/>
    <w:unhideWhenUsed/>
    <w:rsid w:val="00483764"/>
    <w:pPr>
      <w:spacing w:after="100"/>
    </w:pPr>
  </w:style>
  <w:style w:type="paragraph" w:styleId="TOC2">
    <w:name w:val="toc 2"/>
    <w:basedOn w:val="Normal"/>
    <w:next w:val="Normal"/>
    <w:autoRedefine/>
    <w:uiPriority w:val="39"/>
    <w:unhideWhenUsed/>
    <w:rsid w:val="00483764"/>
    <w:pPr>
      <w:spacing w:after="100"/>
      <w:ind w:left="220"/>
    </w:pPr>
  </w:style>
  <w:style w:type="character" w:styleId="Hyperlink">
    <w:name w:val="Hyperlink"/>
    <w:basedOn w:val="DefaultParagraphFont"/>
    <w:uiPriority w:val="99"/>
    <w:unhideWhenUsed/>
    <w:rsid w:val="00483764"/>
    <w:rPr>
      <w:color w:val="0099A8" w:themeColor="hyperlink"/>
      <w:u w:val="single"/>
    </w:rPr>
  </w:style>
  <w:style w:type="paragraph" w:styleId="TOC3">
    <w:name w:val="toc 3"/>
    <w:basedOn w:val="Normal"/>
    <w:next w:val="Normal"/>
    <w:autoRedefine/>
    <w:uiPriority w:val="39"/>
    <w:unhideWhenUsed/>
    <w:rsid w:val="00495EB6"/>
    <w:pPr>
      <w:spacing w:after="100"/>
      <w:ind w:left="440"/>
    </w:pPr>
  </w:style>
  <w:style w:type="character" w:styleId="CommentReference">
    <w:name w:val="annotation reference"/>
    <w:basedOn w:val="DefaultParagraphFont"/>
    <w:uiPriority w:val="99"/>
    <w:semiHidden/>
    <w:unhideWhenUsed/>
    <w:rsid w:val="0026150F"/>
    <w:rPr>
      <w:sz w:val="16"/>
      <w:szCs w:val="16"/>
    </w:rPr>
  </w:style>
  <w:style w:type="paragraph" w:styleId="CommentText">
    <w:name w:val="annotation text"/>
    <w:basedOn w:val="Normal"/>
    <w:link w:val="CommentTextChar"/>
    <w:uiPriority w:val="99"/>
    <w:semiHidden/>
    <w:unhideWhenUsed/>
    <w:rsid w:val="0026150F"/>
    <w:pPr>
      <w:spacing w:line="240" w:lineRule="auto"/>
    </w:pPr>
    <w:rPr>
      <w:sz w:val="20"/>
      <w:szCs w:val="20"/>
    </w:rPr>
  </w:style>
  <w:style w:type="character" w:customStyle="1" w:styleId="CommentTextChar">
    <w:name w:val="Comment Text Char"/>
    <w:basedOn w:val="DefaultParagraphFont"/>
    <w:link w:val="CommentText"/>
    <w:uiPriority w:val="99"/>
    <w:semiHidden/>
    <w:rsid w:val="0026150F"/>
    <w:rPr>
      <w:color w:val="54575A" w:themeColor="text1"/>
      <w:sz w:val="20"/>
      <w:szCs w:val="20"/>
      <w:lang w:val="fr-CA"/>
    </w:rPr>
  </w:style>
  <w:style w:type="paragraph" w:styleId="CommentSubject">
    <w:name w:val="annotation subject"/>
    <w:basedOn w:val="CommentText"/>
    <w:next w:val="CommentText"/>
    <w:link w:val="CommentSubjectChar"/>
    <w:uiPriority w:val="99"/>
    <w:semiHidden/>
    <w:unhideWhenUsed/>
    <w:rsid w:val="0026150F"/>
    <w:rPr>
      <w:b/>
      <w:bCs/>
    </w:rPr>
  </w:style>
  <w:style w:type="character" w:customStyle="1" w:styleId="CommentSubjectChar">
    <w:name w:val="Comment Subject Char"/>
    <w:basedOn w:val="CommentTextChar"/>
    <w:link w:val="CommentSubject"/>
    <w:uiPriority w:val="99"/>
    <w:semiHidden/>
    <w:rsid w:val="0026150F"/>
    <w:rPr>
      <w:b/>
      <w:bCs/>
      <w:color w:val="54575A" w:themeColor="text1"/>
      <w:sz w:val="20"/>
      <w:szCs w:val="20"/>
      <w:lang w:val="fr-CA"/>
    </w:rPr>
  </w:style>
  <w:style w:type="table" w:styleId="PlainTable1">
    <w:name w:val="Plain Table 1"/>
    <w:basedOn w:val="TableNormal"/>
    <w:uiPriority w:val="41"/>
    <w:rsid w:val="00A01B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AB46D8"/>
    <w:rPr>
      <w:color w:val="A5A5A5" w:themeColor="followedHyperlink"/>
      <w:u w:val="single"/>
    </w:rPr>
  </w:style>
  <w:style w:type="paragraph" w:styleId="Revision">
    <w:name w:val="Revision"/>
    <w:hidden/>
    <w:uiPriority w:val="99"/>
    <w:semiHidden/>
    <w:rsid w:val="00D62B1A"/>
    <w:pPr>
      <w:spacing w:after="0" w:line="240" w:lineRule="auto"/>
    </w:pPr>
    <w:rPr>
      <w:color w:val="54575A" w:themeColor="text1"/>
      <w:lang w:val="fr-CA"/>
    </w:rPr>
  </w:style>
  <w:style w:type="table" w:styleId="ListTable6Colorful-Accent1">
    <w:name w:val="List Table 6 Colorful Accent 1"/>
    <w:basedOn w:val="TableNormal"/>
    <w:uiPriority w:val="51"/>
    <w:rsid w:val="005129F7"/>
    <w:pPr>
      <w:spacing w:after="0" w:line="240" w:lineRule="auto"/>
    </w:pPr>
    <w:rPr>
      <w:color w:val="9F0040" w:themeColor="accent1" w:themeShade="BF"/>
    </w:rPr>
    <w:tblPr>
      <w:tblStyleRowBandSize w:val="1"/>
      <w:tblStyleColBandSize w:val="1"/>
      <w:tblBorders>
        <w:top w:val="single" w:sz="4" w:space="0" w:color="D50057" w:themeColor="accent1"/>
        <w:bottom w:val="single" w:sz="4" w:space="0" w:color="D50057" w:themeColor="accent1"/>
      </w:tblBorders>
    </w:tblPr>
    <w:tblStylePr w:type="firstRow">
      <w:rPr>
        <w:b/>
        <w:bCs/>
      </w:rPr>
      <w:tblPr/>
      <w:tcPr>
        <w:tcBorders>
          <w:bottom w:val="single" w:sz="4" w:space="0" w:color="D50057" w:themeColor="accent1"/>
        </w:tcBorders>
      </w:tcPr>
    </w:tblStylePr>
    <w:tblStylePr w:type="lastRow">
      <w:rPr>
        <w:b/>
        <w:bCs/>
      </w:rPr>
      <w:tblPr/>
      <w:tcPr>
        <w:tcBorders>
          <w:top w:val="double" w:sz="4" w:space="0" w:color="D50057" w:themeColor="accent1"/>
        </w:tcBorders>
      </w:tcPr>
    </w:tblStylePr>
    <w:tblStylePr w:type="firstCol">
      <w:rPr>
        <w:b/>
        <w:bCs/>
      </w:rPr>
    </w:tblStylePr>
    <w:tblStylePr w:type="lastCol">
      <w:rPr>
        <w:b/>
        <w:bCs/>
      </w:rPr>
    </w:tblStylePr>
    <w:tblStylePr w:type="band1Vert">
      <w:tblPr/>
      <w:tcPr>
        <w:shd w:val="clear" w:color="auto" w:fill="FFC3DB" w:themeFill="accent1" w:themeFillTint="33"/>
      </w:tcPr>
    </w:tblStylePr>
    <w:tblStylePr w:type="band1Horz">
      <w:tblPr/>
      <w:tcPr>
        <w:shd w:val="clear" w:color="auto" w:fill="FFC3DB" w:themeFill="accent1" w:themeFillTint="33"/>
      </w:tcPr>
    </w:tblStylePr>
  </w:style>
  <w:style w:type="paragraph" w:styleId="NormalWeb">
    <w:name w:val="Normal (Web)"/>
    <w:basedOn w:val="Normal"/>
    <w:uiPriority w:val="99"/>
    <w:semiHidden/>
    <w:unhideWhenUsed/>
    <w:rsid w:val="009D4886"/>
    <w:pPr>
      <w:keepLines w:val="0"/>
      <w:spacing w:before="100" w:beforeAutospacing="1" w:after="100" w:afterAutospacing="1" w:line="240" w:lineRule="auto"/>
    </w:pPr>
    <w:rPr>
      <w:rFonts w:ascii="Times New Roman" w:eastAsiaTheme="minorEastAsia" w:hAnsi="Times New Roman" w:cs="Times New Roman"/>
      <w:color w:val="auto"/>
      <w:sz w:val="24"/>
      <w:szCs w:val="24"/>
      <w:lang w:val="en-CA" w:eastAsia="en-CA"/>
    </w:rPr>
  </w:style>
  <w:style w:type="table" w:styleId="GridTable2-Accent1">
    <w:name w:val="Grid Table 2 Accent 1"/>
    <w:basedOn w:val="TableNormal"/>
    <w:uiPriority w:val="47"/>
    <w:rsid w:val="000F2F98"/>
    <w:pPr>
      <w:spacing w:after="0" w:line="240" w:lineRule="auto"/>
    </w:pPr>
    <w:tblPr>
      <w:tblStyleRowBandSize w:val="1"/>
      <w:tblStyleColBandSize w:val="1"/>
      <w:tblBorders>
        <w:top w:val="single" w:sz="2" w:space="0" w:color="FF4C95" w:themeColor="accent1" w:themeTint="99"/>
        <w:bottom w:val="single" w:sz="2" w:space="0" w:color="FF4C95" w:themeColor="accent1" w:themeTint="99"/>
        <w:insideH w:val="single" w:sz="2" w:space="0" w:color="FF4C95" w:themeColor="accent1" w:themeTint="99"/>
        <w:insideV w:val="single" w:sz="2" w:space="0" w:color="FF4C95" w:themeColor="accent1" w:themeTint="99"/>
      </w:tblBorders>
    </w:tblPr>
    <w:tblStylePr w:type="firstRow">
      <w:rPr>
        <w:b/>
        <w:bCs/>
      </w:rPr>
      <w:tblPr/>
      <w:tcPr>
        <w:tcBorders>
          <w:top w:val="nil"/>
          <w:bottom w:val="single" w:sz="12" w:space="0" w:color="FF4C95" w:themeColor="accent1" w:themeTint="99"/>
          <w:insideH w:val="nil"/>
          <w:insideV w:val="nil"/>
        </w:tcBorders>
        <w:shd w:val="clear" w:color="auto" w:fill="FFFFFF" w:themeFill="background1"/>
      </w:tcPr>
    </w:tblStylePr>
    <w:tblStylePr w:type="lastRow">
      <w:rPr>
        <w:b/>
        <w:bCs/>
      </w:rPr>
      <w:tblPr/>
      <w:tcPr>
        <w:tcBorders>
          <w:top w:val="double" w:sz="2" w:space="0" w:color="FF4C9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3DB" w:themeFill="accent1" w:themeFillTint="33"/>
      </w:tcPr>
    </w:tblStylePr>
    <w:tblStylePr w:type="band1Horz">
      <w:tblPr/>
      <w:tcPr>
        <w:shd w:val="clear" w:color="auto" w:fill="FFC3DB" w:themeFill="accent1" w:themeFillTint="33"/>
      </w:tcPr>
    </w:tblStylePr>
  </w:style>
  <w:style w:type="table" w:styleId="GridTable1Light-Accent1">
    <w:name w:val="Grid Table 1 Light Accent 1"/>
    <w:basedOn w:val="TableNormal"/>
    <w:uiPriority w:val="46"/>
    <w:rsid w:val="00E42D8E"/>
    <w:pPr>
      <w:spacing w:after="0" w:line="240" w:lineRule="auto"/>
    </w:pPr>
    <w:tblPr>
      <w:tblStyleRowBandSize w:val="1"/>
      <w:tblStyleColBandSize w:val="1"/>
      <w:tblBorders>
        <w:top w:val="single" w:sz="4" w:space="0" w:color="FF88B8" w:themeColor="accent1" w:themeTint="66"/>
        <w:left w:val="single" w:sz="4" w:space="0" w:color="FF88B8" w:themeColor="accent1" w:themeTint="66"/>
        <w:bottom w:val="single" w:sz="4" w:space="0" w:color="FF88B8" w:themeColor="accent1" w:themeTint="66"/>
        <w:right w:val="single" w:sz="4" w:space="0" w:color="FF88B8" w:themeColor="accent1" w:themeTint="66"/>
        <w:insideH w:val="single" w:sz="4" w:space="0" w:color="FF88B8" w:themeColor="accent1" w:themeTint="66"/>
        <w:insideV w:val="single" w:sz="4" w:space="0" w:color="FF88B8" w:themeColor="accent1" w:themeTint="66"/>
      </w:tblBorders>
    </w:tblPr>
    <w:tblStylePr w:type="firstRow">
      <w:rPr>
        <w:b/>
        <w:bCs/>
      </w:rPr>
      <w:tblPr/>
      <w:tcPr>
        <w:tcBorders>
          <w:bottom w:val="single" w:sz="12" w:space="0" w:color="FF4C95" w:themeColor="accent1" w:themeTint="99"/>
        </w:tcBorders>
      </w:tcPr>
    </w:tblStylePr>
    <w:tblStylePr w:type="lastRow">
      <w:rPr>
        <w:b/>
        <w:bCs/>
      </w:rPr>
      <w:tblPr/>
      <w:tcPr>
        <w:tcBorders>
          <w:top w:val="double" w:sz="2" w:space="0" w:color="FF4C95" w:themeColor="accen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B92777"/>
    <w:rPr>
      <w:b/>
      <w:bCs/>
    </w:rPr>
  </w:style>
  <w:style w:type="paragraph" w:styleId="Caption">
    <w:name w:val="caption"/>
    <w:basedOn w:val="Normal"/>
    <w:next w:val="Normal"/>
    <w:uiPriority w:val="35"/>
    <w:unhideWhenUsed/>
    <w:qFormat/>
    <w:rsid w:val="008D3D84"/>
    <w:pPr>
      <w:spacing w:after="200" w:line="240" w:lineRule="auto"/>
    </w:pPr>
    <w:rPr>
      <w:i/>
      <w:iCs/>
      <w:color w:val="54575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5801">
      <w:bodyDiv w:val="1"/>
      <w:marLeft w:val="0"/>
      <w:marRight w:val="0"/>
      <w:marTop w:val="0"/>
      <w:marBottom w:val="0"/>
      <w:divBdr>
        <w:top w:val="none" w:sz="0" w:space="0" w:color="auto"/>
        <w:left w:val="none" w:sz="0" w:space="0" w:color="auto"/>
        <w:bottom w:val="none" w:sz="0" w:space="0" w:color="auto"/>
        <w:right w:val="none" w:sz="0" w:space="0" w:color="auto"/>
      </w:divBdr>
    </w:div>
    <w:div w:id="135151384">
      <w:bodyDiv w:val="1"/>
      <w:marLeft w:val="0"/>
      <w:marRight w:val="0"/>
      <w:marTop w:val="0"/>
      <w:marBottom w:val="0"/>
      <w:divBdr>
        <w:top w:val="none" w:sz="0" w:space="0" w:color="auto"/>
        <w:left w:val="none" w:sz="0" w:space="0" w:color="auto"/>
        <w:bottom w:val="none" w:sz="0" w:space="0" w:color="auto"/>
        <w:right w:val="none" w:sz="0" w:space="0" w:color="auto"/>
      </w:divBdr>
      <w:divsChild>
        <w:div w:id="1834300637">
          <w:marLeft w:val="1080"/>
          <w:marRight w:val="0"/>
          <w:marTop w:val="100"/>
          <w:marBottom w:val="0"/>
          <w:divBdr>
            <w:top w:val="none" w:sz="0" w:space="0" w:color="auto"/>
            <w:left w:val="none" w:sz="0" w:space="0" w:color="auto"/>
            <w:bottom w:val="none" w:sz="0" w:space="0" w:color="auto"/>
            <w:right w:val="none" w:sz="0" w:space="0" w:color="auto"/>
          </w:divBdr>
        </w:div>
      </w:divsChild>
    </w:div>
    <w:div w:id="900481643">
      <w:bodyDiv w:val="1"/>
      <w:marLeft w:val="0"/>
      <w:marRight w:val="0"/>
      <w:marTop w:val="0"/>
      <w:marBottom w:val="0"/>
      <w:divBdr>
        <w:top w:val="none" w:sz="0" w:space="0" w:color="auto"/>
        <w:left w:val="none" w:sz="0" w:space="0" w:color="auto"/>
        <w:bottom w:val="none" w:sz="0" w:space="0" w:color="auto"/>
        <w:right w:val="none" w:sz="0" w:space="0" w:color="auto"/>
      </w:divBdr>
      <w:divsChild>
        <w:div w:id="271132773">
          <w:marLeft w:val="360"/>
          <w:marRight w:val="0"/>
          <w:marTop w:val="200"/>
          <w:marBottom w:val="0"/>
          <w:divBdr>
            <w:top w:val="none" w:sz="0" w:space="0" w:color="auto"/>
            <w:left w:val="none" w:sz="0" w:space="0" w:color="auto"/>
            <w:bottom w:val="none" w:sz="0" w:space="0" w:color="auto"/>
            <w:right w:val="none" w:sz="0" w:space="0" w:color="auto"/>
          </w:divBdr>
        </w:div>
      </w:divsChild>
    </w:div>
    <w:div w:id="951397112">
      <w:bodyDiv w:val="1"/>
      <w:marLeft w:val="0"/>
      <w:marRight w:val="0"/>
      <w:marTop w:val="0"/>
      <w:marBottom w:val="0"/>
      <w:divBdr>
        <w:top w:val="none" w:sz="0" w:space="0" w:color="auto"/>
        <w:left w:val="none" w:sz="0" w:space="0" w:color="auto"/>
        <w:bottom w:val="none" w:sz="0" w:space="0" w:color="auto"/>
        <w:right w:val="none" w:sz="0" w:space="0" w:color="auto"/>
      </w:divBdr>
    </w:div>
    <w:div w:id="1124469295">
      <w:bodyDiv w:val="1"/>
      <w:marLeft w:val="0"/>
      <w:marRight w:val="0"/>
      <w:marTop w:val="0"/>
      <w:marBottom w:val="0"/>
      <w:divBdr>
        <w:top w:val="none" w:sz="0" w:space="0" w:color="auto"/>
        <w:left w:val="none" w:sz="0" w:space="0" w:color="auto"/>
        <w:bottom w:val="none" w:sz="0" w:space="0" w:color="auto"/>
        <w:right w:val="none" w:sz="0" w:space="0" w:color="auto"/>
      </w:divBdr>
    </w:div>
    <w:div w:id="1656254840">
      <w:bodyDiv w:val="1"/>
      <w:marLeft w:val="0"/>
      <w:marRight w:val="0"/>
      <w:marTop w:val="0"/>
      <w:marBottom w:val="0"/>
      <w:divBdr>
        <w:top w:val="none" w:sz="0" w:space="0" w:color="auto"/>
        <w:left w:val="none" w:sz="0" w:space="0" w:color="auto"/>
        <w:bottom w:val="none" w:sz="0" w:space="0" w:color="auto"/>
        <w:right w:val="none" w:sz="0" w:space="0" w:color="auto"/>
      </w:divBdr>
      <w:divsChild>
        <w:div w:id="1577939361">
          <w:marLeft w:val="0"/>
          <w:marRight w:val="0"/>
          <w:marTop w:val="0"/>
          <w:marBottom w:val="0"/>
          <w:divBdr>
            <w:top w:val="none" w:sz="0" w:space="0" w:color="auto"/>
            <w:left w:val="none" w:sz="0" w:space="0" w:color="auto"/>
            <w:bottom w:val="none" w:sz="0" w:space="0" w:color="auto"/>
            <w:right w:val="none" w:sz="0" w:space="0" w:color="auto"/>
          </w:divBdr>
        </w:div>
        <w:div w:id="1689410897">
          <w:marLeft w:val="0"/>
          <w:marRight w:val="0"/>
          <w:marTop w:val="0"/>
          <w:marBottom w:val="0"/>
          <w:divBdr>
            <w:top w:val="none" w:sz="0" w:space="0" w:color="auto"/>
            <w:left w:val="none" w:sz="0" w:space="0" w:color="auto"/>
            <w:bottom w:val="none" w:sz="0" w:space="0" w:color="auto"/>
            <w:right w:val="none" w:sz="0" w:space="0" w:color="auto"/>
          </w:divBdr>
        </w:div>
        <w:div w:id="4943408">
          <w:marLeft w:val="0"/>
          <w:marRight w:val="0"/>
          <w:marTop w:val="0"/>
          <w:marBottom w:val="0"/>
          <w:divBdr>
            <w:top w:val="none" w:sz="0" w:space="0" w:color="auto"/>
            <w:left w:val="none" w:sz="0" w:space="0" w:color="auto"/>
            <w:bottom w:val="none" w:sz="0" w:space="0" w:color="auto"/>
            <w:right w:val="none" w:sz="0" w:space="0" w:color="auto"/>
          </w:divBdr>
        </w:div>
        <w:div w:id="237986095">
          <w:marLeft w:val="0"/>
          <w:marRight w:val="0"/>
          <w:marTop w:val="0"/>
          <w:marBottom w:val="0"/>
          <w:divBdr>
            <w:top w:val="none" w:sz="0" w:space="0" w:color="auto"/>
            <w:left w:val="none" w:sz="0" w:space="0" w:color="auto"/>
            <w:bottom w:val="none" w:sz="0" w:space="0" w:color="auto"/>
            <w:right w:val="none" w:sz="0" w:space="0" w:color="auto"/>
          </w:divBdr>
        </w:div>
        <w:div w:id="354616233">
          <w:marLeft w:val="0"/>
          <w:marRight w:val="0"/>
          <w:marTop w:val="0"/>
          <w:marBottom w:val="0"/>
          <w:divBdr>
            <w:top w:val="none" w:sz="0" w:space="0" w:color="auto"/>
            <w:left w:val="none" w:sz="0" w:space="0" w:color="auto"/>
            <w:bottom w:val="none" w:sz="0" w:space="0" w:color="auto"/>
            <w:right w:val="none" w:sz="0" w:space="0" w:color="auto"/>
          </w:divBdr>
        </w:div>
      </w:divsChild>
    </w:div>
    <w:div w:id="1672489012">
      <w:bodyDiv w:val="1"/>
      <w:marLeft w:val="0"/>
      <w:marRight w:val="0"/>
      <w:marTop w:val="0"/>
      <w:marBottom w:val="0"/>
      <w:divBdr>
        <w:top w:val="none" w:sz="0" w:space="0" w:color="auto"/>
        <w:left w:val="none" w:sz="0" w:space="0" w:color="auto"/>
        <w:bottom w:val="none" w:sz="0" w:space="0" w:color="auto"/>
        <w:right w:val="none" w:sz="0" w:space="0" w:color="auto"/>
      </w:divBdr>
    </w:div>
    <w:div w:id="1789348488">
      <w:bodyDiv w:val="1"/>
      <w:marLeft w:val="0"/>
      <w:marRight w:val="0"/>
      <w:marTop w:val="0"/>
      <w:marBottom w:val="0"/>
      <w:divBdr>
        <w:top w:val="none" w:sz="0" w:space="0" w:color="auto"/>
        <w:left w:val="none" w:sz="0" w:space="0" w:color="auto"/>
        <w:bottom w:val="none" w:sz="0" w:space="0" w:color="auto"/>
        <w:right w:val="none" w:sz="0" w:space="0" w:color="auto"/>
      </w:divBdr>
    </w:div>
    <w:div w:id="1843812082">
      <w:bodyDiv w:val="1"/>
      <w:marLeft w:val="0"/>
      <w:marRight w:val="0"/>
      <w:marTop w:val="0"/>
      <w:marBottom w:val="0"/>
      <w:divBdr>
        <w:top w:val="none" w:sz="0" w:space="0" w:color="auto"/>
        <w:left w:val="none" w:sz="0" w:space="0" w:color="auto"/>
        <w:bottom w:val="none" w:sz="0" w:space="0" w:color="auto"/>
        <w:right w:val="none" w:sz="0" w:space="0" w:color="auto"/>
      </w:divBdr>
      <w:divsChild>
        <w:div w:id="2055880848">
          <w:marLeft w:val="360"/>
          <w:marRight w:val="0"/>
          <w:marTop w:val="200"/>
          <w:marBottom w:val="0"/>
          <w:divBdr>
            <w:top w:val="none" w:sz="0" w:space="0" w:color="auto"/>
            <w:left w:val="none" w:sz="0" w:space="0" w:color="auto"/>
            <w:bottom w:val="none" w:sz="0" w:space="0" w:color="auto"/>
            <w:right w:val="none" w:sz="0" w:space="0" w:color="auto"/>
          </w:divBdr>
        </w:div>
      </w:divsChild>
    </w:div>
    <w:div w:id="1932469110">
      <w:bodyDiv w:val="1"/>
      <w:marLeft w:val="0"/>
      <w:marRight w:val="0"/>
      <w:marTop w:val="0"/>
      <w:marBottom w:val="0"/>
      <w:divBdr>
        <w:top w:val="none" w:sz="0" w:space="0" w:color="auto"/>
        <w:left w:val="none" w:sz="0" w:space="0" w:color="auto"/>
        <w:bottom w:val="none" w:sz="0" w:space="0" w:color="auto"/>
        <w:right w:val="none" w:sz="0" w:space="0" w:color="auto"/>
      </w:divBdr>
      <w:divsChild>
        <w:div w:id="1670522053">
          <w:marLeft w:val="0"/>
          <w:marRight w:val="0"/>
          <w:marTop w:val="0"/>
          <w:marBottom w:val="0"/>
          <w:divBdr>
            <w:top w:val="none" w:sz="0" w:space="0" w:color="auto"/>
            <w:left w:val="none" w:sz="0" w:space="0" w:color="auto"/>
            <w:bottom w:val="none" w:sz="0" w:space="0" w:color="auto"/>
            <w:right w:val="none" w:sz="0" w:space="0" w:color="auto"/>
          </w:divBdr>
        </w:div>
        <w:div w:id="1055931469">
          <w:marLeft w:val="0"/>
          <w:marRight w:val="0"/>
          <w:marTop w:val="0"/>
          <w:marBottom w:val="0"/>
          <w:divBdr>
            <w:top w:val="none" w:sz="0" w:space="0" w:color="auto"/>
            <w:left w:val="none" w:sz="0" w:space="0" w:color="auto"/>
            <w:bottom w:val="none" w:sz="0" w:space="0" w:color="auto"/>
            <w:right w:val="none" w:sz="0" w:space="0" w:color="auto"/>
          </w:divBdr>
        </w:div>
        <w:div w:id="1597471173">
          <w:marLeft w:val="0"/>
          <w:marRight w:val="0"/>
          <w:marTop w:val="0"/>
          <w:marBottom w:val="0"/>
          <w:divBdr>
            <w:top w:val="none" w:sz="0" w:space="0" w:color="auto"/>
            <w:left w:val="none" w:sz="0" w:space="0" w:color="auto"/>
            <w:bottom w:val="none" w:sz="0" w:space="0" w:color="auto"/>
            <w:right w:val="none" w:sz="0" w:space="0" w:color="auto"/>
          </w:divBdr>
        </w:div>
        <w:div w:id="626854279">
          <w:marLeft w:val="0"/>
          <w:marRight w:val="0"/>
          <w:marTop w:val="0"/>
          <w:marBottom w:val="0"/>
          <w:divBdr>
            <w:top w:val="none" w:sz="0" w:space="0" w:color="auto"/>
            <w:left w:val="none" w:sz="0" w:space="0" w:color="auto"/>
            <w:bottom w:val="none" w:sz="0" w:space="0" w:color="auto"/>
            <w:right w:val="none" w:sz="0" w:space="0" w:color="auto"/>
          </w:divBdr>
        </w:div>
        <w:div w:id="1760977653">
          <w:marLeft w:val="0"/>
          <w:marRight w:val="0"/>
          <w:marTop w:val="0"/>
          <w:marBottom w:val="0"/>
          <w:divBdr>
            <w:top w:val="none" w:sz="0" w:space="0" w:color="auto"/>
            <w:left w:val="none" w:sz="0" w:space="0" w:color="auto"/>
            <w:bottom w:val="none" w:sz="0" w:space="0" w:color="auto"/>
            <w:right w:val="none" w:sz="0" w:space="0" w:color="auto"/>
          </w:divBdr>
        </w:div>
      </w:divsChild>
    </w:div>
    <w:div w:id="2050370206">
      <w:bodyDiv w:val="1"/>
      <w:marLeft w:val="0"/>
      <w:marRight w:val="0"/>
      <w:marTop w:val="0"/>
      <w:marBottom w:val="0"/>
      <w:divBdr>
        <w:top w:val="none" w:sz="0" w:space="0" w:color="auto"/>
        <w:left w:val="none" w:sz="0" w:space="0" w:color="auto"/>
        <w:bottom w:val="none" w:sz="0" w:space="0" w:color="auto"/>
        <w:right w:val="none" w:sz="0" w:space="0" w:color="auto"/>
      </w:divBdr>
    </w:div>
    <w:div w:id="205215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Rapport-CFP2019.dotx" TargetMode="External"/></Relationships>
</file>

<file path=word/theme/theme1.xml><?xml version="1.0" encoding="utf-8"?>
<a:theme xmlns:a="http://schemas.openxmlformats.org/drawingml/2006/main" name="Office Theme">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EB5E3-4B4F-4222-ADE5-FCD8EA3CE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Rapport-CFP2019.dotx</Template>
  <TotalTime>229</TotalTime>
  <Pages>7</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CFP-PSC</Company>
  <LinksUpToDate>false</LinksUpToDate>
  <CharactersWithSpaces>6138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dbarbaga</dc:creator>
  <cp:keywords/>
  <dc:description/>
  <cp:lastModifiedBy>Philip Malfara</cp:lastModifiedBy>
  <cp:revision>36</cp:revision>
  <cp:lastPrinted>2019-07-11T17:58:00Z</cp:lastPrinted>
  <dcterms:created xsi:type="dcterms:W3CDTF">2020-09-04T17:15:00Z</dcterms:created>
  <dcterms:modified xsi:type="dcterms:W3CDTF">2020-12-04T13:14:00Z</dcterms:modified>
</cp:coreProperties>
</file>