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AE7A9" w14:textId="60D1C43E" w:rsidR="00E21BEF" w:rsidRPr="0006145E" w:rsidRDefault="0006145E" w:rsidP="00B26341">
      <w:pPr>
        <w:pStyle w:val="Title"/>
        <w:rPr>
          <w:lang w:val="fr-CA"/>
        </w:rPr>
      </w:pPr>
      <w:r>
        <w:rPr>
          <w:lang w:val="fr-CA"/>
        </w:rPr>
        <w:t>Commission de la fonction publique</w:t>
      </w:r>
    </w:p>
    <w:p w14:paraId="46E481A3" w14:textId="7BCE4755" w:rsidR="00646A04" w:rsidRPr="0006145E" w:rsidRDefault="0006145E" w:rsidP="0017251E">
      <w:pPr>
        <w:pStyle w:val="Subtitle"/>
      </w:pPr>
      <w:r>
        <w:rPr>
          <w:b/>
        </w:rPr>
        <w:t>Nominations non annoncées</w:t>
      </w:r>
      <w:r w:rsidR="003533CA">
        <w:rPr>
          <w:b/>
        </w:rPr>
        <w:t>,</w:t>
      </w:r>
      <w:r>
        <w:rPr>
          <w:b/>
        </w:rPr>
        <w:t xml:space="preserve"> selon le groupe visé par l’équité</w:t>
      </w:r>
      <w:r w:rsidR="00331A7F">
        <w:rPr>
          <w:b/>
        </w:rPr>
        <w:t xml:space="preserve"> en matière d’</w:t>
      </w:r>
      <w:r w:rsidR="003533CA">
        <w:rPr>
          <w:b/>
        </w:rPr>
        <w:t>emploi</w:t>
      </w:r>
      <w:r w:rsidR="00646A04" w:rsidRPr="0006145E">
        <w:br w:type="page"/>
      </w:r>
    </w:p>
    <w:p w14:paraId="474E2F98" w14:textId="69D517AB" w:rsidR="001703E1" w:rsidRPr="0006145E" w:rsidRDefault="0006145E" w:rsidP="001703E1">
      <w:pPr>
        <w:pStyle w:val="Heading2"/>
        <w:rPr>
          <w:lang w:val="fr-CA"/>
        </w:rPr>
      </w:pPr>
      <w:r>
        <w:rPr>
          <w:lang w:val="fr-CA"/>
        </w:rPr>
        <w:lastRenderedPageBreak/>
        <w:t>Nominations non annoncées</w:t>
      </w:r>
      <w:r w:rsidR="003533CA">
        <w:rPr>
          <w:lang w:val="fr-CA"/>
        </w:rPr>
        <w:t>,</w:t>
      </w:r>
      <w:r>
        <w:rPr>
          <w:lang w:val="fr-CA"/>
        </w:rPr>
        <w:t xml:space="preserve"> selon le groupe visé par l’équité en</w:t>
      </w:r>
      <w:r w:rsidR="003533CA">
        <w:rPr>
          <w:lang w:val="fr-CA"/>
        </w:rPr>
        <w:t xml:space="preserve"> </w:t>
      </w:r>
      <w:r w:rsidR="00331A7F">
        <w:rPr>
          <w:lang w:val="fr-CA"/>
        </w:rPr>
        <w:t>matière d’</w:t>
      </w:r>
      <w:r>
        <w:rPr>
          <w:lang w:val="fr-CA"/>
        </w:rPr>
        <w:t>emploi</w:t>
      </w:r>
    </w:p>
    <w:p w14:paraId="1D84AAD8" w14:textId="455B4E86" w:rsidR="006F67B0" w:rsidRPr="0006145E" w:rsidRDefault="0006145E" w:rsidP="00B747A2">
      <w:pPr>
        <w:pStyle w:val="Heading3"/>
        <w:rPr>
          <w:lang w:val="fr-CA"/>
        </w:rPr>
      </w:pPr>
      <w:r>
        <w:rPr>
          <w:lang w:val="fr-CA"/>
        </w:rPr>
        <w:t>CONTEXTE</w:t>
      </w:r>
    </w:p>
    <w:p w14:paraId="059AE508" w14:textId="4CE05C27" w:rsidR="007C190C" w:rsidRPr="0006145E" w:rsidRDefault="0006145E" w:rsidP="00B747A2">
      <w:r>
        <w:t>La Nouvelle orientation en dotation (NOD) de la CFP est entrée en vigueur le 1</w:t>
      </w:r>
      <w:r w:rsidRPr="0006145E">
        <w:rPr>
          <w:vertAlign w:val="superscript"/>
        </w:rPr>
        <w:t>er</w:t>
      </w:r>
      <w:r w:rsidR="000F1FB0">
        <w:t> </w:t>
      </w:r>
      <w:r>
        <w:t>avril 2016. Elle visait à simplifier et à rationaliser la dotation dans l’ensemble de la fonction publique</w:t>
      </w:r>
      <w:r w:rsidR="00331A7F">
        <w:t>,</w:t>
      </w:r>
      <w:r>
        <w:t xml:space="preserve"> et à accorder aux organisations une plus grande capacité à personnaliser la dotation en fonction de leurs beso</w:t>
      </w:r>
      <w:r w:rsidR="00C72C60">
        <w:t>i</w:t>
      </w:r>
      <w:r w:rsidR="008D5928">
        <w:t>ns organisationnels.</w:t>
      </w:r>
    </w:p>
    <w:p w14:paraId="22511F1A" w14:textId="0D813058" w:rsidR="007C190C" w:rsidRPr="0006145E" w:rsidRDefault="00AA613F" w:rsidP="00B747A2">
      <w:r>
        <w:t xml:space="preserve">L’Instrument </w:t>
      </w:r>
      <w:r w:rsidR="0006145E">
        <w:t>de délégation et de responsabilisation en matière de nomination (IDRN), élément de la NOD qui précise les conditions liées à la délégation des pouvoirs d’embauche, oblige les administrateurs généraux à «</w:t>
      </w:r>
      <w:r w:rsidR="000F1FB0">
        <w:t> </w:t>
      </w:r>
      <w:r w:rsidR="0006145E">
        <w:t>établir une direction, par le biais d’une politique, d’activités de planification ou d’autres moyens, portant sur l’utilisation des processus de nomination annoncés et non annoncés</w:t>
      </w:r>
      <w:r w:rsidR="00C72C60">
        <w:t>.</w:t>
      </w:r>
      <w:r w:rsidR="000F1FB0">
        <w:t> </w:t>
      </w:r>
      <w:r w:rsidR="00C72C60">
        <w:t>»</w:t>
      </w:r>
    </w:p>
    <w:p w14:paraId="1D22EEF5" w14:textId="5C696F1F" w:rsidR="00CA1A37" w:rsidRPr="0006145E" w:rsidRDefault="00C72C60" w:rsidP="00BA616D">
      <w:r>
        <w:t>Favoriser l’atteinte des objectifs d’équité en matière d’emploi est une direction commune portant sur l’utilisation des processus de nomination non annoncés</w:t>
      </w:r>
      <w:r w:rsidR="00331A7F">
        <w:t xml:space="preserve">, que l’on retrouve </w:t>
      </w:r>
      <w:r>
        <w:t>dans l’ensemble des organisations.</w:t>
      </w:r>
    </w:p>
    <w:p w14:paraId="0D818567" w14:textId="0A32EC85" w:rsidR="00E16288" w:rsidRPr="0006145E" w:rsidRDefault="00BA616D" w:rsidP="00703D8E">
      <w:pPr>
        <w:pStyle w:val="Heading3"/>
        <w:rPr>
          <w:lang w:val="fr-CA"/>
        </w:rPr>
      </w:pPr>
      <w:r w:rsidRPr="0006145E">
        <w:rPr>
          <w:lang w:val="fr-CA"/>
        </w:rPr>
        <w:t>ANALYS</w:t>
      </w:r>
      <w:r w:rsidR="0006145E">
        <w:rPr>
          <w:lang w:val="fr-CA"/>
        </w:rPr>
        <w:t>E</w:t>
      </w:r>
    </w:p>
    <w:p w14:paraId="14987CBD" w14:textId="53E35AFD" w:rsidR="00047A49" w:rsidRPr="00047A49" w:rsidRDefault="00047A49" w:rsidP="00047A49">
      <w:pPr>
        <w:pStyle w:val="Caption"/>
        <w:keepNext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t xml:space="preserve">Table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Table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1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Nombre total de nominations, selon le type de nomination, exercices 2013-2014 à 2018-2019</w:t>
      </w:r>
    </w:p>
    <w:tbl>
      <w:tblPr>
        <w:tblStyle w:val="ListTable6Colorful-Accent11"/>
        <w:tblW w:w="9924" w:type="dxa"/>
        <w:tblLook w:val="06E0" w:firstRow="1" w:lastRow="1" w:firstColumn="1" w:lastColumn="0" w:noHBand="1" w:noVBand="1"/>
        <w:tblCaption w:val="Nombre total de nominations, selon le type de nomination, exercices 2013-2014 à 2018-2019"/>
        <w:tblDescription w:val="Nombre total de nominations, selon le type de nomination, exercices 2013-2014 à 2018-2019"/>
      </w:tblPr>
      <w:tblGrid>
        <w:gridCol w:w="2366"/>
        <w:gridCol w:w="1183"/>
        <w:gridCol w:w="1293"/>
        <w:gridCol w:w="1277"/>
        <w:gridCol w:w="1285"/>
        <w:gridCol w:w="1235"/>
        <w:gridCol w:w="1285"/>
      </w:tblGrid>
      <w:tr w:rsidR="00ED384D" w:rsidRPr="0006145E" w14:paraId="7AAA92C0" w14:textId="77777777" w:rsidTr="00411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top w:val="single" w:sz="4" w:space="0" w:color="D50057" w:themeColor="accent1"/>
              <w:left w:val="single" w:sz="4" w:space="0" w:color="D50057" w:themeColor="accent1"/>
              <w:right w:val="single" w:sz="4" w:space="0" w:color="D50057" w:themeColor="accent1"/>
            </w:tcBorders>
            <w:hideMark/>
          </w:tcPr>
          <w:p w14:paraId="175B7E19" w14:textId="5C5643FC" w:rsidR="00ED384D" w:rsidRPr="00411D6B" w:rsidRDefault="00411D6B" w:rsidP="007A0971">
            <w:pPr>
              <w:spacing w:line="259" w:lineRule="auto"/>
              <w:rPr>
                <w:b w:val="0"/>
                <w:color w:val="auto"/>
              </w:rPr>
            </w:pPr>
            <w:r w:rsidRPr="00411D6B">
              <w:rPr>
                <w:b w:val="0"/>
                <w:color w:val="auto"/>
              </w:rPr>
              <w:t>Type de nomination</w:t>
            </w:r>
          </w:p>
        </w:tc>
        <w:tc>
          <w:tcPr>
            <w:tcW w:w="1183" w:type="dxa"/>
            <w:tcBorders>
              <w:top w:val="single" w:sz="4" w:space="0" w:color="D50057" w:themeColor="accent1"/>
              <w:left w:val="single" w:sz="4" w:space="0" w:color="D50057" w:themeColor="accent1"/>
            </w:tcBorders>
            <w:hideMark/>
          </w:tcPr>
          <w:p w14:paraId="2C0140BA" w14:textId="77777777" w:rsidR="00ED384D" w:rsidRPr="0006145E" w:rsidRDefault="00ED384D" w:rsidP="007A097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2013-2014</w:t>
            </w:r>
          </w:p>
        </w:tc>
        <w:tc>
          <w:tcPr>
            <w:tcW w:w="1293" w:type="dxa"/>
            <w:tcBorders>
              <w:top w:val="single" w:sz="4" w:space="0" w:color="D50057" w:themeColor="accent1"/>
            </w:tcBorders>
            <w:hideMark/>
          </w:tcPr>
          <w:p w14:paraId="471CE986" w14:textId="77777777" w:rsidR="00ED384D" w:rsidRPr="0006145E" w:rsidRDefault="00ED384D" w:rsidP="007A097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2014-2015</w:t>
            </w:r>
          </w:p>
        </w:tc>
        <w:tc>
          <w:tcPr>
            <w:tcW w:w="1277" w:type="dxa"/>
            <w:tcBorders>
              <w:top w:val="single" w:sz="4" w:space="0" w:color="D50057" w:themeColor="accent1"/>
            </w:tcBorders>
            <w:hideMark/>
          </w:tcPr>
          <w:p w14:paraId="3B379E3C" w14:textId="77777777" w:rsidR="00ED384D" w:rsidRPr="0006145E" w:rsidRDefault="00ED384D" w:rsidP="007A097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2015-2016</w:t>
            </w:r>
          </w:p>
        </w:tc>
        <w:tc>
          <w:tcPr>
            <w:tcW w:w="1285" w:type="dxa"/>
            <w:tcBorders>
              <w:top w:val="single" w:sz="4" w:space="0" w:color="D50057" w:themeColor="accent1"/>
            </w:tcBorders>
            <w:hideMark/>
          </w:tcPr>
          <w:p w14:paraId="5FBE347E" w14:textId="77777777" w:rsidR="00ED384D" w:rsidRPr="0006145E" w:rsidRDefault="00ED384D" w:rsidP="007A097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2016-2017</w:t>
            </w:r>
          </w:p>
        </w:tc>
        <w:tc>
          <w:tcPr>
            <w:tcW w:w="1235" w:type="dxa"/>
            <w:tcBorders>
              <w:top w:val="single" w:sz="4" w:space="0" w:color="D50057" w:themeColor="accent1"/>
            </w:tcBorders>
            <w:hideMark/>
          </w:tcPr>
          <w:p w14:paraId="1EF0B7AB" w14:textId="77777777" w:rsidR="00ED384D" w:rsidRPr="0006145E" w:rsidRDefault="00ED384D" w:rsidP="007A097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2017-2018</w:t>
            </w:r>
          </w:p>
        </w:tc>
        <w:tc>
          <w:tcPr>
            <w:tcW w:w="1285" w:type="dxa"/>
            <w:tcBorders>
              <w:top w:val="single" w:sz="4" w:space="0" w:color="D50057" w:themeColor="accent1"/>
              <w:right w:val="single" w:sz="4" w:space="0" w:color="D50057" w:themeColor="accent1"/>
            </w:tcBorders>
            <w:hideMark/>
          </w:tcPr>
          <w:p w14:paraId="34068F0C" w14:textId="77777777" w:rsidR="00ED384D" w:rsidRPr="0006145E" w:rsidRDefault="00ED384D" w:rsidP="007A097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2018-2019</w:t>
            </w:r>
          </w:p>
        </w:tc>
      </w:tr>
      <w:tr w:rsidR="00ED384D" w:rsidRPr="0006145E" w14:paraId="241079D9" w14:textId="77777777" w:rsidTr="00ED384D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top w:val="single" w:sz="4" w:space="0" w:color="D50057" w:themeColor="accent1"/>
              <w:left w:val="single" w:sz="4" w:space="0" w:color="D50057" w:themeColor="accent1"/>
              <w:right w:val="single" w:sz="4" w:space="0" w:color="D50057" w:themeColor="accent1"/>
            </w:tcBorders>
            <w:hideMark/>
          </w:tcPr>
          <w:p w14:paraId="7CCCD651" w14:textId="5896C645" w:rsidR="00ED384D" w:rsidRPr="0006145E" w:rsidRDefault="00ED384D" w:rsidP="0006145E">
            <w:pPr>
              <w:spacing w:line="259" w:lineRule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Nominations annoncées</w:t>
            </w:r>
          </w:p>
        </w:tc>
        <w:tc>
          <w:tcPr>
            <w:tcW w:w="1183" w:type="dxa"/>
            <w:tcBorders>
              <w:left w:val="single" w:sz="4" w:space="0" w:color="D50057" w:themeColor="accent1"/>
            </w:tcBorders>
            <w:vAlign w:val="center"/>
            <w:hideMark/>
          </w:tcPr>
          <w:p w14:paraId="5946EA52" w14:textId="489DB394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10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671</w:t>
            </w:r>
          </w:p>
        </w:tc>
        <w:tc>
          <w:tcPr>
            <w:tcW w:w="1293" w:type="dxa"/>
            <w:vAlign w:val="center"/>
            <w:hideMark/>
          </w:tcPr>
          <w:p w14:paraId="1098203D" w14:textId="28FFAC0D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16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542</w:t>
            </w:r>
          </w:p>
        </w:tc>
        <w:tc>
          <w:tcPr>
            <w:tcW w:w="1277" w:type="dxa"/>
            <w:vAlign w:val="center"/>
            <w:hideMark/>
          </w:tcPr>
          <w:p w14:paraId="37196C79" w14:textId="6892ED56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18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264</w:t>
            </w:r>
          </w:p>
        </w:tc>
        <w:tc>
          <w:tcPr>
            <w:tcW w:w="1285" w:type="dxa"/>
            <w:vAlign w:val="center"/>
            <w:hideMark/>
          </w:tcPr>
          <w:p w14:paraId="65632D27" w14:textId="2F67974C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21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419</w:t>
            </w:r>
          </w:p>
        </w:tc>
        <w:tc>
          <w:tcPr>
            <w:tcW w:w="1235" w:type="dxa"/>
            <w:vAlign w:val="center"/>
            <w:hideMark/>
          </w:tcPr>
          <w:p w14:paraId="28C83126" w14:textId="682C810D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24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179</w:t>
            </w:r>
          </w:p>
        </w:tc>
        <w:tc>
          <w:tcPr>
            <w:tcW w:w="1285" w:type="dxa"/>
            <w:tcBorders>
              <w:right w:val="single" w:sz="4" w:space="0" w:color="D50057" w:themeColor="accent1"/>
            </w:tcBorders>
            <w:vAlign w:val="center"/>
            <w:hideMark/>
          </w:tcPr>
          <w:p w14:paraId="0D8435CC" w14:textId="08E734BE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27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099</w:t>
            </w:r>
          </w:p>
        </w:tc>
      </w:tr>
      <w:tr w:rsidR="00ED384D" w:rsidRPr="0006145E" w14:paraId="007A7952" w14:textId="77777777" w:rsidTr="00ED384D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hideMark/>
          </w:tcPr>
          <w:p w14:paraId="271F5027" w14:textId="467EF895" w:rsidR="00ED384D" w:rsidRPr="0006145E" w:rsidRDefault="00ED384D" w:rsidP="0006145E">
            <w:pPr>
              <w:spacing w:line="259" w:lineRule="auto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N</w:t>
            </w:r>
            <w:r>
              <w:rPr>
                <w:b w:val="0"/>
                <w:color w:val="auto"/>
              </w:rPr>
              <w:t>ominations non annoncées</w:t>
            </w:r>
          </w:p>
        </w:tc>
        <w:tc>
          <w:tcPr>
            <w:tcW w:w="1183" w:type="dxa"/>
            <w:tcBorders>
              <w:left w:val="single" w:sz="4" w:space="0" w:color="D50057" w:themeColor="accent1"/>
            </w:tcBorders>
            <w:vAlign w:val="center"/>
            <w:hideMark/>
          </w:tcPr>
          <w:p w14:paraId="7752A53B" w14:textId="1379EE4B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4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680</w:t>
            </w:r>
          </w:p>
        </w:tc>
        <w:tc>
          <w:tcPr>
            <w:tcW w:w="1293" w:type="dxa"/>
            <w:vAlign w:val="center"/>
            <w:hideMark/>
          </w:tcPr>
          <w:p w14:paraId="3899CA0F" w14:textId="6106A339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7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660</w:t>
            </w:r>
          </w:p>
        </w:tc>
        <w:tc>
          <w:tcPr>
            <w:tcW w:w="1277" w:type="dxa"/>
            <w:vAlign w:val="center"/>
            <w:hideMark/>
          </w:tcPr>
          <w:p w14:paraId="7EE98493" w14:textId="53A4B4FE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7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993</w:t>
            </w:r>
          </w:p>
        </w:tc>
        <w:tc>
          <w:tcPr>
            <w:tcW w:w="1285" w:type="dxa"/>
            <w:vAlign w:val="center"/>
            <w:hideMark/>
          </w:tcPr>
          <w:p w14:paraId="5F900784" w14:textId="1C5F01C3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9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048</w:t>
            </w:r>
          </w:p>
        </w:tc>
        <w:tc>
          <w:tcPr>
            <w:tcW w:w="1235" w:type="dxa"/>
            <w:vAlign w:val="center"/>
            <w:hideMark/>
          </w:tcPr>
          <w:p w14:paraId="337D4692" w14:textId="5D48A7BB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17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996</w:t>
            </w:r>
          </w:p>
        </w:tc>
        <w:tc>
          <w:tcPr>
            <w:tcW w:w="1285" w:type="dxa"/>
            <w:tcBorders>
              <w:right w:val="single" w:sz="4" w:space="0" w:color="D50057" w:themeColor="accent1"/>
            </w:tcBorders>
            <w:vAlign w:val="center"/>
            <w:hideMark/>
          </w:tcPr>
          <w:p w14:paraId="3E41E1A6" w14:textId="08AC6EFB" w:rsidR="00ED384D" w:rsidRPr="0006145E" w:rsidRDefault="00ED384D" w:rsidP="007A09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6145E">
              <w:rPr>
                <w:color w:val="auto"/>
              </w:rPr>
              <w:t>22</w:t>
            </w:r>
            <w:r>
              <w:rPr>
                <w:color w:val="auto"/>
              </w:rPr>
              <w:t> </w:t>
            </w:r>
            <w:r w:rsidRPr="0006145E">
              <w:rPr>
                <w:color w:val="auto"/>
              </w:rPr>
              <w:t>986</w:t>
            </w:r>
          </w:p>
        </w:tc>
      </w:tr>
      <w:tr w:rsidR="00ED384D" w:rsidRPr="0006145E" w14:paraId="75AD8B84" w14:textId="77777777" w:rsidTr="00ED38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dxa"/>
            <w:tcBorders>
              <w:left w:val="single" w:sz="4" w:space="0" w:color="D50057" w:themeColor="accent1"/>
              <w:bottom w:val="single" w:sz="4" w:space="0" w:color="D50057" w:themeColor="accent1"/>
              <w:right w:val="single" w:sz="4" w:space="0" w:color="D50057" w:themeColor="accent1"/>
            </w:tcBorders>
            <w:hideMark/>
          </w:tcPr>
          <w:p w14:paraId="758CF45C" w14:textId="77777777" w:rsidR="00ED384D" w:rsidRPr="0006145E" w:rsidRDefault="00ED384D" w:rsidP="007A0971">
            <w:pPr>
              <w:spacing w:line="259" w:lineRule="auto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Total</w:t>
            </w:r>
          </w:p>
        </w:tc>
        <w:tc>
          <w:tcPr>
            <w:tcW w:w="1183" w:type="dxa"/>
            <w:tcBorders>
              <w:left w:val="single" w:sz="4" w:space="0" w:color="D50057" w:themeColor="accent1"/>
              <w:bottom w:val="single" w:sz="4" w:space="0" w:color="D50057" w:themeColor="accent1"/>
            </w:tcBorders>
            <w:hideMark/>
          </w:tcPr>
          <w:p w14:paraId="3B8768C1" w14:textId="20956DB6" w:rsidR="00ED384D" w:rsidRPr="0006145E" w:rsidRDefault="00ED384D" w:rsidP="007A0971">
            <w:pPr>
              <w:spacing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15</w:t>
            </w:r>
            <w:r>
              <w:rPr>
                <w:b w:val="0"/>
                <w:color w:val="auto"/>
              </w:rPr>
              <w:t> </w:t>
            </w:r>
            <w:r w:rsidRPr="0006145E">
              <w:rPr>
                <w:b w:val="0"/>
                <w:color w:val="auto"/>
              </w:rPr>
              <w:t>351</w:t>
            </w:r>
          </w:p>
        </w:tc>
        <w:tc>
          <w:tcPr>
            <w:tcW w:w="1293" w:type="dxa"/>
            <w:tcBorders>
              <w:bottom w:val="single" w:sz="4" w:space="0" w:color="D50057" w:themeColor="accent1"/>
            </w:tcBorders>
            <w:hideMark/>
          </w:tcPr>
          <w:p w14:paraId="54CA98BE" w14:textId="22171B22" w:rsidR="00ED384D" w:rsidRPr="0006145E" w:rsidRDefault="00ED384D" w:rsidP="007A0971">
            <w:pPr>
              <w:spacing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24</w:t>
            </w:r>
            <w:r>
              <w:rPr>
                <w:b w:val="0"/>
                <w:color w:val="auto"/>
              </w:rPr>
              <w:t> </w:t>
            </w:r>
            <w:r w:rsidRPr="0006145E">
              <w:rPr>
                <w:b w:val="0"/>
                <w:color w:val="auto"/>
              </w:rPr>
              <w:t>202</w:t>
            </w:r>
          </w:p>
        </w:tc>
        <w:tc>
          <w:tcPr>
            <w:tcW w:w="1277" w:type="dxa"/>
            <w:tcBorders>
              <w:bottom w:val="single" w:sz="4" w:space="0" w:color="D50057" w:themeColor="accent1"/>
            </w:tcBorders>
            <w:hideMark/>
          </w:tcPr>
          <w:p w14:paraId="7B5288B0" w14:textId="0FF7A4BD" w:rsidR="00ED384D" w:rsidRPr="0006145E" w:rsidRDefault="00ED384D" w:rsidP="007A0971">
            <w:pPr>
              <w:spacing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26</w:t>
            </w:r>
            <w:r>
              <w:rPr>
                <w:b w:val="0"/>
                <w:color w:val="auto"/>
              </w:rPr>
              <w:t> </w:t>
            </w:r>
            <w:r w:rsidRPr="0006145E">
              <w:rPr>
                <w:b w:val="0"/>
                <w:color w:val="auto"/>
              </w:rPr>
              <w:t>257</w:t>
            </w:r>
          </w:p>
        </w:tc>
        <w:tc>
          <w:tcPr>
            <w:tcW w:w="1285" w:type="dxa"/>
            <w:tcBorders>
              <w:bottom w:val="single" w:sz="4" w:space="0" w:color="D50057" w:themeColor="accent1"/>
            </w:tcBorders>
            <w:hideMark/>
          </w:tcPr>
          <w:p w14:paraId="2852B5B6" w14:textId="4A18FA1C" w:rsidR="00ED384D" w:rsidRPr="0006145E" w:rsidRDefault="00ED384D" w:rsidP="007A0971">
            <w:pPr>
              <w:spacing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30</w:t>
            </w:r>
            <w:r>
              <w:rPr>
                <w:b w:val="0"/>
                <w:color w:val="auto"/>
              </w:rPr>
              <w:t> </w:t>
            </w:r>
            <w:r w:rsidRPr="0006145E">
              <w:rPr>
                <w:b w:val="0"/>
                <w:color w:val="auto"/>
              </w:rPr>
              <w:t>467</w:t>
            </w:r>
          </w:p>
        </w:tc>
        <w:tc>
          <w:tcPr>
            <w:tcW w:w="1235" w:type="dxa"/>
            <w:tcBorders>
              <w:bottom w:val="single" w:sz="4" w:space="0" w:color="D50057" w:themeColor="accent1"/>
            </w:tcBorders>
            <w:hideMark/>
          </w:tcPr>
          <w:p w14:paraId="0811BEA5" w14:textId="1CDBA343" w:rsidR="00ED384D" w:rsidRPr="0006145E" w:rsidRDefault="00ED384D" w:rsidP="007A0971">
            <w:pPr>
              <w:spacing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42</w:t>
            </w:r>
            <w:r>
              <w:rPr>
                <w:b w:val="0"/>
                <w:color w:val="auto"/>
              </w:rPr>
              <w:t> </w:t>
            </w:r>
            <w:r w:rsidRPr="0006145E">
              <w:rPr>
                <w:b w:val="0"/>
                <w:color w:val="auto"/>
              </w:rPr>
              <w:t>175</w:t>
            </w:r>
          </w:p>
        </w:tc>
        <w:tc>
          <w:tcPr>
            <w:tcW w:w="1285" w:type="dxa"/>
            <w:tcBorders>
              <w:bottom w:val="single" w:sz="4" w:space="0" w:color="D50057" w:themeColor="accent1"/>
              <w:right w:val="single" w:sz="4" w:space="0" w:color="D50057" w:themeColor="accent1"/>
            </w:tcBorders>
            <w:hideMark/>
          </w:tcPr>
          <w:p w14:paraId="34C49C50" w14:textId="43A2156B" w:rsidR="00ED384D" w:rsidRPr="0006145E" w:rsidRDefault="00ED384D" w:rsidP="007A0971">
            <w:pPr>
              <w:spacing w:line="259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6145E">
              <w:rPr>
                <w:b w:val="0"/>
                <w:color w:val="auto"/>
              </w:rPr>
              <w:t>50</w:t>
            </w:r>
            <w:r>
              <w:rPr>
                <w:b w:val="0"/>
                <w:color w:val="auto"/>
              </w:rPr>
              <w:t> </w:t>
            </w:r>
            <w:r w:rsidRPr="0006145E">
              <w:rPr>
                <w:b w:val="0"/>
                <w:color w:val="auto"/>
              </w:rPr>
              <w:t>085</w:t>
            </w:r>
          </w:p>
        </w:tc>
      </w:tr>
    </w:tbl>
    <w:p w14:paraId="4AEFB6CC" w14:textId="77777777" w:rsidR="00617CEB" w:rsidRDefault="00617CEB">
      <w:pPr>
        <w:keepLines w:val="0"/>
      </w:pPr>
      <w:r>
        <w:br w:type="page"/>
      </w:r>
    </w:p>
    <w:p w14:paraId="59E781B5" w14:textId="54268A21" w:rsidR="00047A49" w:rsidRPr="00047A49" w:rsidRDefault="00047A49" w:rsidP="00047A49">
      <w:pPr>
        <w:pStyle w:val="Caption"/>
        <w:keepNext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lastRenderedPageBreak/>
        <w:t xml:space="preserve">Figure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Figure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1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Proportion de toutes les nominations non annoncées, exercices 2013-2014 à 2018-2019</w:t>
      </w:r>
    </w:p>
    <w:p w14:paraId="6485294C" w14:textId="14A30E1F" w:rsidR="00BA616D" w:rsidRDefault="00FC1211" w:rsidP="00ED384D">
      <w:pPr>
        <w:keepNext/>
        <w:jc w:val="center"/>
      </w:pPr>
      <w:r>
        <w:rPr>
          <w:noProof/>
          <w:lang w:val="en-CA" w:eastAsia="en-CA"/>
        </w:rPr>
        <w:drawing>
          <wp:inline distT="0" distB="0" distL="0" distR="0" wp14:anchorId="52C4E1CB" wp14:editId="453191C1">
            <wp:extent cx="4057996" cy="2463065"/>
            <wp:effectExtent l="0" t="0" r="0" b="0"/>
            <wp:docPr id="1" name="Picture 1" descr="Proportion de toutes les nominations non annoncées, exercices 2013-2014 à 2018-2019. La version textuelle suit." title="Proportion de toutes les nominations non annoncées, exercices 2013-2014 à 2018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5EE.8D2263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869" cy="24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3058" w14:textId="658DF53E" w:rsidR="00047A49" w:rsidRPr="00047A49" w:rsidRDefault="00047A49" w:rsidP="00617CEB">
      <w:pPr>
        <w:pStyle w:val="Caption"/>
        <w:keepNext/>
        <w:spacing w:before="300"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t xml:space="preserve">Table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Table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2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Proportion de toutes les nominations non annoncées, exercices 2013-2014 à 2018-2019</w:t>
      </w:r>
    </w:p>
    <w:tbl>
      <w:tblPr>
        <w:tblStyle w:val="ListTable6Colorful-Accent1"/>
        <w:tblW w:w="9091" w:type="dxa"/>
        <w:tblLook w:val="06A0" w:firstRow="1" w:lastRow="0" w:firstColumn="1" w:lastColumn="0" w:noHBand="1" w:noVBand="1"/>
        <w:tblCaption w:val="Proportion of non-advertised appointments among all appointments, fiscal years 2013-2014 to 2018-2019"/>
        <w:tblDescription w:val="Proportion of non-advertised appointments among all appointments, fiscal years 2013-2014 to 2018-2019"/>
      </w:tblPr>
      <w:tblGrid>
        <w:gridCol w:w="1879"/>
        <w:gridCol w:w="1202"/>
        <w:gridCol w:w="1202"/>
        <w:gridCol w:w="1202"/>
        <w:gridCol w:w="1202"/>
        <w:gridCol w:w="1202"/>
        <w:gridCol w:w="1202"/>
      </w:tblGrid>
      <w:tr w:rsidR="00CB047C" w:rsidRPr="00E42D8E" w14:paraId="32A5F47F" w14:textId="77777777" w:rsidTr="0095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hideMark/>
          </w:tcPr>
          <w:p w14:paraId="4A7BD6C1" w14:textId="747B0D42" w:rsidR="00CB047C" w:rsidRPr="00B14EE5" w:rsidRDefault="00411D6B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>
              <w:rPr>
                <w:rFonts w:eastAsia="Times New Roman" w:cstheme="minorHAnsi"/>
                <w:b w:val="0"/>
                <w:color w:val="000000"/>
                <w:lang w:eastAsia="en-CA"/>
              </w:rPr>
              <w:t>Proportion</w:t>
            </w:r>
          </w:p>
        </w:tc>
        <w:tc>
          <w:tcPr>
            <w:tcW w:w="1202" w:type="dxa"/>
            <w:tcBorders>
              <w:left w:val="single" w:sz="4" w:space="0" w:color="D50057" w:themeColor="accent1"/>
            </w:tcBorders>
            <w:noWrap/>
            <w:hideMark/>
          </w:tcPr>
          <w:p w14:paraId="0BEA8887" w14:textId="77777777" w:rsidR="00CB047C" w:rsidRPr="00B14EE5" w:rsidRDefault="00CB047C" w:rsidP="0095404E">
            <w:pPr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2013-2014</w:t>
            </w:r>
          </w:p>
        </w:tc>
        <w:tc>
          <w:tcPr>
            <w:tcW w:w="1202" w:type="dxa"/>
            <w:noWrap/>
            <w:hideMark/>
          </w:tcPr>
          <w:p w14:paraId="3F84516D" w14:textId="77777777" w:rsidR="00CB047C" w:rsidRPr="00B14EE5" w:rsidRDefault="00CB047C" w:rsidP="0095404E">
            <w:pPr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2014-2015</w:t>
            </w:r>
          </w:p>
        </w:tc>
        <w:tc>
          <w:tcPr>
            <w:tcW w:w="1202" w:type="dxa"/>
            <w:noWrap/>
            <w:hideMark/>
          </w:tcPr>
          <w:p w14:paraId="523486C8" w14:textId="77777777" w:rsidR="00CB047C" w:rsidRPr="00B14EE5" w:rsidRDefault="00CB047C" w:rsidP="0095404E">
            <w:pPr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2015-2016</w:t>
            </w:r>
          </w:p>
        </w:tc>
        <w:tc>
          <w:tcPr>
            <w:tcW w:w="1202" w:type="dxa"/>
            <w:noWrap/>
            <w:hideMark/>
          </w:tcPr>
          <w:p w14:paraId="44238BBC" w14:textId="77777777" w:rsidR="00CB047C" w:rsidRPr="00B14EE5" w:rsidRDefault="00CB047C" w:rsidP="0095404E">
            <w:pPr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2016-2017</w:t>
            </w:r>
          </w:p>
        </w:tc>
        <w:tc>
          <w:tcPr>
            <w:tcW w:w="1202" w:type="dxa"/>
            <w:noWrap/>
            <w:hideMark/>
          </w:tcPr>
          <w:p w14:paraId="22B48669" w14:textId="77777777" w:rsidR="00CB047C" w:rsidRPr="00B14EE5" w:rsidRDefault="00CB047C" w:rsidP="0095404E">
            <w:pPr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2017-2018</w:t>
            </w:r>
          </w:p>
        </w:tc>
        <w:tc>
          <w:tcPr>
            <w:tcW w:w="1202" w:type="dxa"/>
            <w:tcBorders>
              <w:right w:val="single" w:sz="4" w:space="0" w:color="D50057" w:themeColor="accent1"/>
            </w:tcBorders>
            <w:noWrap/>
            <w:hideMark/>
          </w:tcPr>
          <w:p w14:paraId="02953F31" w14:textId="77777777" w:rsidR="00CB047C" w:rsidRPr="00B14EE5" w:rsidRDefault="00CB047C" w:rsidP="0095404E">
            <w:pPr>
              <w:keepLine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2018-2019</w:t>
            </w:r>
          </w:p>
        </w:tc>
      </w:tr>
      <w:tr w:rsidR="00CB047C" w:rsidRPr="00E42D8E" w14:paraId="392177B7" w14:textId="77777777" w:rsidTr="0095404E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hideMark/>
          </w:tcPr>
          <w:p w14:paraId="23A180BC" w14:textId="1962EB33" w:rsidR="00CB047C" w:rsidRPr="00B14EE5" w:rsidRDefault="00CB047C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Proportion de toutes les nominations non annoncées</w:t>
            </w:r>
          </w:p>
        </w:tc>
        <w:tc>
          <w:tcPr>
            <w:tcW w:w="1202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05D4798D" w14:textId="1C9293E8" w:rsidR="00CB047C" w:rsidRPr="00B14EE5" w:rsidRDefault="00CB047C" w:rsidP="0095404E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color w:val="000000"/>
                <w:lang w:eastAsia="en-CA"/>
              </w:rPr>
              <w:t>30,5%</w:t>
            </w:r>
          </w:p>
        </w:tc>
        <w:tc>
          <w:tcPr>
            <w:tcW w:w="1202" w:type="dxa"/>
            <w:noWrap/>
            <w:vAlign w:val="center"/>
            <w:hideMark/>
          </w:tcPr>
          <w:p w14:paraId="4347D41D" w14:textId="2A84878B" w:rsidR="00CB047C" w:rsidRPr="00B14EE5" w:rsidRDefault="00CB047C" w:rsidP="0095404E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color w:val="000000"/>
                <w:lang w:eastAsia="en-CA"/>
              </w:rPr>
              <w:t>31,7%</w:t>
            </w:r>
          </w:p>
        </w:tc>
        <w:tc>
          <w:tcPr>
            <w:tcW w:w="1202" w:type="dxa"/>
            <w:noWrap/>
            <w:vAlign w:val="center"/>
            <w:hideMark/>
          </w:tcPr>
          <w:p w14:paraId="35A137B9" w14:textId="3046BFF0" w:rsidR="00CB047C" w:rsidRPr="00B14EE5" w:rsidRDefault="00CB047C" w:rsidP="0095404E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color w:val="000000"/>
                <w:lang w:eastAsia="en-CA"/>
              </w:rPr>
              <w:t>30,4%</w:t>
            </w:r>
          </w:p>
        </w:tc>
        <w:tc>
          <w:tcPr>
            <w:tcW w:w="1202" w:type="dxa"/>
            <w:noWrap/>
            <w:vAlign w:val="center"/>
            <w:hideMark/>
          </w:tcPr>
          <w:p w14:paraId="04E39039" w14:textId="1092E3B3" w:rsidR="00CB047C" w:rsidRPr="00B14EE5" w:rsidRDefault="00CB047C" w:rsidP="0095404E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color w:val="000000"/>
                <w:lang w:eastAsia="en-CA"/>
              </w:rPr>
              <w:t>29,7%</w:t>
            </w:r>
          </w:p>
        </w:tc>
        <w:tc>
          <w:tcPr>
            <w:tcW w:w="1202" w:type="dxa"/>
            <w:noWrap/>
            <w:vAlign w:val="center"/>
            <w:hideMark/>
          </w:tcPr>
          <w:p w14:paraId="29209048" w14:textId="4EE335C1" w:rsidR="00CB047C" w:rsidRPr="00B14EE5" w:rsidRDefault="00CB047C" w:rsidP="0095404E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color w:val="000000"/>
                <w:lang w:eastAsia="en-CA"/>
              </w:rPr>
              <w:t>42,7%</w:t>
            </w:r>
          </w:p>
        </w:tc>
        <w:tc>
          <w:tcPr>
            <w:tcW w:w="1202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614BEF20" w14:textId="4691CE0E" w:rsidR="00CB047C" w:rsidRPr="00B14EE5" w:rsidRDefault="00CB047C" w:rsidP="0095404E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color w:val="000000"/>
                <w:lang w:eastAsia="en-CA"/>
              </w:rPr>
              <w:t>45,9%</w:t>
            </w:r>
          </w:p>
        </w:tc>
      </w:tr>
    </w:tbl>
    <w:p w14:paraId="638E479C" w14:textId="31729FEB" w:rsidR="00CA1A37" w:rsidRPr="0006145E" w:rsidRDefault="00D170BE" w:rsidP="00617CEB">
      <w:pPr>
        <w:spacing w:before="320" w:after="120"/>
      </w:pPr>
      <w:r>
        <w:t>À</w:t>
      </w:r>
      <w:r w:rsidR="00371E3C">
        <w:t xml:space="preserve"> la suite de l’entrée en vigueur</w:t>
      </w:r>
      <w:r>
        <w:t xml:space="preserve"> de la NOD, la proportion des nominations non annoncées a augmenté et est passée d’environ 30</w:t>
      </w:r>
      <w:r w:rsidR="000F1FB0">
        <w:t> </w:t>
      </w:r>
      <w:r w:rsidR="00B47E53">
        <w:t xml:space="preserve">p. 100 </w:t>
      </w:r>
      <w:r>
        <w:t>à 46</w:t>
      </w:r>
      <w:r w:rsidR="000F1FB0">
        <w:t> </w:t>
      </w:r>
      <w:r w:rsidR="00B47E53">
        <w:t>p. 100</w:t>
      </w:r>
      <w:r w:rsidR="0017251E">
        <w:t>.</w:t>
      </w:r>
    </w:p>
    <w:p w14:paraId="7F82246A" w14:textId="2DC9D773" w:rsidR="00D7171C" w:rsidRPr="0006145E" w:rsidRDefault="00D170BE" w:rsidP="00703D8E">
      <w:pPr>
        <w:spacing w:after="120"/>
      </w:pPr>
      <w:r>
        <w:t xml:space="preserve">Pour déterminer si cette augmentation des nominations non annoncées a eu une incidence sur les membres des groupes visés par l’équité en </w:t>
      </w:r>
      <w:r w:rsidR="00331A7F">
        <w:t>matière d’</w:t>
      </w:r>
      <w:r>
        <w:t>emploi</w:t>
      </w:r>
      <w:r w:rsidR="003533CA">
        <w:t xml:space="preserve"> (EE)</w:t>
      </w:r>
      <w:r>
        <w:t>, nous avons analysé la représentation</w:t>
      </w:r>
      <w:r w:rsidR="003E779E">
        <w:t xml:space="preserve"> </w:t>
      </w:r>
      <w:r>
        <w:t>de chaque groupe visé par l’</w:t>
      </w:r>
      <w:r w:rsidR="003533CA">
        <w:t>EE</w:t>
      </w:r>
      <w:r>
        <w:t xml:space="preserve"> dans les nominations non ann</w:t>
      </w:r>
      <w:r w:rsidR="0017251E">
        <w:t>oncées.</w:t>
      </w:r>
    </w:p>
    <w:p w14:paraId="3EBBFA9B" w14:textId="104E067F" w:rsidR="00D7171C" w:rsidRPr="0006145E" w:rsidRDefault="00D170BE" w:rsidP="00D7171C">
      <w:pPr>
        <w:pStyle w:val="ListParagraph"/>
        <w:numPr>
          <w:ilvl w:val="0"/>
          <w:numId w:val="34"/>
        </w:numPr>
        <w:spacing w:after="120"/>
        <w:contextualSpacing w:val="0"/>
      </w:pPr>
      <w:r>
        <w:t xml:space="preserve">Comme le montrent les diagrammes ci-dessous, la représentation des groupes visés par </w:t>
      </w:r>
      <w:r w:rsidR="003533CA">
        <w:t>l’EE</w:t>
      </w:r>
      <w:r>
        <w:t xml:space="preserve"> dans les nominations non annoncées n’a p</w:t>
      </w:r>
      <w:r w:rsidR="0017251E">
        <w:t>as été défavorablement touchée.</w:t>
      </w:r>
    </w:p>
    <w:p w14:paraId="62A801F5" w14:textId="1C5BDF80" w:rsidR="00D7171C" w:rsidRDefault="00371E3C" w:rsidP="00703D8E">
      <w:pPr>
        <w:pStyle w:val="ListParagraph"/>
        <w:numPr>
          <w:ilvl w:val="0"/>
          <w:numId w:val="34"/>
        </w:numPr>
      </w:pPr>
      <w:r>
        <w:t xml:space="preserve">La représentation </w:t>
      </w:r>
      <w:r w:rsidR="003E779E">
        <w:t xml:space="preserve">des membres de minorités visibles </w:t>
      </w:r>
      <w:r>
        <w:t>dans les nominations non annoncées a augmenté depuis l’entrée en vigueur de la NOD</w:t>
      </w:r>
      <w:r w:rsidR="003E779E">
        <w:t>, alors que celle des autres groupes visés par l’EE est demeurée stable</w:t>
      </w:r>
      <w:r>
        <w:t>.</w:t>
      </w:r>
    </w:p>
    <w:p w14:paraId="06781342" w14:textId="12186720" w:rsidR="00BB1C57" w:rsidRPr="00366BD9" w:rsidRDefault="00BB1C57" w:rsidP="00BB1C57">
      <w:pPr>
        <w:pStyle w:val="ListParagraph"/>
        <w:numPr>
          <w:ilvl w:val="1"/>
          <w:numId w:val="34"/>
        </w:numPr>
        <w:spacing w:after="120"/>
        <w:contextualSpacing w:val="0"/>
        <w:jc w:val="both"/>
      </w:pPr>
      <w:r w:rsidRPr="00BB1C57">
        <w:t xml:space="preserve">Il est important de noter que cette analyse vise </w:t>
      </w:r>
      <w:r w:rsidR="0077648E">
        <w:t>le groupe</w:t>
      </w:r>
      <w:r>
        <w:t xml:space="preserve"> de</w:t>
      </w:r>
      <w:r w:rsidR="0077648E">
        <w:t>s</w:t>
      </w:r>
      <w:r>
        <w:t xml:space="preserve"> minorités visibles dans son ensemble</w:t>
      </w:r>
      <w:r w:rsidRPr="00BB1C57">
        <w:t xml:space="preserve">. </w:t>
      </w:r>
      <w:r>
        <w:t xml:space="preserve">Une analyse ventilée par sous-groupe pourrait faire ressortir des différences dans les nominations </w:t>
      </w:r>
      <w:r w:rsidRPr="00BB1C57">
        <w:t xml:space="preserve">non annoncées </w:t>
      </w:r>
      <w:r w:rsidR="0077648E">
        <w:t>parmi les</w:t>
      </w:r>
      <w:r w:rsidRPr="00BB1C57">
        <w:t xml:space="preserve"> sous-groupes.</w:t>
      </w:r>
    </w:p>
    <w:p w14:paraId="05D37553" w14:textId="577F040C" w:rsidR="00A6698F" w:rsidRPr="0006145E" w:rsidRDefault="00A6698F" w:rsidP="00BB1C57">
      <w:pPr>
        <w:pStyle w:val="ListParagraph"/>
        <w:numPr>
          <w:ilvl w:val="0"/>
          <w:numId w:val="34"/>
        </w:numPr>
        <w:spacing w:after="120"/>
        <w:contextualSpacing w:val="0"/>
        <w:jc w:val="both"/>
      </w:pPr>
      <w:r>
        <w:lastRenderedPageBreak/>
        <w:t>Cette augmentation de la représentation des membres de minorités visibles dans les nominations non annoncées comble en partie le fossé avec leur représentation dans les nominations annoncées.</w:t>
      </w:r>
    </w:p>
    <w:p w14:paraId="41EDE6F9" w14:textId="77777777" w:rsidR="00A6698F" w:rsidRPr="00A6698F" w:rsidRDefault="00A6698F" w:rsidP="00A6698F">
      <w:pPr>
        <w:pStyle w:val="DataText"/>
        <w:numPr>
          <w:ilvl w:val="1"/>
          <w:numId w:val="34"/>
        </w:numPr>
      </w:pPr>
      <w:r w:rsidRPr="00A6698F">
        <w:rPr>
          <w:rFonts w:cstheme="minorHAnsi"/>
        </w:rPr>
        <w:t xml:space="preserve">En 2013-2014, la représentation </w:t>
      </w:r>
      <w:r>
        <w:t>des membres de minorités visibles était de</w:t>
      </w:r>
      <w:r w:rsidRPr="00A6698F">
        <w:rPr>
          <w:rFonts w:cstheme="minorHAnsi"/>
        </w:rPr>
        <w:t xml:space="preserve"> 16,1 p. 100 dans les nominations annoncées et de 13,1 p. 100 dans les nominations non annoncées.</w:t>
      </w:r>
    </w:p>
    <w:p w14:paraId="5375E938" w14:textId="7C8ED627" w:rsidR="00047A49" w:rsidRDefault="00A6698F" w:rsidP="00617CEB">
      <w:pPr>
        <w:pStyle w:val="DataText"/>
        <w:numPr>
          <w:ilvl w:val="1"/>
          <w:numId w:val="34"/>
        </w:numPr>
      </w:pPr>
      <w:r w:rsidRPr="00A6698F">
        <w:rPr>
          <w:rFonts w:cstheme="minorHAnsi"/>
        </w:rPr>
        <w:t xml:space="preserve">En 2018-2019, la représentation </w:t>
      </w:r>
      <w:r>
        <w:t>des membres de minorités visibles était de</w:t>
      </w:r>
      <w:r w:rsidRPr="00A6698F">
        <w:rPr>
          <w:rFonts w:cstheme="minorHAnsi"/>
        </w:rPr>
        <w:t xml:space="preserve"> 20,1 p. 100 dans les nominations annoncées et de 18,0 p. 100 dans les nominations non annoncées.</w:t>
      </w:r>
    </w:p>
    <w:p w14:paraId="32D2D903" w14:textId="120642E3" w:rsidR="00047A49" w:rsidRPr="00047A49" w:rsidRDefault="00047A49" w:rsidP="00617CEB">
      <w:pPr>
        <w:pStyle w:val="Caption"/>
        <w:keepNext/>
        <w:spacing w:before="300"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t xml:space="preserve">Figure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Figure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2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Représentation des groupes visés par l’équité en matière d’emploi dans les nominations non annoncées, exercices 2013-2014 à 2018-2019</w:t>
      </w:r>
    </w:p>
    <w:p w14:paraId="7A72D9B9" w14:textId="6D80E341" w:rsidR="0052580A" w:rsidRDefault="0052580A" w:rsidP="00047A49">
      <w:pPr>
        <w:jc w:val="center"/>
      </w:pPr>
      <w:r w:rsidRPr="0052580A">
        <w:rPr>
          <w:rFonts w:ascii="Calibri" w:eastAsia="Calibri" w:hAnsi="Calibri" w:cs="Times New Roman"/>
          <w:noProof/>
          <w:color w:val="000000"/>
          <w:lang w:val="en-CA" w:eastAsia="en-CA"/>
        </w:rPr>
        <w:drawing>
          <wp:inline distT="0" distB="0" distL="0" distR="0" wp14:anchorId="194E383D" wp14:editId="6CC0AD9A">
            <wp:extent cx="5467350" cy="4089243"/>
            <wp:effectExtent l="0" t="0" r="0" b="6985"/>
            <wp:docPr id="2" name="Picture 2" descr="Représentation des groupes visés par l’équité en matière d’emploi dans les nominations non annoncées, exercices 2013-2014 à 2018-2019. La version textuelle suit. " title="Représentation des groupes visés par l’équité en matière d’emploi dans les nominations non annoncées, exercices 2013-2014 à 2018-2019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8A8B.239171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01" cy="409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896E" w14:textId="5DA4284B" w:rsidR="00CB047C" w:rsidRDefault="003533CA" w:rsidP="0017251E">
      <w:pPr>
        <w:rPr>
          <w:b/>
          <w:color w:val="auto"/>
        </w:rPr>
      </w:pPr>
      <w:r>
        <w:t>Voici l</w:t>
      </w:r>
      <w:r w:rsidR="00085E9D">
        <w:t xml:space="preserve">a représentation comparée à la disponibilité au sein </w:t>
      </w:r>
      <w:r w:rsidR="0017251E">
        <w:t>de la population active (DPA) :</w:t>
      </w:r>
      <w:r w:rsidR="00CB047C">
        <w:rPr>
          <w:b/>
          <w:color w:val="auto"/>
        </w:rPr>
        <w:br w:type="page"/>
      </w:r>
    </w:p>
    <w:p w14:paraId="5008B024" w14:textId="1540BF81" w:rsidR="00047A49" w:rsidRPr="00047A49" w:rsidRDefault="00047A49" w:rsidP="00047A49">
      <w:pPr>
        <w:pStyle w:val="Caption"/>
        <w:keepNext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lastRenderedPageBreak/>
        <w:t xml:space="preserve">Table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Table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3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Représentation des femmes dans les nominations non annoncées, exercices 2013-2014 à 2018-2019</w:t>
      </w:r>
    </w:p>
    <w:tbl>
      <w:tblPr>
        <w:tblStyle w:val="ListTable6Colorful-Accent1"/>
        <w:tblW w:w="9721" w:type="dxa"/>
        <w:tblLook w:val="06A0" w:firstRow="1" w:lastRow="0" w:firstColumn="1" w:lastColumn="0" w:noHBand="1" w:noVBand="1"/>
        <w:tblCaption w:val="Representation of women in non-advertised appointments, fiscal years 2013-2014 to 2018-2019"/>
        <w:tblDescription w:val="Representation of women in non-advertised appointments, fiscal years 2013-2014 to 2018-2019"/>
      </w:tblPr>
      <w:tblGrid>
        <w:gridCol w:w="2659"/>
        <w:gridCol w:w="1177"/>
        <w:gridCol w:w="1177"/>
        <w:gridCol w:w="1177"/>
        <w:gridCol w:w="1177"/>
        <w:gridCol w:w="1177"/>
        <w:gridCol w:w="1177"/>
      </w:tblGrid>
      <w:tr w:rsidR="00CB047C" w:rsidRPr="00E42D8E" w14:paraId="2B51A250" w14:textId="77777777" w:rsidTr="0095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3B63A14F" w14:textId="6FA08405" w:rsidR="00CB047C" w:rsidRPr="00B14EE5" w:rsidRDefault="00411D6B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>
              <w:rPr>
                <w:rFonts w:eastAsia="Times New Roman" w:cstheme="minorHAnsi"/>
                <w:b w:val="0"/>
                <w:color w:val="000000"/>
                <w:lang w:eastAsia="en-CA"/>
              </w:rPr>
              <w:t>Mesure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783031BB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2013-2014</w:t>
            </w:r>
          </w:p>
        </w:tc>
        <w:tc>
          <w:tcPr>
            <w:tcW w:w="1177" w:type="dxa"/>
            <w:noWrap/>
            <w:vAlign w:val="center"/>
            <w:hideMark/>
          </w:tcPr>
          <w:p w14:paraId="6BF0D18F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2014-2015</w:t>
            </w:r>
          </w:p>
        </w:tc>
        <w:tc>
          <w:tcPr>
            <w:tcW w:w="1177" w:type="dxa"/>
            <w:noWrap/>
            <w:vAlign w:val="center"/>
            <w:hideMark/>
          </w:tcPr>
          <w:p w14:paraId="10A45A41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2015-2016</w:t>
            </w:r>
          </w:p>
        </w:tc>
        <w:tc>
          <w:tcPr>
            <w:tcW w:w="1177" w:type="dxa"/>
            <w:noWrap/>
            <w:vAlign w:val="center"/>
            <w:hideMark/>
          </w:tcPr>
          <w:p w14:paraId="0C273A78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2016-2017</w:t>
            </w:r>
          </w:p>
        </w:tc>
        <w:tc>
          <w:tcPr>
            <w:tcW w:w="1177" w:type="dxa"/>
            <w:noWrap/>
            <w:vAlign w:val="center"/>
            <w:hideMark/>
          </w:tcPr>
          <w:p w14:paraId="57FAD2AD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2017-2018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4C7122D2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2018-2019</w:t>
            </w:r>
          </w:p>
        </w:tc>
      </w:tr>
      <w:tr w:rsidR="00CB047C" w:rsidRPr="00E42D8E" w14:paraId="055FCB7B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75CCB099" w14:textId="0E2FF9AE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Représentation dans les nominations non annoncées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489FE01B" w14:textId="72FCB84F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57,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50%</w:t>
            </w:r>
          </w:p>
        </w:tc>
        <w:tc>
          <w:tcPr>
            <w:tcW w:w="1177" w:type="dxa"/>
            <w:noWrap/>
            <w:vAlign w:val="center"/>
            <w:hideMark/>
          </w:tcPr>
          <w:p w14:paraId="386555D5" w14:textId="58900C15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59,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00%</w:t>
            </w:r>
          </w:p>
        </w:tc>
        <w:tc>
          <w:tcPr>
            <w:tcW w:w="1177" w:type="dxa"/>
            <w:noWrap/>
            <w:vAlign w:val="center"/>
            <w:hideMark/>
          </w:tcPr>
          <w:p w14:paraId="229AA70B" w14:textId="3543A7E8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57,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80%</w:t>
            </w:r>
          </w:p>
        </w:tc>
        <w:tc>
          <w:tcPr>
            <w:tcW w:w="1177" w:type="dxa"/>
            <w:noWrap/>
            <w:vAlign w:val="center"/>
            <w:hideMark/>
          </w:tcPr>
          <w:p w14:paraId="22072298" w14:textId="4055E08D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59</w:t>
            </w:r>
            <w:r w:rsidR="00E43A5F">
              <w:rPr>
                <w:rFonts w:eastAsia="Times New Roman" w:cstheme="minorHAnsi"/>
                <w:color w:val="auto"/>
                <w:lang w:eastAsia="en-CA"/>
              </w:rPr>
              <w:t>,</w:t>
            </w:r>
            <w:r w:rsidRPr="00B14EE5">
              <w:rPr>
                <w:rFonts w:eastAsia="Times New Roman" w:cstheme="minorHAnsi"/>
                <w:color w:val="auto"/>
                <w:lang w:eastAsia="en-CA"/>
              </w:rPr>
              <w:t>10%</w:t>
            </w:r>
          </w:p>
        </w:tc>
        <w:tc>
          <w:tcPr>
            <w:tcW w:w="1177" w:type="dxa"/>
            <w:noWrap/>
            <w:vAlign w:val="center"/>
            <w:hideMark/>
          </w:tcPr>
          <w:p w14:paraId="06C6F3A5" w14:textId="2D29A5C4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61,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40%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197DACED" w14:textId="18D153E8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61,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90%</w:t>
            </w:r>
          </w:p>
        </w:tc>
      </w:tr>
      <w:tr w:rsidR="00CB047C" w:rsidRPr="00E42D8E" w14:paraId="2C3CECC0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470DD6D2" w14:textId="634A4C95" w:rsidR="00CB047C" w:rsidRPr="00B14EE5" w:rsidRDefault="00CB047C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2013-2014 à 2017-2018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78F70569" w14:textId="4BC8B78F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52,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50%</w:t>
            </w:r>
          </w:p>
        </w:tc>
        <w:tc>
          <w:tcPr>
            <w:tcW w:w="1177" w:type="dxa"/>
            <w:noWrap/>
            <w:vAlign w:val="center"/>
            <w:hideMark/>
          </w:tcPr>
          <w:p w14:paraId="37978628" w14:textId="47647C0F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52,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50%</w:t>
            </w:r>
          </w:p>
        </w:tc>
        <w:tc>
          <w:tcPr>
            <w:tcW w:w="1177" w:type="dxa"/>
            <w:noWrap/>
            <w:vAlign w:val="center"/>
            <w:hideMark/>
          </w:tcPr>
          <w:p w14:paraId="4B026D7E" w14:textId="64FB405B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52,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50%</w:t>
            </w:r>
          </w:p>
        </w:tc>
        <w:tc>
          <w:tcPr>
            <w:tcW w:w="1177" w:type="dxa"/>
            <w:noWrap/>
            <w:vAlign w:val="center"/>
            <w:hideMark/>
          </w:tcPr>
          <w:p w14:paraId="372F671F" w14:textId="3D36819B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52,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50%</w:t>
            </w:r>
          </w:p>
        </w:tc>
        <w:tc>
          <w:tcPr>
            <w:tcW w:w="1177" w:type="dxa"/>
            <w:noWrap/>
            <w:vAlign w:val="center"/>
            <w:hideMark/>
          </w:tcPr>
          <w:p w14:paraId="3093DCC4" w14:textId="67A7022A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52,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50%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33891023" w14:textId="77777777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 </w:t>
            </w:r>
          </w:p>
        </w:tc>
      </w:tr>
      <w:tr w:rsidR="00CB047C" w:rsidRPr="00E42D8E" w14:paraId="044125E0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38535A04" w14:textId="3F9E4F6C" w:rsidR="00CB047C" w:rsidRPr="00B14EE5" w:rsidRDefault="00CB047C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2018-2019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70B1243E" w14:textId="77777777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 </w:t>
            </w:r>
          </w:p>
        </w:tc>
        <w:tc>
          <w:tcPr>
            <w:tcW w:w="1177" w:type="dxa"/>
            <w:noWrap/>
            <w:vAlign w:val="center"/>
            <w:hideMark/>
          </w:tcPr>
          <w:p w14:paraId="56C841BA" w14:textId="77777777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 </w:t>
            </w:r>
          </w:p>
        </w:tc>
        <w:tc>
          <w:tcPr>
            <w:tcW w:w="1177" w:type="dxa"/>
            <w:noWrap/>
            <w:vAlign w:val="center"/>
            <w:hideMark/>
          </w:tcPr>
          <w:p w14:paraId="5B8E694A" w14:textId="77777777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 </w:t>
            </w:r>
          </w:p>
        </w:tc>
        <w:tc>
          <w:tcPr>
            <w:tcW w:w="1177" w:type="dxa"/>
            <w:noWrap/>
            <w:vAlign w:val="center"/>
            <w:hideMark/>
          </w:tcPr>
          <w:p w14:paraId="016A2B3B" w14:textId="77777777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 </w:t>
            </w:r>
          </w:p>
        </w:tc>
        <w:tc>
          <w:tcPr>
            <w:tcW w:w="1177" w:type="dxa"/>
            <w:noWrap/>
            <w:vAlign w:val="center"/>
            <w:hideMark/>
          </w:tcPr>
          <w:p w14:paraId="610926C3" w14:textId="77777777" w:rsidR="00CB047C" w:rsidRPr="00B14EE5" w:rsidRDefault="00CB047C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 w:rsidRPr="00B14EE5">
              <w:rPr>
                <w:rFonts w:eastAsia="Times New Roman" w:cstheme="minorHAnsi"/>
                <w:color w:val="auto"/>
                <w:lang w:eastAsia="en-CA"/>
              </w:rPr>
              <w:t> 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3720E6C0" w14:textId="7F22B710" w:rsidR="00CB047C" w:rsidRPr="00B14EE5" w:rsidRDefault="00E43A5F" w:rsidP="0095404E">
            <w:pPr>
              <w:keepLine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rFonts w:eastAsia="Times New Roman" w:cstheme="minorHAnsi"/>
                <w:color w:val="auto"/>
                <w:lang w:eastAsia="en-CA"/>
              </w:rPr>
              <w:t>52,</w:t>
            </w:r>
            <w:r w:rsidR="00CB047C" w:rsidRPr="00B14EE5">
              <w:rPr>
                <w:rFonts w:eastAsia="Times New Roman" w:cstheme="minorHAnsi"/>
                <w:color w:val="auto"/>
                <w:lang w:eastAsia="en-CA"/>
              </w:rPr>
              <w:t>70%</w:t>
            </w:r>
          </w:p>
        </w:tc>
      </w:tr>
    </w:tbl>
    <w:p w14:paraId="08F366C3" w14:textId="6FFF84D0" w:rsidR="00047A49" w:rsidRPr="00047A49" w:rsidRDefault="00047A49" w:rsidP="00617CEB">
      <w:pPr>
        <w:pStyle w:val="Caption"/>
        <w:keepNext/>
        <w:spacing w:before="400"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t xml:space="preserve">Table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Table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4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Représentation des membres de minorités visibles dans les nominations non annoncées, exercices 2013-2014 à 2018-2019</w:t>
      </w:r>
    </w:p>
    <w:tbl>
      <w:tblPr>
        <w:tblStyle w:val="ListTable6Colorful-Accent1"/>
        <w:tblW w:w="9721" w:type="dxa"/>
        <w:tblLook w:val="06A0" w:firstRow="1" w:lastRow="0" w:firstColumn="1" w:lastColumn="0" w:noHBand="1" w:noVBand="1"/>
        <w:tblCaption w:val="Representation of members of visible minorities in non-advertised appointments, fiscal years 2013-2014 to 2018-2019"/>
        <w:tblDescription w:val="Representation of members of visible minorities in non-advertised appointments, fiscal years 2013-2014 to 2018-2019"/>
      </w:tblPr>
      <w:tblGrid>
        <w:gridCol w:w="2659"/>
        <w:gridCol w:w="1177"/>
        <w:gridCol w:w="1177"/>
        <w:gridCol w:w="1177"/>
        <w:gridCol w:w="1177"/>
        <w:gridCol w:w="1177"/>
        <w:gridCol w:w="1177"/>
      </w:tblGrid>
      <w:tr w:rsidR="00CB047C" w:rsidRPr="00E42D8E" w14:paraId="36A48337" w14:textId="77777777" w:rsidTr="0095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2AD1D2AB" w14:textId="266AF6D9" w:rsidR="00CB047C" w:rsidRPr="00B14EE5" w:rsidRDefault="00411D6B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>
              <w:rPr>
                <w:rFonts w:eastAsia="Times New Roman" w:cstheme="minorHAnsi"/>
                <w:b w:val="0"/>
                <w:color w:val="000000"/>
                <w:lang w:eastAsia="en-CA"/>
              </w:rPr>
              <w:t>Mesure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4E8BA0F8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2013-2014</w:t>
            </w:r>
          </w:p>
        </w:tc>
        <w:tc>
          <w:tcPr>
            <w:tcW w:w="1177" w:type="dxa"/>
            <w:noWrap/>
            <w:vAlign w:val="center"/>
            <w:hideMark/>
          </w:tcPr>
          <w:p w14:paraId="5DAB226F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2014-2015</w:t>
            </w:r>
          </w:p>
        </w:tc>
        <w:tc>
          <w:tcPr>
            <w:tcW w:w="1177" w:type="dxa"/>
            <w:noWrap/>
            <w:vAlign w:val="center"/>
            <w:hideMark/>
          </w:tcPr>
          <w:p w14:paraId="0954DC16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2015-2016</w:t>
            </w:r>
          </w:p>
        </w:tc>
        <w:tc>
          <w:tcPr>
            <w:tcW w:w="1177" w:type="dxa"/>
            <w:noWrap/>
            <w:vAlign w:val="center"/>
            <w:hideMark/>
          </w:tcPr>
          <w:p w14:paraId="178BF0B7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2016-2017</w:t>
            </w:r>
          </w:p>
        </w:tc>
        <w:tc>
          <w:tcPr>
            <w:tcW w:w="1177" w:type="dxa"/>
            <w:noWrap/>
            <w:vAlign w:val="center"/>
            <w:hideMark/>
          </w:tcPr>
          <w:p w14:paraId="6E9E6336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2017-2018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4D50FA70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2018-2019</w:t>
            </w:r>
          </w:p>
        </w:tc>
      </w:tr>
      <w:tr w:rsidR="00CB047C" w:rsidRPr="00E42D8E" w14:paraId="6D65B9A1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604A975E" w14:textId="5D4C2444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Représentation dans les nominations non annoncées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289DC871" w14:textId="15F94878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10%</w:t>
            </w:r>
          </w:p>
        </w:tc>
        <w:tc>
          <w:tcPr>
            <w:tcW w:w="1177" w:type="dxa"/>
            <w:noWrap/>
            <w:vAlign w:val="center"/>
            <w:hideMark/>
          </w:tcPr>
          <w:p w14:paraId="481F61FB" w14:textId="78116A2D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30%</w:t>
            </w:r>
          </w:p>
        </w:tc>
        <w:tc>
          <w:tcPr>
            <w:tcW w:w="1177" w:type="dxa"/>
            <w:noWrap/>
            <w:vAlign w:val="center"/>
            <w:hideMark/>
          </w:tcPr>
          <w:p w14:paraId="76FEA63C" w14:textId="03F2F751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14,</w:t>
            </w:r>
            <w:r w:rsidR="00CB047C" w:rsidRPr="00B14EE5">
              <w:rPr>
                <w:color w:val="auto"/>
              </w:rPr>
              <w:t>80%</w:t>
            </w:r>
          </w:p>
        </w:tc>
        <w:tc>
          <w:tcPr>
            <w:tcW w:w="1177" w:type="dxa"/>
            <w:noWrap/>
            <w:vAlign w:val="center"/>
            <w:hideMark/>
          </w:tcPr>
          <w:p w14:paraId="223C33A6" w14:textId="4F4FE18B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15,</w:t>
            </w:r>
            <w:r w:rsidR="00CB047C" w:rsidRPr="00B14EE5">
              <w:rPr>
                <w:color w:val="auto"/>
              </w:rPr>
              <w:t>70%</w:t>
            </w:r>
          </w:p>
        </w:tc>
        <w:tc>
          <w:tcPr>
            <w:tcW w:w="1177" w:type="dxa"/>
            <w:noWrap/>
            <w:vAlign w:val="center"/>
            <w:hideMark/>
          </w:tcPr>
          <w:p w14:paraId="7A9637D9" w14:textId="603B3ABC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17,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6FE98A26" w14:textId="26E64D9B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18,</w:t>
            </w:r>
            <w:r w:rsidR="00CB047C" w:rsidRPr="00B14EE5">
              <w:rPr>
                <w:color w:val="auto"/>
              </w:rPr>
              <w:t>00%</w:t>
            </w:r>
          </w:p>
        </w:tc>
      </w:tr>
      <w:tr w:rsidR="00CB047C" w:rsidRPr="00E42D8E" w14:paraId="0AA80BDB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728F4FFE" w14:textId="3346F5ED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2013-2014 à 2017-2018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7EFCC2DF" w14:textId="0D36F57E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noWrap/>
            <w:vAlign w:val="center"/>
            <w:hideMark/>
          </w:tcPr>
          <w:p w14:paraId="41CCF21A" w14:textId="64892049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noWrap/>
            <w:vAlign w:val="center"/>
            <w:hideMark/>
          </w:tcPr>
          <w:p w14:paraId="6E70AA7B" w14:textId="4D8C5121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noWrap/>
            <w:vAlign w:val="center"/>
            <w:hideMark/>
          </w:tcPr>
          <w:p w14:paraId="7349251F" w14:textId="148D36F9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noWrap/>
            <w:vAlign w:val="center"/>
            <w:hideMark/>
          </w:tcPr>
          <w:p w14:paraId="5821FA97" w14:textId="44047B58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13,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2A975517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</w:tr>
      <w:tr w:rsidR="00CB047C" w:rsidRPr="00E42D8E" w14:paraId="72D7ECD5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6BDB8262" w14:textId="17594F32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2018-2019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5F25E1C9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4B53C358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6779F350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4C7836ED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3AE00D65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406EB9BA" w14:textId="361420EB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15,</w:t>
            </w:r>
            <w:r w:rsidR="00CB047C" w:rsidRPr="00B14EE5">
              <w:rPr>
                <w:color w:val="auto"/>
              </w:rPr>
              <w:t>30%</w:t>
            </w:r>
          </w:p>
        </w:tc>
      </w:tr>
    </w:tbl>
    <w:p w14:paraId="3E6D7E97" w14:textId="38970E4F" w:rsidR="00047A49" w:rsidRPr="00047A49" w:rsidRDefault="00047A49" w:rsidP="00617CEB">
      <w:pPr>
        <w:pStyle w:val="Caption"/>
        <w:keepNext/>
        <w:spacing w:before="400"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t xml:space="preserve">Table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Table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5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Représentation des Autochtones dans les nominations non annoncées, exercices 2013-2014 à 2018-2019</w:t>
      </w:r>
    </w:p>
    <w:tbl>
      <w:tblPr>
        <w:tblStyle w:val="ListTable6Colorful-Accent1"/>
        <w:tblW w:w="9721" w:type="dxa"/>
        <w:tblLook w:val="06A0" w:firstRow="1" w:lastRow="0" w:firstColumn="1" w:lastColumn="0" w:noHBand="1" w:noVBand="1"/>
        <w:tblCaption w:val="Representation of members of Indigenous people in non-advertised appointments, fiscal years 2013-2014 to 2018-2019"/>
        <w:tblDescription w:val="Representation of Indigenous people in non-advertised appointments, fiscal years 2013-2014 to 2018-2019"/>
      </w:tblPr>
      <w:tblGrid>
        <w:gridCol w:w="2659"/>
        <w:gridCol w:w="1177"/>
        <w:gridCol w:w="1177"/>
        <w:gridCol w:w="1177"/>
        <w:gridCol w:w="1177"/>
        <w:gridCol w:w="1177"/>
        <w:gridCol w:w="1177"/>
      </w:tblGrid>
      <w:tr w:rsidR="00CB047C" w:rsidRPr="00E42D8E" w14:paraId="34DECFC0" w14:textId="77777777" w:rsidTr="0095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6DF23743" w14:textId="3B03A30E" w:rsidR="00CB047C" w:rsidRPr="00B14EE5" w:rsidRDefault="00411D6B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>
              <w:rPr>
                <w:rFonts w:eastAsia="Times New Roman" w:cstheme="minorHAnsi"/>
                <w:b w:val="0"/>
                <w:color w:val="000000"/>
                <w:lang w:eastAsia="en-CA"/>
              </w:rPr>
              <w:t>Mesure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003EF091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2013-2014</w:t>
            </w:r>
          </w:p>
        </w:tc>
        <w:tc>
          <w:tcPr>
            <w:tcW w:w="1177" w:type="dxa"/>
            <w:noWrap/>
            <w:vAlign w:val="center"/>
            <w:hideMark/>
          </w:tcPr>
          <w:p w14:paraId="099F9B75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2014-2015</w:t>
            </w:r>
          </w:p>
        </w:tc>
        <w:tc>
          <w:tcPr>
            <w:tcW w:w="1177" w:type="dxa"/>
            <w:noWrap/>
            <w:vAlign w:val="center"/>
            <w:hideMark/>
          </w:tcPr>
          <w:p w14:paraId="4B1B947F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2015-2016</w:t>
            </w:r>
          </w:p>
        </w:tc>
        <w:tc>
          <w:tcPr>
            <w:tcW w:w="1177" w:type="dxa"/>
            <w:noWrap/>
            <w:vAlign w:val="center"/>
            <w:hideMark/>
          </w:tcPr>
          <w:p w14:paraId="7C1CAECE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2016-2017</w:t>
            </w:r>
          </w:p>
        </w:tc>
        <w:tc>
          <w:tcPr>
            <w:tcW w:w="1177" w:type="dxa"/>
            <w:noWrap/>
            <w:vAlign w:val="center"/>
            <w:hideMark/>
          </w:tcPr>
          <w:p w14:paraId="736B0E38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2017-2018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6D0D5E12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2018-2019</w:t>
            </w:r>
          </w:p>
        </w:tc>
      </w:tr>
      <w:tr w:rsidR="00CB047C" w:rsidRPr="00E42D8E" w14:paraId="70A3592C" w14:textId="77777777" w:rsidTr="00CB04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62D4D24A" w14:textId="67EE2851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Représentation dans les nominations non annoncées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19943D0C" w14:textId="389AAB12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5,</w:t>
            </w:r>
            <w:r w:rsidR="00CB047C" w:rsidRPr="00B14EE5">
              <w:rPr>
                <w:color w:val="auto"/>
              </w:rPr>
              <w:t>30%</w:t>
            </w:r>
          </w:p>
        </w:tc>
        <w:tc>
          <w:tcPr>
            <w:tcW w:w="1177" w:type="dxa"/>
            <w:noWrap/>
            <w:vAlign w:val="center"/>
            <w:hideMark/>
          </w:tcPr>
          <w:p w14:paraId="66F6B8DE" w14:textId="2F20165A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70%</w:t>
            </w:r>
          </w:p>
        </w:tc>
        <w:tc>
          <w:tcPr>
            <w:tcW w:w="1177" w:type="dxa"/>
            <w:noWrap/>
            <w:vAlign w:val="center"/>
            <w:hideMark/>
          </w:tcPr>
          <w:p w14:paraId="221F0FBE" w14:textId="5079F2B6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5,</w:t>
            </w:r>
            <w:r w:rsidR="00CB047C" w:rsidRPr="00B14EE5">
              <w:rPr>
                <w:color w:val="auto"/>
              </w:rPr>
              <w:t>10%</w:t>
            </w:r>
          </w:p>
        </w:tc>
        <w:tc>
          <w:tcPr>
            <w:tcW w:w="1177" w:type="dxa"/>
            <w:noWrap/>
            <w:vAlign w:val="center"/>
            <w:hideMark/>
          </w:tcPr>
          <w:p w14:paraId="1CAB9F80" w14:textId="52B743D6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5,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noWrap/>
            <w:vAlign w:val="center"/>
            <w:hideMark/>
          </w:tcPr>
          <w:p w14:paraId="7F12C32B" w14:textId="42CA25F0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5,</w:t>
            </w:r>
            <w:r w:rsidR="00CB047C" w:rsidRPr="00B14EE5">
              <w:rPr>
                <w:color w:val="auto"/>
              </w:rPr>
              <w:t>00%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0DD64861" w14:textId="72084973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5,</w:t>
            </w:r>
            <w:r w:rsidR="00CB047C" w:rsidRPr="00B14EE5">
              <w:rPr>
                <w:color w:val="auto"/>
              </w:rPr>
              <w:t>40%</w:t>
            </w:r>
          </w:p>
        </w:tc>
      </w:tr>
      <w:tr w:rsidR="00CB047C" w:rsidRPr="00E42D8E" w14:paraId="26845227" w14:textId="77777777" w:rsidTr="00CB04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45A0E612" w14:textId="6FD68102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2013-2014 à 2017-2018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48A70865" w14:textId="361E27E8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3,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4AF9EBF3" w14:textId="4C15DD2B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3,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70DD9A46" w14:textId="40599F73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3,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007456D6" w14:textId="3F71B957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3,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0A33F655" w14:textId="65853328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3,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067DE344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</w:tr>
      <w:tr w:rsidR="00CB047C" w:rsidRPr="00E42D8E" w14:paraId="4AB3588E" w14:textId="77777777" w:rsidTr="00CB047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3D5064F8" w14:textId="526E72CC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2018-2019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503E422A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7F7D3319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011E513A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031EDD64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521FE519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2CA4D605" w14:textId="13D53334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00%</w:t>
            </w:r>
          </w:p>
        </w:tc>
      </w:tr>
    </w:tbl>
    <w:p w14:paraId="7BFF328B" w14:textId="77777777" w:rsidR="00CB047C" w:rsidRDefault="00CB047C">
      <w:pPr>
        <w:keepLines w:val="0"/>
        <w:rPr>
          <w:b/>
          <w:color w:val="auto"/>
        </w:rPr>
      </w:pPr>
      <w:r>
        <w:rPr>
          <w:b/>
          <w:color w:val="auto"/>
        </w:rPr>
        <w:br w:type="page"/>
      </w:r>
    </w:p>
    <w:p w14:paraId="098A5308" w14:textId="160CB229" w:rsidR="00047A49" w:rsidRPr="00047A49" w:rsidRDefault="00047A49" w:rsidP="00047A49">
      <w:pPr>
        <w:pStyle w:val="Caption"/>
        <w:keepNext/>
        <w:jc w:val="center"/>
        <w:rPr>
          <w:rStyle w:val="Strong"/>
          <w:i w:val="0"/>
          <w:sz w:val="22"/>
          <w:szCs w:val="22"/>
        </w:rPr>
      </w:pPr>
      <w:r w:rsidRPr="00047A49">
        <w:rPr>
          <w:rStyle w:val="Strong"/>
          <w:i w:val="0"/>
          <w:sz w:val="22"/>
          <w:szCs w:val="22"/>
        </w:rPr>
        <w:lastRenderedPageBreak/>
        <w:t xml:space="preserve">Table </w:t>
      </w:r>
      <w:r w:rsidRPr="00047A49">
        <w:rPr>
          <w:rStyle w:val="Strong"/>
          <w:i w:val="0"/>
          <w:sz w:val="22"/>
          <w:szCs w:val="22"/>
        </w:rPr>
        <w:fldChar w:fldCharType="begin"/>
      </w:r>
      <w:r w:rsidRPr="00047A49">
        <w:rPr>
          <w:rStyle w:val="Strong"/>
          <w:i w:val="0"/>
          <w:sz w:val="22"/>
          <w:szCs w:val="22"/>
        </w:rPr>
        <w:instrText xml:space="preserve"> SEQ Table \* ARABIC </w:instrText>
      </w:r>
      <w:r w:rsidRPr="00047A49">
        <w:rPr>
          <w:rStyle w:val="Strong"/>
          <w:i w:val="0"/>
          <w:sz w:val="22"/>
          <w:szCs w:val="22"/>
        </w:rPr>
        <w:fldChar w:fldCharType="separate"/>
      </w:r>
      <w:r w:rsidRPr="00047A49">
        <w:rPr>
          <w:rStyle w:val="Strong"/>
          <w:i w:val="0"/>
          <w:sz w:val="22"/>
          <w:szCs w:val="22"/>
        </w:rPr>
        <w:t>6</w:t>
      </w:r>
      <w:r w:rsidRPr="00047A49">
        <w:rPr>
          <w:rStyle w:val="Strong"/>
          <w:i w:val="0"/>
          <w:sz w:val="22"/>
          <w:szCs w:val="22"/>
        </w:rPr>
        <w:fldChar w:fldCharType="end"/>
      </w:r>
      <w:r w:rsidRPr="00047A49">
        <w:rPr>
          <w:rStyle w:val="Strong"/>
          <w:i w:val="0"/>
          <w:sz w:val="22"/>
          <w:szCs w:val="22"/>
        </w:rPr>
        <w:t> : Représentation des personnes handicapées dans les nominations non annoncées, exercices 2013-2014 à 2018-2019</w:t>
      </w:r>
    </w:p>
    <w:tbl>
      <w:tblPr>
        <w:tblStyle w:val="ListTable6Colorful-Accent1"/>
        <w:tblW w:w="9721" w:type="dxa"/>
        <w:tblLook w:val="06A0" w:firstRow="1" w:lastRow="0" w:firstColumn="1" w:lastColumn="0" w:noHBand="1" w:noVBand="1"/>
        <w:tblCaption w:val="Representation of persons with disabilities in non-advertised appointments, fiscal years 2013-2014 to 2018-2019"/>
        <w:tblDescription w:val="Representation of persons with disabilities in non-advertised appointments, fiscal years 2013-2014 to 2018-2019"/>
      </w:tblPr>
      <w:tblGrid>
        <w:gridCol w:w="2659"/>
        <w:gridCol w:w="1177"/>
        <w:gridCol w:w="1177"/>
        <w:gridCol w:w="1177"/>
        <w:gridCol w:w="1177"/>
        <w:gridCol w:w="1177"/>
        <w:gridCol w:w="1177"/>
      </w:tblGrid>
      <w:tr w:rsidR="00CB047C" w:rsidRPr="00E42D8E" w14:paraId="368EE2D1" w14:textId="77777777" w:rsidTr="0095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2F34F451" w14:textId="52A4CF34" w:rsidR="00CB047C" w:rsidRPr="00B14EE5" w:rsidRDefault="00411D6B" w:rsidP="0095404E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>
              <w:rPr>
                <w:rFonts w:eastAsia="Times New Roman" w:cstheme="minorHAnsi"/>
                <w:b w:val="0"/>
                <w:color w:val="000000"/>
                <w:lang w:eastAsia="en-CA"/>
              </w:rPr>
              <w:t>Mesure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1D8D8F49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2013-2014</w:t>
            </w:r>
          </w:p>
        </w:tc>
        <w:tc>
          <w:tcPr>
            <w:tcW w:w="1177" w:type="dxa"/>
            <w:noWrap/>
            <w:vAlign w:val="center"/>
            <w:hideMark/>
          </w:tcPr>
          <w:p w14:paraId="5ABE9E69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2014-2015</w:t>
            </w:r>
          </w:p>
        </w:tc>
        <w:tc>
          <w:tcPr>
            <w:tcW w:w="1177" w:type="dxa"/>
            <w:noWrap/>
            <w:vAlign w:val="center"/>
            <w:hideMark/>
          </w:tcPr>
          <w:p w14:paraId="5DD01981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2015-2016</w:t>
            </w:r>
          </w:p>
        </w:tc>
        <w:tc>
          <w:tcPr>
            <w:tcW w:w="1177" w:type="dxa"/>
            <w:noWrap/>
            <w:vAlign w:val="center"/>
            <w:hideMark/>
          </w:tcPr>
          <w:p w14:paraId="136F5144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2016-2017</w:t>
            </w:r>
          </w:p>
        </w:tc>
        <w:tc>
          <w:tcPr>
            <w:tcW w:w="1177" w:type="dxa"/>
            <w:noWrap/>
            <w:vAlign w:val="center"/>
            <w:hideMark/>
          </w:tcPr>
          <w:p w14:paraId="308D6AA8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2017-2018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3C41776A" w14:textId="77777777" w:rsidR="00CB047C" w:rsidRPr="00B14EE5" w:rsidRDefault="00CB047C" w:rsidP="0095404E">
            <w:pPr>
              <w:keepLine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2018-2019</w:t>
            </w:r>
          </w:p>
        </w:tc>
      </w:tr>
      <w:tr w:rsidR="00CB047C" w:rsidRPr="00E42D8E" w14:paraId="1D6C2588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22A04671" w14:textId="0B9142BF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Représentation dans les nominations non annoncées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79BB20B5" w14:textId="35578070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1AE2C0C8" w14:textId="53C7707F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30%</w:t>
            </w:r>
          </w:p>
        </w:tc>
        <w:tc>
          <w:tcPr>
            <w:tcW w:w="1177" w:type="dxa"/>
            <w:noWrap/>
            <w:vAlign w:val="center"/>
            <w:hideMark/>
          </w:tcPr>
          <w:p w14:paraId="080A8A68" w14:textId="72560329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20%</w:t>
            </w:r>
          </w:p>
        </w:tc>
        <w:tc>
          <w:tcPr>
            <w:tcW w:w="1177" w:type="dxa"/>
            <w:noWrap/>
            <w:vAlign w:val="center"/>
            <w:hideMark/>
          </w:tcPr>
          <w:p w14:paraId="176C71C7" w14:textId="5EE9EB15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3,</w:t>
            </w:r>
            <w:r w:rsidR="00CB047C" w:rsidRPr="00B14EE5">
              <w:rPr>
                <w:color w:val="auto"/>
              </w:rPr>
              <w:t>80%</w:t>
            </w:r>
          </w:p>
        </w:tc>
        <w:tc>
          <w:tcPr>
            <w:tcW w:w="1177" w:type="dxa"/>
            <w:noWrap/>
            <w:vAlign w:val="center"/>
            <w:hideMark/>
          </w:tcPr>
          <w:p w14:paraId="3655A966" w14:textId="7AD27E6C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10%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0F507A2F" w14:textId="707C1CAB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20%</w:t>
            </w:r>
          </w:p>
        </w:tc>
      </w:tr>
      <w:tr w:rsidR="00CB047C" w:rsidRPr="00E42D8E" w14:paraId="7325506C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58E89EAF" w14:textId="2F7665AE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2013-2014 à 2017-2018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6F1C75F7" w14:textId="6E9755FC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31E66F21" w14:textId="3280EF0C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70421C21" w14:textId="77D97058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333E0158" w14:textId="60DD433E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noWrap/>
            <w:vAlign w:val="center"/>
            <w:hideMark/>
          </w:tcPr>
          <w:p w14:paraId="6CC66169" w14:textId="44C5655F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4,</w:t>
            </w:r>
            <w:r w:rsidR="00CB047C" w:rsidRPr="00B14EE5">
              <w:rPr>
                <w:color w:val="auto"/>
              </w:rPr>
              <w:t>40%</w:t>
            </w: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1193EE30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</w:tr>
      <w:tr w:rsidR="00CB047C" w:rsidRPr="00E42D8E" w14:paraId="3A5A791C" w14:textId="77777777" w:rsidTr="0095404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9" w:type="dxa"/>
            <w:tcBorders>
              <w:left w:val="single" w:sz="4" w:space="0" w:color="D50057" w:themeColor="accent1"/>
              <w:right w:val="single" w:sz="4" w:space="0" w:color="D50057" w:themeColor="accent1"/>
            </w:tcBorders>
            <w:noWrap/>
            <w:vAlign w:val="center"/>
            <w:hideMark/>
          </w:tcPr>
          <w:p w14:paraId="798B26C8" w14:textId="42411FF0" w:rsidR="00CB047C" w:rsidRPr="00B14EE5" w:rsidRDefault="00CB047C" w:rsidP="00CB047C">
            <w:pPr>
              <w:keepLines w:val="0"/>
              <w:rPr>
                <w:rFonts w:eastAsia="Times New Roman" w:cstheme="minorHAnsi"/>
                <w:b w:val="0"/>
                <w:color w:val="000000"/>
                <w:lang w:eastAsia="en-CA"/>
              </w:rPr>
            </w:pPr>
            <w:r w:rsidRPr="00B14EE5">
              <w:rPr>
                <w:rFonts w:eastAsia="Times New Roman" w:cstheme="minorHAnsi"/>
                <w:b w:val="0"/>
                <w:color w:val="000000"/>
                <w:lang w:eastAsia="en-CA"/>
              </w:rPr>
              <w:t>Repère de la DPA, 2018-2019</w:t>
            </w:r>
          </w:p>
        </w:tc>
        <w:tc>
          <w:tcPr>
            <w:tcW w:w="1177" w:type="dxa"/>
            <w:tcBorders>
              <w:left w:val="single" w:sz="4" w:space="0" w:color="D50057" w:themeColor="accent1"/>
            </w:tcBorders>
            <w:noWrap/>
            <w:vAlign w:val="center"/>
            <w:hideMark/>
          </w:tcPr>
          <w:p w14:paraId="6A5BC80E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5E16B599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284199BB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77B36B07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noWrap/>
            <w:vAlign w:val="center"/>
            <w:hideMark/>
          </w:tcPr>
          <w:p w14:paraId="391DF26A" w14:textId="77777777" w:rsidR="00CB047C" w:rsidRPr="00B14EE5" w:rsidRDefault="00CB047C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</w:p>
        </w:tc>
        <w:tc>
          <w:tcPr>
            <w:tcW w:w="1177" w:type="dxa"/>
            <w:tcBorders>
              <w:right w:val="single" w:sz="4" w:space="0" w:color="D50057" w:themeColor="accent1"/>
            </w:tcBorders>
            <w:noWrap/>
            <w:vAlign w:val="center"/>
            <w:hideMark/>
          </w:tcPr>
          <w:p w14:paraId="4CE9A48C" w14:textId="57EE2014" w:rsidR="00CB047C" w:rsidRPr="00B14EE5" w:rsidRDefault="00E43A5F" w:rsidP="00CB047C">
            <w:pPr>
              <w:keepLine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en-CA"/>
              </w:rPr>
            </w:pPr>
            <w:r>
              <w:rPr>
                <w:color w:val="auto"/>
              </w:rPr>
              <w:t>9,</w:t>
            </w:r>
            <w:bookmarkStart w:id="0" w:name="_GoBack"/>
            <w:bookmarkEnd w:id="0"/>
            <w:r w:rsidR="00CB047C" w:rsidRPr="00B14EE5">
              <w:rPr>
                <w:color w:val="auto"/>
              </w:rPr>
              <w:t>00%</w:t>
            </w:r>
          </w:p>
        </w:tc>
      </w:tr>
    </w:tbl>
    <w:p w14:paraId="01CD4AF6" w14:textId="67E91BC1" w:rsidR="00BA616D" w:rsidRPr="0006145E" w:rsidRDefault="00085E9D" w:rsidP="00617CEB">
      <w:pPr>
        <w:pStyle w:val="ListParagraph"/>
        <w:numPr>
          <w:ilvl w:val="0"/>
          <w:numId w:val="54"/>
        </w:numPr>
        <w:spacing w:before="320"/>
        <w:ind w:left="714" w:hanging="357"/>
      </w:pPr>
      <w:r>
        <w:t xml:space="preserve">De 2013-2014 à 2017-2018, la représentation des personnes handicapées dans les nominations non annoncées était égale ou légèrement inférieure à leur DPA. En 2018-2019, un changement méthodologique a été apporté au calcul de la DPA. </w:t>
      </w:r>
      <w:r w:rsidR="006C48D8">
        <w:t xml:space="preserve">Par suite de </w:t>
      </w:r>
      <w:r>
        <w:t>ce changement</w:t>
      </w:r>
      <w:r w:rsidR="006C48D8">
        <w:t xml:space="preserve">, </w:t>
      </w:r>
      <w:r>
        <w:t xml:space="preserve">les personnes handicapées </w:t>
      </w:r>
      <w:r w:rsidR="003533CA">
        <w:t xml:space="preserve">affichent </w:t>
      </w:r>
      <w:r>
        <w:t>une représentation nettement</w:t>
      </w:r>
      <w:r w:rsidR="003533CA">
        <w:t xml:space="preserve"> plus faible</w:t>
      </w:r>
      <w:r>
        <w:t xml:space="preserve"> comparativement à leur DPA pendant la </w:t>
      </w:r>
      <w:r w:rsidR="003533CA">
        <w:t>période en cause</w:t>
      </w:r>
      <w:r>
        <w:t>.</w:t>
      </w:r>
    </w:p>
    <w:p w14:paraId="599BF345" w14:textId="15CB3EFC" w:rsidR="00BA616D" w:rsidRPr="00A6698F" w:rsidRDefault="00085E9D" w:rsidP="00A6698F">
      <w:pPr>
        <w:pStyle w:val="ListParagraph"/>
        <w:numPr>
          <w:ilvl w:val="0"/>
          <w:numId w:val="54"/>
        </w:numPr>
      </w:pPr>
      <w:r>
        <w:t>Tous les autres groupes visés par l’</w:t>
      </w:r>
      <w:r w:rsidR="003533CA">
        <w:t>EE</w:t>
      </w:r>
      <w:r>
        <w:t xml:space="preserve"> affichent une représentation plus élevée dans les nominations</w:t>
      </w:r>
      <w:r w:rsidR="0019494A">
        <w:t xml:space="preserve"> non-annoncées comparativement à leur DPA</w:t>
      </w:r>
      <w:r w:rsidR="0017251E">
        <w:t>.</w:t>
      </w:r>
      <w:r w:rsidR="00BA616D" w:rsidRPr="0019494A">
        <w:br w:type="page"/>
      </w:r>
    </w:p>
    <w:p w14:paraId="3254E5C2" w14:textId="0A503E56" w:rsidR="00CE6BAE" w:rsidRPr="0006145E" w:rsidRDefault="00992A5A" w:rsidP="00992A5A">
      <w:pPr>
        <w:pStyle w:val="Heading2"/>
        <w:rPr>
          <w:lang w:val="fr-CA"/>
        </w:rPr>
      </w:pPr>
      <w:r w:rsidRPr="0006145E">
        <w:rPr>
          <w:lang w:val="fr-CA"/>
        </w:rPr>
        <w:lastRenderedPageBreak/>
        <w:t>M</w:t>
      </w:r>
      <w:r w:rsidR="006C48D8">
        <w:rPr>
          <w:lang w:val="fr-CA"/>
        </w:rPr>
        <w:t>éthodologie</w:t>
      </w:r>
    </w:p>
    <w:p w14:paraId="7DFF2182" w14:textId="79390F1D" w:rsidR="00E7663C" w:rsidRPr="0006145E" w:rsidRDefault="006C48D8" w:rsidP="00E7663C">
      <w:r>
        <w:t xml:space="preserve">Les résultats se fondent sur l’exercice financier au cours duquel l’activité de dotation a eu lieu. Par conséquent, les résultats ne sont pas comparables au Rapport annuel de la CFP. Le Rapport annuel utilise l’exercice financier au cours duquel </w:t>
      </w:r>
      <w:r w:rsidR="003533CA">
        <w:t>l</w:t>
      </w:r>
      <w:r w:rsidR="00331A7F">
        <w:t>’activité de dotation est prise en compte par l</w:t>
      </w:r>
      <w:r w:rsidR="003533CA">
        <w:t>e système de paye</w:t>
      </w:r>
      <w:r w:rsidR="0017251E">
        <w:t>.</w:t>
      </w:r>
    </w:p>
    <w:p w14:paraId="3FB576DB" w14:textId="20D36359" w:rsidR="00E7663C" w:rsidRPr="0006145E" w:rsidRDefault="006C48D8" w:rsidP="00E7663C">
      <w:r>
        <w:t>Le nombre de nominations à</w:t>
      </w:r>
      <w:r w:rsidR="0017251E">
        <w:t xml:space="preserve"> des postes annoncés comprend :</w:t>
      </w:r>
    </w:p>
    <w:p w14:paraId="2F9D8880" w14:textId="21ABB79C" w:rsidR="00E7663C" w:rsidRPr="0006145E" w:rsidRDefault="006C48D8" w:rsidP="00CA1A37">
      <w:pPr>
        <w:pStyle w:val="ListParagraph"/>
        <w:numPr>
          <w:ilvl w:val="0"/>
          <w:numId w:val="36"/>
        </w:numPr>
      </w:pPr>
      <w:r>
        <w:t xml:space="preserve">les </w:t>
      </w:r>
      <w:r w:rsidR="00331A7F">
        <w:t>annonces</w:t>
      </w:r>
      <w:r>
        <w:t xml:space="preserve"> diffusé</w:t>
      </w:r>
      <w:r w:rsidR="00331A7F">
        <w:t>es</w:t>
      </w:r>
      <w:r>
        <w:t xml:space="preserve"> au public</w:t>
      </w:r>
    </w:p>
    <w:p w14:paraId="498A6147" w14:textId="028E219A" w:rsidR="00E7663C" w:rsidRPr="0006145E" w:rsidRDefault="006C48D8" w:rsidP="00CA1A37">
      <w:pPr>
        <w:pStyle w:val="ListParagraph"/>
        <w:numPr>
          <w:ilvl w:val="0"/>
          <w:numId w:val="36"/>
        </w:numPr>
      </w:pPr>
      <w:r>
        <w:t xml:space="preserve">les </w:t>
      </w:r>
      <w:r w:rsidR="00331A7F">
        <w:t>annonces</w:t>
      </w:r>
      <w:r>
        <w:t xml:space="preserve"> diffusé</w:t>
      </w:r>
      <w:r w:rsidR="00331A7F">
        <w:t>e</w:t>
      </w:r>
      <w:r>
        <w:t xml:space="preserve">s uniquement aux fonctionnaires </w:t>
      </w:r>
      <w:r w:rsidR="003533CA">
        <w:t>actuels</w:t>
      </w:r>
      <w:r w:rsidR="0017251E">
        <w:t>.</w:t>
      </w:r>
    </w:p>
    <w:p w14:paraId="5CC2C545" w14:textId="74795755" w:rsidR="00E7663C" w:rsidRPr="0006145E" w:rsidRDefault="006C48D8" w:rsidP="00E7663C">
      <w:r>
        <w:t>Le nombre de nominations à des</w:t>
      </w:r>
      <w:r w:rsidR="0017251E">
        <w:t xml:space="preserve"> postes non annoncés comprend :</w:t>
      </w:r>
    </w:p>
    <w:p w14:paraId="3716D829" w14:textId="6E0674BE" w:rsidR="00E7663C" w:rsidRPr="0006145E" w:rsidRDefault="006C48D8" w:rsidP="00CA1A37">
      <w:pPr>
        <w:pStyle w:val="ListParagraph"/>
        <w:numPr>
          <w:ilvl w:val="0"/>
          <w:numId w:val="37"/>
        </w:numPr>
      </w:pPr>
      <w:r>
        <w:t>les promotions</w:t>
      </w:r>
    </w:p>
    <w:p w14:paraId="026F6C8C" w14:textId="53AFAB06" w:rsidR="00E7663C" w:rsidRPr="0006145E" w:rsidRDefault="006C48D8" w:rsidP="00CA1A37">
      <w:pPr>
        <w:pStyle w:val="ListParagraph"/>
        <w:numPr>
          <w:ilvl w:val="0"/>
          <w:numId w:val="37"/>
        </w:numPr>
      </w:pPr>
      <w:r>
        <w:t>les nominations intérimaires de plus de quatre mois</w:t>
      </w:r>
    </w:p>
    <w:p w14:paraId="07A3ED90" w14:textId="181B93F3" w:rsidR="00E7663C" w:rsidRPr="0006145E" w:rsidRDefault="003B4897" w:rsidP="00CA1A37">
      <w:pPr>
        <w:pStyle w:val="ListParagraph"/>
        <w:numPr>
          <w:ilvl w:val="0"/>
          <w:numId w:val="37"/>
        </w:numPr>
      </w:pPr>
      <w:r>
        <w:t xml:space="preserve">l’embauche de nouveaux fonctionnaires dans des postes </w:t>
      </w:r>
      <w:r w:rsidR="007A0AD6">
        <w:t xml:space="preserve">dotés </w:t>
      </w:r>
      <w:r>
        <w:t>pour une période indéterminée</w:t>
      </w:r>
    </w:p>
    <w:p w14:paraId="36DD515B" w14:textId="7507820E" w:rsidR="00E7663C" w:rsidRPr="0006145E" w:rsidRDefault="003B4897" w:rsidP="00CA1A37">
      <w:pPr>
        <w:pStyle w:val="ListParagraph"/>
        <w:numPr>
          <w:ilvl w:val="0"/>
          <w:numId w:val="37"/>
        </w:numPr>
      </w:pPr>
      <w:r>
        <w:t xml:space="preserve">l’embauche de nouveaux fonctionnaires dans des postes </w:t>
      </w:r>
      <w:r w:rsidR="007A0AD6">
        <w:t xml:space="preserve">dotées </w:t>
      </w:r>
      <w:r>
        <w:t>pour une période déterminée de plus de trois mois</w:t>
      </w:r>
    </w:p>
    <w:p w14:paraId="6386E8B0" w14:textId="333D9A50" w:rsidR="00913E86" w:rsidRPr="0006145E" w:rsidRDefault="003B4897" w:rsidP="005E474B">
      <w:r>
        <w:t xml:space="preserve">Les données </w:t>
      </w:r>
      <w:r w:rsidR="00A80184">
        <w:t>relatives aux</w:t>
      </w:r>
      <w:r>
        <w:t xml:space="preserve"> nominations </w:t>
      </w:r>
      <w:r w:rsidR="00A80184">
        <w:t xml:space="preserve">sont tirées de </w:t>
      </w:r>
      <w:r>
        <w:t xml:space="preserve">la base de données sur les activités d’embauche et de dotation. Seuls les ministères et les organismes assujettis au mandat de la </w:t>
      </w:r>
      <w:r>
        <w:rPr>
          <w:i/>
        </w:rPr>
        <w:t xml:space="preserve">Loi sur l’emploi dans la fonction publique </w:t>
      </w:r>
      <w:r>
        <w:t>(LEFP) sont compris. Les données relatives à l’auto-identification sont tirées de la Banque de données su</w:t>
      </w:r>
      <w:r w:rsidR="0017251E">
        <w:t>r l’équité en matière d’emploi.</w:t>
      </w:r>
    </w:p>
    <w:sectPr w:rsidR="00913E86" w:rsidRPr="0006145E" w:rsidSect="0017251E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60" w:right="1440" w:bottom="1985" w:left="1440" w:header="709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F00DC" w14:textId="77777777" w:rsidR="00474F4E" w:rsidRDefault="00474F4E" w:rsidP="00A2240C">
      <w:r>
        <w:separator/>
      </w:r>
    </w:p>
  </w:endnote>
  <w:endnote w:type="continuationSeparator" w:id="0">
    <w:p w14:paraId="280A24F0" w14:textId="77777777" w:rsidR="00474F4E" w:rsidRDefault="00474F4E" w:rsidP="00A2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86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1F0E7" w14:textId="77777777" w:rsidR="00646A04" w:rsidRDefault="00646A04" w:rsidP="00A2240C">
        <w:pPr>
          <w:pStyle w:val="Footer"/>
          <w:rPr>
            <w:noProof/>
          </w:rPr>
        </w:pPr>
        <w:r>
          <w:rPr>
            <w:noProof/>
            <w:lang w:val="en-CA" w:eastAsia="en-CA"/>
          </w:rPr>
          <w:drawing>
            <wp:anchor distT="0" distB="0" distL="114300" distR="114300" simplePos="0" relativeHeight="251659264" behindDoc="1" locked="0" layoutInCell="1" allowOverlap="1" wp14:anchorId="24807504" wp14:editId="183E5A9B">
              <wp:simplePos x="0" y="0"/>
              <wp:positionH relativeFrom="column">
                <wp:posOffset>-886460</wp:posOffset>
              </wp:positionH>
              <wp:positionV relativeFrom="paragraph">
                <wp:posOffset>219075</wp:posOffset>
              </wp:positionV>
              <wp:extent cx="7829550" cy="651510"/>
              <wp:effectExtent l="0" t="0" r="0" b="0"/>
              <wp:wrapNone/>
              <wp:docPr id="527" name="Picture 527" title="arrière-fo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" name="Word-Inside-colorbar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651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28">
          <w:rPr>
            <w:noProof/>
          </w:rPr>
          <w:t>1</w:t>
        </w:r>
        <w:r>
          <w:rPr>
            <w:noProof/>
          </w:rPr>
          <w:fldChar w:fldCharType="end"/>
        </w:r>
      </w:p>
      <w:p w14:paraId="77A3CB1F" w14:textId="77777777" w:rsidR="00646A04" w:rsidRDefault="00E43A5F" w:rsidP="00A2240C">
        <w:pPr>
          <w:pStyle w:val="Footer"/>
        </w:pPr>
      </w:p>
    </w:sdtContent>
  </w:sdt>
  <w:p w14:paraId="61B4522E" w14:textId="77777777" w:rsidR="00646A04" w:rsidRDefault="00646A04" w:rsidP="00A224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3F05" w14:textId="7D5627D2" w:rsidR="00CB0ADE" w:rsidRPr="00331A7F" w:rsidRDefault="00CB0ADE" w:rsidP="00A2240C">
    <w:pPr>
      <w:pStyle w:val="Footer"/>
    </w:pPr>
    <w:r w:rsidRPr="00331A7F"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34C31B87" wp14:editId="63892FC2">
          <wp:simplePos x="0" y="0"/>
          <wp:positionH relativeFrom="column">
            <wp:posOffset>-967563</wp:posOffset>
          </wp:positionH>
          <wp:positionV relativeFrom="page">
            <wp:posOffset>9388549</wp:posOffset>
          </wp:positionV>
          <wp:extent cx="7830000" cy="643620"/>
          <wp:effectExtent l="0" t="0" r="0" b="4445"/>
          <wp:wrapNone/>
          <wp:docPr id="528" name="Picture 528" title="arrière-fond pour le pied du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Word-Inside-color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000" cy="6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1A7F">
      <w:fldChar w:fldCharType="begin"/>
    </w:r>
    <w:r w:rsidRPr="00331A7F">
      <w:instrText xml:space="preserve"> PAGE   \* MERGEFORMAT </w:instrText>
    </w:r>
    <w:r w:rsidRPr="00331A7F">
      <w:fldChar w:fldCharType="separate"/>
    </w:r>
    <w:r w:rsidR="00E43A5F">
      <w:rPr>
        <w:noProof/>
      </w:rPr>
      <w:t>7</w:t>
    </w:r>
    <w:r w:rsidRPr="00331A7F">
      <w:rPr>
        <w:noProof/>
      </w:rPr>
      <w:fldChar w:fldCharType="end"/>
    </w:r>
    <w:r w:rsidRPr="00331A7F">
      <w:rPr>
        <w:noProof/>
      </w:rPr>
      <w:t xml:space="preserve"> </w:t>
    </w:r>
    <w:r w:rsidR="00067BCD" w:rsidRPr="00331A7F">
      <w:rPr>
        <w:noProof/>
      </w:rPr>
      <w:t>–</w:t>
    </w:r>
    <w:r w:rsidR="00332C01" w:rsidRPr="00331A7F">
      <w:rPr>
        <w:noProof/>
      </w:rPr>
      <w:t xml:space="preserve"> </w:t>
    </w:r>
    <w:r w:rsidR="00331A7F">
      <w:t>Commission de la fonction publique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60183" w14:textId="0A6EE36B" w:rsidR="0010662E" w:rsidRPr="0078045C" w:rsidRDefault="0078045C" w:rsidP="0078045C">
    <w:pPr>
      <w:rPr>
        <w:color w:val="auto"/>
      </w:rPr>
    </w:pPr>
    <w:r>
      <w:rPr>
        <w:color w:val="auto"/>
      </w:rPr>
      <w:t>Dernière révision : 21 septembre  2020</w:t>
    </w:r>
    <w:r w:rsidRPr="00C118D5">
      <w:rPr>
        <w:color w:val="auto"/>
      </w:rPr>
      <w:t xml:space="preserve"> / GC</w:t>
    </w:r>
    <w:r>
      <w:rPr>
        <w:color w:val="auto"/>
      </w:rPr>
      <w:t>d</w:t>
    </w:r>
    <w:r w:rsidRPr="00C118D5">
      <w:rPr>
        <w:color w:val="auto"/>
      </w:rPr>
      <w:t xml:space="preserve">ocs </w:t>
    </w:r>
    <w:r>
      <w:rPr>
        <w:color w:val="auto"/>
      </w:rPr>
      <w:t>n</w:t>
    </w:r>
    <w:r>
      <w:rPr>
        <w:color w:val="auto"/>
        <w:vertAlign w:val="superscript"/>
      </w:rPr>
      <w:t>o</w:t>
    </w:r>
    <w:r>
      <w:rPr>
        <w:color w:val="auto"/>
      </w:rPr>
      <w:t xml:space="preserve"> </w:t>
    </w:r>
    <w:r w:rsidRPr="00C118D5">
      <w:rPr>
        <w:color w:val="auto"/>
      </w:rPr>
      <w:t>10</w:t>
    </w:r>
    <w:r>
      <w:rPr>
        <w:color w:val="auto"/>
      </w:rPr>
      <w:t>963428</w:t>
    </w:r>
    <w:r w:rsidR="0010662E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CA221E5" wp14:editId="148E3B5F">
          <wp:simplePos x="0" y="0"/>
          <wp:positionH relativeFrom="column">
            <wp:posOffset>-892175</wp:posOffset>
          </wp:positionH>
          <wp:positionV relativeFrom="page">
            <wp:posOffset>5787228</wp:posOffset>
          </wp:positionV>
          <wp:extent cx="7800212" cy="3891600"/>
          <wp:effectExtent l="0" t="0" r="0" b="0"/>
          <wp:wrapNone/>
          <wp:docPr id="530" name="Picture 530" title="arrière-fond pour les documents du C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Footer-colob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2" cy="38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6AA2A" w14:textId="77777777" w:rsidR="00474F4E" w:rsidRDefault="00474F4E" w:rsidP="00A2240C">
      <w:r>
        <w:separator/>
      </w:r>
    </w:p>
  </w:footnote>
  <w:footnote w:type="continuationSeparator" w:id="0">
    <w:p w14:paraId="153729DA" w14:textId="77777777" w:rsidR="00474F4E" w:rsidRDefault="00474F4E" w:rsidP="00A22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A516" w14:textId="77777777" w:rsidR="0010662E" w:rsidRDefault="0010662E" w:rsidP="00A2240C">
    <w:pPr>
      <w:pStyle w:val="Header"/>
    </w:pPr>
    <w:r>
      <w:rPr>
        <w:noProof/>
        <w:lang w:val="en-CA" w:eastAsia="en-CA"/>
      </w:rPr>
      <w:drawing>
        <wp:inline distT="0" distB="0" distL="0" distR="0" wp14:anchorId="7AAC3965" wp14:editId="5F43993E">
          <wp:extent cx="4510800" cy="267086"/>
          <wp:effectExtent l="0" t="0" r="0" b="0"/>
          <wp:docPr id="529" name="Picture 529" descr="Commission de la fonction publique du Canada // Public Service Commission of Canada" title="logo du ministè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-Sign-F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0800" cy="267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C8"/>
    <w:multiLevelType w:val="hybridMultilevel"/>
    <w:tmpl w:val="E6120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0449"/>
    <w:multiLevelType w:val="hybridMultilevel"/>
    <w:tmpl w:val="0B5C0C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D668E"/>
    <w:multiLevelType w:val="hybridMultilevel"/>
    <w:tmpl w:val="38601D8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B4E9D"/>
    <w:multiLevelType w:val="hybridMultilevel"/>
    <w:tmpl w:val="5F2A6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20D"/>
    <w:multiLevelType w:val="hybridMultilevel"/>
    <w:tmpl w:val="A2D8A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E5D72"/>
    <w:multiLevelType w:val="hybridMultilevel"/>
    <w:tmpl w:val="5C605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51543"/>
    <w:multiLevelType w:val="hybridMultilevel"/>
    <w:tmpl w:val="DA126D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B4851"/>
    <w:multiLevelType w:val="hybridMultilevel"/>
    <w:tmpl w:val="41C6BAE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C51324"/>
    <w:multiLevelType w:val="hybridMultilevel"/>
    <w:tmpl w:val="E2FEAA08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72411A"/>
    <w:multiLevelType w:val="hybridMultilevel"/>
    <w:tmpl w:val="A68A863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B374EC"/>
    <w:multiLevelType w:val="hybridMultilevel"/>
    <w:tmpl w:val="C0563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F1483"/>
    <w:multiLevelType w:val="hybridMultilevel"/>
    <w:tmpl w:val="47AE6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F182C"/>
    <w:multiLevelType w:val="hybridMultilevel"/>
    <w:tmpl w:val="43CE8E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710FF"/>
    <w:multiLevelType w:val="hybridMultilevel"/>
    <w:tmpl w:val="6F5211AC"/>
    <w:lvl w:ilvl="0" w:tplc="309E786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56FA14D2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7262C"/>
    <w:multiLevelType w:val="hybridMultilevel"/>
    <w:tmpl w:val="47421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C3E5E"/>
    <w:multiLevelType w:val="hybridMultilevel"/>
    <w:tmpl w:val="ADCE6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30748"/>
    <w:multiLevelType w:val="hybridMultilevel"/>
    <w:tmpl w:val="FDF6665A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2216618F"/>
    <w:multiLevelType w:val="hybridMultilevel"/>
    <w:tmpl w:val="F7ECDE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C3C24"/>
    <w:multiLevelType w:val="hybridMultilevel"/>
    <w:tmpl w:val="C24A0D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A43739"/>
    <w:multiLevelType w:val="hybridMultilevel"/>
    <w:tmpl w:val="642454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E6E6B"/>
    <w:multiLevelType w:val="hybridMultilevel"/>
    <w:tmpl w:val="8EDAC92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AA3B5D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70022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CA4DF5"/>
    <w:multiLevelType w:val="hybridMultilevel"/>
    <w:tmpl w:val="94AE4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B16CBA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2B1FF8"/>
    <w:multiLevelType w:val="hybridMultilevel"/>
    <w:tmpl w:val="412E1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3546F"/>
    <w:multiLevelType w:val="hybridMultilevel"/>
    <w:tmpl w:val="DF986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401D1E"/>
    <w:multiLevelType w:val="hybridMultilevel"/>
    <w:tmpl w:val="8354A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E5BA4"/>
    <w:multiLevelType w:val="hybridMultilevel"/>
    <w:tmpl w:val="DAD60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D73304"/>
    <w:multiLevelType w:val="hybridMultilevel"/>
    <w:tmpl w:val="DA163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0A1E1E"/>
    <w:multiLevelType w:val="hybridMultilevel"/>
    <w:tmpl w:val="2040BF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183E03"/>
    <w:multiLevelType w:val="hybridMultilevel"/>
    <w:tmpl w:val="917A6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7402F4"/>
    <w:multiLevelType w:val="hybridMultilevel"/>
    <w:tmpl w:val="F7CCE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53FD7"/>
    <w:multiLevelType w:val="hybridMultilevel"/>
    <w:tmpl w:val="CEF067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41655"/>
    <w:multiLevelType w:val="hybridMultilevel"/>
    <w:tmpl w:val="D30E437E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E637B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183175"/>
    <w:multiLevelType w:val="hybridMultilevel"/>
    <w:tmpl w:val="FF424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C6107"/>
    <w:multiLevelType w:val="hybridMultilevel"/>
    <w:tmpl w:val="2F7C340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633A2F"/>
    <w:multiLevelType w:val="hybridMultilevel"/>
    <w:tmpl w:val="94F05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2E4E"/>
    <w:multiLevelType w:val="hybridMultilevel"/>
    <w:tmpl w:val="36A4A09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720BC8"/>
    <w:multiLevelType w:val="hybridMultilevel"/>
    <w:tmpl w:val="61F0CB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9272B9"/>
    <w:multiLevelType w:val="hybridMultilevel"/>
    <w:tmpl w:val="F176F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C1F17"/>
    <w:multiLevelType w:val="hybridMultilevel"/>
    <w:tmpl w:val="DF624580"/>
    <w:lvl w:ilvl="0" w:tplc="B1581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2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43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4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22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80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81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E8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6B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FCD56DB"/>
    <w:multiLevelType w:val="hybridMultilevel"/>
    <w:tmpl w:val="7D56AB5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17780A"/>
    <w:multiLevelType w:val="hybridMultilevel"/>
    <w:tmpl w:val="04A8E7C8"/>
    <w:lvl w:ilvl="0" w:tplc="E614539C">
      <w:numFmt w:val="bullet"/>
      <w:lvlText w:val="•"/>
      <w:lvlJc w:val="left"/>
      <w:pPr>
        <w:ind w:left="1080" w:hanging="72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24816"/>
    <w:multiLevelType w:val="multilevel"/>
    <w:tmpl w:val="553EB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9E0280"/>
    <w:multiLevelType w:val="hybridMultilevel"/>
    <w:tmpl w:val="228814C8"/>
    <w:lvl w:ilvl="0" w:tplc="8D965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8E4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2E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8A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1AB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2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03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4D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69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5A05862"/>
    <w:multiLevelType w:val="hybridMultilevel"/>
    <w:tmpl w:val="C8D4257E"/>
    <w:lvl w:ilvl="0" w:tplc="CE1A5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00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AF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6F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E6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72F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AA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C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43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60B59FA"/>
    <w:multiLevelType w:val="hybridMultilevel"/>
    <w:tmpl w:val="2FD42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220E4"/>
    <w:multiLevelType w:val="hybridMultilevel"/>
    <w:tmpl w:val="31A27F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DD36BC"/>
    <w:multiLevelType w:val="hybridMultilevel"/>
    <w:tmpl w:val="363036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3"/>
  </w:num>
  <w:num w:numId="4">
    <w:abstractNumId w:val="34"/>
  </w:num>
  <w:num w:numId="5">
    <w:abstractNumId w:val="20"/>
  </w:num>
  <w:num w:numId="6">
    <w:abstractNumId w:val="44"/>
  </w:num>
  <w:num w:numId="7">
    <w:abstractNumId w:val="6"/>
  </w:num>
  <w:num w:numId="8">
    <w:abstractNumId w:val="7"/>
  </w:num>
  <w:num w:numId="9">
    <w:abstractNumId w:val="3"/>
  </w:num>
  <w:num w:numId="10">
    <w:abstractNumId w:val="23"/>
  </w:num>
  <w:num w:numId="11">
    <w:abstractNumId w:val="46"/>
  </w:num>
  <w:num w:numId="12">
    <w:abstractNumId w:val="36"/>
  </w:num>
  <w:num w:numId="13">
    <w:abstractNumId w:val="25"/>
  </w:num>
  <w:num w:numId="14">
    <w:abstractNumId w:val="22"/>
  </w:num>
  <w:num w:numId="15">
    <w:abstractNumId w:val="19"/>
  </w:num>
  <w:num w:numId="16">
    <w:abstractNumId w:val="50"/>
  </w:num>
  <w:num w:numId="17">
    <w:abstractNumId w:val="27"/>
  </w:num>
  <w:num w:numId="18">
    <w:abstractNumId w:val="42"/>
  </w:num>
  <w:num w:numId="19">
    <w:abstractNumId w:val="12"/>
  </w:num>
  <w:num w:numId="20">
    <w:abstractNumId w:val="24"/>
  </w:num>
  <w:num w:numId="21">
    <w:abstractNumId w:val="29"/>
  </w:num>
  <w:num w:numId="22">
    <w:abstractNumId w:val="15"/>
  </w:num>
  <w:num w:numId="23">
    <w:abstractNumId w:val="18"/>
  </w:num>
  <w:num w:numId="24">
    <w:abstractNumId w:val="17"/>
  </w:num>
  <w:num w:numId="25">
    <w:abstractNumId w:val="40"/>
  </w:num>
  <w:num w:numId="26">
    <w:abstractNumId w:val="31"/>
  </w:num>
  <w:num w:numId="27">
    <w:abstractNumId w:val="21"/>
  </w:num>
  <w:num w:numId="28">
    <w:abstractNumId w:val="0"/>
  </w:num>
  <w:num w:numId="29">
    <w:abstractNumId w:val="33"/>
  </w:num>
  <w:num w:numId="30">
    <w:abstractNumId w:val="5"/>
  </w:num>
  <w:num w:numId="31">
    <w:abstractNumId w:val="48"/>
  </w:num>
  <w:num w:numId="32">
    <w:abstractNumId w:val="43"/>
  </w:num>
  <w:num w:numId="33">
    <w:abstractNumId w:val="37"/>
  </w:num>
  <w:num w:numId="34">
    <w:abstractNumId w:val="10"/>
  </w:num>
  <w:num w:numId="35">
    <w:abstractNumId w:val="1"/>
  </w:num>
  <w:num w:numId="36">
    <w:abstractNumId w:val="16"/>
  </w:num>
  <w:num w:numId="37">
    <w:abstractNumId w:val="49"/>
  </w:num>
  <w:num w:numId="38">
    <w:abstractNumId w:val="9"/>
  </w:num>
  <w:num w:numId="39">
    <w:abstractNumId w:val="51"/>
  </w:num>
  <w:num w:numId="40">
    <w:abstractNumId w:val="8"/>
  </w:num>
  <w:num w:numId="41">
    <w:abstractNumId w:val="32"/>
  </w:num>
  <w:num w:numId="42">
    <w:abstractNumId w:val="41"/>
  </w:num>
  <w:num w:numId="43">
    <w:abstractNumId w:val="47"/>
  </w:num>
  <w:num w:numId="44">
    <w:abstractNumId w:val="4"/>
  </w:num>
  <w:num w:numId="45">
    <w:abstractNumId w:val="39"/>
  </w:num>
  <w:num w:numId="46">
    <w:abstractNumId w:val="30"/>
  </w:num>
  <w:num w:numId="47">
    <w:abstractNumId w:val="14"/>
  </w:num>
  <w:num w:numId="48">
    <w:abstractNumId w:val="14"/>
  </w:num>
  <w:num w:numId="49">
    <w:abstractNumId w:val="14"/>
  </w:num>
  <w:num w:numId="50">
    <w:abstractNumId w:val="14"/>
  </w:num>
  <w:num w:numId="51">
    <w:abstractNumId w:val="11"/>
  </w:num>
  <w:num w:numId="52">
    <w:abstractNumId w:val="45"/>
  </w:num>
  <w:num w:numId="53">
    <w:abstractNumId w:val="35"/>
  </w:num>
  <w:num w:numId="54">
    <w:abstractNumId w:val="28"/>
  </w:num>
  <w:num w:numId="55">
    <w:abstractNumId w:val="2"/>
  </w:num>
  <w:num w:numId="56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11"/>
    <w:rsid w:val="00004697"/>
    <w:rsid w:val="000046AD"/>
    <w:rsid w:val="00005B71"/>
    <w:rsid w:val="00011FB4"/>
    <w:rsid w:val="0001777C"/>
    <w:rsid w:val="00031AE9"/>
    <w:rsid w:val="00035642"/>
    <w:rsid w:val="00037567"/>
    <w:rsid w:val="0003764E"/>
    <w:rsid w:val="00043FE5"/>
    <w:rsid w:val="00044C18"/>
    <w:rsid w:val="00044DED"/>
    <w:rsid w:val="00047A49"/>
    <w:rsid w:val="000527E5"/>
    <w:rsid w:val="000539F9"/>
    <w:rsid w:val="00055211"/>
    <w:rsid w:val="0006067E"/>
    <w:rsid w:val="0006145E"/>
    <w:rsid w:val="00067BCD"/>
    <w:rsid w:val="000841D5"/>
    <w:rsid w:val="00085DF6"/>
    <w:rsid w:val="00085E9D"/>
    <w:rsid w:val="000A023E"/>
    <w:rsid w:val="000A6750"/>
    <w:rsid w:val="000A7BE7"/>
    <w:rsid w:val="000B2F87"/>
    <w:rsid w:val="000B5C78"/>
    <w:rsid w:val="000B7D89"/>
    <w:rsid w:val="000C19EC"/>
    <w:rsid w:val="000D35A9"/>
    <w:rsid w:val="000D579C"/>
    <w:rsid w:val="000D5CF5"/>
    <w:rsid w:val="000E4BDC"/>
    <w:rsid w:val="000F1FB0"/>
    <w:rsid w:val="000F2F98"/>
    <w:rsid w:val="000F4F85"/>
    <w:rsid w:val="000F52D2"/>
    <w:rsid w:val="001037ED"/>
    <w:rsid w:val="0010662E"/>
    <w:rsid w:val="00114459"/>
    <w:rsid w:val="0011577E"/>
    <w:rsid w:val="001167AF"/>
    <w:rsid w:val="0013187A"/>
    <w:rsid w:val="00143EF4"/>
    <w:rsid w:val="00144747"/>
    <w:rsid w:val="001452B1"/>
    <w:rsid w:val="00152C8E"/>
    <w:rsid w:val="001561FD"/>
    <w:rsid w:val="00156716"/>
    <w:rsid w:val="001578F2"/>
    <w:rsid w:val="001703E1"/>
    <w:rsid w:val="00170898"/>
    <w:rsid w:val="00171A52"/>
    <w:rsid w:val="0017251E"/>
    <w:rsid w:val="00182827"/>
    <w:rsid w:val="00182F8D"/>
    <w:rsid w:val="00185335"/>
    <w:rsid w:val="00186646"/>
    <w:rsid w:val="00190490"/>
    <w:rsid w:val="00191314"/>
    <w:rsid w:val="0019410D"/>
    <w:rsid w:val="0019494A"/>
    <w:rsid w:val="00196C49"/>
    <w:rsid w:val="001A3952"/>
    <w:rsid w:val="001B6202"/>
    <w:rsid w:val="001B66D3"/>
    <w:rsid w:val="001C0C8F"/>
    <w:rsid w:val="001C11E9"/>
    <w:rsid w:val="001C1DA9"/>
    <w:rsid w:val="001C4301"/>
    <w:rsid w:val="001D6781"/>
    <w:rsid w:val="001E53A9"/>
    <w:rsid w:val="001E7D47"/>
    <w:rsid w:val="001F7BBE"/>
    <w:rsid w:val="002029F1"/>
    <w:rsid w:val="002045DF"/>
    <w:rsid w:val="002056B7"/>
    <w:rsid w:val="002105C2"/>
    <w:rsid w:val="002116E1"/>
    <w:rsid w:val="00212B04"/>
    <w:rsid w:val="00222D81"/>
    <w:rsid w:val="0022373C"/>
    <w:rsid w:val="00223FF2"/>
    <w:rsid w:val="00227A72"/>
    <w:rsid w:val="0023379D"/>
    <w:rsid w:val="002349C3"/>
    <w:rsid w:val="00237B91"/>
    <w:rsid w:val="00243374"/>
    <w:rsid w:val="00247D7B"/>
    <w:rsid w:val="002524C9"/>
    <w:rsid w:val="00254D39"/>
    <w:rsid w:val="00254ECB"/>
    <w:rsid w:val="0026150F"/>
    <w:rsid w:val="0026183E"/>
    <w:rsid w:val="0026195F"/>
    <w:rsid w:val="0026497D"/>
    <w:rsid w:val="00266411"/>
    <w:rsid w:val="002669DD"/>
    <w:rsid w:val="00267BAB"/>
    <w:rsid w:val="002769F1"/>
    <w:rsid w:val="00293BFB"/>
    <w:rsid w:val="002A0213"/>
    <w:rsid w:val="002A1BD4"/>
    <w:rsid w:val="002A478E"/>
    <w:rsid w:val="002A7785"/>
    <w:rsid w:val="002B0264"/>
    <w:rsid w:val="002C57C1"/>
    <w:rsid w:val="002D0E0E"/>
    <w:rsid w:val="002D228F"/>
    <w:rsid w:val="002D6960"/>
    <w:rsid w:val="002E0490"/>
    <w:rsid w:val="002E50F6"/>
    <w:rsid w:val="002F0DBB"/>
    <w:rsid w:val="002F12C8"/>
    <w:rsid w:val="002F1E1A"/>
    <w:rsid w:val="002F574D"/>
    <w:rsid w:val="00301027"/>
    <w:rsid w:val="00313348"/>
    <w:rsid w:val="003144D9"/>
    <w:rsid w:val="00321FDE"/>
    <w:rsid w:val="003231AA"/>
    <w:rsid w:val="00331A7F"/>
    <w:rsid w:val="00332C01"/>
    <w:rsid w:val="00334533"/>
    <w:rsid w:val="00350CE8"/>
    <w:rsid w:val="003533CA"/>
    <w:rsid w:val="00360856"/>
    <w:rsid w:val="003618EC"/>
    <w:rsid w:val="00366BD9"/>
    <w:rsid w:val="00371E3C"/>
    <w:rsid w:val="003761CB"/>
    <w:rsid w:val="00377B7A"/>
    <w:rsid w:val="00377E75"/>
    <w:rsid w:val="003802AD"/>
    <w:rsid w:val="00384BE6"/>
    <w:rsid w:val="003869B6"/>
    <w:rsid w:val="00395AE6"/>
    <w:rsid w:val="0039690A"/>
    <w:rsid w:val="003A77AC"/>
    <w:rsid w:val="003B227A"/>
    <w:rsid w:val="003B4897"/>
    <w:rsid w:val="003C0C34"/>
    <w:rsid w:val="003C1CFF"/>
    <w:rsid w:val="003C6D70"/>
    <w:rsid w:val="003C7C07"/>
    <w:rsid w:val="003E779E"/>
    <w:rsid w:val="003F1EFF"/>
    <w:rsid w:val="003F1F30"/>
    <w:rsid w:val="003F2AF9"/>
    <w:rsid w:val="003F7F8A"/>
    <w:rsid w:val="0040269A"/>
    <w:rsid w:val="00403DCD"/>
    <w:rsid w:val="00411D6B"/>
    <w:rsid w:val="00415275"/>
    <w:rsid w:val="00415499"/>
    <w:rsid w:val="004217DE"/>
    <w:rsid w:val="00427E24"/>
    <w:rsid w:val="004320EB"/>
    <w:rsid w:val="00435AB2"/>
    <w:rsid w:val="00435E41"/>
    <w:rsid w:val="00436243"/>
    <w:rsid w:val="004420C1"/>
    <w:rsid w:val="00455836"/>
    <w:rsid w:val="00461A95"/>
    <w:rsid w:val="004650F0"/>
    <w:rsid w:val="00465642"/>
    <w:rsid w:val="0047199D"/>
    <w:rsid w:val="004731F2"/>
    <w:rsid w:val="00474F4E"/>
    <w:rsid w:val="00483764"/>
    <w:rsid w:val="00492220"/>
    <w:rsid w:val="00495EB6"/>
    <w:rsid w:val="004A586B"/>
    <w:rsid w:val="004B27EE"/>
    <w:rsid w:val="004B3823"/>
    <w:rsid w:val="004B4648"/>
    <w:rsid w:val="004D13EB"/>
    <w:rsid w:val="004E6EB8"/>
    <w:rsid w:val="004F26B1"/>
    <w:rsid w:val="004F34FF"/>
    <w:rsid w:val="00502350"/>
    <w:rsid w:val="00505B79"/>
    <w:rsid w:val="005129F7"/>
    <w:rsid w:val="00516EF0"/>
    <w:rsid w:val="00524F35"/>
    <w:rsid w:val="0052580A"/>
    <w:rsid w:val="00530A1F"/>
    <w:rsid w:val="00532560"/>
    <w:rsid w:val="005355E2"/>
    <w:rsid w:val="00535C4F"/>
    <w:rsid w:val="00536904"/>
    <w:rsid w:val="0053783D"/>
    <w:rsid w:val="00545E9A"/>
    <w:rsid w:val="00561049"/>
    <w:rsid w:val="00562211"/>
    <w:rsid w:val="005636C8"/>
    <w:rsid w:val="00563956"/>
    <w:rsid w:val="00563D9E"/>
    <w:rsid w:val="00564610"/>
    <w:rsid w:val="00566092"/>
    <w:rsid w:val="005729DA"/>
    <w:rsid w:val="005752B3"/>
    <w:rsid w:val="0057552A"/>
    <w:rsid w:val="00582374"/>
    <w:rsid w:val="0058460E"/>
    <w:rsid w:val="00585250"/>
    <w:rsid w:val="00590C6F"/>
    <w:rsid w:val="0059104E"/>
    <w:rsid w:val="005914D9"/>
    <w:rsid w:val="0059629B"/>
    <w:rsid w:val="00596B8D"/>
    <w:rsid w:val="005A1F0C"/>
    <w:rsid w:val="005A2D6A"/>
    <w:rsid w:val="005A4008"/>
    <w:rsid w:val="005A5C2E"/>
    <w:rsid w:val="005A7E6D"/>
    <w:rsid w:val="005B32FF"/>
    <w:rsid w:val="005B3839"/>
    <w:rsid w:val="005C2ED0"/>
    <w:rsid w:val="005C7AFF"/>
    <w:rsid w:val="005D384C"/>
    <w:rsid w:val="005D3BF7"/>
    <w:rsid w:val="005D47CE"/>
    <w:rsid w:val="005E1636"/>
    <w:rsid w:val="005E474B"/>
    <w:rsid w:val="005E4D17"/>
    <w:rsid w:val="005F4D94"/>
    <w:rsid w:val="005F6E9E"/>
    <w:rsid w:val="005F7F63"/>
    <w:rsid w:val="00602718"/>
    <w:rsid w:val="006071D3"/>
    <w:rsid w:val="00611A0A"/>
    <w:rsid w:val="00613963"/>
    <w:rsid w:val="00614133"/>
    <w:rsid w:val="00617C67"/>
    <w:rsid w:val="00617CEB"/>
    <w:rsid w:val="00620A06"/>
    <w:rsid w:val="00621664"/>
    <w:rsid w:val="00621A55"/>
    <w:rsid w:val="006263CB"/>
    <w:rsid w:val="006278C1"/>
    <w:rsid w:val="00633964"/>
    <w:rsid w:val="006353B8"/>
    <w:rsid w:val="006361A0"/>
    <w:rsid w:val="00637B82"/>
    <w:rsid w:val="0064486C"/>
    <w:rsid w:val="00646A04"/>
    <w:rsid w:val="00652638"/>
    <w:rsid w:val="00655846"/>
    <w:rsid w:val="00665D35"/>
    <w:rsid w:val="00684FF4"/>
    <w:rsid w:val="00686B7E"/>
    <w:rsid w:val="0068742D"/>
    <w:rsid w:val="006926B2"/>
    <w:rsid w:val="006A5688"/>
    <w:rsid w:val="006A5786"/>
    <w:rsid w:val="006A5EA7"/>
    <w:rsid w:val="006C018F"/>
    <w:rsid w:val="006C4059"/>
    <w:rsid w:val="006C48D8"/>
    <w:rsid w:val="006C652D"/>
    <w:rsid w:val="006D0E60"/>
    <w:rsid w:val="006E05F7"/>
    <w:rsid w:val="006E277E"/>
    <w:rsid w:val="006E51E1"/>
    <w:rsid w:val="006E7C30"/>
    <w:rsid w:val="006F1B05"/>
    <w:rsid w:val="006F5820"/>
    <w:rsid w:val="006F67B0"/>
    <w:rsid w:val="00703D8E"/>
    <w:rsid w:val="007116C9"/>
    <w:rsid w:val="0072068A"/>
    <w:rsid w:val="00722F75"/>
    <w:rsid w:val="007273F1"/>
    <w:rsid w:val="007374E6"/>
    <w:rsid w:val="00743E10"/>
    <w:rsid w:val="007563A2"/>
    <w:rsid w:val="00756722"/>
    <w:rsid w:val="007620E1"/>
    <w:rsid w:val="00764ABA"/>
    <w:rsid w:val="00766634"/>
    <w:rsid w:val="00772303"/>
    <w:rsid w:val="00772C4B"/>
    <w:rsid w:val="0077648E"/>
    <w:rsid w:val="0078045C"/>
    <w:rsid w:val="00781132"/>
    <w:rsid w:val="00781E61"/>
    <w:rsid w:val="00783724"/>
    <w:rsid w:val="00796578"/>
    <w:rsid w:val="007A0AD6"/>
    <w:rsid w:val="007A0D7E"/>
    <w:rsid w:val="007A1CA2"/>
    <w:rsid w:val="007A1F06"/>
    <w:rsid w:val="007A2822"/>
    <w:rsid w:val="007A5149"/>
    <w:rsid w:val="007B2B6E"/>
    <w:rsid w:val="007B3EA3"/>
    <w:rsid w:val="007C190C"/>
    <w:rsid w:val="007C60BF"/>
    <w:rsid w:val="007C71FF"/>
    <w:rsid w:val="007D1B2A"/>
    <w:rsid w:val="007E30C1"/>
    <w:rsid w:val="007E5403"/>
    <w:rsid w:val="007F5637"/>
    <w:rsid w:val="007F6893"/>
    <w:rsid w:val="00802F0C"/>
    <w:rsid w:val="008060EB"/>
    <w:rsid w:val="00812A5B"/>
    <w:rsid w:val="00813D63"/>
    <w:rsid w:val="008168A9"/>
    <w:rsid w:val="0082015A"/>
    <w:rsid w:val="0082138A"/>
    <w:rsid w:val="0082385E"/>
    <w:rsid w:val="00824834"/>
    <w:rsid w:val="00826F04"/>
    <w:rsid w:val="00827750"/>
    <w:rsid w:val="00834A39"/>
    <w:rsid w:val="008376CD"/>
    <w:rsid w:val="00837D32"/>
    <w:rsid w:val="008524F7"/>
    <w:rsid w:val="00862791"/>
    <w:rsid w:val="00864358"/>
    <w:rsid w:val="00866947"/>
    <w:rsid w:val="00873089"/>
    <w:rsid w:val="00876D6D"/>
    <w:rsid w:val="00881759"/>
    <w:rsid w:val="00891B92"/>
    <w:rsid w:val="008B1C2C"/>
    <w:rsid w:val="008B29BB"/>
    <w:rsid w:val="008C20BE"/>
    <w:rsid w:val="008C3C4D"/>
    <w:rsid w:val="008D1CE6"/>
    <w:rsid w:val="008D4B99"/>
    <w:rsid w:val="008D5928"/>
    <w:rsid w:val="008E3691"/>
    <w:rsid w:val="008E480A"/>
    <w:rsid w:val="008E6393"/>
    <w:rsid w:val="008E6ADB"/>
    <w:rsid w:val="008F6445"/>
    <w:rsid w:val="0090010B"/>
    <w:rsid w:val="00900333"/>
    <w:rsid w:val="00900793"/>
    <w:rsid w:val="00913E86"/>
    <w:rsid w:val="00914FB9"/>
    <w:rsid w:val="00925104"/>
    <w:rsid w:val="00940883"/>
    <w:rsid w:val="00955B66"/>
    <w:rsid w:val="00957253"/>
    <w:rsid w:val="00971D3F"/>
    <w:rsid w:val="00971D55"/>
    <w:rsid w:val="0097363B"/>
    <w:rsid w:val="009747D4"/>
    <w:rsid w:val="0098087A"/>
    <w:rsid w:val="009851C1"/>
    <w:rsid w:val="00985FD0"/>
    <w:rsid w:val="009860BA"/>
    <w:rsid w:val="00987986"/>
    <w:rsid w:val="00990BE6"/>
    <w:rsid w:val="00992A5A"/>
    <w:rsid w:val="00993CFB"/>
    <w:rsid w:val="00996A08"/>
    <w:rsid w:val="009A02FB"/>
    <w:rsid w:val="009A128B"/>
    <w:rsid w:val="009A3E6A"/>
    <w:rsid w:val="009B00D5"/>
    <w:rsid w:val="009B2AC8"/>
    <w:rsid w:val="009B5A90"/>
    <w:rsid w:val="009B739E"/>
    <w:rsid w:val="009C3AE7"/>
    <w:rsid w:val="009C5B8A"/>
    <w:rsid w:val="009C66C3"/>
    <w:rsid w:val="009D12C7"/>
    <w:rsid w:val="009D3273"/>
    <w:rsid w:val="009D4886"/>
    <w:rsid w:val="009E31B7"/>
    <w:rsid w:val="009E3635"/>
    <w:rsid w:val="009E5F4C"/>
    <w:rsid w:val="009F5D4B"/>
    <w:rsid w:val="00A01B06"/>
    <w:rsid w:val="00A148E7"/>
    <w:rsid w:val="00A21F59"/>
    <w:rsid w:val="00A2240C"/>
    <w:rsid w:val="00A2266C"/>
    <w:rsid w:val="00A312DD"/>
    <w:rsid w:val="00A33241"/>
    <w:rsid w:val="00A6698F"/>
    <w:rsid w:val="00A7388A"/>
    <w:rsid w:val="00A75D22"/>
    <w:rsid w:val="00A80184"/>
    <w:rsid w:val="00A85961"/>
    <w:rsid w:val="00A8620E"/>
    <w:rsid w:val="00A9098A"/>
    <w:rsid w:val="00AA4C83"/>
    <w:rsid w:val="00AA5D0A"/>
    <w:rsid w:val="00AA613F"/>
    <w:rsid w:val="00AA72E8"/>
    <w:rsid w:val="00AB1765"/>
    <w:rsid w:val="00AB46D8"/>
    <w:rsid w:val="00AC2CFA"/>
    <w:rsid w:val="00AC30A0"/>
    <w:rsid w:val="00AD3C64"/>
    <w:rsid w:val="00AD657C"/>
    <w:rsid w:val="00AF539A"/>
    <w:rsid w:val="00B021C6"/>
    <w:rsid w:val="00B03D8B"/>
    <w:rsid w:val="00B066F4"/>
    <w:rsid w:val="00B104C1"/>
    <w:rsid w:val="00B1297D"/>
    <w:rsid w:val="00B14541"/>
    <w:rsid w:val="00B14EE5"/>
    <w:rsid w:val="00B15AD6"/>
    <w:rsid w:val="00B1677A"/>
    <w:rsid w:val="00B16899"/>
    <w:rsid w:val="00B22F6A"/>
    <w:rsid w:val="00B2455D"/>
    <w:rsid w:val="00B26341"/>
    <w:rsid w:val="00B33ABB"/>
    <w:rsid w:val="00B471F5"/>
    <w:rsid w:val="00B47E53"/>
    <w:rsid w:val="00B50854"/>
    <w:rsid w:val="00B52ED2"/>
    <w:rsid w:val="00B60974"/>
    <w:rsid w:val="00B610A7"/>
    <w:rsid w:val="00B6370C"/>
    <w:rsid w:val="00B6481C"/>
    <w:rsid w:val="00B64F09"/>
    <w:rsid w:val="00B747A2"/>
    <w:rsid w:val="00B96BF4"/>
    <w:rsid w:val="00BA2FA9"/>
    <w:rsid w:val="00BA53C9"/>
    <w:rsid w:val="00BA60A1"/>
    <w:rsid w:val="00BA616D"/>
    <w:rsid w:val="00BA6D49"/>
    <w:rsid w:val="00BA7A58"/>
    <w:rsid w:val="00BB06B6"/>
    <w:rsid w:val="00BB1C57"/>
    <w:rsid w:val="00BB7BDF"/>
    <w:rsid w:val="00BC67C9"/>
    <w:rsid w:val="00BC7998"/>
    <w:rsid w:val="00BC7B6C"/>
    <w:rsid w:val="00BD2EFB"/>
    <w:rsid w:val="00BD5F70"/>
    <w:rsid w:val="00BE1F2B"/>
    <w:rsid w:val="00BF1D70"/>
    <w:rsid w:val="00BF4FD1"/>
    <w:rsid w:val="00C047CB"/>
    <w:rsid w:val="00C118D5"/>
    <w:rsid w:val="00C2121D"/>
    <w:rsid w:val="00C40D92"/>
    <w:rsid w:val="00C47041"/>
    <w:rsid w:val="00C6297C"/>
    <w:rsid w:val="00C72C60"/>
    <w:rsid w:val="00C835D2"/>
    <w:rsid w:val="00C84CD3"/>
    <w:rsid w:val="00C9075F"/>
    <w:rsid w:val="00C91933"/>
    <w:rsid w:val="00C92BCC"/>
    <w:rsid w:val="00C94F8F"/>
    <w:rsid w:val="00C96159"/>
    <w:rsid w:val="00CA1A37"/>
    <w:rsid w:val="00CA3E60"/>
    <w:rsid w:val="00CB047C"/>
    <w:rsid w:val="00CB0ADE"/>
    <w:rsid w:val="00CB2622"/>
    <w:rsid w:val="00CD08BE"/>
    <w:rsid w:val="00CE5FF6"/>
    <w:rsid w:val="00CE6BAE"/>
    <w:rsid w:val="00CE7D09"/>
    <w:rsid w:val="00CF749B"/>
    <w:rsid w:val="00D01D9D"/>
    <w:rsid w:val="00D06A9F"/>
    <w:rsid w:val="00D130D8"/>
    <w:rsid w:val="00D134C1"/>
    <w:rsid w:val="00D170BE"/>
    <w:rsid w:val="00D23796"/>
    <w:rsid w:val="00D24DD4"/>
    <w:rsid w:val="00D26C3B"/>
    <w:rsid w:val="00D30CBD"/>
    <w:rsid w:val="00D35FED"/>
    <w:rsid w:val="00D42368"/>
    <w:rsid w:val="00D57D04"/>
    <w:rsid w:val="00D62B1A"/>
    <w:rsid w:val="00D67DC1"/>
    <w:rsid w:val="00D7171C"/>
    <w:rsid w:val="00D730D3"/>
    <w:rsid w:val="00D73D73"/>
    <w:rsid w:val="00D743B4"/>
    <w:rsid w:val="00D771A4"/>
    <w:rsid w:val="00D7786F"/>
    <w:rsid w:val="00D91840"/>
    <w:rsid w:val="00DA6BBD"/>
    <w:rsid w:val="00DA7D57"/>
    <w:rsid w:val="00DB46B9"/>
    <w:rsid w:val="00DC2DA8"/>
    <w:rsid w:val="00DC4DC9"/>
    <w:rsid w:val="00DC5A3B"/>
    <w:rsid w:val="00DD52B1"/>
    <w:rsid w:val="00DE07EB"/>
    <w:rsid w:val="00DE2D3A"/>
    <w:rsid w:val="00DF535B"/>
    <w:rsid w:val="00DF7C22"/>
    <w:rsid w:val="00E037FA"/>
    <w:rsid w:val="00E06E64"/>
    <w:rsid w:val="00E133FE"/>
    <w:rsid w:val="00E13E34"/>
    <w:rsid w:val="00E16288"/>
    <w:rsid w:val="00E21BEF"/>
    <w:rsid w:val="00E259EF"/>
    <w:rsid w:val="00E348F4"/>
    <w:rsid w:val="00E42B4C"/>
    <w:rsid w:val="00E4359F"/>
    <w:rsid w:val="00E43A5F"/>
    <w:rsid w:val="00E46C29"/>
    <w:rsid w:val="00E50BE9"/>
    <w:rsid w:val="00E53134"/>
    <w:rsid w:val="00E60FCB"/>
    <w:rsid w:val="00E65807"/>
    <w:rsid w:val="00E67559"/>
    <w:rsid w:val="00E67D65"/>
    <w:rsid w:val="00E70FF1"/>
    <w:rsid w:val="00E7663C"/>
    <w:rsid w:val="00E87569"/>
    <w:rsid w:val="00E943A5"/>
    <w:rsid w:val="00E945B1"/>
    <w:rsid w:val="00E94AC0"/>
    <w:rsid w:val="00EC3B23"/>
    <w:rsid w:val="00EC495E"/>
    <w:rsid w:val="00EC6606"/>
    <w:rsid w:val="00EC77B6"/>
    <w:rsid w:val="00ED384D"/>
    <w:rsid w:val="00ED4646"/>
    <w:rsid w:val="00ED6AD2"/>
    <w:rsid w:val="00ED7E43"/>
    <w:rsid w:val="00EE3AE5"/>
    <w:rsid w:val="00EE57C5"/>
    <w:rsid w:val="00EE67B0"/>
    <w:rsid w:val="00EF5A32"/>
    <w:rsid w:val="00EF78D9"/>
    <w:rsid w:val="00F02814"/>
    <w:rsid w:val="00F02E86"/>
    <w:rsid w:val="00F04361"/>
    <w:rsid w:val="00F140EF"/>
    <w:rsid w:val="00F21CAD"/>
    <w:rsid w:val="00F23AE8"/>
    <w:rsid w:val="00F25FCA"/>
    <w:rsid w:val="00F45379"/>
    <w:rsid w:val="00F46DBC"/>
    <w:rsid w:val="00F54A43"/>
    <w:rsid w:val="00F56BA9"/>
    <w:rsid w:val="00F57023"/>
    <w:rsid w:val="00F65B1E"/>
    <w:rsid w:val="00F90E50"/>
    <w:rsid w:val="00F930AF"/>
    <w:rsid w:val="00F96A16"/>
    <w:rsid w:val="00F96EB4"/>
    <w:rsid w:val="00FA19A7"/>
    <w:rsid w:val="00FA2B44"/>
    <w:rsid w:val="00FA696C"/>
    <w:rsid w:val="00FB569E"/>
    <w:rsid w:val="00FC1211"/>
    <w:rsid w:val="00FC3A63"/>
    <w:rsid w:val="00FC638F"/>
    <w:rsid w:val="00FC65B5"/>
    <w:rsid w:val="00FD0C6B"/>
    <w:rsid w:val="00FD6B93"/>
    <w:rsid w:val="00FD6D4D"/>
    <w:rsid w:val="00FD6F56"/>
    <w:rsid w:val="00FE4CE1"/>
    <w:rsid w:val="00FF70F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D79050"/>
  <w15:docId w15:val="{FE7D32C8-BD13-44BB-A4A3-CAB0024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0C"/>
    <w:pPr>
      <w:keepLines/>
    </w:pPr>
    <w:rPr>
      <w:color w:val="54575A" w:themeColor="text1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EF4"/>
    <w:pPr>
      <w:keepNext/>
      <w:spacing w:before="240" w:after="240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EF4"/>
    <w:pPr>
      <w:keepNext/>
      <w:spacing w:before="40" w:after="240"/>
      <w:outlineLvl w:val="1"/>
    </w:pPr>
    <w:rPr>
      <w:rFonts w:ascii="Segoe UI" w:eastAsiaTheme="majorEastAsia" w:hAnsi="Segoe UI" w:cs="Segoe UI"/>
      <w:b/>
      <w:color w:val="5B315E" w:themeColor="accent2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EF4"/>
    <w:pPr>
      <w:keepNext/>
      <w:spacing w:before="40" w:after="120"/>
      <w:outlineLvl w:val="2"/>
    </w:pPr>
    <w:rPr>
      <w:rFonts w:ascii="Segoe UI Semibold" w:eastAsiaTheme="majorEastAsia" w:hAnsi="Segoe UI Semibold" w:cs="Segoe UI Semibold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2D81"/>
    <w:pPr>
      <w:keepNext/>
      <w:spacing w:before="40" w:after="0"/>
      <w:outlineLvl w:val="3"/>
    </w:pPr>
    <w:rPr>
      <w:rFonts w:asciiTheme="majorHAnsi" w:eastAsiaTheme="majorEastAsia" w:hAnsiTheme="majorHAnsi" w:cstheme="majorBidi"/>
      <w:iCs/>
      <w:color w:val="54575A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2BC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9F004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62E"/>
  </w:style>
  <w:style w:type="paragraph" w:styleId="Footer">
    <w:name w:val="footer"/>
    <w:basedOn w:val="Normal"/>
    <w:link w:val="FooterChar"/>
    <w:uiPriority w:val="99"/>
    <w:unhideWhenUsed/>
    <w:rsid w:val="003F1F30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F1F30"/>
    <w:rPr>
      <w:sz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26341"/>
    <w:pPr>
      <w:spacing w:before="1200" w:after="0" w:line="1200" w:lineRule="exact"/>
      <w:contextualSpacing/>
    </w:pPr>
    <w:rPr>
      <w:rFonts w:ascii="Segoe UI Light" w:eastAsiaTheme="majorEastAsia" w:hAnsi="Segoe UI Light" w:cs="Segoe UI Light"/>
      <w:b/>
      <w:spacing w:val="-10"/>
      <w:kern w:val="28"/>
      <w:sz w:val="72"/>
      <w:szCs w:val="7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B26341"/>
    <w:rPr>
      <w:rFonts w:ascii="Segoe UI Light" w:eastAsiaTheme="majorEastAsia" w:hAnsi="Segoe UI Light" w:cs="Segoe UI Light"/>
      <w:b/>
      <w:color w:val="54575A" w:themeColor="text1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10"/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43E10"/>
    <w:rPr>
      <w:rFonts w:ascii="Segoe UI Light" w:hAnsi="Segoe UI Light" w:cs="Segoe UI Light"/>
      <w:color w:val="54575A" w:themeColor="text1"/>
      <w:sz w:val="36"/>
      <w:szCs w:val="36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143EF4"/>
    <w:rPr>
      <w:rFonts w:asciiTheme="majorHAnsi" w:eastAsiaTheme="majorEastAsia" w:hAnsiTheme="majorHAnsi" w:cstheme="majorBidi"/>
      <w:color w:val="54575A" w:themeColor="text1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143EF4"/>
    <w:rPr>
      <w:rFonts w:ascii="Segoe UI" w:eastAsiaTheme="majorEastAsia" w:hAnsi="Segoe UI" w:cs="Segoe UI"/>
      <w:b/>
      <w:color w:val="5B315E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3EF4"/>
    <w:rPr>
      <w:rFonts w:ascii="Segoe UI Semibold" w:eastAsiaTheme="majorEastAsia" w:hAnsi="Segoe UI Semibold" w:cs="Segoe UI Semibold"/>
      <w:color w:val="54575A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52D"/>
    <w:pPr>
      <w:numPr>
        <w:numId w:val="2"/>
      </w:numPr>
      <w:spacing w:after="3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2D81"/>
    <w:rPr>
      <w:rFonts w:asciiTheme="majorHAnsi" w:eastAsiaTheme="majorEastAsia" w:hAnsiTheme="majorHAnsi" w:cstheme="majorBidi"/>
      <w:iCs/>
      <w:color w:val="54575A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34"/>
    <w:rPr>
      <w:rFonts w:ascii="Segoe UI" w:hAnsi="Segoe UI" w:cs="Segoe UI"/>
      <w:sz w:val="18"/>
      <w:szCs w:val="18"/>
    </w:rPr>
  </w:style>
  <w:style w:type="paragraph" w:customStyle="1" w:styleId="Numberedlist">
    <w:name w:val="Numbered list"/>
    <w:basedOn w:val="ListParagraph"/>
    <w:qFormat/>
    <w:rsid w:val="003C0C34"/>
    <w:pPr>
      <w:numPr>
        <w:numId w:val="3"/>
      </w:numPr>
    </w:pPr>
  </w:style>
  <w:style w:type="table" w:styleId="TableGrid">
    <w:name w:val="Table Grid"/>
    <w:basedOn w:val="TableNormal"/>
    <w:uiPriority w:val="39"/>
    <w:rsid w:val="009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Heading2"/>
    <w:qFormat/>
    <w:rsid w:val="00985FD0"/>
    <w:rPr>
      <w:rFonts w:ascii="Segoe UI Semibold" w:hAnsi="Segoe UI Semibold"/>
      <w:b w:val="0"/>
      <w:color w:val="54575A" w:themeColor="text1"/>
    </w:rPr>
  </w:style>
  <w:style w:type="paragraph" w:customStyle="1" w:styleId="ColumnTitle">
    <w:name w:val="Column Title"/>
    <w:basedOn w:val="Normal"/>
    <w:qFormat/>
    <w:rsid w:val="002669DD"/>
    <w:pPr>
      <w:spacing w:after="0" w:line="240" w:lineRule="auto"/>
    </w:pPr>
    <w:rPr>
      <w:rFonts w:ascii="Segoe UI Semibold" w:hAnsi="Segoe UI Semibold" w:cs="Segoe UI Semibold"/>
      <w:color w:val="F2F2F2" w:themeColor="background2"/>
      <w:sz w:val="24"/>
      <w:szCs w:val="24"/>
    </w:rPr>
  </w:style>
  <w:style w:type="paragraph" w:customStyle="1" w:styleId="DataText">
    <w:name w:val="Data Text"/>
    <w:basedOn w:val="Normal"/>
    <w:qFormat/>
    <w:rsid w:val="002669DD"/>
    <w:pPr>
      <w:spacing w:after="0" w:line="240" w:lineRule="auto"/>
    </w:pPr>
  </w:style>
  <w:style w:type="paragraph" w:customStyle="1" w:styleId="Heading3forBox">
    <w:name w:val="Heading 3 for Box"/>
    <w:basedOn w:val="Normal"/>
    <w:qFormat/>
    <w:rsid w:val="00BC7998"/>
    <w:rPr>
      <w:rFonts w:ascii="Segoe UI Semibold" w:eastAsiaTheme="majorEastAsia" w:hAnsi="Segoe UI Semibold" w:cs="Segoe UI Semibold"/>
      <w:color w:val="FFFFFF" w:themeColor="background1"/>
      <w:sz w:val="24"/>
      <w:szCs w:val="24"/>
    </w:rPr>
  </w:style>
  <w:style w:type="paragraph" w:customStyle="1" w:styleId="NormalWhiteforBox">
    <w:name w:val="Normal White for Box"/>
    <w:basedOn w:val="Normal"/>
    <w:qFormat/>
    <w:rsid w:val="00BC7998"/>
  </w:style>
  <w:style w:type="paragraph" w:styleId="FootnoteText">
    <w:name w:val="footnote text"/>
    <w:basedOn w:val="Normal"/>
    <w:link w:val="FootnoteTextChar"/>
    <w:uiPriority w:val="99"/>
    <w:unhideWhenUsed/>
    <w:rsid w:val="00F453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3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37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C92BCC"/>
    <w:rPr>
      <w:rFonts w:asciiTheme="majorHAnsi" w:eastAsiaTheme="majorEastAsia" w:hAnsiTheme="majorHAnsi" w:cstheme="majorBidi"/>
      <w:color w:val="9F0040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F46DBC"/>
    <w:pPr>
      <w:outlineLvl w:val="9"/>
    </w:pPr>
    <w:rPr>
      <w:color w:val="9F0040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37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76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83764"/>
    <w:rPr>
      <w:color w:val="0099A8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95EB6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6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5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50F"/>
    <w:rPr>
      <w:color w:val="54575A" w:themeColor="text1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50F"/>
    <w:rPr>
      <w:b/>
      <w:bCs/>
      <w:color w:val="54575A" w:themeColor="text1"/>
      <w:sz w:val="20"/>
      <w:szCs w:val="20"/>
      <w:lang w:val="fr-CA"/>
    </w:rPr>
  </w:style>
  <w:style w:type="table" w:customStyle="1" w:styleId="PlainTable11">
    <w:name w:val="Plain Table 11"/>
    <w:basedOn w:val="TableNormal"/>
    <w:uiPriority w:val="41"/>
    <w:rsid w:val="00A01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6D8"/>
    <w:rPr>
      <w:color w:val="A5A5A5" w:themeColor="followedHyperlink"/>
      <w:u w:val="single"/>
    </w:rPr>
  </w:style>
  <w:style w:type="paragraph" w:styleId="Revision">
    <w:name w:val="Revision"/>
    <w:hidden/>
    <w:uiPriority w:val="99"/>
    <w:semiHidden/>
    <w:rsid w:val="00D62B1A"/>
    <w:pPr>
      <w:spacing w:after="0" w:line="240" w:lineRule="auto"/>
    </w:pPr>
    <w:rPr>
      <w:color w:val="54575A" w:themeColor="text1"/>
      <w:lang w:val="fr-CA"/>
    </w:rPr>
  </w:style>
  <w:style w:type="table" w:customStyle="1" w:styleId="ListTable6Colorful-Accent11">
    <w:name w:val="List Table 6 Colorful - Accent 11"/>
    <w:basedOn w:val="TableNormal"/>
    <w:uiPriority w:val="51"/>
    <w:rsid w:val="005129F7"/>
    <w:pPr>
      <w:spacing w:after="0" w:line="240" w:lineRule="auto"/>
    </w:pPr>
    <w:rPr>
      <w:color w:val="9F0040" w:themeColor="accent1" w:themeShade="BF"/>
    </w:rPr>
    <w:tblPr>
      <w:tblStyleRowBandSize w:val="1"/>
      <w:tblStyleColBandSize w:val="1"/>
      <w:tblBorders>
        <w:top w:val="single" w:sz="4" w:space="0" w:color="D50057" w:themeColor="accent1"/>
        <w:bottom w:val="single" w:sz="4" w:space="0" w:color="D5005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5005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5005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B" w:themeFill="accent1" w:themeFillTint="33"/>
      </w:tcPr>
    </w:tblStylePr>
    <w:tblStylePr w:type="band1Horz">
      <w:tblPr/>
      <w:tcPr>
        <w:shd w:val="clear" w:color="auto" w:fill="FFC3DB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D4886"/>
    <w:pPr>
      <w:keepLine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CA" w:eastAsia="en-CA"/>
    </w:rPr>
  </w:style>
  <w:style w:type="table" w:customStyle="1" w:styleId="GridTable2-Accent11">
    <w:name w:val="Grid Table 2 - Accent 11"/>
    <w:basedOn w:val="TableNormal"/>
    <w:uiPriority w:val="47"/>
    <w:rsid w:val="000F2F98"/>
    <w:pPr>
      <w:spacing w:after="0" w:line="240" w:lineRule="auto"/>
    </w:pPr>
    <w:tblPr>
      <w:tblStyleRowBandSize w:val="1"/>
      <w:tblStyleColBandSize w:val="1"/>
      <w:tblBorders>
        <w:top w:val="single" w:sz="2" w:space="0" w:color="FF4C95" w:themeColor="accent1" w:themeTint="99"/>
        <w:bottom w:val="single" w:sz="2" w:space="0" w:color="FF4C95" w:themeColor="accent1" w:themeTint="99"/>
        <w:insideH w:val="single" w:sz="2" w:space="0" w:color="FF4C95" w:themeColor="accent1" w:themeTint="99"/>
        <w:insideV w:val="single" w:sz="2" w:space="0" w:color="FF4C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B" w:themeFill="accent1" w:themeFillTint="33"/>
      </w:tcPr>
    </w:tblStylePr>
    <w:tblStylePr w:type="band1Horz">
      <w:tblPr/>
      <w:tcPr>
        <w:shd w:val="clear" w:color="auto" w:fill="FFC3DB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047C"/>
    <w:pPr>
      <w:spacing w:after="0" w:line="240" w:lineRule="auto"/>
    </w:pPr>
    <w:rPr>
      <w:color w:val="9F0040" w:themeColor="accent1" w:themeShade="BF"/>
    </w:rPr>
    <w:tblPr>
      <w:tblStyleRowBandSize w:val="1"/>
      <w:tblStyleColBandSize w:val="1"/>
      <w:tblBorders>
        <w:top w:val="single" w:sz="4" w:space="0" w:color="D50057" w:themeColor="accent1"/>
        <w:bottom w:val="single" w:sz="4" w:space="0" w:color="D5005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5005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5005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DB" w:themeFill="accent1" w:themeFillTint="33"/>
      </w:tcPr>
    </w:tblStylePr>
    <w:tblStylePr w:type="band1Horz">
      <w:tblPr/>
      <w:tcPr>
        <w:shd w:val="clear" w:color="auto" w:fill="FFC3DB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D42368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047A49"/>
    <w:pPr>
      <w:spacing w:after="200" w:line="240" w:lineRule="auto"/>
    </w:pPr>
    <w:rPr>
      <w:i/>
      <w:iCs/>
      <w:color w:val="54575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2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0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68A8B.239171F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685EE.8D22630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Rapport-CFP2019.dotx" TargetMode="External"/></Relationships>
</file>

<file path=word/theme/theme1.xml><?xml version="1.0" encoding="utf-8"?>
<a:theme xmlns:a="http://schemas.openxmlformats.org/drawingml/2006/main" name="Office 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0099A8"/>
      </a:hlink>
      <a:folHlink>
        <a:srgbClr val="A5A5A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E019-4629-4DB3-878C-04BE8E27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Rapport-CFP2019.dotx</Template>
  <TotalTime>222</TotalTime>
  <Pages>7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dbarbaga</dc:creator>
  <cp:lastModifiedBy>Daniel Spracklin</cp:lastModifiedBy>
  <cp:revision>34</cp:revision>
  <cp:lastPrinted>2019-07-11T17:58:00Z</cp:lastPrinted>
  <dcterms:created xsi:type="dcterms:W3CDTF">2020-09-07T12:47:00Z</dcterms:created>
  <dcterms:modified xsi:type="dcterms:W3CDTF">2020-12-07T19:41:00Z</dcterms:modified>
</cp:coreProperties>
</file>