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A5E9C" w14:textId="3644BBEF" w:rsidR="00A57819" w:rsidRPr="003A75A4" w:rsidRDefault="00C40727" w:rsidP="00A57819">
      <w:pPr>
        <w:pStyle w:val="Title"/>
        <w:rPr>
          <w:lang w:val="en-CA"/>
        </w:rPr>
      </w:pPr>
      <w:r>
        <w:rPr>
          <w:lang w:val="en-CA"/>
        </w:rPr>
        <w:t>Oversight and Investigations Sector’s Research</w:t>
      </w:r>
      <w:r w:rsidR="003B1157">
        <w:rPr>
          <w:lang w:val="en-CA"/>
        </w:rPr>
        <w:t xml:space="preserve"> and </w:t>
      </w:r>
      <w:r w:rsidR="00C95B80">
        <w:rPr>
          <w:lang w:val="en-CA"/>
        </w:rPr>
        <w:t>Development</w:t>
      </w:r>
      <w:r>
        <w:rPr>
          <w:lang w:val="en-CA"/>
        </w:rPr>
        <w:t xml:space="preserve"> Plan</w:t>
      </w:r>
    </w:p>
    <w:p w14:paraId="290C35A7" w14:textId="17F45504" w:rsidR="00A57819" w:rsidRDefault="00665574" w:rsidP="00A57819">
      <w:pPr>
        <w:rPr>
          <w:lang w:val="en-CA"/>
        </w:rPr>
      </w:pPr>
      <w:r w:rsidRPr="00665574">
        <w:rPr>
          <w:lang w:val="en-CA"/>
        </w:rPr>
        <w:t>2021-2023 and Beyond</w:t>
      </w:r>
    </w:p>
    <w:p w14:paraId="136E3CEB" w14:textId="6809AD6F" w:rsidR="00665574" w:rsidRDefault="00665574" w:rsidP="00A57819">
      <w:pPr>
        <w:rPr>
          <w:lang w:val="en-CA"/>
        </w:rPr>
      </w:pPr>
      <w:r w:rsidRPr="00665574">
        <w:t>Diffusion possible - Gouvernement ouvert</w:t>
      </w:r>
      <w:r w:rsidRPr="00665574">
        <w:rPr>
          <w:lang w:val="en-CA"/>
        </w:rPr>
        <w:t xml:space="preserve"> / Candidate for Open Government</w:t>
      </w:r>
    </w:p>
    <w:p w14:paraId="564F5C35" w14:textId="5FE6287B" w:rsidR="00665574" w:rsidRPr="003A75A4" w:rsidRDefault="00665574" w:rsidP="00A57819">
      <w:pPr>
        <w:rPr>
          <w:lang w:val="en-CA"/>
        </w:rPr>
      </w:pPr>
      <w:proofErr w:type="spellStart"/>
      <w:r w:rsidRPr="00665574">
        <w:rPr>
          <w:lang w:val="en-CA"/>
        </w:rPr>
        <w:t>GCDoc</w:t>
      </w:r>
      <w:proofErr w:type="spellEnd"/>
      <w:r w:rsidRPr="00665574">
        <w:rPr>
          <w:lang w:val="en-CA"/>
        </w:rPr>
        <w:t># 12537903</w:t>
      </w:r>
    </w:p>
    <w:p w14:paraId="54731D3C" w14:textId="700A5AC3" w:rsidR="00A57819" w:rsidRPr="0018243A" w:rsidRDefault="00732541" w:rsidP="00A57819">
      <w:pPr>
        <w:pStyle w:val="Subtitle"/>
        <w:rPr>
          <w:lang w:val="en-CA"/>
        </w:rPr>
      </w:pPr>
      <w:r>
        <w:rPr>
          <w:noProof/>
          <w:lang w:val="en-CA" w:eastAsia="en-CA"/>
        </w:rPr>
        <w:drawing>
          <wp:anchor distT="0" distB="0" distL="114300" distR="114300" simplePos="0" relativeHeight="251659264" behindDoc="1" locked="0" layoutInCell="1" allowOverlap="1" wp14:anchorId="2D0145BA" wp14:editId="41E39713">
            <wp:simplePos x="0" y="0"/>
            <wp:positionH relativeFrom="page">
              <wp:posOffset>76200</wp:posOffset>
            </wp:positionH>
            <wp:positionV relativeFrom="page">
              <wp:posOffset>6111240</wp:posOffset>
            </wp:positionV>
            <wp:extent cx="7800212" cy="3891600"/>
            <wp:effectExtent l="0" t="0" r="0" b="0"/>
            <wp:wrapNone/>
            <wp:docPr id="530" name="Picture 5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Picture 530">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800212" cy="3891600"/>
                    </a:xfrm>
                    <a:prstGeom prst="rect">
                      <a:avLst/>
                    </a:prstGeom>
                  </pic:spPr>
                </pic:pic>
              </a:graphicData>
            </a:graphic>
            <wp14:sizeRelH relativeFrom="margin">
              <wp14:pctWidth>0</wp14:pctWidth>
            </wp14:sizeRelH>
            <wp14:sizeRelV relativeFrom="margin">
              <wp14:pctHeight>0</wp14:pctHeight>
            </wp14:sizeRelV>
          </wp:anchor>
        </w:drawing>
      </w:r>
    </w:p>
    <w:p w14:paraId="02F857AB" w14:textId="325F2DA1" w:rsidR="00941B2E" w:rsidRPr="00432DDD" w:rsidRDefault="00941B2E" w:rsidP="00214354">
      <w:pPr>
        <w:keepLines w:val="0"/>
        <w:tabs>
          <w:tab w:val="center" w:pos="4680"/>
        </w:tabs>
        <w:rPr>
          <w:lang w:val="en-CA"/>
        </w:rPr>
      </w:pPr>
      <w:r w:rsidRPr="00432DDD">
        <w:rPr>
          <w:lang w:val="en-CA"/>
        </w:rPr>
        <w:br w:type="page"/>
      </w:r>
      <w:r w:rsidR="00F72B2F" w:rsidRPr="00432DDD">
        <w:rPr>
          <w:lang w:val="en-CA"/>
        </w:rPr>
        <w:lastRenderedPageBreak/>
        <w:tab/>
      </w:r>
    </w:p>
    <w:sdt>
      <w:sdtPr>
        <w:rPr>
          <w:rFonts w:asciiTheme="minorHAnsi" w:eastAsiaTheme="minorHAnsi" w:hAnsiTheme="minorHAnsi" w:cstheme="minorBidi"/>
          <w:color w:val="54575A" w:themeColor="text1"/>
          <w:sz w:val="22"/>
          <w:szCs w:val="22"/>
          <w:lang w:val="fr-CA"/>
        </w:rPr>
        <w:id w:val="805437904"/>
        <w:docPartObj>
          <w:docPartGallery w:val="Table of Contents"/>
          <w:docPartUnique/>
        </w:docPartObj>
      </w:sdtPr>
      <w:sdtEndPr>
        <w:rPr>
          <w:b/>
          <w:bCs/>
          <w:noProof/>
        </w:rPr>
      </w:sdtEndPr>
      <w:sdtContent>
        <w:p w14:paraId="1FA90ADD" w14:textId="15EDD5EB" w:rsidR="008C40B6" w:rsidRDefault="008C40B6">
          <w:pPr>
            <w:pStyle w:val="TOCHeading"/>
          </w:pPr>
          <w:r>
            <w:t>Table of Contents</w:t>
          </w:r>
        </w:p>
        <w:p w14:paraId="2077C8CE" w14:textId="47D4B230" w:rsidR="00FD211C" w:rsidRDefault="008C40B6">
          <w:pPr>
            <w:pStyle w:val="TOC1"/>
            <w:tabs>
              <w:tab w:val="right" w:leader="dot" w:pos="17273"/>
            </w:tabs>
            <w:rPr>
              <w:rFonts w:eastAsiaTheme="minorEastAsia"/>
              <w:noProof/>
              <w:color w:val="auto"/>
              <w:lang w:val="en-CA" w:eastAsia="en-CA"/>
            </w:rPr>
          </w:pPr>
          <w:r w:rsidRPr="004750DE">
            <w:rPr>
              <w:lang w:val="en-CA"/>
            </w:rPr>
            <w:fldChar w:fldCharType="begin"/>
          </w:r>
          <w:r w:rsidRPr="004750DE">
            <w:rPr>
              <w:lang w:val="en-CA"/>
            </w:rPr>
            <w:instrText xml:space="preserve"> TOC \o "1-3" \h \z \u </w:instrText>
          </w:r>
          <w:r w:rsidRPr="004750DE">
            <w:rPr>
              <w:lang w:val="en-CA"/>
            </w:rPr>
            <w:fldChar w:fldCharType="separate"/>
          </w:r>
          <w:hyperlink w:anchor="_Toc106712286" w:history="1">
            <w:r w:rsidR="00FD211C" w:rsidRPr="008358D6">
              <w:rPr>
                <w:rStyle w:val="Hyperlink"/>
                <w:noProof/>
                <w:lang w:val="en-CA"/>
              </w:rPr>
              <w:t>Introduction</w:t>
            </w:r>
            <w:r w:rsidR="00FD211C">
              <w:rPr>
                <w:noProof/>
                <w:webHidden/>
              </w:rPr>
              <w:tab/>
            </w:r>
            <w:r w:rsidR="00FD211C">
              <w:rPr>
                <w:noProof/>
                <w:webHidden/>
              </w:rPr>
              <w:fldChar w:fldCharType="begin"/>
            </w:r>
            <w:r w:rsidR="00FD211C">
              <w:rPr>
                <w:noProof/>
                <w:webHidden/>
              </w:rPr>
              <w:instrText xml:space="preserve"> PAGEREF _Toc106712286 \h </w:instrText>
            </w:r>
            <w:r w:rsidR="00FD211C">
              <w:rPr>
                <w:noProof/>
                <w:webHidden/>
              </w:rPr>
            </w:r>
            <w:r w:rsidR="00FD211C">
              <w:rPr>
                <w:noProof/>
                <w:webHidden/>
              </w:rPr>
              <w:fldChar w:fldCharType="separate"/>
            </w:r>
            <w:r w:rsidR="00FD211C">
              <w:rPr>
                <w:noProof/>
                <w:webHidden/>
              </w:rPr>
              <w:t>3</w:t>
            </w:r>
            <w:r w:rsidR="00FD211C">
              <w:rPr>
                <w:noProof/>
                <w:webHidden/>
              </w:rPr>
              <w:fldChar w:fldCharType="end"/>
            </w:r>
          </w:hyperlink>
        </w:p>
        <w:p w14:paraId="2E5F5B95" w14:textId="7BAE2A50" w:rsidR="00FD211C" w:rsidRDefault="00D23305">
          <w:pPr>
            <w:pStyle w:val="TOC1"/>
            <w:tabs>
              <w:tab w:val="right" w:leader="dot" w:pos="17273"/>
            </w:tabs>
            <w:rPr>
              <w:rFonts w:eastAsiaTheme="minorEastAsia"/>
              <w:noProof/>
              <w:color w:val="auto"/>
              <w:lang w:val="en-CA" w:eastAsia="en-CA"/>
            </w:rPr>
          </w:pPr>
          <w:hyperlink w:anchor="_Toc106712287" w:history="1">
            <w:r w:rsidR="00FD211C" w:rsidRPr="008358D6">
              <w:rPr>
                <w:rStyle w:val="Hyperlink"/>
                <w:noProof/>
                <w:lang w:val="en-CA"/>
              </w:rPr>
              <w:t>Current Context</w:t>
            </w:r>
            <w:r w:rsidR="00FD211C">
              <w:rPr>
                <w:noProof/>
                <w:webHidden/>
              </w:rPr>
              <w:tab/>
            </w:r>
            <w:r w:rsidR="00FD211C">
              <w:rPr>
                <w:noProof/>
                <w:webHidden/>
              </w:rPr>
              <w:fldChar w:fldCharType="begin"/>
            </w:r>
            <w:r w:rsidR="00FD211C">
              <w:rPr>
                <w:noProof/>
                <w:webHidden/>
              </w:rPr>
              <w:instrText xml:space="preserve"> PAGEREF _Toc106712287 \h </w:instrText>
            </w:r>
            <w:r w:rsidR="00FD211C">
              <w:rPr>
                <w:noProof/>
                <w:webHidden/>
              </w:rPr>
            </w:r>
            <w:r w:rsidR="00FD211C">
              <w:rPr>
                <w:noProof/>
                <w:webHidden/>
              </w:rPr>
              <w:fldChar w:fldCharType="separate"/>
            </w:r>
            <w:r w:rsidR="00FD211C">
              <w:rPr>
                <w:noProof/>
                <w:webHidden/>
              </w:rPr>
              <w:t>4</w:t>
            </w:r>
            <w:r w:rsidR="00FD211C">
              <w:rPr>
                <w:noProof/>
                <w:webHidden/>
              </w:rPr>
              <w:fldChar w:fldCharType="end"/>
            </w:r>
          </w:hyperlink>
        </w:p>
        <w:p w14:paraId="1B492751" w14:textId="2874E529" w:rsidR="00FD211C" w:rsidRDefault="00D23305">
          <w:pPr>
            <w:pStyle w:val="TOC1"/>
            <w:tabs>
              <w:tab w:val="right" w:leader="dot" w:pos="17273"/>
            </w:tabs>
            <w:rPr>
              <w:rFonts w:eastAsiaTheme="minorEastAsia"/>
              <w:noProof/>
              <w:color w:val="auto"/>
              <w:lang w:val="en-CA" w:eastAsia="en-CA"/>
            </w:rPr>
          </w:pPr>
          <w:hyperlink w:anchor="_Toc106712288" w:history="1">
            <w:r w:rsidR="00FD211C" w:rsidRPr="008358D6">
              <w:rPr>
                <w:rStyle w:val="Hyperlink"/>
                <w:noProof/>
                <w:lang w:val="en-US"/>
              </w:rPr>
              <w:t>Research and the PSC Oversight Model</w:t>
            </w:r>
            <w:r w:rsidR="00FD211C">
              <w:rPr>
                <w:noProof/>
                <w:webHidden/>
              </w:rPr>
              <w:tab/>
            </w:r>
            <w:r w:rsidR="00FD211C">
              <w:rPr>
                <w:noProof/>
                <w:webHidden/>
              </w:rPr>
              <w:fldChar w:fldCharType="begin"/>
            </w:r>
            <w:r w:rsidR="00FD211C">
              <w:rPr>
                <w:noProof/>
                <w:webHidden/>
              </w:rPr>
              <w:instrText xml:space="preserve"> PAGEREF _Toc106712288 \h </w:instrText>
            </w:r>
            <w:r w:rsidR="00FD211C">
              <w:rPr>
                <w:noProof/>
                <w:webHidden/>
              </w:rPr>
            </w:r>
            <w:r w:rsidR="00FD211C">
              <w:rPr>
                <w:noProof/>
                <w:webHidden/>
              </w:rPr>
              <w:fldChar w:fldCharType="separate"/>
            </w:r>
            <w:r w:rsidR="00FD211C">
              <w:rPr>
                <w:noProof/>
                <w:webHidden/>
              </w:rPr>
              <w:t>4</w:t>
            </w:r>
            <w:r w:rsidR="00FD211C">
              <w:rPr>
                <w:noProof/>
                <w:webHidden/>
              </w:rPr>
              <w:fldChar w:fldCharType="end"/>
            </w:r>
          </w:hyperlink>
        </w:p>
        <w:p w14:paraId="60760D24" w14:textId="3B6747AC" w:rsidR="00FD211C" w:rsidRDefault="00D23305">
          <w:pPr>
            <w:pStyle w:val="TOC1"/>
            <w:tabs>
              <w:tab w:val="right" w:leader="dot" w:pos="17273"/>
            </w:tabs>
            <w:rPr>
              <w:rFonts w:eastAsiaTheme="minorEastAsia"/>
              <w:noProof/>
              <w:color w:val="auto"/>
              <w:lang w:val="en-CA" w:eastAsia="en-CA"/>
            </w:rPr>
          </w:pPr>
          <w:hyperlink w:anchor="_Toc106712289" w:history="1">
            <w:r w:rsidR="00FD211C" w:rsidRPr="008358D6">
              <w:rPr>
                <w:rStyle w:val="Hyperlink"/>
                <w:noProof/>
                <w:lang w:val="en-CA"/>
              </w:rPr>
              <w:t>Research Capacity for 2021-2023</w:t>
            </w:r>
            <w:r w:rsidR="00FD211C">
              <w:rPr>
                <w:noProof/>
                <w:webHidden/>
              </w:rPr>
              <w:tab/>
            </w:r>
            <w:r w:rsidR="00FD211C">
              <w:rPr>
                <w:noProof/>
                <w:webHidden/>
              </w:rPr>
              <w:fldChar w:fldCharType="begin"/>
            </w:r>
            <w:r w:rsidR="00FD211C">
              <w:rPr>
                <w:noProof/>
                <w:webHidden/>
              </w:rPr>
              <w:instrText xml:space="preserve"> PAGEREF _Toc106712289 \h </w:instrText>
            </w:r>
            <w:r w:rsidR="00FD211C">
              <w:rPr>
                <w:noProof/>
                <w:webHidden/>
              </w:rPr>
            </w:r>
            <w:r w:rsidR="00FD211C">
              <w:rPr>
                <w:noProof/>
                <w:webHidden/>
              </w:rPr>
              <w:fldChar w:fldCharType="separate"/>
            </w:r>
            <w:r w:rsidR="00FD211C">
              <w:rPr>
                <w:noProof/>
                <w:webHidden/>
              </w:rPr>
              <w:t>5</w:t>
            </w:r>
            <w:r w:rsidR="00FD211C">
              <w:rPr>
                <w:noProof/>
                <w:webHidden/>
              </w:rPr>
              <w:fldChar w:fldCharType="end"/>
            </w:r>
          </w:hyperlink>
        </w:p>
        <w:p w14:paraId="2BE2F931" w14:textId="57BC04F0" w:rsidR="00FD211C" w:rsidRDefault="00D23305">
          <w:pPr>
            <w:pStyle w:val="TOC1"/>
            <w:tabs>
              <w:tab w:val="right" w:leader="dot" w:pos="17273"/>
            </w:tabs>
            <w:rPr>
              <w:rFonts w:eastAsiaTheme="minorEastAsia"/>
              <w:noProof/>
              <w:color w:val="auto"/>
              <w:lang w:val="en-CA" w:eastAsia="en-CA"/>
            </w:rPr>
          </w:pPr>
          <w:hyperlink w:anchor="_Toc106712290" w:history="1">
            <w:r w:rsidR="00FD211C" w:rsidRPr="008358D6">
              <w:rPr>
                <w:rStyle w:val="Hyperlink"/>
                <w:noProof/>
                <w:lang w:val="en-CA"/>
              </w:rPr>
              <w:t>Consultations and Governance</w:t>
            </w:r>
            <w:r w:rsidR="00FD211C">
              <w:rPr>
                <w:noProof/>
                <w:webHidden/>
              </w:rPr>
              <w:tab/>
            </w:r>
            <w:r w:rsidR="00FD211C">
              <w:rPr>
                <w:noProof/>
                <w:webHidden/>
              </w:rPr>
              <w:fldChar w:fldCharType="begin"/>
            </w:r>
            <w:r w:rsidR="00FD211C">
              <w:rPr>
                <w:noProof/>
                <w:webHidden/>
              </w:rPr>
              <w:instrText xml:space="preserve"> PAGEREF _Toc106712290 \h </w:instrText>
            </w:r>
            <w:r w:rsidR="00FD211C">
              <w:rPr>
                <w:noProof/>
                <w:webHidden/>
              </w:rPr>
            </w:r>
            <w:r w:rsidR="00FD211C">
              <w:rPr>
                <w:noProof/>
                <w:webHidden/>
              </w:rPr>
              <w:fldChar w:fldCharType="separate"/>
            </w:r>
            <w:r w:rsidR="00FD211C">
              <w:rPr>
                <w:noProof/>
                <w:webHidden/>
              </w:rPr>
              <w:t>6</w:t>
            </w:r>
            <w:r w:rsidR="00FD211C">
              <w:rPr>
                <w:noProof/>
                <w:webHidden/>
              </w:rPr>
              <w:fldChar w:fldCharType="end"/>
            </w:r>
          </w:hyperlink>
        </w:p>
        <w:p w14:paraId="3D7EA1D8" w14:textId="5BB1D569" w:rsidR="00FD211C" w:rsidRDefault="00D23305">
          <w:pPr>
            <w:pStyle w:val="TOC1"/>
            <w:tabs>
              <w:tab w:val="right" w:leader="dot" w:pos="17273"/>
            </w:tabs>
            <w:rPr>
              <w:rFonts w:eastAsiaTheme="minorEastAsia"/>
              <w:noProof/>
              <w:color w:val="auto"/>
              <w:lang w:val="en-CA" w:eastAsia="en-CA"/>
            </w:rPr>
          </w:pPr>
          <w:hyperlink w:anchor="_Toc106712291" w:history="1">
            <w:r w:rsidR="00FD211C" w:rsidRPr="008358D6">
              <w:rPr>
                <w:rStyle w:val="Hyperlink"/>
                <w:noProof/>
                <w:lang w:val="en-CA"/>
              </w:rPr>
              <w:t>Annexe A: PSC System-Wide Oversight Model</w:t>
            </w:r>
            <w:r w:rsidR="00FD211C">
              <w:rPr>
                <w:noProof/>
                <w:webHidden/>
              </w:rPr>
              <w:tab/>
            </w:r>
            <w:r w:rsidR="00FD211C">
              <w:rPr>
                <w:noProof/>
                <w:webHidden/>
              </w:rPr>
              <w:fldChar w:fldCharType="begin"/>
            </w:r>
            <w:r w:rsidR="00FD211C">
              <w:rPr>
                <w:noProof/>
                <w:webHidden/>
              </w:rPr>
              <w:instrText xml:space="preserve"> PAGEREF _Toc106712291 \h </w:instrText>
            </w:r>
            <w:r w:rsidR="00FD211C">
              <w:rPr>
                <w:noProof/>
                <w:webHidden/>
              </w:rPr>
            </w:r>
            <w:r w:rsidR="00FD211C">
              <w:rPr>
                <w:noProof/>
                <w:webHidden/>
              </w:rPr>
              <w:fldChar w:fldCharType="separate"/>
            </w:r>
            <w:r w:rsidR="00FD211C">
              <w:rPr>
                <w:noProof/>
                <w:webHidden/>
              </w:rPr>
              <w:t>7</w:t>
            </w:r>
            <w:r w:rsidR="00FD211C">
              <w:rPr>
                <w:noProof/>
                <w:webHidden/>
              </w:rPr>
              <w:fldChar w:fldCharType="end"/>
            </w:r>
          </w:hyperlink>
        </w:p>
        <w:p w14:paraId="3E13BB87" w14:textId="437D2594" w:rsidR="00FD211C" w:rsidRDefault="00D23305">
          <w:pPr>
            <w:pStyle w:val="TOC1"/>
            <w:tabs>
              <w:tab w:val="right" w:leader="dot" w:pos="17273"/>
            </w:tabs>
            <w:rPr>
              <w:rFonts w:eastAsiaTheme="minorEastAsia"/>
              <w:noProof/>
              <w:color w:val="auto"/>
              <w:lang w:val="en-CA" w:eastAsia="en-CA"/>
            </w:rPr>
          </w:pPr>
          <w:hyperlink w:anchor="_Toc106712292" w:history="1">
            <w:r w:rsidR="00FD211C" w:rsidRPr="008358D6">
              <w:rPr>
                <w:rStyle w:val="Hyperlink"/>
                <w:noProof/>
                <w:lang w:val="en-CA"/>
              </w:rPr>
              <w:t>Annex A description</w:t>
            </w:r>
            <w:r w:rsidR="00FD211C">
              <w:rPr>
                <w:noProof/>
                <w:webHidden/>
              </w:rPr>
              <w:tab/>
            </w:r>
            <w:r w:rsidR="00FD211C">
              <w:rPr>
                <w:noProof/>
                <w:webHidden/>
              </w:rPr>
              <w:fldChar w:fldCharType="begin"/>
            </w:r>
            <w:r w:rsidR="00FD211C">
              <w:rPr>
                <w:noProof/>
                <w:webHidden/>
              </w:rPr>
              <w:instrText xml:space="preserve"> PAGEREF _Toc106712292 \h </w:instrText>
            </w:r>
            <w:r w:rsidR="00FD211C">
              <w:rPr>
                <w:noProof/>
                <w:webHidden/>
              </w:rPr>
            </w:r>
            <w:r w:rsidR="00FD211C">
              <w:rPr>
                <w:noProof/>
                <w:webHidden/>
              </w:rPr>
              <w:fldChar w:fldCharType="separate"/>
            </w:r>
            <w:r w:rsidR="00FD211C">
              <w:rPr>
                <w:noProof/>
                <w:webHidden/>
              </w:rPr>
              <w:t>8</w:t>
            </w:r>
            <w:r w:rsidR="00FD211C">
              <w:rPr>
                <w:noProof/>
                <w:webHidden/>
              </w:rPr>
              <w:fldChar w:fldCharType="end"/>
            </w:r>
          </w:hyperlink>
        </w:p>
        <w:p w14:paraId="160DFEA4" w14:textId="73796263" w:rsidR="00FD211C" w:rsidRDefault="00D23305">
          <w:pPr>
            <w:pStyle w:val="TOC2"/>
            <w:tabs>
              <w:tab w:val="right" w:leader="dot" w:pos="17273"/>
            </w:tabs>
            <w:rPr>
              <w:rFonts w:eastAsiaTheme="minorEastAsia"/>
              <w:noProof/>
              <w:color w:val="auto"/>
              <w:lang w:val="en-CA" w:eastAsia="en-CA"/>
            </w:rPr>
          </w:pPr>
          <w:hyperlink w:anchor="_Toc106712293" w:history="1">
            <w:r w:rsidR="00FD211C" w:rsidRPr="008358D6">
              <w:rPr>
                <w:rStyle w:val="Hyperlink"/>
                <w:noProof/>
                <w:lang w:val="en-US"/>
              </w:rPr>
              <w:t>PSC System-Wide Oversight Model</w:t>
            </w:r>
            <w:r w:rsidR="00FD211C">
              <w:rPr>
                <w:noProof/>
                <w:webHidden/>
              </w:rPr>
              <w:tab/>
            </w:r>
            <w:r w:rsidR="00FD211C">
              <w:rPr>
                <w:noProof/>
                <w:webHidden/>
              </w:rPr>
              <w:fldChar w:fldCharType="begin"/>
            </w:r>
            <w:r w:rsidR="00FD211C">
              <w:rPr>
                <w:noProof/>
                <w:webHidden/>
              </w:rPr>
              <w:instrText xml:space="preserve"> PAGEREF _Toc106712293 \h </w:instrText>
            </w:r>
            <w:r w:rsidR="00FD211C">
              <w:rPr>
                <w:noProof/>
                <w:webHidden/>
              </w:rPr>
            </w:r>
            <w:r w:rsidR="00FD211C">
              <w:rPr>
                <w:noProof/>
                <w:webHidden/>
              </w:rPr>
              <w:fldChar w:fldCharType="separate"/>
            </w:r>
            <w:r w:rsidR="00FD211C">
              <w:rPr>
                <w:noProof/>
                <w:webHidden/>
              </w:rPr>
              <w:t>8</w:t>
            </w:r>
            <w:r w:rsidR="00FD211C">
              <w:rPr>
                <w:noProof/>
                <w:webHidden/>
              </w:rPr>
              <w:fldChar w:fldCharType="end"/>
            </w:r>
          </w:hyperlink>
        </w:p>
        <w:p w14:paraId="31EE8FD4" w14:textId="433264D7" w:rsidR="00FD211C" w:rsidRDefault="00D23305">
          <w:pPr>
            <w:pStyle w:val="TOC3"/>
            <w:tabs>
              <w:tab w:val="right" w:leader="dot" w:pos="17273"/>
            </w:tabs>
            <w:rPr>
              <w:noProof/>
            </w:rPr>
          </w:pPr>
          <w:hyperlink w:anchor="_Toc106712294" w:history="1">
            <w:r w:rsidR="00FD211C" w:rsidRPr="008358D6">
              <w:rPr>
                <w:rStyle w:val="Hyperlink"/>
                <w:noProof/>
                <w:lang w:val="en-US"/>
              </w:rPr>
              <w:t>Oversight Principles:</w:t>
            </w:r>
            <w:r w:rsidR="00FD211C">
              <w:rPr>
                <w:noProof/>
                <w:webHidden/>
              </w:rPr>
              <w:tab/>
            </w:r>
            <w:r w:rsidR="00FD211C">
              <w:rPr>
                <w:noProof/>
                <w:webHidden/>
              </w:rPr>
              <w:fldChar w:fldCharType="begin"/>
            </w:r>
            <w:r w:rsidR="00FD211C">
              <w:rPr>
                <w:noProof/>
                <w:webHidden/>
              </w:rPr>
              <w:instrText xml:space="preserve"> PAGEREF _Toc106712294 \h </w:instrText>
            </w:r>
            <w:r w:rsidR="00FD211C">
              <w:rPr>
                <w:noProof/>
                <w:webHidden/>
              </w:rPr>
            </w:r>
            <w:r w:rsidR="00FD211C">
              <w:rPr>
                <w:noProof/>
                <w:webHidden/>
              </w:rPr>
              <w:fldChar w:fldCharType="separate"/>
            </w:r>
            <w:r w:rsidR="00FD211C">
              <w:rPr>
                <w:noProof/>
                <w:webHidden/>
              </w:rPr>
              <w:t>8</w:t>
            </w:r>
            <w:r w:rsidR="00FD211C">
              <w:rPr>
                <w:noProof/>
                <w:webHidden/>
              </w:rPr>
              <w:fldChar w:fldCharType="end"/>
            </w:r>
          </w:hyperlink>
        </w:p>
        <w:p w14:paraId="28107EF9" w14:textId="75FACE58" w:rsidR="00FD211C" w:rsidRDefault="00D23305">
          <w:pPr>
            <w:pStyle w:val="TOC2"/>
            <w:tabs>
              <w:tab w:val="right" w:leader="dot" w:pos="17273"/>
            </w:tabs>
            <w:rPr>
              <w:rFonts w:eastAsiaTheme="minorEastAsia"/>
              <w:noProof/>
              <w:color w:val="auto"/>
              <w:lang w:val="en-CA" w:eastAsia="en-CA"/>
            </w:rPr>
          </w:pPr>
          <w:hyperlink w:anchor="_Toc106712295" w:history="1">
            <w:r w:rsidR="00FD211C" w:rsidRPr="008358D6">
              <w:rPr>
                <w:rStyle w:val="Hyperlink"/>
                <w:noProof/>
                <w:lang w:val="en-US"/>
              </w:rPr>
              <w:t>Oversight Universe:</w:t>
            </w:r>
            <w:r w:rsidR="00FD211C">
              <w:rPr>
                <w:noProof/>
                <w:webHidden/>
              </w:rPr>
              <w:tab/>
            </w:r>
            <w:r w:rsidR="00FD211C">
              <w:rPr>
                <w:noProof/>
                <w:webHidden/>
              </w:rPr>
              <w:fldChar w:fldCharType="begin"/>
            </w:r>
            <w:r w:rsidR="00FD211C">
              <w:rPr>
                <w:noProof/>
                <w:webHidden/>
              </w:rPr>
              <w:instrText xml:space="preserve"> PAGEREF _Toc106712295 \h </w:instrText>
            </w:r>
            <w:r w:rsidR="00FD211C">
              <w:rPr>
                <w:noProof/>
                <w:webHidden/>
              </w:rPr>
            </w:r>
            <w:r w:rsidR="00FD211C">
              <w:rPr>
                <w:noProof/>
                <w:webHidden/>
              </w:rPr>
              <w:fldChar w:fldCharType="separate"/>
            </w:r>
            <w:r w:rsidR="00FD211C">
              <w:rPr>
                <w:noProof/>
                <w:webHidden/>
              </w:rPr>
              <w:t>8</w:t>
            </w:r>
            <w:r w:rsidR="00FD211C">
              <w:rPr>
                <w:noProof/>
                <w:webHidden/>
              </w:rPr>
              <w:fldChar w:fldCharType="end"/>
            </w:r>
          </w:hyperlink>
        </w:p>
        <w:p w14:paraId="1BE3F0D3" w14:textId="42C8923C" w:rsidR="00FD211C" w:rsidRDefault="00D23305">
          <w:pPr>
            <w:pStyle w:val="TOC2"/>
            <w:tabs>
              <w:tab w:val="right" w:leader="dot" w:pos="17273"/>
            </w:tabs>
            <w:rPr>
              <w:rFonts w:eastAsiaTheme="minorEastAsia"/>
              <w:noProof/>
              <w:color w:val="auto"/>
              <w:lang w:val="en-CA" w:eastAsia="en-CA"/>
            </w:rPr>
          </w:pPr>
          <w:hyperlink w:anchor="_Toc106712296" w:history="1">
            <w:r w:rsidR="00FD211C" w:rsidRPr="008358D6">
              <w:rPr>
                <w:rStyle w:val="Hyperlink"/>
                <w:noProof/>
                <w:lang w:val="en-US"/>
              </w:rPr>
              <w:t>Oversight Tools to the 3 components of the oversight Universe:</w:t>
            </w:r>
            <w:r w:rsidR="00FD211C">
              <w:rPr>
                <w:noProof/>
                <w:webHidden/>
              </w:rPr>
              <w:tab/>
            </w:r>
            <w:r w:rsidR="00FD211C">
              <w:rPr>
                <w:noProof/>
                <w:webHidden/>
              </w:rPr>
              <w:fldChar w:fldCharType="begin"/>
            </w:r>
            <w:r w:rsidR="00FD211C">
              <w:rPr>
                <w:noProof/>
                <w:webHidden/>
              </w:rPr>
              <w:instrText xml:space="preserve"> PAGEREF _Toc106712296 \h </w:instrText>
            </w:r>
            <w:r w:rsidR="00FD211C">
              <w:rPr>
                <w:noProof/>
                <w:webHidden/>
              </w:rPr>
            </w:r>
            <w:r w:rsidR="00FD211C">
              <w:rPr>
                <w:noProof/>
                <w:webHidden/>
              </w:rPr>
              <w:fldChar w:fldCharType="separate"/>
            </w:r>
            <w:r w:rsidR="00FD211C">
              <w:rPr>
                <w:noProof/>
                <w:webHidden/>
              </w:rPr>
              <w:t>8</w:t>
            </w:r>
            <w:r w:rsidR="00FD211C">
              <w:rPr>
                <w:noProof/>
                <w:webHidden/>
              </w:rPr>
              <w:fldChar w:fldCharType="end"/>
            </w:r>
          </w:hyperlink>
        </w:p>
        <w:p w14:paraId="129A8461" w14:textId="003339B0" w:rsidR="00FD211C" w:rsidRDefault="00D23305">
          <w:pPr>
            <w:pStyle w:val="TOC3"/>
            <w:tabs>
              <w:tab w:val="right" w:leader="dot" w:pos="17273"/>
            </w:tabs>
            <w:rPr>
              <w:noProof/>
            </w:rPr>
          </w:pPr>
          <w:hyperlink w:anchor="_Toc106712297" w:history="1">
            <w:r w:rsidR="00FD211C" w:rsidRPr="008358D6">
              <w:rPr>
                <w:rStyle w:val="Hyperlink"/>
                <w:noProof/>
                <w:lang w:val="en-US"/>
              </w:rPr>
              <w:t>Compliance on Core Requirements</w:t>
            </w:r>
            <w:r w:rsidR="00FD211C">
              <w:rPr>
                <w:noProof/>
                <w:webHidden/>
              </w:rPr>
              <w:tab/>
            </w:r>
            <w:r w:rsidR="00FD211C">
              <w:rPr>
                <w:noProof/>
                <w:webHidden/>
              </w:rPr>
              <w:fldChar w:fldCharType="begin"/>
            </w:r>
            <w:r w:rsidR="00FD211C">
              <w:rPr>
                <w:noProof/>
                <w:webHidden/>
              </w:rPr>
              <w:instrText xml:space="preserve"> PAGEREF _Toc106712297 \h </w:instrText>
            </w:r>
            <w:r w:rsidR="00FD211C">
              <w:rPr>
                <w:noProof/>
                <w:webHidden/>
              </w:rPr>
            </w:r>
            <w:r w:rsidR="00FD211C">
              <w:rPr>
                <w:noProof/>
                <w:webHidden/>
              </w:rPr>
              <w:fldChar w:fldCharType="separate"/>
            </w:r>
            <w:r w:rsidR="00FD211C">
              <w:rPr>
                <w:noProof/>
                <w:webHidden/>
              </w:rPr>
              <w:t>8</w:t>
            </w:r>
            <w:r w:rsidR="00FD211C">
              <w:rPr>
                <w:noProof/>
                <w:webHidden/>
              </w:rPr>
              <w:fldChar w:fldCharType="end"/>
            </w:r>
          </w:hyperlink>
        </w:p>
        <w:p w14:paraId="4CD539C8" w14:textId="0A3A4C04" w:rsidR="00FD211C" w:rsidRDefault="00D23305">
          <w:pPr>
            <w:pStyle w:val="TOC3"/>
            <w:tabs>
              <w:tab w:val="right" w:leader="dot" w:pos="17273"/>
            </w:tabs>
            <w:rPr>
              <w:noProof/>
            </w:rPr>
          </w:pPr>
          <w:hyperlink w:anchor="_Toc106712298" w:history="1">
            <w:r w:rsidR="00FD211C" w:rsidRPr="008358D6">
              <w:rPr>
                <w:rStyle w:val="Hyperlink"/>
                <w:noProof/>
                <w:lang w:val="en-US"/>
              </w:rPr>
              <w:t>Staffing Environment</w:t>
            </w:r>
            <w:r w:rsidR="00FD211C">
              <w:rPr>
                <w:noProof/>
                <w:webHidden/>
              </w:rPr>
              <w:tab/>
            </w:r>
            <w:r w:rsidR="00FD211C">
              <w:rPr>
                <w:noProof/>
                <w:webHidden/>
              </w:rPr>
              <w:fldChar w:fldCharType="begin"/>
            </w:r>
            <w:r w:rsidR="00FD211C">
              <w:rPr>
                <w:noProof/>
                <w:webHidden/>
              </w:rPr>
              <w:instrText xml:space="preserve"> PAGEREF _Toc106712298 \h </w:instrText>
            </w:r>
            <w:r w:rsidR="00FD211C">
              <w:rPr>
                <w:noProof/>
                <w:webHidden/>
              </w:rPr>
            </w:r>
            <w:r w:rsidR="00FD211C">
              <w:rPr>
                <w:noProof/>
                <w:webHidden/>
              </w:rPr>
              <w:fldChar w:fldCharType="separate"/>
            </w:r>
            <w:r w:rsidR="00FD211C">
              <w:rPr>
                <w:noProof/>
                <w:webHidden/>
              </w:rPr>
              <w:t>9</w:t>
            </w:r>
            <w:r w:rsidR="00FD211C">
              <w:rPr>
                <w:noProof/>
                <w:webHidden/>
              </w:rPr>
              <w:fldChar w:fldCharType="end"/>
            </w:r>
          </w:hyperlink>
        </w:p>
        <w:p w14:paraId="2B167E81" w14:textId="026E09A8" w:rsidR="00FD211C" w:rsidRDefault="00D23305">
          <w:pPr>
            <w:pStyle w:val="TOC3"/>
            <w:tabs>
              <w:tab w:val="right" w:leader="dot" w:pos="17273"/>
            </w:tabs>
            <w:rPr>
              <w:noProof/>
            </w:rPr>
          </w:pPr>
          <w:hyperlink w:anchor="_Toc106712299" w:history="1">
            <w:r w:rsidR="00FD211C" w:rsidRPr="008358D6">
              <w:rPr>
                <w:rStyle w:val="Hyperlink"/>
                <w:noProof/>
                <w:lang w:val="en-US"/>
              </w:rPr>
              <w:t>PSEA Intended Outcomes</w:t>
            </w:r>
            <w:r w:rsidR="00FD211C">
              <w:rPr>
                <w:noProof/>
                <w:webHidden/>
              </w:rPr>
              <w:tab/>
            </w:r>
            <w:r w:rsidR="00FD211C">
              <w:rPr>
                <w:noProof/>
                <w:webHidden/>
              </w:rPr>
              <w:fldChar w:fldCharType="begin"/>
            </w:r>
            <w:r w:rsidR="00FD211C">
              <w:rPr>
                <w:noProof/>
                <w:webHidden/>
              </w:rPr>
              <w:instrText xml:space="preserve"> PAGEREF _Toc106712299 \h </w:instrText>
            </w:r>
            <w:r w:rsidR="00FD211C">
              <w:rPr>
                <w:noProof/>
                <w:webHidden/>
              </w:rPr>
            </w:r>
            <w:r w:rsidR="00FD211C">
              <w:rPr>
                <w:noProof/>
                <w:webHidden/>
              </w:rPr>
              <w:fldChar w:fldCharType="separate"/>
            </w:r>
            <w:r w:rsidR="00FD211C">
              <w:rPr>
                <w:noProof/>
                <w:webHidden/>
              </w:rPr>
              <w:t>9</w:t>
            </w:r>
            <w:r w:rsidR="00FD211C">
              <w:rPr>
                <w:noProof/>
                <w:webHidden/>
              </w:rPr>
              <w:fldChar w:fldCharType="end"/>
            </w:r>
          </w:hyperlink>
        </w:p>
        <w:p w14:paraId="18FFF455" w14:textId="2BBB6DE2" w:rsidR="00FD211C" w:rsidRDefault="00D23305">
          <w:pPr>
            <w:pStyle w:val="TOC1"/>
            <w:tabs>
              <w:tab w:val="right" w:leader="dot" w:pos="17273"/>
            </w:tabs>
            <w:rPr>
              <w:rFonts w:eastAsiaTheme="minorEastAsia"/>
              <w:noProof/>
              <w:color w:val="auto"/>
              <w:lang w:val="en-CA" w:eastAsia="en-CA"/>
            </w:rPr>
          </w:pPr>
          <w:hyperlink w:anchor="_Toc106712300" w:history="1">
            <w:r w:rsidR="00FD211C" w:rsidRPr="008358D6">
              <w:rPr>
                <w:rStyle w:val="Hyperlink"/>
                <w:noProof/>
                <w:lang w:val="en-US"/>
              </w:rPr>
              <w:t>Annexe B: Research Projects</w:t>
            </w:r>
            <w:r w:rsidR="00FD211C">
              <w:rPr>
                <w:noProof/>
                <w:webHidden/>
              </w:rPr>
              <w:tab/>
            </w:r>
            <w:r w:rsidR="00FD211C">
              <w:rPr>
                <w:noProof/>
                <w:webHidden/>
              </w:rPr>
              <w:fldChar w:fldCharType="begin"/>
            </w:r>
            <w:r w:rsidR="00FD211C">
              <w:rPr>
                <w:noProof/>
                <w:webHidden/>
              </w:rPr>
              <w:instrText xml:space="preserve"> PAGEREF _Toc106712300 \h </w:instrText>
            </w:r>
            <w:r w:rsidR="00FD211C">
              <w:rPr>
                <w:noProof/>
                <w:webHidden/>
              </w:rPr>
            </w:r>
            <w:r w:rsidR="00FD211C">
              <w:rPr>
                <w:noProof/>
                <w:webHidden/>
              </w:rPr>
              <w:fldChar w:fldCharType="separate"/>
            </w:r>
            <w:r w:rsidR="00FD211C">
              <w:rPr>
                <w:noProof/>
                <w:webHidden/>
              </w:rPr>
              <w:t>10</w:t>
            </w:r>
            <w:r w:rsidR="00FD211C">
              <w:rPr>
                <w:noProof/>
                <w:webHidden/>
              </w:rPr>
              <w:fldChar w:fldCharType="end"/>
            </w:r>
          </w:hyperlink>
        </w:p>
        <w:p w14:paraId="2E4D0FB6" w14:textId="63B7B290" w:rsidR="00FD211C" w:rsidRDefault="00D23305">
          <w:pPr>
            <w:pStyle w:val="TOC2"/>
            <w:tabs>
              <w:tab w:val="right" w:leader="dot" w:pos="17273"/>
            </w:tabs>
            <w:rPr>
              <w:rFonts w:eastAsiaTheme="minorEastAsia"/>
              <w:noProof/>
              <w:color w:val="auto"/>
              <w:lang w:val="en-CA" w:eastAsia="en-CA"/>
            </w:rPr>
          </w:pPr>
          <w:hyperlink w:anchor="_Toc106712301" w:history="1">
            <w:r w:rsidR="00FD211C" w:rsidRPr="008358D6">
              <w:rPr>
                <w:rStyle w:val="Hyperlink"/>
                <w:noProof/>
                <w:lang w:val="en-CA"/>
              </w:rPr>
              <w:t>Remaining Items on 2019-2021 plan:</w:t>
            </w:r>
            <w:r w:rsidR="00FD211C">
              <w:rPr>
                <w:noProof/>
                <w:webHidden/>
              </w:rPr>
              <w:tab/>
            </w:r>
            <w:r w:rsidR="00FD211C">
              <w:rPr>
                <w:noProof/>
                <w:webHidden/>
              </w:rPr>
              <w:fldChar w:fldCharType="begin"/>
            </w:r>
            <w:r w:rsidR="00FD211C">
              <w:rPr>
                <w:noProof/>
                <w:webHidden/>
              </w:rPr>
              <w:instrText xml:space="preserve"> PAGEREF _Toc106712301 \h </w:instrText>
            </w:r>
            <w:r w:rsidR="00FD211C">
              <w:rPr>
                <w:noProof/>
                <w:webHidden/>
              </w:rPr>
            </w:r>
            <w:r w:rsidR="00FD211C">
              <w:rPr>
                <w:noProof/>
                <w:webHidden/>
              </w:rPr>
              <w:fldChar w:fldCharType="separate"/>
            </w:r>
            <w:r w:rsidR="00FD211C">
              <w:rPr>
                <w:noProof/>
                <w:webHidden/>
              </w:rPr>
              <w:t>10</w:t>
            </w:r>
            <w:r w:rsidR="00FD211C">
              <w:rPr>
                <w:noProof/>
                <w:webHidden/>
              </w:rPr>
              <w:fldChar w:fldCharType="end"/>
            </w:r>
          </w:hyperlink>
        </w:p>
        <w:p w14:paraId="5D6080BF" w14:textId="58DB5267" w:rsidR="00FD211C" w:rsidRDefault="00D23305">
          <w:pPr>
            <w:pStyle w:val="TOC2"/>
            <w:tabs>
              <w:tab w:val="right" w:leader="dot" w:pos="17273"/>
            </w:tabs>
            <w:rPr>
              <w:rFonts w:eastAsiaTheme="minorEastAsia"/>
              <w:noProof/>
              <w:color w:val="auto"/>
              <w:lang w:val="en-CA" w:eastAsia="en-CA"/>
            </w:rPr>
          </w:pPr>
          <w:hyperlink w:anchor="_Toc106712302" w:history="1">
            <w:r w:rsidR="00FD211C" w:rsidRPr="008358D6">
              <w:rPr>
                <w:rStyle w:val="Hyperlink"/>
                <w:noProof/>
                <w:lang w:val="en-CA"/>
              </w:rPr>
              <w:t>New items on 2021-2023 plan:</w:t>
            </w:r>
            <w:r w:rsidR="00FD211C">
              <w:rPr>
                <w:noProof/>
                <w:webHidden/>
              </w:rPr>
              <w:tab/>
            </w:r>
            <w:r w:rsidR="00FD211C">
              <w:rPr>
                <w:noProof/>
                <w:webHidden/>
              </w:rPr>
              <w:fldChar w:fldCharType="begin"/>
            </w:r>
            <w:r w:rsidR="00FD211C">
              <w:rPr>
                <w:noProof/>
                <w:webHidden/>
              </w:rPr>
              <w:instrText xml:space="preserve"> PAGEREF _Toc106712302 \h </w:instrText>
            </w:r>
            <w:r w:rsidR="00FD211C">
              <w:rPr>
                <w:noProof/>
                <w:webHidden/>
              </w:rPr>
            </w:r>
            <w:r w:rsidR="00FD211C">
              <w:rPr>
                <w:noProof/>
                <w:webHidden/>
              </w:rPr>
              <w:fldChar w:fldCharType="separate"/>
            </w:r>
            <w:r w:rsidR="00FD211C">
              <w:rPr>
                <w:noProof/>
                <w:webHidden/>
              </w:rPr>
              <w:t>11</w:t>
            </w:r>
            <w:r w:rsidR="00FD211C">
              <w:rPr>
                <w:noProof/>
                <w:webHidden/>
              </w:rPr>
              <w:fldChar w:fldCharType="end"/>
            </w:r>
          </w:hyperlink>
        </w:p>
        <w:p w14:paraId="5A38121A" w14:textId="28856EA2" w:rsidR="00FD211C" w:rsidRDefault="00D23305">
          <w:pPr>
            <w:pStyle w:val="TOC2"/>
            <w:tabs>
              <w:tab w:val="right" w:leader="dot" w:pos="17273"/>
            </w:tabs>
            <w:rPr>
              <w:rFonts w:eastAsiaTheme="minorEastAsia"/>
              <w:noProof/>
              <w:color w:val="auto"/>
              <w:lang w:val="en-CA" w:eastAsia="en-CA"/>
            </w:rPr>
          </w:pPr>
          <w:hyperlink w:anchor="_Toc106712303" w:history="1">
            <w:r w:rsidR="00FD211C" w:rsidRPr="008358D6">
              <w:rPr>
                <w:rStyle w:val="Hyperlink"/>
                <w:noProof/>
                <w:lang w:val="en-CA"/>
              </w:rPr>
              <w:t>Development Tools:</w:t>
            </w:r>
            <w:r w:rsidR="00FD211C">
              <w:rPr>
                <w:noProof/>
                <w:webHidden/>
              </w:rPr>
              <w:tab/>
            </w:r>
            <w:r w:rsidR="00FD211C">
              <w:rPr>
                <w:noProof/>
                <w:webHidden/>
              </w:rPr>
              <w:fldChar w:fldCharType="begin"/>
            </w:r>
            <w:r w:rsidR="00FD211C">
              <w:rPr>
                <w:noProof/>
                <w:webHidden/>
              </w:rPr>
              <w:instrText xml:space="preserve"> PAGEREF _Toc106712303 \h </w:instrText>
            </w:r>
            <w:r w:rsidR="00FD211C">
              <w:rPr>
                <w:noProof/>
                <w:webHidden/>
              </w:rPr>
            </w:r>
            <w:r w:rsidR="00FD211C">
              <w:rPr>
                <w:noProof/>
                <w:webHidden/>
              </w:rPr>
              <w:fldChar w:fldCharType="separate"/>
            </w:r>
            <w:r w:rsidR="00FD211C">
              <w:rPr>
                <w:noProof/>
                <w:webHidden/>
              </w:rPr>
              <w:t>15</w:t>
            </w:r>
            <w:r w:rsidR="00FD211C">
              <w:rPr>
                <w:noProof/>
                <w:webHidden/>
              </w:rPr>
              <w:fldChar w:fldCharType="end"/>
            </w:r>
          </w:hyperlink>
        </w:p>
        <w:p w14:paraId="3312891E" w14:textId="341B4CCF" w:rsidR="008C40B6" w:rsidRDefault="008C40B6">
          <w:r w:rsidRPr="004750DE">
            <w:rPr>
              <w:b/>
              <w:bCs/>
              <w:noProof/>
              <w:lang w:val="en-CA"/>
            </w:rPr>
            <w:fldChar w:fldCharType="end"/>
          </w:r>
        </w:p>
      </w:sdtContent>
    </w:sdt>
    <w:p w14:paraId="718B675F" w14:textId="779707B9" w:rsidR="004750DE" w:rsidRDefault="004750DE">
      <w:pPr>
        <w:keepLines w:val="0"/>
      </w:pPr>
      <w:r>
        <w:br w:type="page"/>
      </w:r>
    </w:p>
    <w:p w14:paraId="0C47E5D5" w14:textId="4829400F" w:rsidR="00642C42" w:rsidRPr="008C40B6" w:rsidRDefault="00C40727" w:rsidP="00C40727">
      <w:pPr>
        <w:pStyle w:val="Heading1"/>
        <w:rPr>
          <w:lang w:val="en-CA"/>
        </w:rPr>
      </w:pPr>
      <w:bookmarkStart w:id="0" w:name="_Toc106712286"/>
      <w:r w:rsidRPr="003B1157">
        <w:rPr>
          <w:lang w:val="en-CA"/>
        </w:rPr>
        <w:lastRenderedPageBreak/>
        <w:t>Introduction</w:t>
      </w:r>
      <w:bookmarkEnd w:id="0"/>
    </w:p>
    <w:p w14:paraId="51239441" w14:textId="0113E530" w:rsidR="00C40727" w:rsidRPr="00C40727" w:rsidRDefault="00C40727" w:rsidP="00C40727">
      <w:pPr>
        <w:spacing w:line="240" w:lineRule="auto"/>
        <w:rPr>
          <w:color w:val="auto"/>
          <w:sz w:val="24"/>
          <w:szCs w:val="24"/>
          <w:lang w:val="en-CA"/>
        </w:rPr>
      </w:pPr>
      <w:r w:rsidRPr="00C40727">
        <w:rPr>
          <w:color w:val="auto"/>
          <w:sz w:val="24"/>
          <w:szCs w:val="24"/>
          <w:lang w:val="en-CA"/>
        </w:rPr>
        <w:t xml:space="preserve">The Public Service Commission (PSC) Research </w:t>
      </w:r>
      <w:r w:rsidR="003B1157">
        <w:rPr>
          <w:color w:val="auto"/>
          <w:sz w:val="24"/>
          <w:szCs w:val="24"/>
          <w:lang w:val="en-CA"/>
        </w:rPr>
        <w:t xml:space="preserve">and </w:t>
      </w:r>
      <w:r w:rsidR="00616D1B">
        <w:rPr>
          <w:color w:val="auto"/>
          <w:sz w:val="24"/>
          <w:szCs w:val="24"/>
          <w:lang w:val="en-CA"/>
        </w:rPr>
        <w:t>Development</w:t>
      </w:r>
      <w:r w:rsidR="003B1157">
        <w:rPr>
          <w:color w:val="auto"/>
          <w:sz w:val="24"/>
          <w:szCs w:val="24"/>
          <w:lang w:val="en-CA"/>
        </w:rPr>
        <w:t xml:space="preserve"> </w:t>
      </w:r>
      <w:r w:rsidRPr="00C40727">
        <w:rPr>
          <w:color w:val="auto"/>
          <w:sz w:val="24"/>
          <w:szCs w:val="24"/>
          <w:lang w:val="en-CA"/>
        </w:rPr>
        <w:t>Plan has been developed to outline the research and research-related activities</w:t>
      </w:r>
      <w:r w:rsidR="004E2FAC">
        <w:rPr>
          <w:color w:val="auto"/>
          <w:sz w:val="24"/>
          <w:szCs w:val="24"/>
          <w:lang w:val="en-CA"/>
        </w:rPr>
        <w:t xml:space="preserve"> </w:t>
      </w:r>
      <w:r w:rsidRPr="00C40727">
        <w:rPr>
          <w:color w:val="auto"/>
          <w:sz w:val="24"/>
          <w:szCs w:val="24"/>
          <w:lang w:val="en-CA"/>
        </w:rPr>
        <w:t>to be undertaken, over the next two years, by the Data Service and Analysis Division (DSAD) within the Oversight and Investigations Sector (OIS) on behalf of the whole of the PSC. For the purposes of this document, research has been defined as:</w:t>
      </w:r>
    </w:p>
    <w:p w14:paraId="32E1B7F3" w14:textId="3DE4D49D" w:rsidR="00C40727" w:rsidRPr="00C40727" w:rsidRDefault="00C40727" w:rsidP="00C40727">
      <w:pPr>
        <w:spacing w:line="240" w:lineRule="auto"/>
        <w:rPr>
          <w:color w:val="auto"/>
          <w:sz w:val="24"/>
          <w:szCs w:val="24"/>
          <w:lang w:val="en-CA"/>
        </w:rPr>
      </w:pPr>
      <w:proofErr w:type="gramStart"/>
      <w:r w:rsidRPr="00C40727">
        <w:rPr>
          <w:color w:val="auto"/>
          <w:sz w:val="24"/>
          <w:szCs w:val="24"/>
          <w:lang w:val="en-CA"/>
        </w:rPr>
        <w:t>…”the</w:t>
      </w:r>
      <w:proofErr w:type="gramEnd"/>
      <w:r w:rsidRPr="00C40727">
        <w:rPr>
          <w:color w:val="auto"/>
          <w:sz w:val="24"/>
          <w:szCs w:val="24"/>
          <w:lang w:val="en-CA"/>
        </w:rPr>
        <w:t xml:space="preserve"> creation of new knowledge and/or the use of existing knowledge or data in a new and creative way to generate new concepts, methodologies and understandings. This could include synthesis and analysis of previous research which leads to the creation of new outcomes or tools.”</w:t>
      </w:r>
      <w:r w:rsidRPr="00C40727">
        <w:rPr>
          <w:color w:val="auto"/>
          <w:sz w:val="24"/>
          <w:szCs w:val="24"/>
          <w:vertAlign w:val="superscript"/>
        </w:rPr>
        <w:footnoteReference w:id="1"/>
      </w:r>
    </w:p>
    <w:p w14:paraId="6C2EF5E5" w14:textId="50183C3C" w:rsidR="00C40727" w:rsidRPr="00C40727" w:rsidRDefault="00C40727" w:rsidP="00C40727">
      <w:pPr>
        <w:spacing w:line="240" w:lineRule="auto"/>
        <w:rPr>
          <w:color w:val="auto"/>
          <w:sz w:val="24"/>
          <w:szCs w:val="24"/>
          <w:lang w:val="en-CA"/>
        </w:rPr>
      </w:pPr>
      <w:r w:rsidRPr="00C40727">
        <w:rPr>
          <w:color w:val="auto"/>
          <w:sz w:val="24"/>
          <w:szCs w:val="24"/>
          <w:lang w:val="en-CA"/>
        </w:rPr>
        <w:t xml:space="preserve">Research plays an important role at the PSC. Not only does the PSC research function support the oversight of the staffing system by providing insight on system-wide outcomes but it also supports learning, informs staffing policy development and adjustments, and provides analytical evidence to promote innovation in the staffing system.   </w:t>
      </w:r>
    </w:p>
    <w:p w14:paraId="679EC39C" w14:textId="6AD1B483" w:rsidR="00C40727" w:rsidRPr="00C40727" w:rsidRDefault="00C40727" w:rsidP="00C40727">
      <w:pPr>
        <w:spacing w:line="240" w:lineRule="auto"/>
        <w:rPr>
          <w:color w:val="auto"/>
          <w:sz w:val="24"/>
          <w:szCs w:val="24"/>
          <w:lang w:val="en-CA"/>
        </w:rPr>
      </w:pPr>
      <w:r w:rsidRPr="00C40727">
        <w:rPr>
          <w:color w:val="auto"/>
          <w:sz w:val="24"/>
          <w:szCs w:val="24"/>
          <w:lang w:val="en-CA"/>
        </w:rPr>
        <w:t>Therefore, the focus of the DSAD research agenda is to:</w:t>
      </w:r>
    </w:p>
    <w:p w14:paraId="52618CBA" w14:textId="77777777" w:rsidR="00C40727" w:rsidRDefault="00C40727" w:rsidP="00C40727">
      <w:pPr>
        <w:pStyle w:val="ListParagraph"/>
        <w:numPr>
          <w:ilvl w:val="0"/>
          <w:numId w:val="8"/>
        </w:numPr>
        <w:spacing w:line="240" w:lineRule="auto"/>
        <w:rPr>
          <w:color w:val="auto"/>
          <w:sz w:val="24"/>
          <w:szCs w:val="24"/>
          <w:lang w:val="en-CA"/>
        </w:rPr>
      </w:pPr>
      <w:r w:rsidRPr="00C40727">
        <w:rPr>
          <w:color w:val="auto"/>
          <w:sz w:val="24"/>
          <w:szCs w:val="24"/>
          <w:lang w:val="en-CA"/>
        </w:rPr>
        <w:t xml:space="preserve">provide intelligence and insights on the intended policy </w:t>
      </w:r>
      <w:proofErr w:type="gramStart"/>
      <w:r w:rsidRPr="00C40727">
        <w:rPr>
          <w:color w:val="auto"/>
          <w:sz w:val="24"/>
          <w:szCs w:val="24"/>
          <w:lang w:val="en-CA"/>
        </w:rPr>
        <w:t>outcomes;</w:t>
      </w:r>
      <w:proofErr w:type="gramEnd"/>
      <w:r w:rsidRPr="00C40727">
        <w:rPr>
          <w:color w:val="auto"/>
          <w:sz w:val="24"/>
          <w:szCs w:val="24"/>
          <w:lang w:val="en-CA"/>
        </w:rPr>
        <w:t xml:space="preserve"> </w:t>
      </w:r>
    </w:p>
    <w:p w14:paraId="2F110DD2" w14:textId="77777777" w:rsidR="00C40727" w:rsidRDefault="00C40727" w:rsidP="00C40727">
      <w:pPr>
        <w:pStyle w:val="ListParagraph"/>
        <w:numPr>
          <w:ilvl w:val="0"/>
          <w:numId w:val="8"/>
        </w:numPr>
        <w:spacing w:line="240" w:lineRule="auto"/>
        <w:rPr>
          <w:color w:val="auto"/>
          <w:sz w:val="24"/>
          <w:szCs w:val="24"/>
          <w:lang w:val="en-CA"/>
        </w:rPr>
      </w:pPr>
      <w:r w:rsidRPr="00C40727">
        <w:rPr>
          <w:color w:val="auto"/>
          <w:sz w:val="24"/>
          <w:szCs w:val="24"/>
          <w:lang w:val="en-CA"/>
        </w:rPr>
        <w:t xml:space="preserve">support early identification of risks; and </w:t>
      </w:r>
    </w:p>
    <w:p w14:paraId="5664DF99" w14:textId="7B9570B0" w:rsidR="00C40727" w:rsidRPr="00C40727" w:rsidRDefault="00C40727" w:rsidP="00C40727">
      <w:pPr>
        <w:pStyle w:val="ListParagraph"/>
        <w:numPr>
          <w:ilvl w:val="0"/>
          <w:numId w:val="8"/>
        </w:numPr>
        <w:spacing w:line="240" w:lineRule="auto"/>
        <w:rPr>
          <w:color w:val="auto"/>
          <w:sz w:val="24"/>
          <w:szCs w:val="24"/>
          <w:lang w:val="en-CA"/>
        </w:rPr>
      </w:pPr>
      <w:r w:rsidRPr="00C40727">
        <w:rPr>
          <w:color w:val="auto"/>
          <w:sz w:val="24"/>
          <w:szCs w:val="24"/>
          <w:lang w:val="en-CA"/>
        </w:rPr>
        <w:t xml:space="preserve">enable timely interventions aimed at improving overall system performance. </w:t>
      </w:r>
    </w:p>
    <w:p w14:paraId="75AA60D6" w14:textId="7DB5CE8B" w:rsidR="00C40727" w:rsidRPr="00C40727" w:rsidRDefault="00C40727" w:rsidP="00C40727">
      <w:pPr>
        <w:spacing w:line="240" w:lineRule="auto"/>
        <w:rPr>
          <w:color w:val="auto"/>
          <w:sz w:val="24"/>
          <w:szCs w:val="24"/>
          <w:lang w:val="en-CA"/>
        </w:rPr>
      </w:pPr>
      <w:r w:rsidRPr="00C40727">
        <w:rPr>
          <w:color w:val="auto"/>
          <w:sz w:val="24"/>
          <w:szCs w:val="24"/>
          <w:lang w:val="en-CA"/>
        </w:rPr>
        <w:t xml:space="preserve">The research activities of DSAD can be clustered along </w:t>
      </w:r>
      <w:r>
        <w:rPr>
          <w:color w:val="auto"/>
          <w:sz w:val="24"/>
          <w:szCs w:val="24"/>
          <w:lang w:val="en-CA"/>
        </w:rPr>
        <w:t>three</w:t>
      </w:r>
      <w:r w:rsidRPr="00C40727">
        <w:rPr>
          <w:color w:val="auto"/>
          <w:sz w:val="24"/>
          <w:szCs w:val="24"/>
          <w:lang w:val="en-CA"/>
        </w:rPr>
        <w:t xml:space="preserve"> overarching themes: </w:t>
      </w:r>
    </w:p>
    <w:p w14:paraId="590A2E6D" w14:textId="3FFC269D" w:rsidR="00C40727" w:rsidRDefault="00C40727" w:rsidP="00C40727">
      <w:pPr>
        <w:pStyle w:val="ListParagraph"/>
        <w:numPr>
          <w:ilvl w:val="0"/>
          <w:numId w:val="9"/>
        </w:numPr>
        <w:spacing w:line="240" w:lineRule="auto"/>
        <w:rPr>
          <w:color w:val="auto"/>
          <w:sz w:val="24"/>
          <w:szCs w:val="24"/>
          <w:lang w:val="en-CA"/>
        </w:rPr>
      </w:pPr>
      <w:r w:rsidRPr="00C40727">
        <w:rPr>
          <w:color w:val="auto"/>
          <w:sz w:val="24"/>
          <w:szCs w:val="24"/>
          <w:lang w:val="en-CA"/>
        </w:rPr>
        <w:t xml:space="preserve">Diversity and </w:t>
      </w:r>
      <w:proofErr w:type="gramStart"/>
      <w:r w:rsidRPr="00C40727">
        <w:rPr>
          <w:color w:val="auto"/>
          <w:sz w:val="24"/>
          <w:szCs w:val="24"/>
          <w:lang w:val="en-CA"/>
        </w:rPr>
        <w:t>Inclusion</w:t>
      </w:r>
      <w:r>
        <w:rPr>
          <w:color w:val="auto"/>
          <w:sz w:val="24"/>
          <w:szCs w:val="24"/>
          <w:lang w:val="en-CA"/>
        </w:rPr>
        <w:t>;</w:t>
      </w:r>
      <w:proofErr w:type="gramEnd"/>
    </w:p>
    <w:p w14:paraId="4762188C" w14:textId="73FEA381" w:rsidR="00C40727" w:rsidRDefault="00C40727" w:rsidP="00C40727">
      <w:pPr>
        <w:pStyle w:val="ListParagraph"/>
        <w:numPr>
          <w:ilvl w:val="0"/>
          <w:numId w:val="9"/>
        </w:numPr>
        <w:spacing w:line="240" w:lineRule="auto"/>
        <w:rPr>
          <w:color w:val="auto"/>
          <w:sz w:val="24"/>
          <w:szCs w:val="24"/>
          <w:lang w:val="en-CA"/>
        </w:rPr>
      </w:pPr>
      <w:r>
        <w:rPr>
          <w:color w:val="auto"/>
          <w:sz w:val="24"/>
          <w:szCs w:val="24"/>
          <w:lang w:val="en-CA"/>
        </w:rPr>
        <w:t>Changes to the Public Service Employment Act (PSEA);</w:t>
      </w:r>
      <w:r w:rsidR="005C29F0">
        <w:rPr>
          <w:color w:val="auto"/>
          <w:sz w:val="24"/>
          <w:szCs w:val="24"/>
          <w:lang w:val="en-CA"/>
        </w:rPr>
        <w:t xml:space="preserve"> and</w:t>
      </w:r>
    </w:p>
    <w:p w14:paraId="61DFFAAD" w14:textId="76352F8D" w:rsidR="00C40727" w:rsidRDefault="00860538" w:rsidP="00C40727">
      <w:pPr>
        <w:pStyle w:val="ListParagraph"/>
        <w:numPr>
          <w:ilvl w:val="0"/>
          <w:numId w:val="9"/>
        </w:numPr>
        <w:spacing w:line="240" w:lineRule="auto"/>
        <w:rPr>
          <w:color w:val="auto"/>
          <w:sz w:val="24"/>
          <w:szCs w:val="24"/>
          <w:lang w:val="en-CA"/>
        </w:rPr>
      </w:pPr>
      <w:r>
        <w:rPr>
          <w:color w:val="auto"/>
          <w:sz w:val="24"/>
          <w:szCs w:val="24"/>
          <w:lang w:val="en-CA"/>
        </w:rPr>
        <w:t>Effect of telework</w:t>
      </w:r>
      <w:r w:rsidR="00CD5601">
        <w:rPr>
          <w:color w:val="auto"/>
          <w:sz w:val="24"/>
          <w:szCs w:val="24"/>
          <w:lang w:val="en-CA"/>
        </w:rPr>
        <w:t xml:space="preserve"> on recruitment</w:t>
      </w:r>
      <w:r w:rsidR="00C40727">
        <w:rPr>
          <w:color w:val="auto"/>
          <w:sz w:val="24"/>
          <w:szCs w:val="24"/>
          <w:lang w:val="en-CA"/>
        </w:rPr>
        <w:t>.</w:t>
      </w:r>
    </w:p>
    <w:p w14:paraId="282E6126" w14:textId="5A77ED75" w:rsidR="008C40B6" w:rsidRDefault="008C40B6" w:rsidP="008C40B6">
      <w:pPr>
        <w:pStyle w:val="Heading1"/>
        <w:rPr>
          <w:lang w:val="en-CA"/>
        </w:rPr>
      </w:pPr>
      <w:bookmarkStart w:id="1" w:name="_Toc106712287"/>
      <w:r>
        <w:rPr>
          <w:lang w:val="en-CA"/>
        </w:rPr>
        <w:t>Current Context</w:t>
      </w:r>
      <w:bookmarkEnd w:id="1"/>
    </w:p>
    <w:p w14:paraId="44E88AE9" w14:textId="77777777" w:rsidR="008C40B6" w:rsidRPr="008C40B6" w:rsidRDefault="008C40B6" w:rsidP="008C40B6">
      <w:pPr>
        <w:pStyle w:val="NoSpacing"/>
        <w:rPr>
          <w:rFonts w:asciiTheme="minorHAnsi" w:eastAsiaTheme="minorHAnsi" w:hAnsiTheme="minorHAnsi"/>
          <w:sz w:val="24"/>
          <w:szCs w:val="24"/>
          <w:lang w:val="en-CA"/>
        </w:rPr>
      </w:pPr>
      <w:r w:rsidRPr="008C40B6">
        <w:rPr>
          <w:rFonts w:asciiTheme="minorHAnsi" w:eastAsiaTheme="minorHAnsi" w:hAnsiTheme="minorHAnsi"/>
          <w:sz w:val="24"/>
          <w:szCs w:val="24"/>
          <w:lang w:val="en-CA"/>
        </w:rPr>
        <w:t xml:space="preserve">The vision of the PSC is to build a modern, impartial, and fair public service and its mandate is to promote and safeguard merit-based appointments and, in collaboration with other stakeholders, to protect the non-partisan nature of the public service. It fulfills its mandate by providing policy guidance, innovative </w:t>
      </w:r>
      <w:proofErr w:type="gramStart"/>
      <w:r w:rsidRPr="008C40B6">
        <w:rPr>
          <w:rFonts w:asciiTheme="minorHAnsi" w:eastAsiaTheme="minorHAnsi" w:hAnsiTheme="minorHAnsi"/>
          <w:sz w:val="24"/>
          <w:szCs w:val="24"/>
          <w:lang w:val="en-CA"/>
        </w:rPr>
        <w:t>staffing</w:t>
      </w:r>
      <w:proofErr w:type="gramEnd"/>
      <w:r w:rsidRPr="008C40B6">
        <w:rPr>
          <w:rFonts w:asciiTheme="minorHAnsi" w:eastAsiaTheme="minorHAnsi" w:hAnsiTheme="minorHAnsi"/>
          <w:sz w:val="24"/>
          <w:szCs w:val="24"/>
          <w:lang w:val="en-CA"/>
        </w:rPr>
        <w:t xml:space="preserve"> and assessment services, as well as by conducting effective oversight. </w:t>
      </w:r>
    </w:p>
    <w:p w14:paraId="2825D301" w14:textId="77777777" w:rsidR="008C40B6" w:rsidRPr="008C40B6" w:rsidRDefault="008C40B6" w:rsidP="008C40B6">
      <w:pPr>
        <w:rPr>
          <w:color w:val="auto"/>
          <w:sz w:val="24"/>
          <w:szCs w:val="24"/>
          <w:lang w:val="en-CA"/>
        </w:rPr>
      </w:pPr>
      <w:r w:rsidRPr="008C40B6">
        <w:rPr>
          <w:color w:val="auto"/>
          <w:sz w:val="24"/>
          <w:szCs w:val="24"/>
          <w:lang w:val="en-CA"/>
        </w:rPr>
        <w:lastRenderedPageBreak/>
        <w:t>The PSC’s Integrated Business Plan clearly identifies the PSC’s priorities to achieve its Core Responsibility. These are to:</w:t>
      </w:r>
    </w:p>
    <w:p w14:paraId="0E851415" w14:textId="1B6B265D" w:rsidR="000528D8" w:rsidRDefault="000528D8" w:rsidP="008C40B6">
      <w:pPr>
        <w:pStyle w:val="ListParagraph"/>
        <w:keepLines w:val="0"/>
        <w:numPr>
          <w:ilvl w:val="0"/>
          <w:numId w:val="10"/>
        </w:numPr>
        <w:spacing w:after="200" w:line="276" w:lineRule="auto"/>
        <w:ind w:left="709" w:hanging="567"/>
        <w:rPr>
          <w:color w:val="auto"/>
          <w:sz w:val="24"/>
          <w:szCs w:val="24"/>
          <w:lang w:val="en-CA"/>
        </w:rPr>
      </w:pPr>
      <w:r w:rsidRPr="000211B2">
        <w:rPr>
          <w:color w:val="auto"/>
          <w:sz w:val="24"/>
          <w:szCs w:val="24"/>
          <w:lang w:val="en-CA"/>
        </w:rPr>
        <w:t xml:space="preserve">Provide leadership </w:t>
      </w:r>
      <w:r w:rsidRPr="00197D67">
        <w:rPr>
          <w:color w:val="auto"/>
          <w:sz w:val="24"/>
          <w:szCs w:val="24"/>
          <w:lang w:val="en-CA"/>
        </w:rPr>
        <w:t>and</w:t>
      </w:r>
      <w:r w:rsidRPr="000211B2">
        <w:rPr>
          <w:color w:val="auto"/>
          <w:sz w:val="24"/>
          <w:szCs w:val="24"/>
          <w:lang w:val="en-CA"/>
        </w:rPr>
        <w:t xml:space="preserve"> enable departments and agencies to efficiently hire a diverse and competent </w:t>
      </w:r>
      <w:proofErr w:type="gramStart"/>
      <w:r w:rsidRPr="000211B2">
        <w:rPr>
          <w:color w:val="auto"/>
          <w:sz w:val="24"/>
          <w:szCs w:val="24"/>
          <w:lang w:val="en-CA"/>
        </w:rPr>
        <w:t>workforce</w:t>
      </w:r>
      <w:r w:rsidR="00197D67">
        <w:rPr>
          <w:color w:val="auto"/>
          <w:sz w:val="24"/>
          <w:szCs w:val="24"/>
          <w:lang w:val="en-CA"/>
        </w:rPr>
        <w:t>;</w:t>
      </w:r>
      <w:proofErr w:type="gramEnd"/>
      <w:r w:rsidRPr="008C40B6">
        <w:rPr>
          <w:color w:val="auto"/>
          <w:sz w:val="24"/>
          <w:szCs w:val="24"/>
          <w:lang w:val="en-CA"/>
        </w:rPr>
        <w:t xml:space="preserve"> </w:t>
      </w:r>
    </w:p>
    <w:p w14:paraId="39C084A9" w14:textId="6566DA86" w:rsidR="008C40B6" w:rsidRPr="008C40B6" w:rsidRDefault="008C40B6" w:rsidP="008C40B6">
      <w:pPr>
        <w:pStyle w:val="ListParagraph"/>
        <w:keepLines w:val="0"/>
        <w:numPr>
          <w:ilvl w:val="0"/>
          <w:numId w:val="10"/>
        </w:numPr>
        <w:spacing w:after="200" w:line="276" w:lineRule="auto"/>
        <w:ind w:left="709" w:hanging="567"/>
        <w:rPr>
          <w:color w:val="auto"/>
          <w:sz w:val="24"/>
          <w:szCs w:val="24"/>
          <w:lang w:val="en-CA"/>
        </w:rPr>
      </w:pPr>
      <w:r w:rsidRPr="008C40B6">
        <w:rPr>
          <w:color w:val="auto"/>
          <w:sz w:val="24"/>
          <w:szCs w:val="24"/>
          <w:lang w:val="en-CA"/>
        </w:rPr>
        <w:t xml:space="preserve">Promote and safeguard the integrity of the staffing system and the non-partisan nature of the federal public </w:t>
      </w:r>
      <w:proofErr w:type="gramStart"/>
      <w:r w:rsidRPr="008C40B6">
        <w:rPr>
          <w:color w:val="auto"/>
          <w:sz w:val="24"/>
          <w:szCs w:val="24"/>
          <w:lang w:val="en-CA"/>
        </w:rPr>
        <w:t>service</w:t>
      </w:r>
      <w:r w:rsidR="00197D67">
        <w:rPr>
          <w:color w:val="auto"/>
          <w:sz w:val="24"/>
          <w:szCs w:val="24"/>
          <w:lang w:val="en-CA"/>
        </w:rPr>
        <w:t>;</w:t>
      </w:r>
      <w:proofErr w:type="gramEnd"/>
    </w:p>
    <w:p w14:paraId="35FFA560" w14:textId="62BC47D3" w:rsidR="000211B2" w:rsidRPr="000211B2" w:rsidRDefault="00DD6E9E" w:rsidP="008C40B6">
      <w:pPr>
        <w:pStyle w:val="ListParagraph"/>
        <w:keepLines w:val="0"/>
        <w:numPr>
          <w:ilvl w:val="0"/>
          <w:numId w:val="10"/>
        </w:numPr>
        <w:spacing w:after="200" w:line="276" w:lineRule="auto"/>
        <w:ind w:left="709" w:hanging="567"/>
        <w:rPr>
          <w:color w:val="auto"/>
          <w:sz w:val="24"/>
          <w:szCs w:val="24"/>
          <w:lang w:val="en-CA"/>
        </w:rPr>
      </w:pPr>
      <w:r w:rsidRPr="000211B2">
        <w:rPr>
          <w:color w:val="auto"/>
          <w:sz w:val="24"/>
          <w:szCs w:val="24"/>
          <w:lang w:val="en-CA"/>
        </w:rPr>
        <w:t xml:space="preserve">Provide programs, services and systems that contribute to hiring a competent, </w:t>
      </w:r>
      <w:proofErr w:type="gramStart"/>
      <w:r w:rsidRPr="000211B2">
        <w:rPr>
          <w:color w:val="auto"/>
          <w:sz w:val="24"/>
          <w:szCs w:val="24"/>
          <w:lang w:val="en-CA"/>
        </w:rPr>
        <w:t>diverse</w:t>
      </w:r>
      <w:proofErr w:type="gramEnd"/>
      <w:r w:rsidRPr="000211B2">
        <w:rPr>
          <w:color w:val="auto"/>
          <w:sz w:val="24"/>
          <w:szCs w:val="24"/>
          <w:lang w:val="en-CA"/>
        </w:rPr>
        <w:t xml:space="preserve"> and professional workforce</w:t>
      </w:r>
      <w:r w:rsidR="00197D67">
        <w:rPr>
          <w:color w:val="auto"/>
          <w:sz w:val="24"/>
          <w:szCs w:val="24"/>
          <w:lang w:val="en-CA"/>
        </w:rPr>
        <w:t>; and</w:t>
      </w:r>
    </w:p>
    <w:p w14:paraId="4EA4B06E" w14:textId="5B16B619" w:rsidR="000211B2" w:rsidRPr="000211B2" w:rsidRDefault="000211B2" w:rsidP="000211B2">
      <w:pPr>
        <w:pStyle w:val="ListParagraph"/>
        <w:keepLines w:val="0"/>
        <w:numPr>
          <w:ilvl w:val="0"/>
          <w:numId w:val="10"/>
        </w:numPr>
        <w:spacing w:after="200" w:line="276" w:lineRule="auto"/>
        <w:ind w:left="709" w:hanging="567"/>
        <w:rPr>
          <w:color w:val="auto"/>
          <w:sz w:val="24"/>
          <w:szCs w:val="24"/>
          <w:lang w:val="en-CA"/>
        </w:rPr>
      </w:pPr>
      <w:r w:rsidRPr="000211B2">
        <w:rPr>
          <w:color w:val="auto"/>
          <w:sz w:val="24"/>
          <w:szCs w:val="24"/>
          <w:lang w:val="en-CA"/>
        </w:rPr>
        <w:t>Support the PSC’s workforce by promoting a healthy and modern workplace that is diverse and inclusive</w:t>
      </w:r>
      <w:r w:rsidR="009D5259">
        <w:rPr>
          <w:color w:val="auto"/>
          <w:sz w:val="24"/>
          <w:szCs w:val="24"/>
          <w:lang w:val="en-CA"/>
        </w:rPr>
        <w:t>.</w:t>
      </w:r>
      <w:r w:rsidRPr="000211B2">
        <w:rPr>
          <w:color w:val="auto"/>
          <w:sz w:val="24"/>
          <w:szCs w:val="24"/>
          <w:lang w:val="en-CA"/>
        </w:rPr>
        <w:t xml:space="preserve"> </w:t>
      </w:r>
    </w:p>
    <w:p w14:paraId="17DEAB38" w14:textId="77777777" w:rsidR="008513A3" w:rsidRDefault="008C40B6" w:rsidP="000211B2">
      <w:pPr>
        <w:pStyle w:val="NoSpacing"/>
        <w:rPr>
          <w:rFonts w:asciiTheme="minorHAnsi" w:eastAsiaTheme="minorHAnsi" w:hAnsiTheme="minorHAnsi"/>
          <w:sz w:val="24"/>
          <w:szCs w:val="24"/>
          <w:lang w:val="en-CA"/>
        </w:rPr>
      </w:pPr>
      <w:r w:rsidRPr="000211B2">
        <w:rPr>
          <w:rFonts w:asciiTheme="minorHAnsi" w:eastAsiaTheme="minorHAnsi" w:hAnsiTheme="minorHAnsi"/>
          <w:sz w:val="24"/>
          <w:szCs w:val="24"/>
          <w:lang w:val="en-CA"/>
        </w:rPr>
        <w:t>In April 2016, the PSC introduced a renewed appointment framework. This New Direction in Staffing (NDS) recognizes the need for organizations to adapt staffing strategies to their unique operating environment. In moving from a rules-based system to one that encourages managerial discretion, the PSC simplified its appointment framework and provided greater latitude for organizations to adapt their resourcing strategies to their unique organizational needs.</w:t>
      </w:r>
      <w:r w:rsidR="00872C14">
        <w:rPr>
          <w:rFonts w:asciiTheme="minorHAnsi" w:eastAsiaTheme="minorHAnsi" w:hAnsiTheme="minorHAnsi"/>
          <w:sz w:val="24"/>
          <w:szCs w:val="24"/>
          <w:lang w:val="en-CA"/>
        </w:rPr>
        <w:t xml:space="preserve"> </w:t>
      </w:r>
    </w:p>
    <w:p w14:paraId="4E01BD8B" w14:textId="77777777" w:rsidR="008513A3" w:rsidRDefault="008513A3" w:rsidP="000211B2">
      <w:pPr>
        <w:pStyle w:val="NoSpacing"/>
        <w:rPr>
          <w:rFonts w:asciiTheme="minorHAnsi" w:eastAsiaTheme="minorHAnsi" w:hAnsiTheme="minorHAnsi"/>
          <w:sz w:val="24"/>
          <w:szCs w:val="24"/>
          <w:lang w:val="en-CA"/>
        </w:rPr>
      </w:pPr>
    </w:p>
    <w:p w14:paraId="45DD980A" w14:textId="2193872F" w:rsidR="008C40B6" w:rsidRPr="004B67FC" w:rsidRDefault="0070335B" w:rsidP="004B67FC">
      <w:pPr>
        <w:pStyle w:val="NoSpacing"/>
        <w:rPr>
          <w:rFonts w:asciiTheme="minorHAnsi" w:eastAsiaTheme="minorHAnsi" w:hAnsiTheme="minorHAnsi"/>
          <w:sz w:val="24"/>
          <w:szCs w:val="24"/>
          <w:lang w:val="en-CA"/>
        </w:rPr>
      </w:pPr>
      <w:r>
        <w:rPr>
          <w:rFonts w:asciiTheme="minorHAnsi" w:eastAsiaTheme="minorHAnsi" w:hAnsiTheme="minorHAnsi"/>
          <w:sz w:val="24"/>
          <w:szCs w:val="24"/>
          <w:lang w:val="en-CA"/>
        </w:rPr>
        <w:t>On January 22, 2021</w:t>
      </w:r>
      <w:r w:rsidR="004E032E">
        <w:rPr>
          <w:rFonts w:asciiTheme="minorHAnsi" w:eastAsiaTheme="minorHAnsi" w:hAnsiTheme="minorHAnsi"/>
          <w:sz w:val="24"/>
          <w:szCs w:val="24"/>
          <w:lang w:val="en-CA"/>
        </w:rPr>
        <w:t xml:space="preserve">, the Clerk of the Privy Council released a </w:t>
      </w:r>
      <w:hyperlink r:id="rId12" w:history="1">
        <w:r w:rsidR="000433FE" w:rsidRPr="00562C9E">
          <w:rPr>
            <w:rStyle w:val="Hyperlink"/>
            <w:rFonts w:asciiTheme="minorHAnsi" w:eastAsiaTheme="minorHAnsi" w:hAnsiTheme="minorHAnsi"/>
            <w:b/>
            <w:bCs/>
            <w:color w:val="auto"/>
            <w:sz w:val="24"/>
            <w:szCs w:val="24"/>
            <w:lang w:val="en-CA"/>
          </w:rPr>
          <w:t>C</w:t>
        </w:r>
        <w:r w:rsidR="004E032E" w:rsidRPr="00562C9E">
          <w:rPr>
            <w:rStyle w:val="Hyperlink"/>
            <w:rFonts w:asciiTheme="minorHAnsi" w:eastAsiaTheme="minorHAnsi" w:hAnsiTheme="minorHAnsi"/>
            <w:b/>
            <w:bCs/>
            <w:color w:val="auto"/>
            <w:sz w:val="24"/>
            <w:szCs w:val="24"/>
            <w:lang w:val="en-CA"/>
          </w:rPr>
          <w:t>all to action</w:t>
        </w:r>
        <w:r w:rsidR="009F6415" w:rsidRPr="00562C9E">
          <w:rPr>
            <w:rStyle w:val="Hyperlink"/>
            <w:rFonts w:asciiTheme="minorHAnsi" w:eastAsiaTheme="minorHAnsi" w:hAnsiTheme="minorHAnsi"/>
            <w:b/>
            <w:bCs/>
            <w:color w:val="auto"/>
            <w:sz w:val="24"/>
            <w:szCs w:val="24"/>
            <w:lang w:val="en-CA"/>
          </w:rPr>
          <w:t xml:space="preserve"> on anti-racism, equity, and inclusion in the Federal Public Service</w:t>
        </w:r>
      </w:hyperlink>
      <w:r w:rsidR="000433FE">
        <w:rPr>
          <w:rFonts w:asciiTheme="minorHAnsi" w:eastAsiaTheme="minorHAnsi" w:hAnsiTheme="minorHAnsi"/>
          <w:sz w:val="24"/>
          <w:szCs w:val="24"/>
          <w:lang w:val="en-CA"/>
        </w:rPr>
        <w:t>.</w:t>
      </w:r>
      <w:r w:rsidR="00562C9E">
        <w:rPr>
          <w:rFonts w:asciiTheme="minorHAnsi" w:eastAsiaTheme="minorHAnsi" w:hAnsiTheme="minorHAnsi"/>
          <w:sz w:val="24"/>
          <w:szCs w:val="24"/>
          <w:lang w:val="en-CA"/>
        </w:rPr>
        <w:t xml:space="preserve"> This </w:t>
      </w:r>
      <w:r w:rsidR="002F13C1">
        <w:rPr>
          <w:rFonts w:asciiTheme="minorHAnsi" w:eastAsiaTheme="minorHAnsi" w:hAnsiTheme="minorHAnsi"/>
          <w:sz w:val="24"/>
          <w:szCs w:val="24"/>
          <w:lang w:val="en-CA"/>
        </w:rPr>
        <w:t xml:space="preserve">publication urges the Federal Public Service to </w:t>
      </w:r>
      <w:r w:rsidR="00563CEC">
        <w:rPr>
          <w:rFonts w:asciiTheme="minorHAnsi" w:eastAsiaTheme="minorHAnsi" w:hAnsiTheme="minorHAnsi"/>
          <w:sz w:val="24"/>
          <w:szCs w:val="24"/>
          <w:lang w:val="en-CA"/>
        </w:rPr>
        <w:t>“…</w:t>
      </w:r>
      <w:r w:rsidR="00180DFC">
        <w:rPr>
          <w:rFonts w:asciiTheme="minorHAnsi" w:eastAsiaTheme="minorHAnsi" w:hAnsiTheme="minorHAnsi"/>
          <w:sz w:val="24"/>
          <w:szCs w:val="24"/>
          <w:lang w:val="en-CA"/>
        </w:rPr>
        <w:t xml:space="preserve">take </w:t>
      </w:r>
      <w:r w:rsidR="00180DFC" w:rsidRPr="00180DFC">
        <w:rPr>
          <w:rFonts w:asciiTheme="minorHAnsi" w:eastAsiaTheme="minorHAnsi" w:hAnsiTheme="minorHAnsi"/>
          <w:sz w:val="24"/>
          <w:szCs w:val="24"/>
          <w:lang w:val="en-CA"/>
        </w:rPr>
        <w:t>action in ways we know will be meaningful in addressing all barriers and disadvantages</w:t>
      </w:r>
      <w:r w:rsidR="00860538">
        <w:rPr>
          <w:rFonts w:asciiTheme="minorHAnsi" w:eastAsiaTheme="minorHAnsi" w:hAnsiTheme="minorHAnsi"/>
          <w:sz w:val="24"/>
          <w:szCs w:val="24"/>
          <w:lang w:val="en-CA"/>
        </w:rPr>
        <w:t xml:space="preserve">. </w:t>
      </w:r>
      <w:r w:rsidR="00860538" w:rsidRPr="00CD5601">
        <w:rPr>
          <w:rFonts w:asciiTheme="minorHAnsi" w:eastAsiaTheme="minorHAnsi" w:hAnsiTheme="minorHAnsi"/>
          <w:sz w:val="24"/>
          <w:szCs w:val="24"/>
          <w:lang w:val="en-CA"/>
        </w:rPr>
        <w:t>Being a leader means taking an active role in ending all forms of discrimination and oppression, consciously and constantly challenging our own biases, and creating an environment in which our employees feel empowered and safe to speak up when they witness barriers to equity and inclusion. Inaction is not an option.</w:t>
      </w:r>
      <w:r w:rsidR="00B14048">
        <w:rPr>
          <w:rFonts w:asciiTheme="minorHAnsi" w:eastAsiaTheme="minorHAnsi" w:hAnsiTheme="minorHAnsi"/>
          <w:sz w:val="24"/>
          <w:szCs w:val="24"/>
          <w:lang w:val="en-CA"/>
        </w:rPr>
        <w:t>”</w:t>
      </w:r>
      <w:r w:rsidR="003D2E99" w:rsidRPr="00860538">
        <w:rPr>
          <w:rStyle w:val="FootnoteReference"/>
          <w:rFonts w:asciiTheme="minorHAnsi" w:eastAsiaTheme="minorHAnsi" w:hAnsiTheme="minorHAnsi"/>
          <w:sz w:val="24"/>
          <w:szCs w:val="24"/>
          <w:lang w:val="en-CA"/>
        </w:rPr>
        <w:footnoteReference w:id="2"/>
      </w:r>
      <w:r w:rsidR="00B14048">
        <w:rPr>
          <w:rFonts w:asciiTheme="minorHAnsi" w:eastAsiaTheme="minorHAnsi" w:hAnsiTheme="minorHAnsi"/>
          <w:sz w:val="24"/>
          <w:szCs w:val="24"/>
          <w:lang w:val="en-CA"/>
        </w:rPr>
        <w:t xml:space="preserve">. </w:t>
      </w:r>
    </w:p>
    <w:p w14:paraId="18E5D4E2" w14:textId="4F4C69DB" w:rsidR="008C40B6" w:rsidRDefault="008C40B6" w:rsidP="008C40B6">
      <w:pPr>
        <w:pStyle w:val="Heading1"/>
        <w:rPr>
          <w:lang w:val="en-US"/>
        </w:rPr>
      </w:pPr>
      <w:bookmarkStart w:id="2" w:name="_Toc106712288"/>
      <w:r>
        <w:rPr>
          <w:lang w:val="en-US"/>
        </w:rPr>
        <w:t>Research and the PSC Oversight Model</w:t>
      </w:r>
      <w:bookmarkEnd w:id="2"/>
    </w:p>
    <w:p w14:paraId="47701584" w14:textId="70BA47F0" w:rsidR="008C40B6" w:rsidRPr="008C40B6" w:rsidRDefault="008C40B6" w:rsidP="008C40B6">
      <w:pPr>
        <w:rPr>
          <w:color w:val="auto"/>
          <w:sz w:val="24"/>
          <w:szCs w:val="24"/>
          <w:lang w:val="en-CA"/>
        </w:rPr>
      </w:pPr>
      <w:r w:rsidRPr="008C40B6">
        <w:rPr>
          <w:color w:val="auto"/>
          <w:sz w:val="24"/>
          <w:szCs w:val="24"/>
          <w:lang w:val="en-CA"/>
        </w:rPr>
        <w:t xml:space="preserve">The PSC oversight of the staffing system model is made up of </w:t>
      </w:r>
      <w:r w:rsidR="00C25409" w:rsidRPr="008C40B6">
        <w:rPr>
          <w:color w:val="auto"/>
          <w:sz w:val="24"/>
          <w:szCs w:val="24"/>
          <w:lang w:val="en-CA"/>
        </w:rPr>
        <w:t>several</w:t>
      </w:r>
      <w:r w:rsidRPr="008C40B6">
        <w:rPr>
          <w:color w:val="auto"/>
          <w:sz w:val="24"/>
          <w:szCs w:val="24"/>
          <w:lang w:val="en-CA"/>
        </w:rPr>
        <w:t xml:space="preserve"> interrelated activities including audit, investigations, survey methodology and research. This oversight model focuses on the following three fundamental objectives (see Annexe A for details):</w:t>
      </w:r>
    </w:p>
    <w:p w14:paraId="31F65108" w14:textId="77777777" w:rsidR="008C40B6" w:rsidRPr="008C40B6" w:rsidRDefault="008C40B6" w:rsidP="008C40B6">
      <w:pPr>
        <w:pStyle w:val="ListParagraph"/>
        <w:keepLines w:val="0"/>
        <w:numPr>
          <w:ilvl w:val="0"/>
          <w:numId w:val="11"/>
        </w:numPr>
        <w:spacing w:after="200" w:line="276" w:lineRule="auto"/>
        <w:rPr>
          <w:color w:val="auto"/>
          <w:sz w:val="24"/>
          <w:szCs w:val="24"/>
          <w:lang w:val="en-CA"/>
        </w:rPr>
      </w:pPr>
      <w:r w:rsidRPr="008C40B6">
        <w:rPr>
          <w:color w:val="auto"/>
          <w:sz w:val="24"/>
          <w:szCs w:val="24"/>
          <w:lang w:val="en-CA"/>
        </w:rPr>
        <w:t xml:space="preserve">support a delegated and streamlined staffing </w:t>
      </w:r>
      <w:proofErr w:type="gramStart"/>
      <w:r w:rsidRPr="008C40B6">
        <w:rPr>
          <w:color w:val="auto"/>
          <w:sz w:val="24"/>
          <w:szCs w:val="24"/>
          <w:lang w:val="en-CA"/>
        </w:rPr>
        <w:t>system;</w:t>
      </w:r>
      <w:proofErr w:type="gramEnd"/>
    </w:p>
    <w:p w14:paraId="518F5ED8" w14:textId="77777777" w:rsidR="008C40B6" w:rsidRPr="008C40B6" w:rsidRDefault="008C40B6" w:rsidP="008C40B6">
      <w:pPr>
        <w:pStyle w:val="ListParagraph"/>
        <w:keepLines w:val="0"/>
        <w:numPr>
          <w:ilvl w:val="0"/>
          <w:numId w:val="11"/>
        </w:numPr>
        <w:spacing w:after="200" w:line="276" w:lineRule="auto"/>
        <w:rPr>
          <w:color w:val="auto"/>
          <w:sz w:val="24"/>
          <w:szCs w:val="24"/>
          <w:lang w:val="en-CA"/>
        </w:rPr>
      </w:pPr>
      <w:r w:rsidRPr="008C40B6">
        <w:rPr>
          <w:color w:val="auto"/>
          <w:sz w:val="24"/>
          <w:szCs w:val="24"/>
          <w:lang w:val="en-CA"/>
        </w:rPr>
        <w:t>share accountability for the integrity of the staffing system and non-partisanship; and</w:t>
      </w:r>
    </w:p>
    <w:p w14:paraId="0436747E" w14:textId="77777777" w:rsidR="008C40B6" w:rsidRPr="008C40B6" w:rsidRDefault="008C40B6" w:rsidP="008C40B6">
      <w:pPr>
        <w:pStyle w:val="ListParagraph"/>
        <w:keepLines w:val="0"/>
        <w:numPr>
          <w:ilvl w:val="0"/>
          <w:numId w:val="11"/>
        </w:numPr>
        <w:spacing w:after="200" w:line="276" w:lineRule="auto"/>
        <w:rPr>
          <w:color w:val="auto"/>
          <w:sz w:val="24"/>
          <w:szCs w:val="24"/>
          <w:lang w:val="en-CA"/>
        </w:rPr>
      </w:pPr>
      <w:r w:rsidRPr="008C40B6">
        <w:rPr>
          <w:color w:val="auto"/>
          <w:sz w:val="24"/>
          <w:szCs w:val="24"/>
          <w:lang w:val="en-CA"/>
        </w:rPr>
        <w:lastRenderedPageBreak/>
        <w:t>implement system-wide timely improvement.</w:t>
      </w:r>
    </w:p>
    <w:p w14:paraId="43067987" w14:textId="290C8BBB" w:rsidR="008C40B6" w:rsidRDefault="008C40B6" w:rsidP="008C40B6">
      <w:pPr>
        <w:rPr>
          <w:color w:val="auto"/>
          <w:sz w:val="24"/>
          <w:szCs w:val="24"/>
          <w:lang w:val="en-CA"/>
        </w:rPr>
      </w:pPr>
      <w:r w:rsidRPr="008C40B6">
        <w:rPr>
          <w:color w:val="auto"/>
          <w:sz w:val="24"/>
          <w:szCs w:val="24"/>
          <w:lang w:val="en-CA"/>
        </w:rPr>
        <w:t xml:space="preserve">Research has a supportive and collaborative relationship with each of the elements of the oversight model and the other PSC’s Sectors by providing evidence and intelligence on topics of interest that help orient and support work. In addition, oversight work </w:t>
      </w:r>
      <w:r w:rsidR="00790498">
        <w:rPr>
          <w:color w:val="auto"/>
          <w:sz w:val="24"/>
          <w:szCs w:val="24"/>
          <w:lang w:val="en-CA"/>
        </w:rPr>
        <w:t>and</w:t>
      </w:r>
      <w:r w:rsidR="00790498" w:rsidRPr="008C40B6">
        <w:rPr>
          <w:color w:val="auto"/>
          <w:sz w:val="24"/>
          <w:szCs w:val="24"/>
          <w:lang w:val="en-CA"/>
        </w:rPr>
        <w:t xml:space="preserve"> </w:t>
      </w:r>
      <w:r w:rsidRPr="008C40B6">
        <w:rPr>
          <w:color w:val="auto"/>
          <w:sz w:val="24"/>
          <w:szCs w:val="24"/>
          <w:lang w:val="en-CA"/>
        </w:rPr>
        <w:t>findings</w:t>
      </w:r>
      <w:r w:rsidR="00790498">
        <w:rPr>
          <w:color w:val="auto"/>
          <w:sz w:val="24"/>
          <w:szCs w:val="24"/>
          <w:lang w:val="en-CA"/>
        </w:rPr>
        <w:t>,</w:t>
      </w:r>
      <w:r w:rsidRPr="008C40B6">
        <w:rPr>
          <w:color w:val="auto"/>
          <w:sz w:val="24"/>
          <w:szCs w:val="24"/>
          <w:lang w:val="en-CA"/>
        </w:rPr>
        <w:t xml:space="preserve"> in areas such as audit</w:t>
      </w:r>
      <w:r w:rsidR="00790498">
        <w:rPr>
          <w:color w:val="auto"/>
          <w:sz w:val="24"/>
          <w:szCs w:val="24"/>
          <w:lang w:val="en-CA"/>
        </w:rPr>
        <w:t>,</w:t>
      </w:r>
      <w:r w:rsidRPr="008C40B6">
        <w:rPr>
          <w:color w:val="auto"/>
          <w:sz w:val="24"/>
          <w:szCs w:val="24"/>
          <w:lang w:val="en-CA"/>
        </w:rPr>
        <w:t xml:space="preserve"> also provide input on potential research topics. </w:t>
      </w:r>
    </w:p>
    <w:p w14:paraId="0BB4EA60" w14:textId="0A9258C0" w:rsidR="008C40B6" w:rsidRDefault="008C40B6" w:rsidP="008C40B6">
      <w:pPr>
        <w:pStyle w:val="Heading1"/>
        <w:rPr>
          <w:lang w:val="en-CA"/>
        </w:rPr>
      </w:pPr>
      <w:bookmarkStart w:id="3" w:name="_Toc106712289"/>
      <w:r>
        <w:rPr>
          <w:lang w:val="en-CA"/>
        </w:rPr>
        <w:t>Research Capacity for 2021-202</w:t>
      </w:r>
      <w:r w:rsidR="00824E77">
        <w:rPr>
          <w:lang w:val="en-CA"/>
        </w:rPr>
        <w:t>3</w:t>
      </w:r>
      <w:bookmarkEnd w:id="3"/>
    </w:p>
    <w:p w14:paraId="14AA0FC9" w14:textId="27F6DEA5" w:rsidR="008C40B6" w:rsidRPr="008C40B6" w:rsidRDefault="008C40B6" w:rsidP="008C40B6">
      <w:pPr>
        <w:rPr>
          <w:color w:val="auto"/>
          <w:sz w:val="24"/>
          <w:szCs w:val="24"/>
          <w:lang w:val="en-CA"/>
        </w:rPr>
      </w:pPr>
      <w:r w:rsidRPr="008C40B6">
        <w:rPr>
          <w:color w:val="auto"/>
          <w:sz w:val="24"/>
          <w:szCs w:val="24"/>
          <w:lang w:val="en-CA"/>
        </w:rPr>
        <w:t>The primary group conducting research within OIS</w:t>
      </w:r>
      <w:r w:rsidRPr="008C40B6" w:rsidDel="004C6D5E">
        <w:rPr>
          <w:color w:val="auto"/>
          <w:sz w:val="24"/>
          <w:szCs w:val="24"/>
          <w:lang w:val="en-CA"/>
        </w:rPr>
        <w:t xml:space="preserve"> </w:t>
      </w:r>
      <w:r w:rsidRPr="008C40B6">
        <w:rPr>
          <w:color w:val="auto"/>
          <w:sz w:val="24"/>
          <w:szCs w:val="24"/>
          <w:lang w:val="en-CA"/>
        </w:rPr>
        <w:t xml:space="preserve">is the Data Services and Analysis Directorate (DSAD). Considering that a significant part of DSAD’s resources </w:t>
      </w:r>
      <w:proofErr w:type="gramStart"/>
      <w:r w:rsidRPr="008C40B6">
        <w:rPr>
          <w:color w:val="auto"/>
          <w:sz w:val="24"/>
          <w:szCs w:val="24"/>
          <w:lang w:val="en-CA"/>
        </w:rPr>
        <w:t>are</w:t>
      </w:r>
      <w:proofErr w:type="gramEnd"/>
      <w:r w:rsidRPr="008C40B6">
        <w:rPr>
          <w:color w:val="auto"/>
          <w:sz w:val="24"/>
          <w:szCs w:val="24"/>
          <w:lang w:val="en-CA"/>
        </w:rPr>
        <w:t xml:space="preserve"> committed towards ongoing “day-to-day” activities (surveys, development work, reporting, data management, ad hoc demands for data analysis and data-related services), the research </w:t>
      </w:r>
      <w:r w:rsidR="007A5A4B">
        <w:rPr>
          <w:color w:val="auto"/>
          <w:sz w:val="24"/>
          <w:szCs w:val="24"/>
          <w:lang w:val="en-CA"/>
        </w:rPr>
        <w:t xml:space="preserve">and </w:t>
      </w:r>
      <w:r w:rsidR="00616D1B">
        <w:rPr>
          <w:color w:val="auto"/>
          <w:sz w:val="24"/>
          <w:szCs w:val="24"/>
          <w:lang w:val="en-CA"/>
        </w:rPr>
        <w:t>development</w:t>
      </w:r>
      <w:r w:rsidR="007A5A4B">
        <w:rPr>
          <w:color w:val="auto"/>
          <w:sz w:val="24"/>
          <w:szCs w:val="24"/>
          <w:lang w:val="en-CA"/>
        </w:rPr>
        <w:t xml:space="preserve"> </w:t>
      </w:r>
      <w:r w:rsidRPr="008C40B6">
        <w:rPr>
          <w:color w:val="auto"/>
          <w:sz w:val="24"/>
          <w:szCs w:val="24"/>
          <w:lang w:val="en-CA"/>
        </w:rPr>
        <w:t xml:space="preserve">plan should also allow for contingencies and flexibility to address new emerging needs and future analytical requirements. As a result, research commitments need to be matched with available capacity. </w:t>
      </w:r>
    </w:p>
    <w:p w14:paraId="5B2C3DB4" w14:textId="61595CF9" w:rsidR="008C40B6" w:rsidRPr="008C40B6" w:rsidRDefault="00934A4B" w:rsidP="008C40B6">
      <w:pPr>
        <w:rPr>
          <w:color w:val="auto"/>
          <w:sz w:val="24"/>
          <w:szCs w:val="24"/>
          <w:lang w:val="en-CA"/>
        </w:rPr>
      </w:pPr>
      <w:r>
        <w:rPr>
          <w:color w:val="auto"/>
          <w:sz w:val="24"/>
          <w:szCs w:val="24"/>
          <w:lang w:val="en-CA"/>
        </w:rPr>
        <w:t xml:space="preserve">As </w:t>
      </w:r>
      <w:r w:rsidR="00D04E41">
        <w:rPr>
          <w:color w:val="auto"/>
          <w:sz w:val="24"/>
          <w:szCs w:val="24"/>
          <w:lang w:val="en-CA"/>
        </w:rPr>
        <w:t xml:space="preserve">was the case </w:t>
      </w:r>
      <w:r>
        <w:rPr>
          <w:color w:val="auto"/>
          <w:sz w:val="24"/>
          <w:szCs w:val="24"/>
          <w:lang w:val="en-CA"/>
        </w:rPr>
        <w:t xml:space="preserve">with </w:t>
      </w:r>
      <w:r w:rsidR="00D04E41">
        <w:rPr>
          <w:color w:val="auto"/>
          <w:sz w:val="24"/>
          <w:szCs w:val="24"/>
          <w:lang w:val="en-CA"/>
        </w:rPr>
        <w:t>the 20</w:t>
      </w:r>
      <w:r w:rsidR="00240867">
        <w:rPr>
          <w:color w:val="auto"/>
          <w:sz w:val="24"/>
          <w:szCs w:val="24"/>
          <w:lang w:val="en-CA"/>
        </w:rPr>
        <w:t>19</w:t>
      </w:r>
      <w:r w:rsidR="00D04E41">
        <w:rPr>
          <w:color w:val="auto"/>
          <w:sz w:val="24"/>
          <w:szCs w:val="24"/>
          <w:lang w:val="en-CA"/>
        </w:rPr>
        <w:t>-2021 Research Plan,</w:t>
      </w:r>
      <w:r w:rsidR="008C40B6" w:rsidRPr="008C40B6">
        <w:rPr>
          <w:color w:val="auto"/>
          <w:sz w:val="24"/>
          <w:szCs w:val="24"/>
          <w:lang w:val="en-CA"/>
        </w:rPr>
        <w:t xml:space="preserve"> an emphasis will be placed on engaging and consulting with stakeholders from the beginning to the end of each project </w:t>
      </w:r>
      <w:r w:rsidR="00241552" w:rsidRPr="008C40B6">
        <w:rPr>
          <w:color w:val="auto"/>
          <w:sz w:val="24"/>
          <w:szCs w:val="24"/>
          <w:lang w:val="en-CA"/>
        </w:rPr>
        <w:t>to</w:t>
      </w:r>
      <w:r w:rsidR="008C40B6" w:rsidRPr="008C40B6">
        <w:rPr>
          <w:color w:val="auto"/>
          <w:sz w:val="24"/>
          <w:szCs w:val="24"/>
          <w:lang w:val="en-CA"/>
        </w:rPr>
        <w:t xml:space="preserve"> ensure that research is aligned with PSC’s priorities. As a </w:t>
      </w:r>
      <w:proofErr w:type="gramStart"/>
      <w:r w:rsidR="00240867" w:rsidRPr="008C40B6">
        <w:rPr>
          <w:color w:val="auto"/>
          <w:sz w:val="24"/>
          <w:szCs w:val="24"/>
          <w:lang w:val="en-CA"/>
        </w:rPr>
        <w:t>result</w:t>
      </w:r>
      <w:r w:rsidR="00790498">
        <w:rPr>
          <w:color w:val="auto"/>
          <w:sz w:val="24"/>
          <w:szCs w:val="24"/>
          <w:lang w:val="en-CA"/>
        </w:rPr>
        <w:t>,</w:t>
      </w:r>
      <w:r w:rsidR="00240867" w:rsidRPr="008C40B6">
        <w:rPr>
          <w:color w:val="auto"/>
          <w:sz w:val="24"/>
          <w:szCs w:val="24"/>
          <w:lang w:val="en-CA"/>
        </w:rPr>
        <w:t xml:space="preserve"> and</w:t>
      </w:r>
      <w:proofErr w:type="gramEnd"/>
      <w:r w:rsidR="008C40B6" w:rsidRPr="008C40B6">
        <w:rPr>
          <w:color w:val="auto"/>
          <w:sz w:val="24"/>
          <w:szCs w:val="24"/>
          <w:lang w:val="en-CA"/>
        </w:rPr>
        <w:t xml:space="preserve"> taking into account the fact that research projects often span more than one fiscal year, we are </w:t>
      </w:r>
      <w:r w:rsidR="00F04528">
        <w:rPr>
          <w:color w:val="auto"/>
          <w:sz w:val="24"/>
          <w:szCs w:val="24"/>
          <w:lang w:val="en-CA"/>
        </w:rPr>
        <w:t xml:space="preserve">once again </w:t>
      </w:r>
      <w:r w:rsidR="008C40B6" w:rsidRPr="008C40B6">
        <w:rPr>
          <w:color w:val="auto"/>
          <w:sz w:val="24"/>
          <w:szCs w:val="24"/>
          <w:lang w:val="en-CA"/>
        </w:rPr>
        <w:t>proposing a biennial plan</w:t>
      </w:r>
      <w:r w:rsidR="00800A75">
        <w:rPr>
          <w:color w:val="auto"/>
          <w:sz w:val="24"/>
          <w:szCs w:val="24"/>
          <w:lang w:val="en-CA"/>
        </w:rPr>
        <w:t xml:space="preserve"> covering fiscal years 2021-22 and 2022-23</w:t>
      </w:r>
      <w:r w:rsidR="008C40B6" w:rsidRPr="008C40B6">
        <w:rPr>
          <w:color w:val="auto"/>
          <w:sz w:val="24"/>
          <w:szCs w:val="24"/>
          <w:lang w:val="en-CA"/>
        </w:rPr>
        <w:t xml:space="preserve">. </w:t>
      </w:r>
      <w:r w:rsidR="00800A75">
        <w:rPr>
          <w:color w:val="auto"/>
          <w:sz w:val="24"/>
          <w:szCs w:val="24"/>
          <w:lang w:val="en-CA"/>
        </w:rPr>
        <w:t>The Plan will be revisited and updated next year.</w:t>
      </w:r>
    </w:p>
    <w:p w14:paraId="4B47F842" w14:textId="5A29F195" w:rsidR="008C40B6" w:rsidRDefault="008C40B6" w:rsidP="008C40B6">
      <w:pPr>
        <w:rPr>
          <w:color w:val="auto"/>
          <w:sz w:val="24"/>
          <w:szCs w:val="24"/>
          <w:lang w:val="en-CA"/>
        </w:rPr>
      </w:pPr>
      <w:r w:rsidRPr="008C40B6">
        <w:rPr>
          <w:color w:val="auto"/>
          <w:sz w:val="24"/>
          <w:szCs w:val="24"/>
          <w:lang w:val="en-CA"/>
        </w:rPr>
        <w:t xml:space="preserve">Although it is important to ensure that projects are directed towards addressing the research preoccupations of PSC’s internal and external stakeholders, DSAD recognizes that occasionally innovative research projects may not respond to pre-existing identified needs or interests but rather focus on anticipation of future necessities. Innovation can come in many forms including new tools providing hiring managers unique insights into employment demographics and diversity. Engaging in innovative research is likely to increase DSAD’s exposure to risks since the relationship between effort and outcomes is less predictable. By managing any identified risks and focusing on outcomes as well as learning, the PSC will be able to maximize the benefits derived from its commitment to innovative research.   </w:t>
      </w:r>
    </w:p>
    <w:p w14:paraId="1625D1D3" w14:textId="43EF4652" w:rsidR="008C40B6" w:rsidRDefault="008C40B6" w:rsidP="008C40B6">
      <w:pPr>
        <w:rPr>
          <w:color w:val="auto"/>
          <w:sz w:val="24"/>
          <w:szCs w:val="24"/>
          <w:lang w:val="en-CA"/>
        </w:rPr>
      </w:pPr>
    </w:p>
    <w:p w14:paraId="4D699A3F" w14:textId="024CC30D" w:rsidR="008C40B6" w:rsidRDefault="008C40B6" w:rsidP="008C40B6">
      <w:pPr>
        <w:pStyle w:val="Heading1"/>
        <w:rPr>
          <w:lang w:val="en-CA"/>
        </w:rPr>
      </w:pPr>
      <w:bookmarkStart w:id="4" w:name="_Toc106712290"/>
      <w:r>
        <w:rPr>
          <w:lang w:val="en-CA"/>
        </w:rPr>
        <w:lastRenderedPageBreak/>
        <w:t>Consultations and Governance</w:t>
      </w:r>
      <w:bookmarkEnd w:id="4"/>
    </w:p>
    <w:p w14:paraId="67F7F430" w14:textId="482547F1" w:rsidR="008C40B6" w:rsidRPr="008C40B6" w:rsidRDefault="008C40B6" w:rsidP="008C40B6">
      <w:pPr>
        <w:rPr>
          <w:color w:val="auto"/>
          <w:sz w:val="24"/>
          <w:szCs w:val="24"/>
          <w:lang w:val="en-CA"/>
        </w:rPr>
      </w:pPr>
      <w:r w:rsidRPr="008C40B6">
        <w:rPr>
          <w:color w:val="auto"/>
          <w:sz w:val="24"/>
          <w:szCs w:val="24"/>
          <w:lang w:val="en-CA"/>
        </w:rPr>
        <w:t xml:space="preserve">Putting in place a research agenda and contributing to an evidence-based culture at the PSC is the outcome of a productive dialogue with the different sectors. To establish proposed topics and better understand PSC’s research priorities and interests, DSAD has conducted consultations with PSC’s employees through </w:t>
      </w:r>
      <w:r w:rsidR="009E59AD">
        <w:rPr>
          <w:color w:val="auto"/>
          <w:sz w:val="24"/>
          <w:szCs w:val="24"/>
          <w:lang w:val="en-CA"/>
        </w:rPr>
        <w:t>a message published in Le Point</w:t>
      </w:r>
      <w:r w:rsidR="00490859">
        <w:rPr>
          <w:color w:val="auto"/>
          <w:sz w:val="24"/>
          <w:szCs w:val="24"/>
          <w:lang w:val="en-CA"/>
        </w:rPr>
        <w:t xml:space="preserve"> </w:t>
      </w:r>
      <w:r w:rsidR="00541767">
        <w:rPr>
          <w:color w:val="auto"/>
          <w:sz w:val="24"/>
          <w:szCs w:val="24"/>
          <w:lang w:val="en-CA"/>
        </w:rPr>
        <w:t>and</w:t>
      </w:r>
      <w:r w:rsidR="00F94A1F">
        <w:rPr>
          <w:color w:val="auto"/>
          <w:sz w:val="24"/>
          <w:szCs w:val="24"/>
          <w:lang w:val="en-CA"/>
        </w:rPr>
        <w:t xml:space="preserve"> organized</w:t>
      </w:r>
      <w:r w:rsidR="00660E00">
        <w:rPr>
          <w:color w:val="auto"/>
          <w:sz w:val="24"/>
          <w:szCs w:val="24"/>
          <w:lang w:val="en-CA"/>
        </w:rPr>
        <w:t xml:space="preserve"> individual sessions with key </w:t>
      </w:r>
      <w:r w:rsidR="00541767">
        <w:rPr>
          <w:color w:val="auto"/>
          <w:sz w:val="24"/>
          <w:szCs w:val="24"/>
          <w:lang w:val="en-CA"/>
        </w:rPr>
        <w:t xml:space="preserve">internal </w:t>
      </w:r>
      <w:r w:rsidR="00660E00">
        <w:rPr>
          <w:color w:val="auto"/>
          <w:sz w:val="24"/>
          <w:szCs w:val="24"/>
          <w:lang w:val="en-CA"/>
        </w:rPr>
        <w:t>stakeholders</w:t>
      </w:r>
      <w:r w:rsidRPr="008C40B6">
        <w:rPr>
          <w:color w:val="auto"/>
          <w:sz w:val="24"/>
          <w:szCs w:val="24"/>
          <w:lang w:val="en-CA"/>
        </w:rPr>
        <w:t xml:space="preserve">. </w:t>
      </w:r>
      <w:r w:rsidR="00860538" w:rsidRPr="00CD5601">
        <w:rPr>
          <w:lang w:val="en-CA"/>
        </w:rPr>
        <w:t xml:space="preserve">External stakeholders </w:t>
      </w:r>
      <w:r w:rsidR="00860538">
        <w:rPr>
          <w:lang w:val="en-CA"/>
        </w:rPr>
        <w:t xml:space="preserve">were also </w:t>
      </w:r>
      <w:r w:rsidR="00860538" w:rsidRPr="00CD5601">
        <w:rPr>
          <w:lang w:val="en-CA"/>
        </w:rPr>
        <w:t xml:space="preserve">consulted in the development of the PSC Research and </w:t>
      </w:r>
      <w:r w:rsidR="00616D1B">
        <w:rPr>
          <w:lang w:val="en-CA"/>
        </w:rPr>
        <w:t>Development</w:t>
      </w:r>
      <w:r w:rsidR="00860538" w:rsidRPr="00CD5601">
        <w:rPr>
          <w:lang w:val="en-CA"/>
        </w:rPr>
        <w:t xml:space="preserve"> Plan for 2021-2023</w:t>
      </w:r>
      <w:r w:rsidR="00860538">
        <w:rPr>
          <w:lang w:val="en-CA"/>
        </w:rPr>
        <w:t>,</w:t>
      </w:r>
      <w:r w:rsidR="00860538" w:rsidRPr="00CD5601">
        <w:rPr>
          <w:lang w:val="en-CA"/>
        </w:rPr>
        <w:t xml:space="preserve"> includ</w:t>
      </w:r>
      <w:r w:rsidR="00860538">
        <w:rPr>
          <w:lang w:val="en-CA"/>
        </w:rPr>
        <w:t>ing</w:t>
      </w:r>
      <w:r w:rsidR="00860538" w:rsidRPr="00CD5601">
        <w:rPr>
          <w:lang w:val="en-CA"/>
        </w:rPr>
        <w:t xml:space="preserve"> OCHRO and the PSC Employment Equity Research (PEER) Working Group with members from employee groups, unions, and multiple federal departments.</w:t>
      </w:r>
      <w:r w:rsidR="00860538">
        <w:rPr>
          <w:lang w:val="en-CA"/>
        </w:rPr>
        <w:t xml:space="preserve"> </w:t>
      </w:r>
      <w:r w:rsidRPr="008C40B6">
        <w:rPr>
          <w:color w:val="auto"/>
          <w:sz w:val="24"/>
          <w:szCs w:val="24"/>
          <w:lang w:val="en-CA"/>
        </w:rPr>
        <w:t xml:space="preserve">These consultations have helped DSAD to identify the research topics as well as align its research and analysis with the needs of its internal clients and external stakeholders (see Annexe B for the proposed research topics identified during consultations). </w:t>
      </w:r>
    </w:p>
    <w:p w14:paraId="2E5FBF16" w14:textId="2F366EBA" w:rsidR="008C40B6" w:rsidRPr="008C40B6" w:rsidRDefault="008C40B6" w:rsidP="008C40B6">
      <w:pPr>
        <w:rPr>
          <w:color w:val="auto"/>
          <w:sz w:val="24"/>
          <w:szCs w:val="24"/>
          <w:lang w:val="en-CA"/>
        </w:rPr>
      </w:pPr>
      <w:r w:rsidRPr="008C40B6">
        <w:rPr>
          <w:color w:val="auto"/>
          <w:sz w:val="24"/>
          <w:szCs w:val="24"/>
          <w:lang w:val="en-CA"/>
        </w:rPr>
        <w:t>By connecting with the PSC’s different senior management committees, OIS</w:t>
      </w:r>
      <w:r w:rsidRPr="008C40B6" w:rsidDel="004C6D5E">
        <w:rPr>
          <w:color w:val="auto"/>
          <w:sz w:val="24"/>
          <w:szCs w:val="24"/>
          <w:lang w:val="en-CA"/>
        </w:rPr>
        <w:t xml:space="preserve"> </w:t>
      </w:r>
      <w:r w:rsidRPr="008C40B6">
        <w:rPr>
          <w:color w:val="auto"/>
          <w:sz w:val="24"/>
          <w:szCs w:val="24"/>
          <w:lang w:val="en-CA"/>
        </w:rPr>
        <w:t>helps to ensure that research undertaken is rigorous, well-integrated, and relevant to the PSC’s mandate and federal public service priorities. The OIS’s Research</w:t>
      </w:r>
      <w:r w:rsidR="00CB1817">
        <w:rPr>
          <w:color w:val="auto"/>
          <w:sz w:val="24"/>
          <w:szCs w:val="24"/>
          <w:lang w:val="en-CA"/>
        </w:rPr>
        <w:t xml:space="preserve"> and </w:t>
      </w:r>
      <w:r w:rsidR="00616D1B">
        <w:rPr>
          <w:color w:val="auto"/>
          <w:sz w:val="24"/>
          <w:szCs w:val="24"/>
          <w:lang w:val="en-CA"/>
        </w:rPr>
        <w:t>Development</w:t>
      </w:r>
      <w:r w:rsidRPr="008C40B6">
        <w:rPr>
          <w:color w:val="auto"/>
          <w:sz w:val="24"/>
          <w:szCs w:val="24"/>
          <w:lang w:val="en-CA"/>
        </w:rPr>
        <w:t xml:space="preserve"> Plan for 20</w:t>
      </w:r>
      <w:r w:rsidR="00477D52">
        <w:rPr>
          <w:color w:val="auto"/>
          <w:sz w:val="24"/>
          <w:szCs w:val="24"/>
          <w:lang w:val="en-CA"/>
        </w:rPr>
        <w:t>21</w:t>
      </w:r>
      <w:r w:rsidRPr="008C40B6">
        <w:rPr>
          <w:color w:val="auto"/>
          <w:sz w:val="24"/>
          <w:szCs w:val="24"/>
          <w:lang w:val="en-CA"/>
        </w:rPr>
        <w:t>-202</w:t>
      </w:r>
      <w:r w:rsidR="00F32D4C">
        <w:rPr>
          <w:color w:val="auto"/>
          <w:sz w:val="24"/>
          <w:szCs w:val="24"/>
          <w:lang w:val="en-CA"/>
        </w:rPr>
        <w:t>3</w:t>
      </w:r>
      <w:r w:rsidRPr="008C40B6">
        <w:rPr>
          <w:color w:val="auto"/>
          <w:sz w:val="24"/>
          <w:szCs w:val="24"/>
          <w:lang w:val="en-CA"/>
        </w:rPr>
        <w:t xml:space="preserve"> will be reviewed and discussed broadly through the Executive Management Committee (EMC).  </w:t>
      </w:r>
    </w:p>
    <w:p w14:paraId="2A328D2E" w14:textId="77777777" w:rsidR="008C40B6" w:rsidRPr="008C40B6" w:rsidRDefault="008C40B6" w:rsidP="008C40B6">
      <w:pPr>
        <w:rPr>
          <w:color w:val="auto"/>
          <w:sz w:val="24"/>
          <w:szCs w:val="24"/>
          <w:lang w:val="en-CA"/>
        </w:rPr>
      </w:pPr>
      <w:r w:rsidRPr="008C40B6">
        <w:rPr>
          <w:color w:val="auto"/>
          <w:sz w:val="24"/>
          <w:szCs w:val="24"/>
          <w:lang w:val="en-CA"/>
        </w:rPr>
        <w:t>Once approved, the plan will be shared with key external stakeholders including, but not limited to the Office of the Chief Human Resources Officer (OCHRO). The objective will be two-fold: to provide an overview of the PSC’s research agenda and to seek partners for some of these projects. Partnerships could include various activities ranging from sharing data (where permitted by the Privacy Impact Assessment) to undertaking joint research.</w:t>
      </w:r>
    </w:p>
    <w:p w14:paraId="520F365F" w14:textId="54C353F0" w:rsidR="008C40B6" w:rsidRDefault="008C40B6" w:rsidP="004D2D46">
      <w:pPr>
        <w:spacing w:line="240" w:lineRule="auto"/>
        <w:rPr>
          <w:color w:val="auto"/>
          <w:sz w:val="24"/>
          <w:szCs w:val="24"/>
          <w:lang w:val="en-CA"/>
        </w:rPr>
      </w:pPr>
      <w:r w:rsidRPr="008C40B6">
        <w:rPr>
          <w:color w:val="auto"/>
          <w:sz w:val="24"/>
          <w:szCs w:val="24"/>
          <w:lang w:val="en-CA"/>
        </w:rPr>
        <w:t xml:space="preserve">The Research </w:t>
      </w:r>
      <w:r w:rsidR="004D2D46">
        <w:rPr>
          <w:color w:val="auto"/>
          <w:sz w:val="24"/>
          <w:szCs w:val="24"/>
          <w:lang w:val="en-CA"/>
        </w:rPr>
        <w:t xml:space="preserve">and </w:t>
      </w:r>
      <w:r w:rsidR="00616D1B">
        <w:rPr>
          <w:color w:val="auto"/>
          <w:sz w:val="24"/>
          <w:szCs w:val="24"/>
          <w:lang w:val="en-CA"/>
        </w:rPr>
        <w:t>Development</w:t>
      </w:r>
      <w:r w:rsidR="004D2D46">
        <w:rPr>
          <w:color w:val="auto"/>
          <w:sz w:val="24"/>
          <w:szCs w:val="24"/>
          <w:lang w:val="en-CA"/>
        </w:rPr>
        <w:t xml:space="preserve"> </w:t>
      </w:r>
      <w:r w:rsidRPr="008C40B6">
        <w:rPr>
          <w:color w:val="auto"/>
          <w:sz w:val="24"/>
          <w:szCs w:val="24"/>
          <w:lang w:val="en-CA"/>
        </w:rPr>
        <w:t>Plan 20</w:t>
      </w:r>
      <w:r w:rsidR="00745FA4">
        <w:rPr>
          <w:color w:val="auto"/>
          <w:sz w:val="24"/>
          <w:szCs w:val="24"/>
          <w:lang w:val="en-CA"/>
        </w:rPr>
        <w:t>21</w:t>
      </w:r>
      <w:r w:rsidRPr="008C40B6">
        <w:rPr>
          <w:color w:val="auto"/>
          <w:sz w:val="24"/>
          <w:szCs w:val="24"/>
          <w:lang w:val="en-CA"/>
        </w:rPr>
        <w:t>-202</w:t>
      </w:r>
      <w:r w:rsidR="00CB1817">
        <w:rPr>
          <w:color w:val="auto"/>
          <w:sz w:val="24"/>
          <w:szCs w:val="24"/>
          <w:lang w:val="en-CA"/>
        </w:rPr>
        <w:t>3</w:t>
      </w:r>
      <w:r w:rsidRPr="008C40B6">
        <w:rPr>
          <w:color w:val="auto"/>
          <w:sz w:val="24"/>
          <w:szCs w:val="24"/>
          <w:lang w:val="en-CA"/>
        </w:rPr>
        <w:t xml:space="preserve"> is an evergreen document allowing for modifications along the way. In the process, stakeholders will be consulted regarding subsequent modifications. That way, the Research Plan is sufficiently flexible to adapt to new emerging needs and future analytical requirements.</w:t>
      </w:r>
    </w:p>
    <w:p w14:paraId="60D4B945" w14:textId="3E837367" w:rsidR="0072400F" w:rsidRDefault="0072400F" w:rsidP="0072400F">
      <w:pPr>
        <w:rPr>
          <w:lang w:val="en-CA"/>
        </w:rPr>
      </w:pPr>
    </w:p>
    <w:p w14:paraId="53EF1880" w14:textId="168BB76D" w:rsidR="0072400F" w:rsidRDefault="0072400F" w:rsidP="0072400F">
      <w:pPr>
        <w:rPr>
          <w:lang w:val="en-CA"/>
        </w:rPr>
      </w:pPr>
    </w:p>
    <w:p w14:paraId="09088AAC" w14:textId="27BC9332" w:rsidR="0072400F" w:rsidRDefault="0072400F" w:rsidP="0072400F">
      <w:pPr>
        <w:rPr>
          <w:lang w:val="en-CA"/>
        </w:rPr>
      </w:pPr>
    </w:p>
    <w:p w14:paraId="0C321933" w14:textId="77777777" w:rsidR="00860538" w:rsidRDefault="00860538" w:rsidP="0072400F">
      <w:pPr>
        <w:rPr>
          <w:lang w:val="en-CA"/>
        </w:rPr>
      </w:pPr>
    </w:p>
    <w:p w14:paraId="5A0877C9" w14:textId="77777777" w:rsidR="004D2D46" w:rsidRDefault="004D2D46" w:rsidP="0072400F">
      <w:pPr>
        <w:rPr>
          <w:lang w:val="en-CA"/>
        </w:rPr>
      </w:pPr>
    </w:p>
    <w:p w14:paraId="6E0A1B16" w14:textId="5FA92251" w:rsidR="008C40B6" w:rsidRPr="008C40B6" w:rsidRDefault="008C40B6" w:rsidP="008C40B6">
      <w:pPr>
        <w:pStyle w:val="Heading1"/>
        <w:rPr>
          <w:lang w:val="en-CA"/>
        </w:rPr>
      </w:pPr>
      <w:bookmarkStart w:id="5" w:name="_Toc106712291"/>
      <w:r>
        <w:rPr>
          <w:lang w:val="en-CA"/>
        </w:rPr>
        <w:lastRenderedPageBreak/>
        <w:t>Annex A: PSC System-Wide Oversight Model</w:t>
      </w:r>
      <w:bookmarkEnd w:id="5"/>
    </w:p>
    <w:p w14:paraId="55E3716F" w14:textId="77777777" w:rsidR="008C40B6" w:rsidRPr="008C40B6" w:rsidRDefault="008C40B6" w:rsidP="008C40B6">
      <w:pPr>
        <w:rPr>
          <w:lang w:val="en-CA"/>
        </w:rPr>
      </w:pPr>
    </w:p>
    <w:p w14:paraId="4185DCB0" w14:textId="5376FFE9" w:rsidR="008C40B6" w:rsidRPr="009878EC" w:rsidRDefault="00214354" w:rsidP="008C40B6">
      <w:pPr>
        <w:rPr>
          <w:lang w:val="en-CA"/>
        </w:rPr>
      </w:pPr>
      <w:r w:rsidRPr="009878EC">
        <w:rPr>
          <w:noProof/>
          <w:lang w:val="en-CA"/>
        </w:rPr>
        <w:drawing>
          <wp:inline distT="0" distB="0" distL="0" distR="0" wp14:anchorId="17447187" wp14:editId="6FFFD0EB">
            <wp:extent cx="5943600" cy="5200650"/>
            <wp:effectExtent l="0" t="0" r="0" b="0"/>
            <wp:docPr id="1" name="Picture 1" descr="PSC System-wide Oversight Model.   See Detailed description which follow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SC System-wide Oversight Model.   See Detailed description which follows.">
                      <a:extLst>
                        <a:ext uri="{C183D7F6-B498-43B3-948B-1728B52AA6E4}">
                          <adec:decorative xmlns:adec="http://schemas.microsoft.com/office/drawing/2017/decorative" val="0"/>
                        </a:ext>
                      </a:extLst>
                    </pic:cNvPr>
                    <pic:cNvPicPr/>
                  </pic:nvPicPr>
                  <pic:blipFill>
                    <a:blip r:embed="rId13"/>
                    <a:stretch>
                      <a:fillRect/>
                    </a:stretch>
                  </pic:blipFill>
                  <pic:spPr>
                    <a:xfrm>
                      <a:off x="0" y="0"/>
                      <a:ext cx="5943600" cy="5200650"/>
                    </a:xfrm>
                    <a:prstGeom prst="rect">
                      <a:avLst/>
                    </a:prstGeom>
                  </pic:spPr>
                </pic:pic>
              </a:graphicData>
            </a:graphic>
          </wp:inline>
        </w:drawing>
      </w:r>
    </w:p>
    <w:p w14:paraId="28299909" w14:textId="3EF463EA" w:rsidR="008C40B6" w:rsidRPr="00182BD4" w:rsidRDefault="00664C0F" w:rsidP="00151E74">
      <w:pPr>
        <w:pStyle w:val="Heading2"/>
        <w:rPr>
          <w:lang w:val="en-CA"/>
        </w:rPr>
      </w:pPr>
      <w:bookmarkStart w:id="6" w:name="_Toc106712292"/>
      <w:r w:rsidRPr="00182BD4">
        <w:rPr>
          <w:rStyle w:val="Heading1Char"/>
          <w:rFonts w:ascii="Segoe UI" w:hAnsi="Segoe UI" w:cs="Segoe UI"/>
          <w:color w:val="5B315E" w:themeColor="accent2"/>
          <w:sz w:val="32"/>
          <w:szCs w:val="32"/>
          <w:lang w:val="en-CA"/>
        </w:rPr>
        <w:t>Annex A description</w:t>
      </w:r>
      <w:bookmarkEnd w:id="6"/>
    </w:p>
    <w:p w14:paraId="64A78AEF" w14:textId="77777777" w:rsidR="00234984" w:rsidRPr="00234984" w:rsidRDefault="00234984" w:rsidP="00151E74">
      <w:pPr>
        <w:pStyle w:val="Heading3"/>
        <w:rPr>
          <w:lang w:val="en-US"/>
        </w:rPr>
      </w:pPr>
      <w:bookmarkStart w:id="7" w:name="_Toc106712293"/>
      <w:r w:rsidRPr="00234984">
        <w:rPr>
          <w:lang w:val="en-US"/>
        </w:rPr>
        <w:t>PSC System-Wide Oversight Model</w:t>
      </w:r>
      <w:bookmarkEnd w:id="7"/>
    </w:p>
    <w:p w14:paraId="66014A75" w14:textId="77777777" w:rsidR="00234984" w:rsidRPr="00234984" w:rsidRDefault="00234984" w:rsidP="00151E74">
      <w:pPr>
        <w:rPr>
          <w:lang w:val="en-US"/>
        </w:rPr>
      </w:pPr>
      <w:bookmarkStart w:id="8" w:name="_Toc106712294"/>
      <w:r w:rsidRPr="00D23305">
        <w:rPr>
          <w:lang w:val="en-CA"/>
        </w:rPr>
        <w:t>Oversight Principles</w:t>
      </w:r>
      <w:r w:rsidRPr="00234984">
        <w:rPr>
          <w:lang w:val="en-US"/>
        </w:rPr>
        <w:t>:</w:t>
      </w:r>
      <w:bookmarkEnd w:id="8"/>
      <w:r w:rsidRPr="00234984">
        <w:rPr>
          <w:lang w:val="en-US"/>
        </w:rPr>
        <w:t xml:space="preserve"> </w:t>
      </w:r>
    </w:p>
    <w:p w14:paraId="5A9267DC" w14:textId="19E2ACB8" w:rsidR="00234984" w:rsidRPr="007E541C" w:rsidRDefault="00234984" w:rsidP="007E541C">
      <w:pPr>
        <w:pStyle w:val="ListParagraph"/>
        <w:numPr>
          <w:ilvl w:val="0"/>
          <w:numId w:val="20"/>
        </w:numPr>
        <w:rPr>
          <w:lang w:val="en-US"/>
        </w:rPr>
      </w:pPr>
      <w:r w:rsidRPr="007E541C">
        <w:rPr>
          <w:lang w:val="en-US"/>
        </w:rPr>
        <w:t>Support – Delegated, deregulated staffing system</w:t>
      </w:r>
    </w:p>
    <w:p w14:paraId="3DA73857" w14:textId="78891198" w:rsidR="00234984" w:rsidRPr="007E541C" w:rsidRDefault="00234984" w:rsidP="007E541C">
      <w:pPr>
        <w:pStyle w:val="ListParagraph"/>
        <w:numPr>
          <w:ilvl w:val="0"/>
          <w:numId w:val="20"/>
        </w:numPr>
        <w:rPr>
          <w:lang w:val="en-US"/>
        </w:rPr>
      </w:pPr>
      <w:r w:rsidRPr="007E541C">
        <w:rPr>
          <w:lang w:val="en-US"/>
        </w:rPr>
        <w:t xml:space="preserve">Recognize – Co-accountability for integrity of the staffing system </w:t>
      </w:r>
    </w:p>
    <w:p w14:paraId="53293E24" w14:textId="0FD00469" w:rsidR="00234984" w:rsidRPr="007E541C" w:rsidRDefault="00234984" w:rsidP="007E541C">
      <w:pPr>
        <w:pStyle w:val="ListParagraph"/>
        <w:numPr>
          <w:ilvl w:val="0"/>
          <w:numId w:val="20"/>
        </w:numPr>
        <w:rPr>
          <w:lang w:val="en-US"/>
        </w:rPr>
      </w:pPr>
      <w:r w:rsidRPr="007E541C">
        <w:rPr>
          <w:lang w:val="en-US"/>
        </w:rPr>
        <w:t>Implement – System-wide timely improvements</w:t>
      </w:r>
    </w:p>
    <w:p w14:paraId="280C4773" w14:textId="77777777" w:rsidR="00234984" w:rsidRPr="00D23305" w:rsidRDefault="00234984" w:rsidP="00151E74">
      <w:pPr>
        <w:rPr>
          <w:lang w:val="en-CA"/>
        </w:rPr>
      </w:pPr>
      <w:bookmarkStart w:id="9" w:name="_Toc106712295"/>
      <w:r w:rsidRPr="00D23305">
        <w:rPr>
          <w:lang w:val="en-CA"/>
        </w:rPr>
        <w:t>Oversight Universe:</w:t>
      </w:r>
      <w:bookmarkEnd w:id="9"/>
      <w:r w:rsidRPr="00D23305">
        <w:rPr>
          <w:lang w:val="en-CA"/>
        </w:rPr>
        <w:t xml:space="preserve"> </w:t>
      </w:r>
    </w:p>
    <w:p w14:paraId="7A1DBC33" w14:textId="784B73BB" w:rsidR="00234984" w:rsidRPr="007E541C" w:rsidRDefault="00234984" w:rsidP="007E541C">
      <w:pPr>
        <w:pStyle w:val="ListParagraph"/>
        <w:numPr>
          <w:ilvl w:val="0"/>
          <w:numId w:val="22"/>
        </w:numPr>
        <w:rPr>
          <w:lang w:val="en-US"/>
        </w:rPr>
      </w:pPr>
      <w:r w:rsidRPr="007E541C">
        <w:rPr>
          <w:lang w:val="en-US"/>
        </w:rPr>
        <w:t>Compliance on Core Requirements</w:t>
      </w:r>
    </w:p>
    <w:p w14:paraId="61C9DDEC" w14:textId="02F075AD" w:rsidR="00234984" w:rsidRPr="007E541C" w:rsidRDefault="00234984" w:rsidP="007E541C">
      <w:pPr>
        <w:pStyle w:val="ListParagraph"/>
        <w:numPr>
          <w:ilvl w:val="0"/>
          <w:numId w:val="22"/>
        </w:numPr>
        <w:rPr>
          <w:lang w:val="en-US"/>
        </w:rPr>
      </w:pPr>
      <w:r w:rsidRPr="007E541C">
        <w:rPr>
          <w:lang w:val="en-US"/>
        </w:rPr>
        <w:lastRenderedPageBreak/>
        <w:t>Staffing Environment</w:t>
      </w:r>
    </w:p>
    <w:p w14:paraId="18538812" w14:textId="552ADD85" w:rsidR="00234984" w:rsidRPr="007E541C" w:rsidRDefault="00234984" w:rsidP="007E541C">
      <w:pPr>
        <w:pStyle w:val="ListParagraph"/>
        <w:numPr>
          <w:ilvl w:val="0"/>
          <w:numId w:val="22"/>
        </w:numPr>
        <w:rPr>
          <w:lang w:val="en-US"/>
        </w:rPr>
      </w:pPr>
      <w:r w:rsidRPr="007E541C">
        <w:rPr>
          <w:lang w:val="en-US"/>
        </w:rPr>
        <w:t>PSEA Intended Outcomes</w:t>
      </w:r>
    </w:p>
    <w:p w14:paraId="757F645B" w14:textId="77777777" w:rsidR="00234984" w:rsidRPr="00234984" w:rsidRDefault="00234984" w:rsidP="00151E74">
      <w:pPr>
        <w:rPr>
          <w:lang w:val="en-US"/>
        </w:rPr>
      </w:pPr>
      <w:bookmarkStart w:id="10" w:name="_Toc106712296"/>
      <w:r w:rsidRPr="00234984">
        <w:rPr>
          <w:lang w:val="en-US"/>
        </w:rPr>
        <w:t>Oversight Tools to the 3 components of the oversight Universe:</w:t>
      </w:r>
      <w:bookmarkEnd w:id="10"/>
    </w:p>
    <w:p w14:paraId="4FEF8C9C" w14:textId="0C7F758E" w:rsidR="00234984" w:rsidRPr="00234984" w:rsidRDefault="00234984" w:rsidP="00151E74">
      <w:pPr>
        <w:rPr>
          <w:lang w:val="en-US"/>
        </w:rPr>
      </w:pPr>
      <w:bookmarkStart w:id="11" w:name="_Toc106712297"/>
      <w:r w:rsidRPr="00234984">
        <w:rPr>
          <w:lang w:val="en-US"/>
        </w:rPr>
        <w:t>Compliance on Core Requirements</w:t>
      </w:r>
      <w:bookmarkEnd w:id="11"/>
    </w:p>
    <w:p w14:paraId="33F213BD" w14:textId="110B9AE3" w:rsidR="00234984" w:rsidRPr="007E541C" w:rsidRDefault="00234984" w:rsidP="007E541C">
      <w:pPr>
        <w:pStyle w:val="ListParagraph"/>
        <w:numPr>
          <w:ilvl w:val="0"/>
          <w:numId w:val="23"/>
        </w:numPr>
        <w:rPr>
          <w:lang w:val="en-US"/>
        </w:rPr>
      </w:pPr>
      <w:r w:rsidRPr="007E541C">
        <w:rPr>
          <w:lang w:val="en-US"/>
        </w:rPr>
        <w:t>System-Wide Audits</w:t>
      </w:r>
    </w:p>
    <w:p w14:paraId="68EC160B" w14:textId="479467F5" w:rsidR="00234984" w:rsidRPr="007E541C" w:rsidRDefault="00234984" w:rsidP="007E541C">
      <w:pPr>
        <w:pStyle w:val="ListParagraph"/>
        <w:numPr>
          <w:ilvl w:val="0"/>
          <w:numId w:val="23"/>
        </w:numPr>
        <w:rPr>
          <w:lang w:val="en-US"/>
        </w:rPr>
      </w:pPr>
      <w:r w:rsidRPr="007E541C">
        <w:rPr>
          <w:lang w:val="en-US"/>
        </w:rPr>
        <w:t>Risk-Based Audits</w:t>
      </w:r>
    </w:p>
    <w:p w14:paraId="4416A2C6" w14:textId="2C2D5F87" w:rsidR="00234984" w:rsidRPr="007E541C" w:rsidRDefault="00234984" w:rsidP="007E541C">
      <w:pPr>
        <w:pStyle w:val="ListParagraph"/>
        <w:numPr>
          <w:ilvl w:val="0"/>
          <w:numId w:val="23"/>
        </w:numPr>
        <w:rPr>
          <w:lang w:val="en-US"/>
        </w:rPr>
      </w:pPr>
      <w:r w:rsidRPr="007E541C">
        <w:rPr>
          <w:lang w:val="en-US"/>
        </w:rPr>
        <w:t>Staffing Assessments</w:t>
      </w:r>
    </w:p>
    <w:p w14:paraId="336F6CA8" w14:textId="2A36E98E" w:rsidR="00234984" w:rsidRPr="007E541C" w:rsidRDefault="00234984" w:rsidP="007E541C">
      <w:pPr>
        <w:pStyle w:val="ListParagraph"/>
        <w:numPr>
          <w:ilvl w:val="0"/>
          <w:numId w:val="23"/>
        </w:numPr>
        <w:rPr>
          <w:lang w:val="en-US"/>
        </w:rPr>
      </w:pPr>
      <w:r w:rsidRPr="007E541C">
        <w:rPr>
          <w:lang w:val="en-US"/>
        </w:rPr>
        <w:t>Investigations</w:t>
      </w:r>
    </w:p>
    <w:p w14:paraId="54A843FE" w14:textId="17770089" w:rsidR="00234984" w:rsidRPr="007E541C" w:rsidRDefault="00234984" w:rsidP="007E541C">
      <w:pPr>
        <w:pStyle w:val="ListParagraph"/>
        <w:numPr>
          <w:ilvl w:val="0"/>
          <w:numId w:val="23"/>
        </w:numPr>
        <w:rPr>
          <w:lang w:val="en-US"/>
        </w:rPr>
      </w:pPr>
      <w:r w:rsidRPr="007E541C">
        <w:rPr>
          <w:lang w:val="en-US"/>
        </w:rPr>
        <w:t>Assessing Election Candidacy Requests</w:t>
      </w:r>
    </w:p>
    <w:p w14:paraId="3CD0E553" w14:textId="1D65CB27" w:rsidR="00234984" w:rsidRPr="00234984" w:rsidRDefault="00234984" w:rsidP="00151E74">
      <w:pPr>
        <w:rPr>
          <w:lang w:val="en-US"/>
        </w:rPr>
      </w:pPr>
      <w:bookmarkStart w:id="12" w:name="_Toc106712298"/>
      <w:r w:rsidRPr="00234984">
        <w:rPr>
          <w:lang w:val="en-US"/>
        </w:rPr>
        <w:t>Staffing Environment</w:t>
      </w:r>
      <w:bookmarkEnd w:id="12"/>
    </w:p>
    <w:p w14:paraId="34FA7500" w14:textId="0F0D3025" w:rsidR="00234984" w:rsidRPr="00D45717" w:rsidRDefault="00234984" w:rsidP="00F86BCE">
      <w:pPr>
        <w:pStyle w:val="ListParagraph"/>
        <w:numPr>
          <w:ilvl w:val="0"/>
          <w:numId w:val="25"/>
        </w:numPr>
        <w:rPr>
          <w:lang w:val="en-CA"/>
        </w:rPr>
      </w:pPr>
      <w:r w:rsidRPr="00D45717">
        <w:rPr>
          <w:lang w:val="en-CA"/>
        </w:rPr>
        <w:t>Staffing and Non-Partisanship Survey</w:t>
      </w:r>
    </w:p>
    <w:p w14:paraId="07673E4C" w14:textId="1F8F82EB" w:rsidR="00234984" w:rsidRPr="00D45717" w:rsidRDefault="00234984" w:rsidP="00F86BCE">
      <w:pPr>
        <w:pStyle w:val="ListParagraph"/>
        <w:numPr>
          <w:ilvl w:val="0"/>
          <w:numId w:val="25"/>
        </w:numPr>
        <w:rPr>
          <w:lang w:val="en-CA"/>
        </w:rPr>
      </w:pPr>
      <w:r w:rsidRPr="00D45717">
        <w:rPr>
          <w:lang w:val="en-CA"/>
        </w:rPr>
        <w:t>Process-Based / Targeted Surveys</w:t>
      </w:r>
    </w:p>
    <w:p w14:paraId="1ECD8D0E" w14:textId="2AE0F29F" w:rsidR="00234984" w:rsidRPr="00D45717" w:rsidRDefault="00234984" w:rsidP="00F86BCE">
      <w:pPr>
        <w:pStyle w:val="ListParagraph"/>
        <w:numPr>
          <w:ilvl w:val="0"/>
          <w:numId w:val="25"/>
        </w:numPr>
        <w:rPr>
          <w:lang w:val="en-CA"/>
        </w:rPr>
      </w:pPr>
      <w:r w:rsidRPr="00D45717">
        <w:rPr>
          <w:lang w:val="en-CA"/>
        </w:rPr>
        <w:t>Audit Questionnaires</w:t>
      </w:r>
    </w:p>
    <w:p w14:paraId="4EA90257" w14:textId="1248581B" w:rsidR="00234984" w:rsidRPr="00D45717" w:rsidRDefault="00234984" w:rsidP="00F86BCE">
      <w:pPr>
        <w:pStyle w:val="ListParagraph"/>
        <w:numPr>
          <w:ilvl w:val="0"/>
          <w:numId w:val="25"/>
        </w:numPr>
        <w:rPr>
          <w:lang w:val="en-CA"/>
        </w:rPr>
      </w:pPr>
      <w:r w:rsidRPr="00D45717">
        <w:rPr>
          <w:lang w:val="en-CA"/>
        </w:rPr>
        <w:t>Census and Labour Market Data</w:t>
      </w:r>
    </w:p>
    <w:p w14:paraId="524171A3" w14:textId="0D418740" w:rsidR="00234984" w:rsidRPr="00234984" w:rsidRDefault="00234984" w:rsidP="00151E74">
      <w:pPr>
        <w:rPr>
          <w:lang w:val="en-US"/>
        </w:rPr>
      </w:pPr>
      <w:bookmarkStart w:id="13" w:name="_Toc106712299"/>
      <w:r w:rsidRPr="00234984">
        <w:rPr>
          <w:lang w:val="en-US"/>
        </w:rPr>
        <w:t>PSEA Intended Outcomes</w:t>
      </w:r>
      <w:bookmarkEnd w:id="13"/>
    </w:p>
    <w:p w14:paraId="33B15EB2" w14:textId="6B1AF62B" w:rsidR="00234984" w:rsidRPr="00F86BCE" w:rsidRDefault="00234984" w:rsidP="00F86BCE">
      <w:pPr>
        <w:pStyle w:val="ListParagraph"/>
        <w:numPr>
          <w:ilvl w:val="0"/>
          <w:numId w:val="27"/>
        </w:numPr>
        <w:rPr>
          <w:lang w:val="en-US"/>
        </w:rPr>
      </w:pPr>
      <w:r w:rsidRPr="00F86BCE">
        <w:rPr>
          <w:lang w:val="en-US"/>
        </w:rPr>
        <w:t>Research and Studies</w:t>
      </w:r>
    </w:p>
    <w:p w14:paraId="368A9C65" w14:textId="21DCC0FA" w:rsidR="00234984" w:rsidRPr="00F86BCE" w:rsidRDefault="00234984" w:rsidP="00F86BCE">
      <w:pPr>
        <w:pStyle w:val="ListParagraph"/>
        <w:numPr>
          <w:ilvl w:val="0"/>
          <w:numId w:val="27"/>
        </w:numPr>
        <w:rPr>
          <w:lang w:val="en-US"/>
        </w:rPr>
      </w:pPr>
      <w:r w:rsidRPr="00F86BCE">
        <w:rPr>
          <w:lang w:val="en-US"/>
        </w:rPr>
        <w:t>Staffing and Non-Partisanship Survey</w:t>
      </w:r>
    </w:p>
    <w:p w14:paraId="7E9E9E56" w14:textId="2B9E2A2B" w:rsidR="00234984" w:rsidRPr="00F86BCE" w:rsidRDefault="00234984" w:rsidP="00F86BCE">
      <w:pPr>
        <w:pStyle w:val="ListParagraph"/>
        <w:numPr>
          <w:ilvl w:val="0"/>
          <w:numId w:val="27"/>
        </w:numPr>
        <w:rPr>
          <w:lang w:val="en-US"/>
        </w:rPr>
      </w:pPr>
      <w:r w:rsidRPr="00F86BCE">
        <w:rPr>
          <w:lang w:val="en-US"/>
        </w:rPr>
        <w:t>Effectiveness and Efficiency Projects</w:t>
      </w:r>
    </w:p>
    <w:p w14:paraId="262D4CAB" w14:textId="66A5C41E" w:rsidR="00234984" w:rsidRPr="00F86BCE" w:rsidRDefault="00234984" w:rsidP="00F86BCE">
      <w:pPr>
        <w:pStyle w:val="ListParagraph"/>
        <w:numPr>
          <w:ilvl w:val="0"/>
          <w:numId w:val="27"/>
        </w:numPr>
        <w:rPr>
          <w:lang w:val="en-US"/>
        </w:rPr>
      </w:pPr>
      <w:r w:rsidRPr="00F86BCE">
        <w:rPr>
          <w:lang w:val="en-US"/>
        </w:rPr>
        <w:t>Awareness – Political Activities</w:t>
      </w:r>
    </w:p>
    <w:p w14:paraId="6F2A9A32" w14:textId="0A5AE6E0" w:rsidR="00151E74" w:rsidRDefault="00234984" w:rsidP="00234984">
      <w:pPr>
        <w:rPr>
          <w:lang w:val="en-US"/>
        </w:rPr>
      </w:pPr>
      <w:r w:rsidRPr="00234984">
        <w:rPr>
          <w:lang w:val="en-US"/>
        </w:rPr>
        <w:t>Oversight Objectives: Preventative approach based on early identification of risk leading to timely interventions in the staffing system (e.g., Policy and ADAI adjustments, improved program delivery, timely communications to stakeholders).</w:t>
      </w:r>
      <w:r w:rsidR="00151E74">
        <w:rPr>
          <w:lang w:val="en-US"/>
        </w:rPr>
        <w:br w:type="page"/>
      </w:r>
    </w:p>
    <w:p w14:paraId="2291C417" w14:textId="77777777" w:rsidR="00151E74" w:rsidRDefault="00151E74" w:rsidP="008C40B6">
      <w:pPr>
        <w:pStyle w:val="Heading1"/>
        <w:rPr>
          <w:lang w:val="en-US"/>
        </w:rPr>
        <w:sectPr w:rsidR="00151E74" w:rsidSect="00151E74">
          <w:footerReference w:type="default" r:id="rId14"/>
          <w:headerReference w:type="first" r:id="rId15"/>
          <w:pgSz w:w="12240" w:h="15840" w:code="1"/>
          <w:pgMar w:top="1440" w:right="1440" w:bottom="1440" w:left="1440" w:header="709" w:footer="709" w:gutter="0"/>
          <w:cols w:space="708"/>
          <w:titlePg/>
          <w:docGrid w:linePitch="360"/>
        </w:sectPr>
      </w:pPr>
      <w:bookmarkStart w:id="14" w:name="_Toc106712300"/>
    </w:p>
    <w:p w14:paraId="4E9D791E" w14:textId="23C39E04" w:rsidR="008C40B6" w:rsidRDefault="007333A0" w:rsidP="008C40B6">
      <w:pPr>
        <w:pStyle w:val="Heading1"/>
        <w:rPr>
          <w:lang w:val="en-US"/>
        </w:rPr>
      </w:pPr>
      <w:r>
        <w:rPr>
          <w:lang w:val="en-US"/>
        </w:rPr>
        <w:lastRenderedPageBreak/>
        <w:t>A</w:t>
      </w:r>
      <w:r w:rsidR="008C40B6">
        <w:rPr>
          <w:lang w:val="en-US"/>
        </w:rPr>
        <w:t>nnex B: Research Projects</w:t>
      </w:r>
      <w:bookmarkEnd w:id="14"/>
    </w:p>
    <w:p w14:paraId="25AFBC79" w14:textId="10812220" w:rsidR="007516B7" w:rsidRDefault="007516B7" w:rsidP="007516B7">
      <w:pPr>
        <w:rPr>
          <w:lang w:val="en-US"/>
        </w:rPr>
      </w:pPr>
    </w:p>
    <w:p w14:paraId="0B88D78A" w14:textId="0F127E84" w:rsidR="00D715D7" w:rsidRPr="00D715D7" w:rsidRDefault="00D715D7" w:rsidP="00D715D7">
      <w:pPr>
        <w:pStyle w:val="Heading2"/>
        <w:rPr>
          <w:lang w:val="en-CA"/>
        </w:rPr>
      </w:pPr>
      <w:bookmarkStart w:id="15" w:name="_Toc106712301"/>
      <w:r w:rsidRPr="00D715D7">
        <w:rPr>
          <w:lang w:val="en-CA"/>
        </w:rPr>
        <w:t>Remaining Items on 20</w:t>
      </w:r>
      <w:r w:rsidR="004B6F95">
        <w:rPr>
          <w:lang w:val="en-CA"/>
        </w:rPr>
        <w:t>19</w:t>
      </w:r>
      <w:r w:rsidRPr="00D715D7">
        <w:rPr>
          <w:lang w:val="en-CA"/>
        </w:rPr>
        <w:t>-</w:t>
      </w:r>
      <w:r w:rsidR="004B6F95">
        <w:rPr>
          <w:lang w:val="en-CA"/>
        </w:rPr>
        <w:t>20</w:t>
      </w:r>
      <w:r w:rsidRPr="00D715D7">
        <w:rPr>
          <w:lang w:val="en-CA"/>
        </w:rPr>
        <w:t>21 plan:</w:t>
      </w:r>
      <w:bookmarkEnd w:id="15"/>
    </w:p>
    <w:tbl>
      <w:tblPr>
        <w:tblStyle w:val="TableGrid"/>
        <w:tblW w:w="17431" w:type="dxa"/>
        <w:tblInd w:w="-147" w:type="dxa"/>
        <w:tblLayout w:type="fixed"/>
        <w:tblLook w:val="04A0" w:firstRow="1" w:lastRow="0" w:firstColumn="1" w:lastColumn="0" w:noHBand="0" w:noVBand="1"/>
        <w:tblCaption w:val="Remaining Items on 2019-2021 Research Plan"/>
        <w:tblDescription w:val="Listing of projects from the 2019-2021 research plan which will be adressed as part of the 2021-2023 plan."/>
      </w:tblPr>
      <w:tblGrid>
        <w:gridCol w:w="562"/>
        <w:gridCol w:w="3544"/>
        <w:gridCol w:w="6662"/>
        <w:gridCol w:w="2694"/>
        <w:gridCol w:w="3969"/>
      </w:tblGrid>
      <w:tr w:rsidR="00D715D7" w:rsidRPr="00030F4B" w14:paraId="4AA9A19A" w14:textId="77777777" w:rsidTr="00151E74">
        <w:tc>
          <w:tcPr>
            <w:tcW w:w="562" w:type="dxa"/>
          </w:tcPr>
          <w:p w14:paraId="1BC177AA" w14:textId="77777777" w:rsidR="00D715D7" w:rsidRPr="00F525CF" w:rsidRDefault="00D715D7" w:rsidP="00AB489B">
            <w:pPr>
              <w:rPr>
                <w:rFonts w:cs="Arial"/>
                <w:b/>
                <w:sz w:val="24"/>
                <w:szCs w:val="24"/>
                <w:lang w:val="en-CA"/>
              </w:rPr>
            </w:pPr>
            <w:bookmarkStart w:id="16" w:name="_Hlk80275490"/>
            <w:r w:rsidRPr="00F525CF">
              <w:rPr>
                <w:rFonts w:cs="Arial"/>
                <w:b/>
                <w:sz w:val="24"/>
                <w:szCs w:val="24"/>
                <w:lang w:val="en-CA"/>
              </w:rPr>
              <w:t>#</w:t>
            </w:r>
          </w:p>
        </w:tc>
        <w:tc>
          <w:tcPr>
            <w:tcW w:w="3544" w:type="dxa"/>
          </w:tcPr>
          <w:p w14:paraId="681886E1" w14:textId="77777777" w:rsidR="00D715D7" w:rsidRPr="00F525CF" w:rsidRDefault="00D715D7" w:rsidP="00AB489B">
            <w:pPr>
              <w:rPr>
                <w:rFonts w:cs="Arial"/>
                <w:b/>
                <w:strike/>
                <w:sz w:val="24"/>
                <w:szCs w:val="24"/>
                <w:lang w:val="en-CA"/>
              </w:rPr>
            </w:pPr>
            <w:r w:rsidRPr="00F525CF">
              <w:rPr>
                <w:rFonts w:cs="Arial"/>
                <w:b/>
                <w:sz w:val="24"/>
                <w:szCs w:val="24"/>
                <w:lang w:val="en-CA"/>
              </w:rPr>
              <w:t>Proposed Topics</w:t>
            </w:r>
          </w:p>
        </w:tc>
        <w:tc>
          <w:tcPr>
            <w:tcW w:w="6662" w:type="dxa"/>
          </w:tcPr>
          <w:p w14:paraId="0FFB4294" w14:textId="77777777" w:rsidR="00D715D7" w:rsidRPr="00F525CF" w:rsidRDefault="00D715D7" w:rsidP="00AB489B">
            <w:pPr>
              <w:rPr>
                <w:rFonts w:cs="Arial"/>
                <w:b/>
                <w:sz w:val="24"/>
                <w:szCs w:val="24"/>
                <w:lang w:val="en-CA"/>
              </w:rPr>
            </w:pPr>
            <w:r w:rsidRPr="00F525CF">
              <w:rPr>
                <w:rFonts w:cs="Arial"/>
                <w:b/>
                <w:sz w:val="24"/>
                <w:szCs w:val="24"/>
                <w:lang w:val="en-CA"/>
              </w:rPr>
              <w:t>Description/Research question(s)</w:t>
            </w:r>
          </w:p>
        </w:tc>
        <w:tc>
          <w:tcPr>
            <w:tcW w:w="2694" w:type="dxa"/>
          </w:tcPr>
          <w:p w14:paraId="3535DD44" w14:textId="6AC14176" w:rsidR="00D715D7" w:rsidRPr="00F525CF" w:rsidRDefault="00F525CF" w:rsidP="00AB489B">
            <w:pPr>
              <w:rPr>
                <w:rFonts w:cs="Arial"/>
                <w:b/>
                <w:sz w:val="24"/>
                <w:szCs w:val="24"/>
                <w:lang w:val="en-CA"/>
              </w:rPr>
            </w:pPr>
            <w:r w:rsidRPr="00F525CF">
              <w:rPr>
                <w:rFonts w:cs="Arial"/>
                <w:b/>
                <w:sz w:val="24"/>
                <w:szCs w:val="24"/>
                <w:lang w:val="en-CA"/>
              </w:rPr>
              <w:t>  </w:t>
            </w:r>
            <w:r w:rsidR="00D715D7" w:rsidRPr="00F525CF">
              <w:rPr>
                <w:rFonts w:cs="Arial"/>
                <w:b/>
                <w:sz w:val="24"/>
                <w:szCs w:val="24"/>
                <w:lang w:val="en-CA"/>
              </w:rPr>
              <w:t>Outcomes/Impacts</w:t>
            </w:r>
          </w:p>
        </w:tc>
        <w:tc>
          <w:tcPr>
            <w:tcW w:w="3969" w:type="dxa"/>
          </w:tcPr>
          <w:p w14:paraId="6E7647B3" w14:textId="77777777" w:rsidR="00D715D7" w:rsidRPr="00F525CF" w:rsidRDefault="00D715D7" w:rsidP="00AB489B">
            <w:pPr>
              <w:rPr>
                <w:rFonts w:cs="Arial"/>
                <w:sz w:val="24"/>
                <w:szCs w:val="24"/>
                <w:lang w:val="en-CA"/>
              </w:rPr>
            </w:pPr>
            <w:r w:rsidRPr="00F525CF">
              <w:rPr>
                <w:rFonts w:cs="Arial"/>
                <w:b/>
                <w:sz w:val="24"/>
                <w:szCs w:val="24"/>
                <w:lang w:val="en-CA"/>
              </w:rPr>
              <w:t>Resources*/Timelines</w:t>
            </w:r>
          </w:p>
        </w:tc>
      </w:tr>
      <w:tr w:rsidR="00D715D7" w:rsidRPr="005F3776" w14:paraId="0175D764" w14:textId="77777777" w:rsidTr="00151E74">
        <w:tc>
          <w:tcPr>
            <w:tcW w:w="562" w:type="dxa"/>
          </w:tcPr>
          <w:p w14:paraId="68A96949" w14:textId="77777777" w:rsidR="00D715D7" w:rsidRPr="00F525CF" w:rsidRDefault="00D715D7" w:rsidP="00AB489B">
            <w:pPr>
              <w:rPr>
                <w:rFonts w:cs="Arial"/>
                <w:sz w:val="20"/>
                <w:szCs w:val="20"/>
                <w:lang w:val="en-CA"/>
              </w:rPr>
            </w:pPr>
            <w:bookmarkStart w:id="17" w:name="_Hlk80275452"/>
            <w:r w:rsidRPr="00F525CF">
              <w:rPr>
                <w:rFonts w:cs="Arial"/>
                <w:sz w:val="20"/>
                <w:szCs w:val="20"/>
                <w:lang w:val="en-CA"/>
              </w:rPr>
              <w:t>1</w:t>
            </w:r>
          </w:p>
        </w:tc>
        <w:tc>
          <w:tcPr>
            <w:tcW w:w="3544" w:type="dxa"/>
          </w:tcPr>
          <w:p w14:paraId="4638F547" w14:textId="77777777" w:rsidR="00D715D7" w:rsidRPr="00F525CF" w:rsidRDefault="00D715D7" w:rsidP="00AB489B">
            <w:pPr>
              <w:rPr>
                <w:rFonts w:ascii="Calibri" w:eastAsia="Calibri" w:hAnsi="Calibri" w:cs="Calibri"/>
                <w:lang w:val="en-CA"/>
              </w:rPr>
            </w:pPr>
            <w:r w:rsidRPr="00F525CF">
              <w:rPr>
                <w:rFonts w:cs="Arial"/>
                <w:b/>
                <w:sz w:val="20"/>
                <w:szCs w:val="20"/>
                <w:u w:val="single"/>
                <w:lang w:val="en-CA"/>
              </w:rPr>
              <w:t>Promotion Rate Study: Logistic Approach</w:t>
            </w:r>
          </w:p>
        </w:tc>
        <w:tc>
          <w:tcPr>
            <w:tcW w:w="6662" w:type="dxa"/>
          </w:tcPr>
          <w:p w14:paraId="122683E1" w14:textId="0A137C08" w:rsidR="00D715D7" w:rsidRPr="00F525CF" w:rsidRDefault="00D715D7" w:rsidP="00AB489B">
            <w:pPr>
              <w:rPr>
                <w:sz w:val="20"/>
                <w:szCs w:val="20"/>
                <w:lang w:val="en-CA" w:eastAsia="en-CA"/>
              </w:rPr>
            </w:pPr>
            <w:r w:rsidRPr="00F525CF">
              <w:rPr>
                <w:sz w:val="20"/>
                <w:szCs w:val="20"/>
                <w:lang w:val="en-CA" w:eastAsia="en-CA"/>
              </w:rPr>
              <w:t xml:space="preserve">Following the recent study on EE Promotion Rate for Visible Minority Subgroups, we identified the need to develop an approach allowing </w:t>
            </w:r>
            <w:r w:rsidR="00545B9A" w:rsidRPr="00F525CF">
              <w:rPr>
                <w:sz w:val="20"/>
                <w:szCs w:val="20"/>
                <w:lang w:val="en-CA" w:eastAsia="en-CA"/>
              </w:rPr>
              <w:t>the PSC</w:t>
            </w:r>
            <w:r w:rsidRPr="00F525CF">
              <w:rPr>
                <w:sz w:val="20"/>
                <w:szCs w:val="20"/>
                <w:lang w:val="en-CA" w:eastAsia="en-CA"/>
              </w:rPr>
              <w:t xml:space="preserve"> to produce results on recent </w:t>
            </w:r>
            <w:r w:rsidR="00545B9A" w:rsidRPr="00F525CF">
              <w:rPr>
                <w:sz w:val="20"/>
                <w:szCs w:val="20"/>
                <w:lang w:val="en-CA" w:eastAsia="en-CA"/>
              </w:rPr>
              <w:t xml:space="preserve">promotion </w:t>
            </w:r>
            <w:r w:rsidRPr="00F525CF">
              <w:rPr>
                <w:sz w:val="20"/>
                <w:szCs w:val="20"/>
                <w:lang w:val="en-CA" w:eastAsia="en-CA"/>
              </w:rPr>
              <w:t xml:space="preserve">trends. The current methodology uses a survival analysis which requires to go back in time several years. A logistic approach will allow for </w:t>
            </w:r>
            <w:proofErr w:type="gramStart"/>
            <w:r w:rsidRPr="00F525CF">
              <w:rPr>
                <w:sz w:val="20"/>
                <w:szCs w:val="20"/>
                <w:lang w:val="en-CA" w:eastAsia="en-CA"/>
              </w:rPr>
              <w:t>year to year</w:t>
            </w:r>
            <w:proofErr w:type="gramEnd"/>
            <w:r w:rsidRPr="00F525CF">
              <w:rPr>
                <w:sz w:val="20"/>
                <w:szCs w:val="20"/>
                <w:lang w:val="en-CA" w:eastAsia="en-CA"/>
              </w:rPr>
              <w:t xml:space="preserve"> comparison.</w:t>
            </w:r>
          </w:p>
          <w:p w14:paraId="6A9E1578" w14:textId="77777777" w:rsidR="00D715D7" w:rsidRPr="00F525CF" w:rsidRDefault="00D715D7" w:rsidP="00AB489B">
            <w:pPr>
              <w:rPr>
                <w:sz w:val="20"/>
                <w:szCs w:val="20"/>
                <w:lang w:val="en-CA" w:eastAsia="en-CA"/>
              </w:rPr>
            </w:pPr>
            <w:r w:rsidRPr="00F525CF">
              <w:rPr>
                <w:sz w:val="20"/>
                <w:szCs w:val="20"/>
                <w:lang w:val="en-CA" w:eastAsia="en-CA"/>
              </w:rPr>
              <w:t xml:space="preserve">   </w:t>
            </w:r>
          </w:p>
        </w:tc>
        <w:tc>
          <w:tcPr>
            <w:tcW w:w="2694" w:type="dxa"/>
          </w:tcPr>
          <w:p w14:paraId="4DAA886A" w14:textId="77777777" w:rsidR="00D715D7" w:rsidRPr="00F525CF" w:rsidRDefault="00D715D7" w:rsidP="00AB489B">
            <w:pPr>
              <w:rPr>
                <w:rFonts w:cs="Arial"/>
                <w:sz w:val="20"/>
                <w:szCs w:val="20"/>
                <w:lang w:val="en-CA"/>
              </w:rPr>
            </w:pPr>
            <w:r w:rsidRPr="00F525CF">
              <w:rPr>
                <w:rFonts w:cs="Arial"/>
                <w:sz w:val="20"/>
                <w:szCs w:val="20"/>
                <w:lang w:val="en-CA"/>
              </w:rPr>
              <w:t>Provide year to year comparison of promotion rates for members of designated EE groups and subgroups.</w:t>
            </w:r>
          </w:p>
        </w:tc>
        <w:tc>
          <w:tcPr>
            <w:tcW w:w="3969" w:type="dxa"/>
          </w:tcPr>
          <w:p w14:paraId="224032F6" w14:textId="77777777" w:rsidR="00D715D7" w:rsidRPr="00F525CF" w:rsidRDefault="00D715D7" w:rsidP="00AB489B">
            <w:pPr>
              <w:rPr>
                <w:rFonts w:cs="Arial"/>
                <w:sz w:val="20"/>
                <w:szCs w:val="20"/>
                <w:lang w:val="en-CA"/>
              </w:rPr>
            </w:pPr>
            <w:r w:rsidRPr="00F525CF">
              <w:rPr>
                <w:rFonts w:cs="Arial"/>
                <w:sz w:val="20"/>
                <w:szCs w:val="20"/>
                <w:u w:val="single"/>
                <w:lang w:val="en-CA"/>
              </w:rPr>
              <w:t>FTE</w:t>
            </w:r>
            <w:r w:rsidRPr="00F525CF">
              <w:rPr>
                <w:rFonts w:cs="Arial"/>
                <w:sz w:val="20"/>
                <w:szCs w:val="20"/>
                <w:lang w:val="en-CA"/>
              </w:rPr>
              <w:t>: ½</w:t>
            </w:r>
          </w:p>
          <w:p w14:paraId="13EFC2CA" w14:textId="77777777" w:rsidR="00D715D7" w:rsidRPr="00F525CF" w:rsidRDefault="00D715D7" w:rsidP="00AB489B">
            <w:pPr>
              <w:rPr>
                <w:rFonts w:cs="Arial"/>
                <w:sz w:val="20"/>
                <w:szCs w:val="20"/>
                <w:lang w:val="en-CA"/>
              </w:rPr>
            </w:pPr>
          </w:p>
          <w:p w14:paraId="7010746E" w14:textId="70173B13" w:rsidR="00D715D7" w:rsidRPr="00F525CF" w:rsidRDefault="00D715D7" w:rsidP="00AB489B">
            <w:pPr>
              <w:rPr>
                <w:rFonts w:cs="Arial"/>
                <w:sz w:val="20"/>
                <w:szCs w:val="20"/>
                <w:lang w:val="en-CA"/>
              </w:rPr>
            </w:pPr>
            <w:r w:rsidRPr="00F525CF">
              <w:rPr>
                <w:rFonts w:cs="Arial"/>
                <w:sz w:val="20"/>
                <w:szCs w:val="20"/>
                <w:u w:val="single"/>
                <w:lang w:val="en-CA"/>
              </w:rPr>
              <w:t>Data</w:t>
            </w:r>
            <w:r w:rsidRPr="00F525CF">
              <w:rPr>
                <w:rFonts w:cs="Arial"/>
                <w:sz w:val="20"/>
                <w:szCs w:val="20"/>
                <w:lang w:val="en-CA"/>
              </w:rPr>
              <w:t>: Administrative data and qualitative data coming from participants.</w:t>
            </w:r>
          </w:p>
          <w:p w14:paraId="424F90E1" w14:textId="77777777" w:rsidR="00D715D7" w:rsidRPr="00F525CF" w:rsidRDefault="00D715D7" w:rsidP="00AB489B">
            <w:pPr>
              <w:rPr>
                <w:rFonts w:cs="Arial"/>
                <w:sz w:val="20"/>
                <w:szCs w:val="20"/>
                <w:lang w:val="en-CA"/>
              </w:rPr>
            </w:pPr>
          </w:p>
        </w:tc>
      </w:tr>
      <w:bookmarkEnd w:id="16"/>
      <w:bookmarkEnd w:id="17"/>
      <w:tr w:rsidR="00D715D7" w:rsidRPr="00F525CF" w14:paraId="10BE51D2" w14:textId="77777777" w:rsidTr="00151E74">
        <w:tc>
          <w:tcPr>
            <w:tcW w:w="562" w:type="dxa"/>
          </w:tcPr>
          <w:p w14:paraId="20D4CE07" w14:textId="77777777" w:rsidR="00D715D7" w:rsidRPr="00F525CF" w:rsidRDefault="00D715D7" w:rsidP="00AB489B">
            <w:pPr>
              <w:rPr>
                <w:rFonts w:cs="Arial"/>
                <w:sz w:val="20"/>
                <w:szCs w:val="20"/>
                <w:lang w:val="en-CA"/>
              </w:rPr>
            </w:pPr>
            <w:r w:rsidRPr="00F525CF">
              <w:rPr>
                <w:rFonts w:cs="Arial"/>
                <w:sz w:val="20"/>
                <w:szCs w:val="20"/>
                <w:lang w:val="en-CA"/>
              </w:rPr>
              <w:t>2</w:t>
            </w:r>
          </w:p>
        </w:tc>
        <w:tc>
          <w:tcPr>
            <w:tcW w:w="3544" w:type="dxa"/>
          </w:tcPr>
          <w:p w14:paraId="1EF0ACF3" w14:textId="77777777" w:rsidR="00D715D7" w:rsidRPr="00F525CF" w:rsidRDefault="00D715D7" w:rsidP="00AB489B">
            <w:pPr>
              <w:rPr>
                <w:rFonts w:cs="Arial"/>
                <w:b/>
                <w:sz w:val="20"/>
                <w:szCs w:val="20"/>
                <w:u w:val="single"/>
                <w:lang w:val="en-CA"/>
              </w:rPr>
            </w:pPr>
            <w:r w:rsidRPr="00F525CF">
              <w:rPr>
                <w:rFonts w:cs="Arial"/>
                <w:b/>
                <w:sz w:val="20"/>
                <w:szCs w:val="20"/>
                <w:u w:val="single"/>
                <w:lang w:val="en-CA"/>
              </w:rPr>
              <w:t xml:space="preserve">Survey of Non-Partisanship in Staffing (SNPS) analysis </w:t>
            </w:r>
          </w:p>
        </w:tc>
        <w:tc>
          <w:tcPr>
            <w:tcW w:w="6662" w:type="dxa"/>
          </w:tcPr>
          <w:p w14:paraId="1227B36B" w14:textId="77777777" w:rsidR="00D715D7" w:rsidRPr="00F525CF" w:rsidRDefault="00D715D7" w:rsidP="00AB489B">
            <w:pPr>
              <w:rPr>
                <w:sz w:val="20"/>
                <w:szCs w:val="20"/>
                <w:lang w:val="en-CA" w:eastAsia="en-CA"/>
              </w:rPr>
            </w:pPr>
            <w:r w:rsidRPr="00F525CF">
              <w:rPr>
                <w:sz w:val="20"/>
                <w:szCs w:val="20"/>
                <w:lang w:val="en-CA" w:eastAsia="en-CA"/>
              </w:rPr>
              <w:t xml:space="preserve">The second cycle of the SNPS was launched in March 2021, with an updated questionnaire. A formal analysis plan will be drafted separately. </w:t>
            </w:r>
          </w:p>
        </w:tc>
        <w:tc>
          <w:tcPr>
            <w:tcW w:w="2694" w:type="dxa"/>
          </w:tcPr>
          <w:p w14:paraId="181AD67E" w14:textId="1CB1235D" w:rsidR="00D715D7" w:rsidRPr="00F525CF" w:rsidRDefault="00D715D7" w:rsidP="00AB489B">
            <w:pPr>
              <w:rPr>
                <w:rFonts w:cs="Arial"/>
                <w:sz w:val="20"/>
                <w:szCs w:val="20"/>
                <w:lang w:val="en-CA"/>
              </w:rPr>
            </w:pPr>
            <w:r w:rsidRPr="00F525CF">
              <w:rPr>
                <w:rFonts w:cs="Arial"/>
                <w:sz w:val="20"/>
                <w:szCs w:val="20"/>
                <w:lang w:val="en-CA"/>
              </w:rPr>
              <w:t>A comprehensive analysis of the SNPS responses</w:t>
            </w:r>
            <w:r w:rsidR="004142C9" w:rsidRPr="00F525CF">
              <w:rPr>
                <w:rFonts w:cs="Arial"/>
                <w:sz w:val="20"/>
                <w:szCs w:val="20"/>
                <w:lang w:val="en-CA"/>
              </w:rPr>
              <w:t xml:space="preserve"> and </w:t>
            </w:r>
            <w:r w:rsidR="003A6D77" w:rsidRPr="00F525CF">
              <w:rPr>
                <w:rFonts w:cs="Arial"/>
                <w:sz w:val="20"/>
                <w:szCs w:val="20"/>
                <w:lang w:val="en-CA"/>
              </w:rPr>
              <w:t>transparent data dissemination strategy.</w:t>
            </w:r>
          </w:p>
        </w:tc>
        <w:tc>
          <w:tcPr>
            <w:tcW w:w="3969" w:type="dxa"/>
          </w:tcPr>
          <w:p w14:paraId="58A36DF6" w14:textId="77777777" w:rsidR="00D715D7" w:rsidRPr="00F525CF" w:rsidRDefault="00D715D7" w:rsidP="00AB489B">
            <w:pPr>
              <w:rPr>
                <w:rFonts w:cs="Arial"/>
                <w:sz w:val="20"/>
                <w:szCs w:val="20"/>
                <w:u w:val="single"/>
                <w:lang w:val="en-CA"/>
              </w:rPr>
            </w:pPr>
            <w:r w:rsidRPr="00F525CF">
              <w:rPr>
                <w:rFonts w:cs="Arial"/>
                <w:sz w:val="20"/>
                <w:szCs w:val="20"/>
                <w:u w:val="single"/>
                <w:lang w:val="en-CA"/>
              </w:rPr>
              <w:t>FTE</w:t>
            </w:r>
            <w:r w:rsidRPr="00F525CF">
              <w:rPr>
                <w:rFonts w:cs="Arial"/>
                <w:sz w:val="20"/>
                <w:szCs w:val="20"/>
                <w:lang w:val="en-CA"/>
              </w:rPr>
              <w:t>: 2</w:t>
            </w:r>
          </w:p>
        </w:tc>
      </w:tr>
      <w:tr w:rsidR="00D715D7" w:rsidRPr="005F3776" w14:paraId="38E24C21" w14:textId="77777777" w:rsidTr="00151E74">
        <w:tc>
          <w:tcPr>
            <w:tcW w:w="562" w:type="dxa"/>
          </w:tcPr>
          <w:p w14:paraId="7055A02E" w14:textId="77777777" w:rsidR="00D715D7" w:rsidRPr="00F525CF" w:rsidRDefault="00D715D7" w:rsidP="00AB489B">
            <w:pPr>
              <w:rPr>
                <w:rFonts w:cs="Arial"/>
                <w:sz w:val="20"/>
                <w:szCs w:val="20"/>
                <w:lang w:val="en-CA"/>
              </w:rPr>
            </w:pPr>
            <w:r w:rsidRPr="00F525CF">
              <w:rPr>
                <w:rFonts w:cs="Arial"/>
                <w:sz w:val="20"/>
                <w:szCs w:val="20"/>
                <w:lang w:val="en-CA"/>
              </w:rPr>
              <w:t>3</w:t>
            </w:r>
          </w:p>
        </w:tc>
        <w:tc>
          <w:tcPr>
            <w:tcW w:w="3544" w:type="dxa"/>
          </w:tcPr>
          <w:p w14:paraId="1FEEFC13" w14:textId="77777777" w:rsidR="00D715D7" w:rsidRPr="00F525CF" w:rsidRDefault="00D715D7" w:rsidP="00AB489B">
            <w:pPr>
              <w:rPr>
                <w:rFonts w:cs="Arial"/>
                <w:b/>
                <w:sz w:val="20"/>
                <w:szCs w:val="20"/>
                <w:u w:val="single"/>
                <w:lang w:val="en-CA"/>
              </w:rPr>
            </w:pPr>
            <w:r w:rsidRPr="00F525CF">
              <w:rPr>
                <w:rFonts w:cs="Arial"/>
                <w:b/>
                <w:sz w:val="20"/>
                <w:szCs w:val="20"/>
                <w:u w:val="single"/>
                <w:lang w:val="en-CA"/>
              </w:rPr>
              <w:t>Diversity and Inclusion Package Update</w:t>
            </w:r>
          </w:p>
        </w:tc>
        <w:tc>
          <w:tcPr>
            <w:tcW w:w="6662" w:type="dxa"/>
          </w:tcPr>
          <w:p w14:paraId="2E492604" w14:textId="77777777" w:rsidR="00D715D7" w:rsidRPr="00F525CF" w:rsidRDefault="00D715D7" w:rsidP="00AB489B">
            <w:pPr>
              <w:rPr>
                <w:sz w:val="20"/>
                <w:szCs w:val="20"/>
                <w:lang w:val="en-CA" w:eastAsia="en-CA"/>
              </w:rPr>
            </w:pPr>
            <w:r w:rsidRPr="00F525CF">
              <w:rPr>
                <w:sz w:val="20"/>
                <w:szCs w:val="20"/>
                <w:lang w:val="en-CA" w:eastAsia="en-CA"/>
              </w:rPr>
              <w:t>A series of analysis on the topic of Diversity and Inclusion has been developed to look at the following:</w:t>
            </w:r>
          </w:p>
          <w:p w14:paraId="47443B5F" w14:textId="77777777" w:rsidR="00D715D7" w:rsidRPr="00F525CF" w:rsidRDefault="00D715D7" w:rsidP="00AB489B">
            <w:pPr>
              <w:pStyle w:val="ListParagraph"/>
              <w:keepLines w:val="0"/>
              <w:numPr>
                <w:ilvl w:val="0"/>
                <w:numId w:val="15"/>
              </w:numPr>
              <w:spacing w:after="0"/>
              <w:rPr>
                <w:sz w:val="20"/>
                <w:szCs w:val="20"/>
                <w:lang w:val="en-CA" w:eastAsia="en-CA"/>
              </w:rPr>
            </w:pPr>
            <w:r w:rsidRPr="00F525CF">
              <w:rPr>
                <w:sz w:val="20"/>
                <w:szCs w:val="20"/>
                <w:lang w:val="en-CA" w:eastAsia="en-CA"/>
              </w:rPr>
              <w:t>Separation Trends for designated EE groups</w:t>
            </w:r>
          </w:p>
          <w:p w14:paraId="1FA69623" w14:textId="77777777" w:rsidR="00D715D7" w:rsidRPr="00F525CF" w:rsidRDefault="00D715D7" w:rsidP="00AB489B">
            <w:pPr>
              <w:pStyle w:val="ListParagraph"/>
              <w:keepLines w:val="0"/>
              <w:numPr>
                <w:ilvl w:val="0"/>
                <w:numId w:val="15"/>
              </w:numPr>
              <w:spacing w:after="0"/>
              <w:rPr>
                <w:sz w:val="20"/>
                <w:szCs w:val="20"/>
                <w:lang w:val="en-CA" w:eastAsia="en-CA"/>
              </w:rPr>
            </w:pPr>
            <w:r w:rsidRPr="00F525CF">
              <w:rPr>
                <w:sz w:val="20"/>
                <w:szCs w:val="20"/>
                <w:lang w:val="en-CA" w:eastAsia="en-CA"/>
              </w:rPr>
              <w:t>Effect of Existing Public Servants applying on external processes</w:t>
            </w:r>
          </w:p>
          <w:p w14:paraId="54DA8266" w14:textId="77777777" w:rsidR="00D715D7" w:rsidRPr="00F525CF" w:rsidRDefault="00D715D7" w:rsidP="00AB489B">
            <w:pPr>
              <w:pStyle w:val="ListParagraph"/>
              <w:keepLines w:val="0"/>
              <w:numPr>
                <w:ilvl w:val="0"/>
                <w:numId w:val="15"/>
              </w:numPr>
              <w:spacing w:after="0"/>
              <w:rPr>
                <w:sz w:val="20"/>
                <w:szCs w:val="20"/>
                <w:lang w:val="en-CA" w:eastAsia="en-CA"/>
              </w:rPr>
            </w:pPr>
            <w:r w:rsidRPr="00F525CF">
              <w:rPr>
                <w:sz w:val="20"/>
                <w:szCs w:val="20"/>
                <w:lang w:val="en-CA" w:eastAsia="en-CA"/>
              </w:rPr>
              <w:t>Effect of Non-Advertised appointments on designated EE groups</w:t>
            </w:r>
          </w:p>
          <w:p w14:paraId="5DC95A0C" w14:textId="77EB65D5" w:rsidR="00D715D7" w:rsidRPr="00F525CF" w:rsidRDefault="00D715D7" w:rsidP="00AB489B">
            <w:pPr>
              <w:pStyle w:val="ListParagraph"/>
              <w:keepLines w:val="0"/>
              <w:numPr>
                <w:ilvl w:val="0"/>
                <w:numId w:val="15"/>
              </w:numPr>
              <w:spacing w:after="0"/>
              <w:rPr>
                <w:sz w:val="20"/>
                <w:szCs w:val="20"/>
                <w:lang w:val="en-CA" w:eastAsia="en-CA"/>
              </w:rPr>
            </w:pPr>
            <w:r w:rsidRPr="00F525CF">
              <w:rPr>
                <w:sz w:val="20"/>
                <w:szCs w:val="20"/>
                <w:lang w:val="en-CA" w:eastAsia="en-CA"/>
              </w:rPr>
              <w:t>Citizenship analysis</w:t>
            </w:r>
          </w:p>
          <w:p w14:paraId="1CAE9B4F" w14:textId="0ACF09AF" w:rsidR="00860538" w:rsidRPr="00F525CF" w:rsidRDefault="00860538" w:rsidP="00AB489B">
            <w:pPr>
              <w:pStyle w:val="ListParagraph"/>
              <w:keepLines w:val="0"/>
              <w:numPr>
                <w:ilvl w:val="0"/>
                <w:numId w:val="15"/>
              </w:numPr>
              <w:spacing w:after="0"/>
              <w:rPr>
                <w:sz w:val="20"/>
                <w:szCs w:val="20"/>
                <w:lang w:val="en-CA" w:eastAsia="en-CA"/>
              </w:rPr>
            </w:pPr>
            <w:r w:rsidRPr="00F525CF">
              <w:rPr>
                <w:sz w:val="20"/>
                <w:szCs w:val="20"/>
                <w:lang w:val="en-CA" w:eastAsia="en-CA"/>
              </w:rPr>
              <w:t>EE promotion rate study for Visible Minority subgroups</w:t>
            </w:r>
          </w:p>
          <w:p w14:paraId="109053C8" w14:textId="77777777" w:rsidR="00D715D7" w:rsidRPr="00F525CF" w:rsidRDefault="00D715D7" w:rsidP="00AB489B">
            <w:pPr>
              <w:rPr>
                <w:sz w:val="20"/>
                <w:szCs w:val="20"/>
                <w:lang w:val="en-CA" w:eastAsia="en-CA"/>
              </w:rPr>
            </w:pPr>
            <w:r w:rsidRPr="00F525CF">
              <w:rPr>
                <w:sz w:val="20"/>
                <w:szCs w:val="20"/>
                <w:lang w:val="en-CA" w:eastAsia="en-CA"/>
              </w:rPr>
              <w:t>This project implies updating existing studies and disseminating them on the Open Government Portal.</w:t>
            </w:r>
          </w:p>
        </w:tc>
        <w:tc>
          <w:tcPr>
            <w:tcW w:w="2694" w:type="dxa"/>
          </w:tcPr>
          <w:p w14:paraId="0BEAD5D5" w14:textId="647A7988" w:rsidR="00D715D7" w:rsidRPr="00F525CF" w:rsidRDefault="00D715D7" w:rsidP="00AB489B">
            <w:pPr>
              <w:rPr>
                <w:rFonts w:cs="Arial"/>
                <w:sz w:val="20"/>
                <w:szCs w:val="20"/>
                <w:lang w:val="en-CA"/>
              </w:rPr>
            </w:pPr>
            <w:r w:rsidRPr="00F525CF">
              <w:rPr>
                <w:rFonts w:cs="Arial"/>
                <w:sz w:val="20"/>
                <w:szCs w:val="20"/>
                <w:lang w:val="en-CA"/>
              </w:rPr>
              <w:t>A package informing internal and external stakeholders on key analysis</w:t>
            </w:r>
            <w:r w:rsidR="00817F5E" w:rsidRPr="00F525CF">
              <w:rPr>
                <w:rFonts w:cs="Arial"/>
                <w:sz w:val="20"/>
                <w:szCs w:val="20"/>
                <w:lang w:val="en-CA"/>
              </w:rPr>
              <w:t xml:space="preserve"> conducted by the PSC</w:t>
            </w:r>
            <w:r w:rsidRPr="00F525CF">
              <w:rPr>
                <w:rFonts w:cs="Arial"/>
                <w:sz w:val="20"/>
                <w:szCs w:val="20"/>
                <w:lang w:val="en-CA"/>
              </w:rPr>
              <w:t xml:space="preserve"> on the topic of Diversity and Inclusion.</w:t>
            </w:r>
          </w:p>
        </w:tc>
        <w:tc>
          <w:tcPr>
            <w:tcW w:w="3969" w:type="dxa"/>
          </w:tcPr>
          <w:p w14:paraId="4B1A0C5E" w14:textId="77777777" w:rsidR="00D715D7" w:rsidRPr="00F525CF" w:rsidRDefault="00D715D7" w:rsidP="00AB489B">
            <w:pPr>
              <w:rPr>
                <w:rFonts w:cs="Arial"/>
                <w:sz w:val="20"/>
                <w:szCs w:val="20"/>
                <w:lang w:val="en-CA"/>
              </w:rPr>
            </w:pPr>
            <w:r w:rsidRPr="00F525CF">
              <w:rPr>
                <w:rFonts w:cs="Arial"/>
                <w:sz w:val="20"/>
                <w:szCs w:val="20"/>
                <w:u w:val="single"/>
                <w:lang w:val="en-CA"/>
              </w:rPr>
              <w:t>FTE</w:t>
            </w:r>
            <w:r w:rsidRPr="00F525CF">
              <w:rPr>
                <w:rFonts w:cs="Arial"/>
                <w:sz w:val="20"/>
                <w:szCs w:val="20"/>
                <w:lang w:val="en-CA"/>
              </w:rPr>
              <w:t xml:space="preserve">: ¼ </w:t>
            </w:r>
          </w:p>
          <w:p w14:paraId="415950A2" w14:textId="77777777" w:rsidR="00D715D7" w:rsidRPr="00F525CF" w:rsidRDefault="00D715D7" w:rsidP="00AB489B">
            <w:pPr>
              <w:rPr>
                <w:rFonts w:cs="Arial"/>
                <w:sz w:val="20"/>
                <w:szCs w:val="20"/>
                <w:lang w:val="en-CA"/>
              </w:rPr>
            </w:pPr>
          </w:p>
          <w:p w14:paraId="1A773291" w14:textId="77777777" w:rsidR="00D715D7" w:rsidRPr="00F525CF" w:rsidRDefault="00D715D7" w:rsidP="00AB489B">
            <w:pPr>
              <w:rPr>
                <w:rFonts w:cs="Arial"/>
                <w:sz w:val="20"/>
                <w:szCs w:val="20"/>
                <w:lang w:val="en-CA"/>
              </w:rPr>
            </w:pPr>
            <w:r w:rsidRPr="00F525CF">
              <w:rPr>
                <w:rFonts w:cs="Arial"/>
                <w:sz w:val="20"/>
                <w:szCs w:val="20"/>
                <w:u w:val="single"/>
                <w:lang w:val="en-CA"/>
              </w:rPr>
              <w:t>Data</w:t>
            </w:r>
            <w:r w:rsidRPr="00F525CF">
              <w:rPr>
                <w:rFonts w:cs="Arial"/>
                <w:sz w:val="20"/>
                <w:szCs w:val="20"/>
                <w:lang w:val="en-CA"/>
              </w:rPr>
              <w:t>: Administrative sources</w:t>
            </w:r>
          </w:p>
          <w:p w14:paraId="69DBA4BD" w14:textId="77777777" w:rsidR="00D715D7" w:rsidRPr="00F525CF" w:rsidRDefault="00D715D7" w:rsidP="00AB489B">
            <w:pPr>
              <w:rPr>
                <w:rFonts w:cs="Arial"/>
                <w:sz w:val="20"/>
                <w:szCs w:val="20"/>
                <w:lang w:val="en-CA"/>
              </w:rPr>
            </w:pPr>
          </w:p>
          <w:p w14:paraId="2A4BCC1D" w14:textId="18DC2058" w:rsidR="00D715D7" w:rsidRPr="00F525CF" w:rsidRDefault="00D715D7" w:rsidP="00AB489B">
            <w:pPr>
              <w:rPr>
                <w:rFonts w:cs="Arial"/>
                <w:sz w:val="20"/>
                <w:szCs w:val="20"/>
                <w:lang w:val="en-CA"/>
              </w:rPr>
            </w:pPr>
            <w:r w:rsidRPr="00F525CF">
              <w:rPr>
                <w:rFonts w:cs="Arial"/>
                <w:sz w:val="20"/>
                <w:szCs w:val="20"/>
                <w:u w:val="single"/>
                <w:lang w:val="en-CA"/>
              </w:rPr>
              <w:t xml:space="preserve">Status as of </w:t>
            </w:r>
            <w:r w:rsidR="004974AD" w:rsidRPr="00F525CF">
              <w:rPr>
                <w:rFonts w:cs="Arial"/>
                <w:sz w:val="20"/>
                <w:szCs w:val="20"/>
                <w:u w:val="single"/>
                <w:lang w:val="en-CA"/>
              </w:rPr>
              <w:t>November</w:t>
            </w:r>
            <w:r w:rsidRPr="00F525CF">
              <w:rPr>
                <w:rFonts w:cs="Arial"/>
                <w:sz w:val="20"/>
                <w:szCs w:val="20"/>
                <w:u w:val="single"/>
                <w:lang w:val="en-CA"/>
              </w:rPr>
              <w:t xml:space="preserve"> 2021</w:t>
            </w:r>
            <w:r w:rsidRPr="00F525CF">
              <w:rPr>
                <w:rFonts w:cs="Arial"/>
                <w:sz w:val="20"/>
                <w:szCs w:val="20"/>
                <w:lang w:val="en-CA"/>
              </w:rPr>
              <w:t xml:space="preserve">: Package to be released </w:t>
            </w:r>
            <w:r w:rsidR="004974AD" w:rsidRPr="00F525CF">
              <w:rPr>
                <w:rFonts w:cs="Arial"/>
                <w:sz w:val="20"/>
                <w:szCs w:val="20"/>
                <w:lang w:val="en-CA"/>
              </w:rPr>
              <w:t>in</w:t>
            </w:r>
            <w:r w:rsidRPr="00F525CF">
              <w:rPr>
                <w:rFonts w:cs="Arial"/>
                <w:sz w:val="20"/>
                <w:szCs w:val="20"/>
                <w:lang w:val="en-CA"/>
              </w:rPr>
              <w:t xml:space="preserve"> 202</w:t>
            </w:r>
            <w:r w:rsidR="004974AD" w:rsidRPr="00F525CF">
              <w:rPr>
                <w:rFonts w:cs="Arial"/>
                <w:sz w:val="20"/>
                <w:szCs w:val="20"/>
                <w:lang w:val="en-CA"/>
              </w:rPr>
              <w:t>2</w:t>
            </w:r>
            <w:r w:rsidR="00817F5E" w:rsidRPr="00F525CF">
              <w:rPr>
                <w:rFonts w:cs="Arial"/>
                <w:sz w:val="20"/>
                <w:szCs w:val="20"/>
                <w:lang w:val="en-CA"/>
              </w:rPr>
              <w:t>.</w:t>
            </w:r>
          </w:p>
        </w:tc>
      </w:tr>
    </w:tbl>
    <w:p w14:paraId="5C8F4E6D" w14:textId="3133E2EB" w:rsidR="009E7A17" w:rsidRPr="001B4E7F" w:rsidRDefault="009E7A17" w:rsidP="00D715D7">
      <w:pPr>
        <w:rPr>
          <w:lang w:val="en-CA"/>
        </w:rPr>
      </w:pPr>
    </w:p>
    <w:p w14:paraId="2E951542" w14:textId="77777777" w:rsidR="009E7A17" w:rsidRDefault="009E7A17">
      <w:pPr>
        <w:keepLines w:val="0"/>
        <w:rPr>
          <w:lang w:val="en-US"/>
        </w:rPr>
      </w:pPr>
      <w:r>
        <w:rPr>
          <w:lang w:val="en-US"/>
        </w:rPr>
        <w:br w:type="page"/>
      </w:r>
    </w:p>
    <w:p w14:paraId="360DC63A" w14:textId="7D0B386C" w:rsidR="007516B7" w:rsidRPr="009F7C3F" w:rsidRDefault="007516B7" w:rsidP="00D715D7">
      <w:pPr>
        <w:pStyle w:val="Heading2"/>
        <w:rPr>
          <w:lang w:val="en-CA"/>
        </w:rPr>
      </w:pPr>
      <w:bookmarkStart w:id="18" w:name="_Toc106712302"/>
      <w:r w:rsidRPr="009F7C3F">
        <w:rPr>
          <w:lang w:val="en-CA"/>
        </w:rPr>
        <w:lastRenderedPageBreak/>
        <w:t>New items on 2021-</w:t>
      </w:r>
      <w:r w:rsidR="004B6F95" w:rsidRPr="009F7C3F">
        <w:rPr>
          <w:lang w:val="en-CA"/>
        </w:rPr>
        <w:t>20</w:t>
      </w:r>
      <w:r w:rsidRPr="009F7C3F">
        <w:rPr>
          <w:lang w:val="en-CA"/>
        </w:rPr>
        <w:t>2</w:t>
      </w:r>
      <w:r w:rsidR="004B6F95" w:rsidRPr="009F7C3F">
        <w:rPr>
          <w:lang w:val="en-CA"/>
        </w:rPr>
        <w:t>3</w:t>
      </w:r>
      <w:r w:rsidRPr="009F7C3F">
        <w:rPr>
          <w:lang w:val="en-CA"/>
        </w:rPr>
        <w:t xml:space="preserve"> plan:</w:t>
      </w:r>
      <w:bookmarkEnd w:id="18"/>
    </w:p>
    <w:tbl>
      <w:tblPr>
        <w:tblStyle w:val="TableGrid"/>
        <w:tblW w:w="17431" w:type="dxa"/>
        <w:tblLayout w:type="fixed"/>
        <w:tblLook w:val="04A0" w:firstRow="1" w:lastRow="0" w:firstColumn="1" w:lastColumn="0" w:noHBand="0" w:noVBand="1"/>
        <w:tblCaption w:val="New items on 2021-2023 plan"/>
        <w:tblDescription w:val="List of new items on the 2021-2023 research plan."/>
      </w:tblPr>
      <w:tblGrid>
        <w:gridCol w:w="562"/>
        <w:gridCol w:w="3544"/>
        <w:gridCol w:w="6662"/>
        <w:gridCol w:w="2694"/>
        <w:gridCol w:w="3969"/>
      </w:tblGrid>
      <w:tr w:rsidR="007516B7" w:rsidRPr="007215A1" w14:paraId="74221AE5" w14:textId="77777777" w:rsidTr="00101877">
        <w:tc>
          <w:tcPr>
            <w:tcW w:w="562" w:type="dxa"/>
          </w:tcPr>
          <w:p w14:paraId="497A6640" w14:textId="1A8D12FF" w:rsidR="007516B7" w:rsidRPr="007215A1" w:rsidRDefault="00101877" w:rsidP="00AB489B">
            <w:pPr>
              <w:rPr>
                <w:rFonts w:cs="Arial"/>
                <w:b/>
                <w:sz w:val="24"/>
                <w:szCs w:val="24"/>
                <w:lang w:val="en-CA"/>
              </w:rPr>
            </w:pPr>
            <w:r w:rsidRPr="007215A1">
              <w:rPr>
                <w:rFonts w:cs="Arial"/>
                <w:b/>
                <w:sz w:val="24"/>
                <w:szCs w:val="24"/>
                <w:lang w:val="en-CA"/>
              </w:rPr>
              <w:t>#</w:t>
            </w:r>
          </w:p>
        </w:tc>
        <w:tc>
          <w:tcPr>
            <w:tcW w:w="3544" w:type="dxa"/>
          </w:tcPr>
          <w:p w14:paraId="52D89DA9" w14:textId="27CE61B6" w:rsidR="007516B7" w:rsidRPr="007215A1" w:rsidRDefault="007516B7" w:rsidP="00372271">
            <w:pPr>
              <w:rPr>
                <w:rFonts w:cs="Arial"/>
                <w:b/>
                <w:strike/>
                <w:sz w:val="24"/>
                <w:szCs w:val="24"/>
                <w:lang w:val="en-CA"/>
              </w:rPr>
            </w:pPr>
            <w:r w:rsidRPr="007215A1">
              <w:rPr>
                <w:rFonts w:cs="Arial"/>
                <w:b/>
                <w:sz w:val="24"/>
                <w:szCs w:val="24"/>
                <w:lang w:val="en-CA"/>
              </w:rPr>
              <w:t>Proposed Topics</w:t>
            </w:r>
          </w:p>
        </w:tc>
        <w:tc>
          <w:tcPr>
            <w:tcW w:w="6662" w:type="dxa"/>
          </w:tcPr>
          <w:p w14:paraId="4072CCE1" w14:textId="77777777" w:rsidR="007516B7" w:rsidRPr="007215A1" w:rsidRDefault="007516B7" w:rsidP="00AB489B">
            <w:pPr>
              <w:rPr>
                <w:rFonts w:cs="Arial"/>
                <w:b/>
                <w:sz w:val="24"/>
                <w:szCs w:val="24"/>
                <w:lang w:val="en-CA"/>
              </w:rPr>
            </w:pPr>
            <w:r w:rsidRPr="007215A1">
              <w:rPr>
                <w:rFonts w:cs="Arial"/>
                <w:b/>
                <w:sz w:val="24"/>
                <w:szCs w:val="24"/>
                <w:lang w:val="en-CA"/>
              </w:rPr>
              <w:t>Description/Research question(s)</w:t>
            </w:r>
          </w:p>
        </w:tc>
        <w:tc>
          <w:tcPr>
            <w:tcW w:w="2694" w:type="dxa"/>
          </w:tcPr>
          <w:p w14:paraId="72D91DDE" w14:textId="77777777" w:rsidR="007516B7" w:rsidRPr="007215A1" w:rsidRDefault="007516B7" w:rsidP="00AB489B">
            <w:pPr>
              <w:rPr>
                <w:rFonts w:cs="Arial"/>
                <w:b/>
                <w:sz w:val="24"/>
                <w:szCs w:val="24"/>
                <w:lang w:val="en-CA"/>
              </w:rPr>
            </w:pPr>
            <w:r w:rsidRPr="007215A1">
              <w:rPr>
                <w:rFonts w:cs="Arial"/>
                <w:b/>
                <w:sz w:val="24"/>
                <w:szCs w:val="24"/>
                <w:lang w:val="en-CA"/>
              </w:rPr>
              <w:t>Outcomes/Impacts</w:t>
            </w:r>
          </w:p>
        </w:tc>
        <w:tc>
          <w:tcPr>
            <w:tcW w:w="3969" w:type="dxa"/>
          </w:tcPr>
          <w:p w14:paraId="7015170C" w14:textId="77777777" w:rsidR="007516B7" w:rsidRPr="007215A1" w:rsidRDefault="007516B7" w:rsidP="00AB489B">
            <w:pPr>
              <w:rPr>
                <w:rFonts w:cs="Arial"/>
                <w:b/>
                <w:sz w:val="24"/>
                <w:szCs w:val="24"/>
                <w:lang w:val="en-CA"/>
              </w:rPr>
            </w:pPr>
            <w:r w:rsidRPr="007215A1">
              <w:rPr>
                <w:rFonts w:cs="Arial"/>
                <w:b/>
                <w:sz w:val="24"/>
                <w:szCs w:val="24"/>
                <w:lang w:val="en-CA"/>
              </w:rPr>
              <w:t>Resources*/Timelines</w:t>
            </w:r>
          </w:p>
        </w:tc>
      </w:tr>
      <w:tr w:rsidR="007516B7" w:rsidRPr="005F3776" w14:paraId="09CE63EB" w14:textId="77777777" w:rsidTr="00101877">
        <w:tc>
          <w:tcPr>
            <w:tcW w:w="562" w:type="dxa"/>
          </w:tcPr>
          <w:p w14:paraId="5B6EC6FD" w14:textId="77777777" w:rsidR="007516B7" w:rsidRPr="007215A1" w:rsidRDefault="007516B7" w:rsidP="00AB489B">
            <w:pPr>
              <w:rPr>
                <w:rFonts w:cs="Arial"/>
                <w:sz w:val="20"/>
                <w:szCs w:val="20"/>
                <w:lang w:val="en-CA"/>
              </w:rPr>
            </w:pPr>
            <w:r w:rsidRPr="007215A1">
              <w:rPr>
                <w:rFonts w:cs="Arial"/>
                <w:sz w:val="20"/>
                <w:szCs w:val="20"/>
                <w:lang w:val="en-CA"/>
              </w:rPr>
              <w:t>1</w:t>
            </w:r>
          </w:p>
        </w:tc>
        <w:tc>
          <w:tcPr>
            <w:tcW w:w="3544" w:type="dxa"/>
          </w:tcPr>
          <w:p w14:paraId="43D4C53B" w14:textId="77777777" w:rsidR="007516B7" w:rsidRPr="007215A1" w:rsidRDefault="007516B7" w:rsidP="00AB489B">
            <w:pPr>
              <w:rPr>
                <w:rFonts w:cs="Arial"/>
                <w:b/>
                <w:sz w:val="20"/>
                <w:szCs w:val="20"/>
                <w:u w:val="single"/>
                <w:lang w:val="en-CA"/>
              </w:rPr>
            </w:pPr>
            <w:r w:rsidRPr="007215A1">
              <w:rPr>
                <w:rFonts w:cs="Arial"/>
                <w:b/>
                <w:sz w:val="20"/>
                <w:szCs w:val="20"/>
                <w:u w:val="single"/>
                <w:lang w:val="en-CA"/>
              </w:rPr>
              <w:t>Impact of Official Languages on EE groups</w:t>
            </w:r>
          </w:p>
          <w:p w14:paraId="549F42CC" w14:textId="77777777" w:rsidR="007516B7" w:rsidRPr="007215A1" w:rsidRDefault="007516B7" w:rsidP="00AB489B">
            <w:pPr>
              <w:rPr>
                <w:rFonts w:cs="Arial"/>
                <w:b/>
                <w:sz w:val="20"/>
                <w:szCs w:val="20"/>
                <w:u w:val="single"/>
                <w:lang w:val="en-CA"/>
              </w:rPr>
            </w:pPr>
          </w:p>
          <w:p w14:paraId="7CD26831" w14:textId="77777777" w:rsidR="007516B7" w:rsidRPr="007215A1" w:rsidRDefault="007516B7" w:rsidP="00AB489B">
            <w:pPr>
              <w:rPr>
                <w:rFonts w:cs="Arial"/>
                <w:b/>
                <w:sz w:val="20"/>
                <w:szCs w:val="20"/>
                <w:u w:val="single"/>
                <w:lang w:val="en-CA"/>
              </w:rPr>
            </w:pPr>
            <w:r w:rsidRPr="007215A1">
              <w:rPr>
                <w:rFonts w:cs="Arial"/>
                <w:b/>
                <w:sz w:val="20"/>
                <w:szCs w:val="20"/>
                <w:u w:val="single"/>
                <w:lang w:val="en-CA"/>
              </w:rPr>
              <w:t>Source: PEER WG</w:t>
            </w:r>
          </w:p>
          <w:p w14:paraId="2EF42912" w14:textId="77777777" w:rsidR="007516B7" w:rsidRPr="007215A1" w:rsidRDefault="007516B7" w:rsidP="00AB489B">
            <w:pPr>
              <w:rPr>
                <w:rFonts w:cs="Arial"/>
                <w:b/>
                <w:bCs/>
                <w:sz w:val="20"/>
                <w:szCs w:val="20"/>
                <w:u w:val="single"/>
                <w:lang w:val="en-CA"/>
              </w:rPr>
            </w:pPr>
          </w:p>
          <w:p w14:paraId="67D86862" w14:textId="0637B558" w:rsidR="007516B7" w:rsidRPr="007215A1" w:rsidRDefault="007516B7" w:rsidP="00AB489B">
            <w:pPr>
              <w:rPr>
                <w:rFonts w:ascii="Calibri" w:eastAsia="Calibri" w:hAnsi="Calibri" w:cs="Calibri"/>
                <w:lang w:val="en-CA"/>
              </w:rPr>
            </w:pPr>
          </w:p>
        </w:tc>
        <w:tc>
          <w:tcPr>
            <w:tcW w:w="6662" w:type="dxa"/>
          </w:tcPr>
          <w:p w14:paraId="7429776D" w14:textId="77777777" w:rsidR="007516B7" w:rsidRPr="007215A1" w:rsidRDefault="007516B7" w:rsidP="00AB489B">
            <w:pPr>
              <w:rPr>
                <w:sz w:val="20"/>
                <w:szCs w:val="20"/>
                <w:lang w:val="en-CA" w:eastAsia="en-CA"/>
              </w:rPr>
            </w:pPr>
            <w:r w:rsidRPr="007215A1">
              <w:rPr>
                <w:sz w:val="20"/>
                <w:szCs w:val="20"/>
                <w:lang w:val="en-CA" w:eastAsia="en-CA"/>
              </w:rPr>
              <w:t xml:space="preserve">Various EE groups have identified Official Languages as a barrier to their career advancement. The analysis will focus on multiple research questions through the establishment of a sub-working group reporting to the PSC Employment Equity Research (PEER) working group. </w:t>
            </w:r>
          </w:p>
          <w:p w14:paraId="75D78C27" w14:textId="77777777" w:rsidR="007516B7" w:rsidRPr="007215A1" w:rsidRDefault="007516B7" w:rsidP="00AB489B">
            <w:pPr>
              <w:rPr>
                <w:sz w:val="20"/>
                <w:szCs w:val="20"/>
                <w:lang w:val="en-CA" w:eastAsia="en-CA"/>
              </w:rPr>
            </w:pPr>
          </w:p>
          <w:p w14:paraId="6928A23C" w14:textId="77777777" w:rsidR="007516B7" w:rsidRPr="007215A1" w:rsidRDefault="007516B7" w:rsidP="00AB489B">
            <w:pPr>
              <w:rPr>
                <w:sz w:val="20"/>
                <w:szCs w:val="20"/>
                <w:lang w:val="en-CA" w:eastAsia="en-CA"/>
              </w:rPr>
            </w:pPr>
            <w:r w:rsidRPr="007215A1">
              <w:rPr>
                <w:sz w:val="20"/>
                <w:szCs w:val="20"/>
                <w:lang w:val="en-CA" w:eastAsia="en-CA"/>
              </w:rPr>
              <w:t>Q: Are EE group members applying to bilingual positions at the same rate as their counterparts?</w:t>
            </w:r>
          </w:p>
          <w:p w14:paraId="56E4D18E" w14:textId="77777777" w:rsidR="007516B7" w:rsidRPr="007215A1" w:rsidRDefault="007516B7" w:rsidP="00AB489B">
            <w:pPr>
              <w:rPr>
                <w:sz w:val="20"/>
                <w:szCs w:val="20"/>
                <w:lang w:val="en-CA" w:eastAsia="en-CA"/>
              </w:rPr>
            </w:pPr>
            <w:r w:rsidRPr="007215A1">
              <w:rPr>
                <w:sz w:val="20"/>
                <w:szCs w:val="20"/>
                <w:lang w:val="en-CA" w:eastAsia="en-CA"/>
              </w:rPr>
              <w:t>Q: Are there factors that differentially impact the ability of EE group members to meet official language requirements?</w:t>
            </w:r>
          </w:p>
          <w:p w14:paraId="234814CC" w14:textId="77777777" w:rsidR="007516B7" w:rsidRPr="007215A1" w:rsidRDefault="007516B7" w:rsidP="00AB489B">
            <w:pPr>
              <w:rPr>
                <w:sz w:val="20"/>
                <w:szCs w:val="20"/>
                <w:lang w:val="en-CA" w:eastAsia="en-CA"/>
              </w:rPr>
            </w:pPr>
            <w:r w:rsidRPr="007215A1">
              <w:rPr>
                <w:sz w:val="20"/>
                <w:szCs w:val="20"/>
                <w:lang w:val="en-CA" w:eastAsia="en-CA"/>
              </w:rPr>
              <w:t>Q: Are there any challenges in accessing second language training for EE members compared to their counterparts?</w:t>
            </w:r>
          </w:p>
        </w:tc>
        <w:tc>
          <w:tcPr>
            <w:tcW w:w="2694" w:type="dxa"/>
          </w:tcPr>
          <w:p w14:paraId="1F529247" w14:textId="77777777" w:rsidR="007516B7" w:rsidRPr="007215A1" w:rsidRDefault="007516B7" w:rsidP="00AB489B">
            <w:pPr>
              <w:rPr>
                <w:rFonts w:cs="Arial"/>
                <w:sz w:val="20"/>
                <w:szCs w:val="20"/>
                <w:lang w:val="en-CA"/>
              </w:rPr>
            </w:pPr>
            <w:r w:rsidRPr="007215A1">
              <w:rPr>
                <w:rFonts w:cs="Arial"/>
                <w:sz w:val="20"/>
                <w:szCs w:val="20"/>
                <w:lang w:val="en-CA"/>
              </w:rPr>
              <w:t>Provide evidence to inform policy discussions on bilingual status of positions and their impact on diversity and inclusion in the workplace.</w:t>
            </w:r>
          </w:p>
          <w:p w14:paraId="3DC2822A" w14:textId="77777777" w:rsidR="007516B7" w:rsidRPr="007215A1" w:rsidRDefault="007516B7" w:rsidP="00AB489B">
            <w:pPr>
              <w:rPr>
                <w:rFonts w:cs="Arial"/>
                <w:sz w:val="20"/>
                <w:szCs w:val="20"/>
                <w:lang w:val="en-CA"/>
              </w:rPr>
            </w:pPr>
          </w:p>
          <w:p w14:paraId="6A084CF6" w14:textId="77777777" w:rsidR="007516B7" w:rsidRPr="007215A1" w:rsidRDefault="007516B7" w:rsidP="00AB489B">
            <w:pPr>
              <w:rPr>
                <w:rFonts w:cs="Arial"/>
                <w:sz w:val="20"/>
                <w:szCs w:val="20"/>
                <w:lang w:val="en-CA"/>
              </w:rPr>
            </w:pPr>
            <w:r w:rsidRPr="007215A1">
              <w:rPr>
                <w:rFonts w:cs="Arial"/>
                <w:sz w:val="20"/>
                <w:szCs w:val="20"/>
                <w:lang w:val="en-CA"/>
              </w:rPr>
              <w:t>This project will also help to identify barriers to designated EE groups to their career advancements.</w:t>
            </w:r>
          </w:p>
        </w:tc>
        <w:tc>
          <w:tcPr>
            <w:tcW w:w="3969" w:type="dxa"/>
          </w:tcPr>
          <w:p w14:paraId="5B7D730D" w14:textId="77777777" w:rsidR="007516B7" w:rsidRPr="007215A1" w:rsidRDefault="007516B7" w:rsidP="00AB489B">
            <w:pPr>
              <w:rPr>
                <w:rFonts w:cs="Arial"/>
                <w:sz w:val="20"/>
                <w:szCs w:val="20"/>
                <w:lang w:val="en-CA"/>
              </w:rPr>
            </w:pPr>
            <w:r w:rsidRPr="007215A1">
              <w:rPr>
                <w:rFonts w:cs="Arial"/>
                <w:sz w:val="20"/>
                <w:szCs w:val="20"/>
                <w:u w:val="single"/>
                <w:lang w:val="en-CA"/>
              </w:rPr>
              <w:t>FTE</w:t>
            </w:r>
            <w:r w:rsidRPr="007215A1">
              <w:rPr>
                <w:rFonts w:cs="Arial"/>
                <w:sz w:val="20"/>
                <w:szCs w:val="20"/>
                <w:lang w:val="en-CA"/>
              </w:rPr>
              <w:t>: ½</w:t>
            </w:r>
          </w:p>
          <w:p w14:paraId="76B392F6" w14:textId="77777777" w:rsidR="007516B7" w:rsidRPr="007215A1" w:rsidRDefault="007516B7" w:rsidP="00AB489B">
            <w:pPr>
              <w:rPr>
                <w:rFonts w:cs="Arial"/>
                <w:sz w:val="20"/>
                <w:szCs w:val="20"/>
                <w:lang w:val="en-CA"/>
              </w:rPr>
            </w:pPr>
          </w:p>
          <w:p w14:paraId="6219CE04" w14:textId="09D2D54D" w:rsidR="007516B7" w:rsidRPr="007215A1" w:rsidRDefault="007516B7" w:rsidP="00AB489B">
            <w:pPr>
              <w:rPr>
                <w:rFonts w:cs="Arial"/>
                <w:sz w:val="20"/>
                <w:szCs w:val="20"/>
                <w:lang w:val="en-CA"/>
              </w:rPr>
            </w:pPr>
            <w:r w:rsidRPr="007215A1">
              <w:rPr>
                <w:rFonts w:cs="Arial"/>
                <w:sz w:val="20"/>
                <w:szCs w:val="20"/>
                <w:u w:val="single"/>
                <w:lang w:val="en-CA"/>
              </w:rPr>
              <w:t>Data</w:t>
            </w:r>
            <w:r w:rsidRPr="007215A1">
              <w:rPr>
                <w:rFonts w:cs="Arial"/>
                <w:sz w:val="20"/>
                <w:szCs w:val="20"/>
                <w:lang w:val="en-CA"/>
              </w:rPr>
              <w:t xml:space="preserve">: Administrative data </w:t>
            </w:r>
            <w:r w:rsidR="00C93C4E" w:rsidRPr="007215A1">
              <w:rPr>
                <w:rFonts w:cs="Arial"/>
                <w:sz w:val="20"/>
                <w:szCs w:val="20"/>
                <w:lang w:val="en-CA"/>
              </w:rPr>
              <w:t>derived from PSC data holdings</w:t>
            </w:r>
            <w:r w:rsidR="00A10839" w:rsidRPr="007215A1">
              <w:rPr>
                <w:rFonts w:cs="Arial"/>
                <w:sz w:val="20"/>
                <w:szCs w:val="20"/>
                <w:lang w:val="en-CA"/>
              </w:rPr>
              <w:t>, literature reviews, survey data</w:t>
            </w:r>
            <w:r w:rsidR="00C93C4E" w:rsidRPr="007215A1">
              <w:rPr>
                <w:rFonts w:cs="Arial"/>
                <w:sz w:val="20"/>
                <w:szCs w:val="20"/>
                <w:lang w:val="en-CA"/>
              </w:rPr>
              <w:t xml:space="preserve"> </w:t>
            </w:r>
            <w:r w:rsidRPr="007215A1">
              <w:rPr>
                <w:rFonts w:cs="Arial"/>
                <w:sz w:val="20"/>
                <w:szCs w:val="20"/>
                <w:lang w:val="en-CA"/>
              </w:rPr>
              <w:t>and</w:t>
            </w:r>
            <w:r w:rsidR="00C93C4E" w:rsidRPr="007215A1">
              <w:rPr>
                <w:rFonts w:cs="Arial"/>
                <w:sz w:val="20"/>
                <w:szCs w:val="20"/>
                <w:lang w:val="en-CA"/>
              </w:rPr>
              <w:t>, where possible, qualitative</w:t>
            </w:r>
            <w:r w:rsidRPr="007215A1">
              <w:rPr>
                <w:rFonts w:cs="Arial"/>
                <w:sz w:val="20"/>
                <w:szCs w:val="20"/>
                <w:lang w:val="en-CA"/>
              </w:rPr>
              <w:t xml:space="preserve"> data </w:t>
            </w:r>
            <w:r w:rsidR="00C93C4E" w:rsidRPr="007215A1">
              <w:rPr>
                <w:rFonts w:cs="Arial"/>
                <w:sz w:val="20"/>
                <w:szCs w:val="20"/>
                <w:lang w:val="en-CA"/>
              </w:rPr>
              <w:t xml:space="preserve">provided by PEER sub-working group </w:t>
            </w:r>
            <w:r w:rsidRPr="007215A1">
              <w:rPr>
                <w:rFonts w:cs="Arial"/>
                <w:sz w:val="20"/>
                <w:szCs w:val="20"/>
                <w:lang w:val="en-CA"/>
              </w:rPr>
              <w:t>participants.</w:t>
            </w:r>
          </w:p>
          <w:p w14:paraId="130169F7" w14:textId="77777777" w:rsidR="007516B7" w:rsidRPr="007215A1" w:rsidRDefault="007516B7" w:rsidP="00AB489B">
            <w:pPr>
              <w:rPr>
                <w:rFonts w:cs="Arial"/>
                <w:sz w:val="20"/>
                <w:szCs w:val="20"/>
                <w:lang w:val="en-CA"/>
              </w:rPr>
            </w:pPr>
          </w:p>
          <w:p w14:paraId="384ADB88" w14:textId="77777777" w:rsidR="007516B7" w:rsidRPr="007215A1" w:rsidRDefault="007516B7" w:rsidP="00AB489B">
            <w:pPr>
              <w:rPr>
                <w:rFonts w:cs="Arial"/>
                <w:sz w:val="20"/>
                <w:szCs w:val="20"/>
                <w:u w:val="single"/>
                <w:lang w:val="en-CA"/>
              </w:rPr>
            </w:pPr>
            <w:r w:rsidRPr="007215A1">
              <w:rPr>
                <w:rFonts w:cs="Arial"/>
                <w:sz w:val="20"/>
                <w:szCs w:val="20"/>
                <w:u w:val="single"/>
                <w:lang w:val="en-CA"/>
              </w:rPr>
              <w:t>Summer 2021</w:t>
            </w:r>
          </w:p>
          <w:p w14:paraId="2AD4D017" w14:textId="5A74CC44" w:rsidR="007516B7" w:rsidRPr="007215A1" w:rsidRDefault="007516B7" w:rsidP="00AB489B">
            <w:pPr>
              <w:rPr>
                <w:rFonts w:cs="Arial"/>
                <w:sz w:val="20"/>
                <w:szCs w:val="20"/>
                <w:lang w:val="en-CA"/>
              </w:rPr>
            </w:pPr>
            <w:r w:rsidRPr="007215A1">
              <w:rPr>
                <w:rFonts w:cs="Arial"/>
                <w:sz w:val="20"/>
                <w:szCs w:val="20"/>
                <w:lang w:val="en-CA"/>
              </w:rPr>
              <w:t xml:space="preserve">Establishment of </w:t>
            </w:r>
            <w:r w:rsidR="00564E2A" w:rsidRPr="007215A1">
              <w:rPr>
                <w:rFonts w:cs="Arial"/>
                <w:sz w:val="20"/>
                <w:szCs w:val="20"/>
                <w:lang w:val="en-CA"/>
              </w:rPr>
              <w:t xml:space="preserve">a </w:t>
            </w:r>
            <w:r w:rsidRPr="007215A1">
              <w:rPr>
                <w:rFonts w:cs="Arial"/>
                <w:sz w:val="20"/>
                <w:szCs w:val="20"/>
                <w:lang w:val="en-CA"/>
              </w:rPr>
              <w:t>sub-working group, roles and responsibilities and scope.</w:t>
            </w:r>
          </w:p>
          <w:p w14:paraId="413FDA79" w14:textId="77777777" w:rsidR="007516B7" w:rsidRPr="007215A1" w:rsidRDefault="007516B7" w:rsidP="00AB489B">
            <w:pPr>
              <w:rPr>
                <w:rFonts w:cs="Arial"/>
                <w:sz w:val="20"/>
                <w:szCs w:val="20"/>
                <w:lang w:val="en-CA"/>
              </w:rPr>
            </w:pPr>
          </w:p>
          <w:p w14:paraId="49AD1ECF" w14:textId="629A9CE5" w:rsidR="007516B7" w:rsidRPr="007215A1" w:rsidRDefault="007516B7" w:rsidP="00AB489B">
            <w:pPr>
              <w:rPr>
                <w:rFonts w:cs="Arial"/>
                <w:sz w:val="20"/>
                <w:szCs w:val="20"/>
                <w:u w:val="single"/>
                <w:lang w:val="en-CA"/>
              </w:rPr>
            </w:pPr>
            <w:r w:rsidRPr="007215A1">
              <w:rPr>
                <w:rFonts w:cs="Arial"/>
                <w:sz w:val="20"/>
                <w:szCs w:val="20"/>
                <w:u w:val="single"/>
                <w:lang w:val="en-CA"/>
              </w:rPr>
              <w:t>Fall 2021</w:t>
            </w:r>
          </w:p>
          <w:p w14:paraId="1183D6A6" w14:textId="77777777" w:rsidR="007516B7" w:rsidRPr="007215A1" w:rsidRDefault="007516B7" w:rsidP="00AB489B">
            <w:pPr>
              <w:rPr>
                <w:rFonts w:cs="Arial"/>
                <w:sz w:val="20"/>
                <w:szCs w:val="20"/>
                <w:lang w:val="en-CA"/>
              </w:rPr>
            </w:pPr>
            <w:r w:rsidRPr="007215A1">
              <w:rPr>
                <w:rFonts w:cs="Arial"/>
                <w:sz w:val="20"/>
                <w:szCs w:val="20"/>
                <w:lang w:val="en-CA"/>
              </w:rPr>
              <w:t>Work to be initiated following comments from the main PEER Working Group</w:t>
            </w:r>
          </w:p>
        </w:tc>
      </w:tr>
      <w:tr w:rsidR="007516B7" w:rsidRPr="005F3776" w14:paraId="105987E5" w14:textId="77777777" w:rsidTr="00101877">
        <w:tc>
          <w:tcPr>
            <w:tcW w:w="562" w:type="dxa"/>
          </w:tcPr>
          <w:p w14:paraId="4DDBD808" w14:textId="77777777" w:rsidR="007516B7" w:rsidRPr="007215A1" w:rsidRDefault="007516B7" w:rsidP="00AB489B">
            <w:pPr>
              <w:rPr>
                <w:rFonts w:cs="Arial"/>
                <w:sz w:val="20"/>
                <w:szCs w:val="20"/>
                <w:lang w:val="en-CA"/>
              </w:rPr>
            </w:pPr>
            <w:r w:rsidRPr="007215A1">
              <w:rPr>
                <w:rFonts w:cs="Arial"/>
                <w:sz w:val="20"/>
                <w:szCs w:val="20"/>
                <w:lang w:val="en-CA"/>
              </w:rPr>
              <w:t>2</w:t>
            </w:r>
          </w:p>
        </w:tc>
        <w:tc>
          <w:tcPr>
            <w:tcW w:w="3544" w:type="dxa"/>
          </w:tcPr>
          <w:p w14:paraId="05FB8473" w14:textId="77777777" w:rsidR="007516B7" w:rsidRPr="007215A1" w:rsidRDefault="007516B7" w:rsidP="00AB489B">
            <w:pPr>
              <w:rPr>
                <w:rFonts w:cs="Arial"/>
                <w:b/>
                <w:sz w:val="20"/>
                <w:szCs w:val="20"/>
                <w:u w:val="single"/>
                <w:lang w:val="en-CA"/>
              </w:rPr>
            </w:pPr>
            <w:bookmarkStart w:id="19" w:name="_Hlk80687433"/>
            <w:r w:rsidRPr="007215A1">
              <w:rPr>
                <w:rFonts w:cs="Arial"/>
                <w:b/>
                <w:sz w:val="20"/>
                <w:szCs w:val="20"/>
                <w:u w:val="single"/>
                <w:lang w:val="en-CA"/>
              </w:rPr>
              <w:t>Diversity and Inclusion Scorecard</w:t>
            </w:r>
          </w:p>
          <w:bookmarkEnd w:id="19"/>
          <w:p w14:paraId="1D14E594" w14:textId="77777777" w:rsidR="007516B7" w:rsidRPr="007215A1" w:rsidRDefault="007516B7" w:rsidP="00AB489B">
            <w:pPr>
              <w:rPr>
                <w:rFonts w:cs="Arial"/>
                <w:b/>
                <w:sz w:val="20"/>
                <w:szCs w:val="20"/>
                <w:u w:val="single"/>
                <w:lang w:val="en-CA"/>
              </w:rPr>
            </w:pPr>
          </w:p>
          <w:p w14:paraId="45B82247" w14:textId="77777777" w:rsidR="007516B7" w:rsidRPr="007215A1" w:rsidRDefault="007516B7" w:rsidP="00AB489B">
            <w:pPr>
              <w:rPr>
                <w:rFonts w:cs="Arial"/>
                <w:b/>
                <w:sz w:val="20"/>
                <w:szCs w:val="20"/>
                <w:u w:val="single"/>
                <w:lang w:val="en-CA"/>
              </w:rPr>
            </w:pPr>
            <w:r w:rsidRPr="007215A1">
              <w:rPr>
                <w:rFonts w:cs="Arial"/>
                <w:b/>
                <w:sz w:val="20"/>
                <w:szCs w:val="20"/>
                <w:u w:val="single"/>
                <w:lang w:val="en-CA"/>
              </w:rPr>
              <w:t>Source: Policy and Communication Sector (PCS)</w:t>
            </w:r>
          </w:p>
          <w:p w14:paraId="4407CA85" w14:textId="77777777" w:rsidR="007516B7" w:rsidRPr="007215A1" w:rsidRDefault="007516B7" w:rsidP="00AB489B">
            <w:pPr>
              <w:rPr>
                <w:rFonts w:cs="Arial"/>
                <w:b/>
                <w:sz w:val="20"/>
                <w:szCs w:val="20"/>
                <w:u w:val="single"/>
                <w:lang w:val="en-CA"/>
              </w:rPr>
            </w:pPr>
          </w:p>
          <w:p w14:paraId="79F12A27" w14:textId="77777777" w:rsidR="007516B7" w:rsidRPr="007215A1" w:rsidRDefault="007516B7" w:rsidP="00AB489B">
            <w:pPr>
              <w:rPr>
                <w:rFonts w:cs="Arial"/>
                <w:b/>
                <w:sz w:val="20"/>
                <w:szCs w:val="20"/>
                <w:u w:val="single"/>
                <w:lang w:val="en-CA"/>
              </w:rPr>
            </w:pPr>
            <w:r w:rsidRPr="007215A1">
              <w:rPr>
                <w:rFonts w:cs="Arial"/>
                <w:b/>
                <w:bCs/>
                <w:sz w:val="20"/>
                <w:szCs w:val="20"/>
                <w:u w:val="single"/>
                <w:lang w:val="en-CA"/>
              </w:rPr>
              <w:t>Client:</w:t>
            </w:r>
            <w:r w:rsidRPr="007215A1">
              <w:rPr>
                <w:rFonts w:cs="Arial"/>
                <w:b/>
                <w:bCs/>
                <w:sz w:val="20"/>
                <w:szCs w:val="20"/>
                <w:lang w:val="en-CA"/>
              </w:rPr>
              <w:t xml:space="preserve"> Policy and Communication Sector, Corporate Affairs Sector</w:t>
            </w:r>
          </w:p>
        </w:tc>
        <w:tc>
          <w:tcPr>
            <w:tcW w:w="6662" w:type="dxa"/>
          </w:tcPr>
          <w:p w14:paraId="33EB1234" w14:textId="1D5AB0E3" w:rsidR="007516B7" w:rsidRPr="007215A1" w:rsidRDefault="0080799A" w:rsidP="00AB489B">
            <w:pPr>
              <w:rPr>
                <w:sz w:val="20"/>
                <w:szCs w:val="20"/>
                <w:lang w:val="en-CA" w:eastAsia="en-CA"/>
              </w:rPr>
            </w:pPr>
            <w:bookmarkStart w:id="20" w:name="_Hlk81906011"/>
            <w:r w:rsidRPr="007215A1">
              <w:rPr>
                <w:sz w:val="20"/>
                <w:szCs w:val="20"/>
                <w:lang w:val="en-CA" w:eastAsia="en-CA"/>
              </w:rPr>
              <w:t xml:space="preserve">The public service has made clear commitments </w:t>
            </w:r>
            <w:r w:rsidR="007516B7" w:rsidRPr="007215A1">
              <w:rPr>
                <w:sz w:val="20"/>
                <w:szCs w:val="20"/>
                <w:lang w:val="en-CA" w:eastAsia="en-CA"/>
              </w:rPr>
              <w:t xml:space="preserve">to increase diversity and inclusion in the federal public service. </w:t>
            </w:r>
            <w:r w:rsidR="007742EA" w:rsidRPr="007215A1">
              <w:rPr>
                <w:sz w:val="20"/>
                <w:szCs w:val="20"/>
                <w:lang w:val="en-CA" w:eastAsia="en-CA"/>
              </w:rPr>
              <w:t>There is a need to monitor progresses on D&amp;I in the workplace by analysing career progression of applicants, indeterminate staff and employees leaving the PS by comparing annual trends of related demographic variables</w:t>
            </w:r>
          </w:p>
          <w:p w14:paraId="5C262E6E" w14:textId="77777777" w:rsidR="007516B7" w:rsidRPr="007215A1" w:rsidRDefault="007516B7" w:rsidP="00AB489B">
            <w:pPr>
              <w:rPr>
                <w:sz w:val="20"/>
                <w:szCs w:val="20"/>
                <w:lang w:val="en-CA" w:eastAsia="en-CA"/>
              </w:rPr>
            </w:pPr>
          </w:p>
          <w:p w14:paraId="785C1B8C" w14:textId="7A75D0EC" w:rsidR="007516B7" w:rsidRPr="007215A1" w:rsidRDefault="007516B7" w:rsidP="00AB489B">
            <w:pPr>
              <w:rPr>
                <w:sz w:val="20"/>
                <w:szCs w:val="20"/>
                <w:lang w:val="en-CA" w:eastAsia="en-CA"/>
              </w:rPr>
            </w:pPr>
            <w:r w:rsidRPr="007215A1">
              <w:rPr>
                <w:sz w:val="20"/>
                <w:szCs w:val="20"/>
                <w:lang w:val="en-CA" w:eastAsia="en-CA"/>
              </w:rPr>
              <w:t>Q: What are key indicators informing us on the impact of the efforts being made to increase D&amp;I across PSEA organizations?</w:t>
            </w:r>
          </w:p>
          <w:p w14:paraId="14DCEB3E" w14:textId="6A9FC226" w:rsidR="0034706D" w:rsidRPr="007215A1" w:rsidRDefault="0034706D" w:rsidP="00AB489B">
            <w:pPr>
              <w:rPr>
                <w:sz w:val="20"/>
                <w:szCs w:val="20"/>
                <w:lang w:val="en-CA" w:eastAsia="en-CA"/>
              </w:rPr>
            </w:pPr>
            <w:r w:rsidRPr="007215A1">
              <w:rPr>
                <w:sz w:val="20"/>
                <w:szCs w:val="20"/>
                <w:lang w:val="en-CA" w:eastAsia="en-CA"/>
              </w:rPr>
              <w:t>Indicators for consideration:</w:t>
            </w:r>
          </w:p>
          <w:p w14:paraId="3967EE00" w14:textId="5C20BB02" w:rsidR="00862DE5" w:rsidRPr="007215A1" w:rsidRDefault="00862DE5" w:rsidP="00862DE5">
            <w:pPr>
              <w:pStyle w:val="ListParagraph"/>
              <w:numPr>
                <w:ilvl w:val="0"/>
                <w:numId w:val="16"/>
              </w:numPr>
              <w:spacing w:after="0"/>
              <w:rPr>
                <w:sz w:val="20"/>
                <w:szCs w:val="20"/>
                <w:lang w:val="en-CA" w:eastAsia="en-CA"/>
              </w:rPr>
            </w:pPr>
            <w:r w:rsidRPr="007215A1">
              <w:rPr>
                <w:sz w:val="20"/>
                <w:szCs w:val="20"/>
                <w:lang w:val="en-CA" w:eastAsia="en-CA"/>
              </w:rPr>
              <w:t>Employment Equity (EE) group/subgroup share of applicants</w:t>
            </w:r>
          </w:p>
          <w:p w14:paraId="6EB32CB7" w14:textId="160EDFA8" w:rsidR="00862DE5" w:rsidRPr="007215A1" w:rsidRDefault="00862DE5" w:rsidP="00862DE5">
            <w:pPr>
              <w:pStyle w:val="ListParagraph"/>
              <w:numPr>
                <w:ilvl w:val="0"/>
                <w:numId w:val="16"/>
              </w:numPr>
              <w:spacing w:after="0"/>
              <w:rPr>
                <w:sz w:val="20"/>
                <w:szCs w:val="20"/>
                <w:lang w:val="en-CA" w:eastAsia="en-CA"/>
              </w:rPr>
            </w:pPr>
            <w:r w:rsidRPr="007215A1">
              <w:rPr>
                <w:sz w:val="20"/>
                <w:szCs w:val="20"/>
                <w:lang w:val="en-CA" w:eastAsia="en-CA"/>
              </w:rPr>
              <w:t>EE share of appointments (</w:t>
            </w:r>
            <w:proofErr w:type="gramStart"/>
            <w:r w:rsidRPr="007215A1">
              <w:rPr>
                <w:sz w:val="20"/>
                <w:szCs w:val="20"/>
                <w:lang w:val="en-CA" w:eastAsia="en-CA"/>
              </w:rPr>
              <w:t>e.g.</w:t>
            </w:r>
            <w:proofErr w:type="gramEnd"/>
            <w:r w:rsidRPr="007215A1">
              <w:rPr>
                <w:sz w:val="20"/>
                <w:szCs w:val="20"/>
                <w:lang w:val="en-CA" w:eastAsia="en-CA"/>
              </w:rPr>
              <w:t xml:space="preserve"> promotion, recruitment, acting)</w:t>
            </w:r>
          </w:p>
          <w:p w14:paraId="53A6EBC0" w14:textId="6CB54C97" w:rsidR="008B0942" w:rsidRPr="007215A1" w:rsidRDefault="008B0942" w:rsidP="00862DE5">
            <w:pPr>
              <w:pStyle w:val="ListParagraph"/>
              <w:numPr>
                <w:ilvl w:val="0"/>
                <w:numId w:val="16"/>
              </w:numPr>
              <w:spacing w:after="0"/>
              <w:rPr>
                <w:sz w:val="20"/>
                <w:szCs w:val="20"/>
                <w:lang w:val="en-CA" w:eastAsia="en-CA"/>
              </w:rPr>
            </w:pPr>
            <w:r w:rsidRPr="007215A1">
              <w:rPr>
                <w:sz w:val="20"/>
                <w:szCs w:val="20"/>
                <w:lang w:val="en-CA" w:eastAsia="en-CA"/>
              </w:rPr>
              <w:t>EE representation in the federal public service</w:t>
            </w:r>
          </w:p>
          <w:p w14:paraId="1D0FEEEF" w14:textId="51FB2E31" w:rsidR="00AD0C73" w:rsidRPr="007215A1" w:rsidRDefault="00862DE5" w:rsidP="00862DE5">
            <w:pPr>
              <w:pStyle w:val="ListParagraph"/>
              <w:numPr>
                <w:ilvl w:val="0"/>
                <w:numId w:val="16"/>
              </w:numPr>
              <w:spacing w:after="0"/>
              <w:rPr>
                <w:sz w:val="20"/>
                <w:szCs w:val="20"/>
                <w:lang w:val="en-CA" w:eastAsia="en-CA"/>
              </w:rPr>
            </w:pPr>
            <w:r w:rsidRPr="007215A1">
              <w:rPr>
                <w:sz w:val="20"/>
                <w:szCs w:val="20"/>
                <w:lang w:val="en-CA" w:eastAsia="en-CA"/>
              </w:rPr>
              <w:t xml:space="preserve">Use of EE restricted or organizational need </w:t>
            </w:r>
            <w:r w:rsidR="0034706D" w:rsidRPr="007215A1">
              <w:rPr>
                <w:sz w:val="20"/>
                <w:szCs w:val="20"/>
                <w:lang w:val="en-CA" w:eastAsia="en-CA"/>
              </w:rPr>
              <w:t>selection processes</w:t>
            </w:r>
          </w:p>
          <w:p w14:paraId="3FD00E20" w14:textId="2E824273" w:rsidR="00647807" w:rsidRPr="007215A1" w:rsidRDefault="0034706D" w:rsidP="00214354">
            <w:pPr>
              <w:pStyle w:val="ListParagraph"/>
              <w:numPr>
                <w:ilvl w:val="0"/>
                <w:numId w:val="16"/>
              </w:numPr>
              <w:spacing w:after="0"/>
              <w:rPr>
                <w:lang w:val="en-CA" w:eastAsia="en-CA"/>
              </w:rPr>
            </w:pPr>
            <w:r w:rsidRPr="007215A1">
              <w:rPr>
                <w:sz w:val="20"/>
                <w:szCs w:val="20"/>
                <w:lang w:val="en-CA" w:eastAsia="en-CA"/>
              </w:rPr>
              <w:t>Breakdowns where applicable by program, department, etc.</w:t>
            </w:r>
            <w:bookmarkEnd w:id="20"/>
            <w:r w:rsidR="00647807" w:rsidRPr="007215A1">
              <w:rPr>
                <w:lang w:val="en-CA" w:eastAsia="en-CA"/>
              </w:rPr>
              <w:tab/>
            </w:r>
          </w:p>
        </w:tc>
        <w:tc>
          <w:tcPr>
            <w:tcW w:w="2694" w:type="dxa"/>
          </w:tcPr>
          <w:p w14:paraId="2BBAA523" w14:textId="791377D2" w:rsidR="007516B7" w:rsidRPr="007215A1" w:rsidRDefault="007516B7" w:rsidP="00AB489B">
            <w:pPr>
              <w:rPr>
                <w:rFonts w:cs="Arial"/>
                <w:sz w:val="20"/>
                <w:szCs w:val="20"/>
                <w:lang w:val="en-CA"/>
              </w:rPr>
            </w:pPr>
            <w:r w:rsidRPr="007215A1">
              <w:rPr>
                <w:rFonts w:cs="Arial"/>
                <w:sz w:val="20"/>
                <w:szCs w:val="20"/>
                <w:lang w:val="en-CA"/>
              </w:rPr>
              <w:t xml:space="preserve">Provide timely evidence of the progress made for various Diversity and Inclusion initiatives undertaken across the PS. </w:t>
            </w:r>
            <w:r w:rsidR="00F10808" w:rsidRPr="007215A1">
              <w:rPr>
                <w:rFonts w:cs="Arial"/>
                <w:sz w:val="20"/>
                <w:szCs w:val="20"/>
                <w:lang w:val="en-CA"/>
              </w:rPr>
              <w:t xml:space="preserve">Combining information on representation and mobility in the public service into a single indicator will provide an overall sense on progress and the impact of policies and initiatives from year to year. </w:t>
            </w:r>
            <w:r w:rsidRPr="007215A1">
              <w:rPr>
                <w:rFonts w:cs="Arial"/>
                <w:sz w:val="20"/>
                <w:szCs w:val="20"/>
                <w:lang w:val="en-CA"/>
              </w:rPr>
              <w:t>This will guide policy discussions and identify best practices.</w:t>
            </w:r>
          </w:p>
        </w:tc>
        <w:tc>
          <w:tcPr>
            <w:tcW w:w="3969" w:type="dxa"/>
          </w:tcPr>
          <w:p w14:paraId="325DFC71" w14:textId="77777777" w:rsidR="007516B7" w:rsidRPr="007215A1" w:rsidRDefault="007516B7" w:rsidP="00AB489B">
            <w:pPr>
              <w:rPr>
                <w:rFonts w:cs="Arial"/>
                <w:sz w:val="20"/>
                <w:szCs w:val="20"/>
                <w:lang w:val="en-CA"/>
              </w:rPr>
            </w:pPr>
            <w:r w:rsidRPr="007215A1">
              <w:rPr>
                <w:rFonts w:cs="Arial"/>
                <w:sz w:val="20"/>
                <w:szCs w:val="20"/>
                <w:u w:val="single"/>
                <w:lang w:val="en-CA"/>
              </w:rPr>
              <w:t>FTE:</w:t>
            </w:r>
            <w:r w:rsidRPr="007215A1">
              <w:rPr>
                <w:rFonts w:cs="Arial"/>
                <w:sz w:val="20"/>
                <w:szCs w:val="20"/>
                <w:lang w:val="en-CA"/>
              </w:rPr>
              <w:t xml:space="preserve"> ¼</w:t>
            </w:r>
          </w:p>
          <w:p w14:paraId="5AAA54E3" w14:textId="77777777" w:rsidR="007516B7" w:rsidRPr="007215A1" w:rsidRDefault="007516B7" w:rsidP="00AB489B">
            <w:pPr>
              <w:rPr>
                <w:rFonts w:cs="Arial"/>
                <w:sz w:val="20"/>
                <w:szCs w:val="20"/>
                <w:lang w:val="en-CA"/>
              </w:rPr>
            </w:pPr>
          </w:p>
          <w:p w14:paraId="53878080" w14:textId="7C42466C" w:rsidR="007516B7" w:rsidRPr="007215A1" w:rsidRDefault="007516B7" w:rsidP="00AB489B">
            <w:pPr>
              <w:rPr>
                <w:rFonts w:cs="Arial"/>
                <w:sz w:val="20"/>
                <w:szCs w:val="20"/>
                <w:u w:val="single"/>
                <w:lang w:val="en-CA"/>
              </w:rPr>
            </w:pPr>
            <w:r w:rsidRPr="007215A1">
              <w:rPr>
                <w:rFonts w:cs="Arial"/>
                <w:sz w:val="20"/>
                <w:szCs w:val="20"/>
                <w:u w:val="single"/>
                <w:lang w:val="en-CA"/>
              </w:rPr>
              <w:t>Data</w:t>
            </w:r>
            <w:r w:rsidRPr="007215A1">
              <w:rPr>
                <w:rFonts w:cs="Arial"/>
                <w:sz w:val="20"/>
                <w:szCs w:val="20"/>
                <w:lang w:val="en-CA"/>
              </w:rPr>
              <w:t>: Administrative sources</w:t>
            </w:r>
            <w:r w:rsidR="00BF0727" w:rsidRPr="007215A1">
              <w:rPr>
                <w:rFonts w:cs="Arial"/>
                <w:sz w:val="20"/>
                <w:szCs w:val="20"/>
                <w:lang w:val="en-CA"/>
              </w:rPr>
              <w:t>, including data on applicant self-declaration</w:t>
            </w:r>
            <w:r w:rsidR="00862DE5" w:rsidRPr="007215A1">
              <w:rPr>
                <w:rFonts w:cs="Arial"/>
                <w:sz w:val="20"/>
                <w:szCs w:val="20"/>
                <w:lang w:val="en-CA"/>
              </w:rPr>
              <w:t xml:space="preserve"> and other D&amp;I </w:t>
            </w:r>
            <w:r w:rsidR="005625D4" w:rsidRPr="007215A1">
              <w:rPr>
                <w:rFonts w:cs="Arial"/>
                <w:sz w:val="20"/>
                <w:szCs w:val="20"/>
                <w:lang w:val="en-CA"/>
              </w:rPr>
              <w:t>information from</w:t>
            </w:r>
            <w:r w:rsidR="00862DE5" w:rsidRPr="007215A1">
              <w:rPr>
                <w:rFonts w:cs="Arial"/>
                <w:sz w:val="20"/>
                <w:szCs w:val="20"/>
                <w:lang w:val="en-CA"/>
              </w:rPr>
              <w:t xml:space="preserve"> PSC data holdings</w:t>
            </w:r>
            <w:r w:rsidR="005625D4" w:rsidRPr="007215A1">
              <w:rPr>
                <w:rFonts w:cs="Arial"/>
                <w:sz w:val="20"/>
                <w:szCs w:val="20"/>
                <w:lang w:val="en-CA"/>
              </w:rPr>
              <w:t xml:space="preserve"> and the </w:t>
            </w:r>
            <w:r w:rsidR="0034706D" w:rsidRPr="007215A1">
              <w:rPr>
                <w:rFonts w:cs="Arial"/>
                <w:sz w:val="20"/>
                <w:szCs w:val="20"/>
                <w:lang w:val="en-CA"/>
              </w:rPr>
              <w:t>EE self-identification data sourced from the Employment Equity Data Bank, based on most recent available information.</w:t>
            </w:r>
          </w:p>
        </w:tc>
      </w:tr>
      <w:tr w:rsidR="007516B7" w:rsidRPr="005F3776" w14:paraId="7ADA1885" w14:textId="77777777" w:rsidTr="00101877">
        <w:tc>
          <w:tcPr>
            <w:tcW w:w="562" w:type="dxa"/>
          </w:tcPr>
          <w:p w14:paraId="55BF040D" w14:textId="77777777" w:rsidR="007516B7" w:rsidRPr="007215A1" w:rsidRDefault="007516B7" w:rsidP="00AB489B">
            <w:pPr>
              <w:rPr>
                <w:rFonts w:cs="Arial"/>
                <w:sz w:val="20"/>
                <w:szCs w:val="20"/>
                <w:lang w:val="en-CA"/>
              </w:rPr>
            </w:pPr>
            <w:r w:rsidRPr="007215A1">
              <w:rPr>
                <w:rFonts w:cs="Arial"/>
                <w:sz w:val="20"/>
                <w:szCs w:val="20"/>
                <w:lang w:val="en-CA"/>
              </w:rPr>
              <w:lastRenderedPageBreak/>
              <w:t>3</w:t>
            </w:r>
          </w:p>
        </w:tc>
        <w:tc>
          <w:tcPr>
            <w:tcW w:w="3544" w:type="dxa"/>
          </w:tcPr>
          <w:p w14:paraId="1C0B58D7" w14:textId="77777777" w:rsidR="007516B7" w:rsidRPr="007215A1" w:rsidRDefault="007516B7" w:rsidP="00AB489B">
            <w:pPr>
              <w:rPr>
                <w:rFonts w:cs="Arial"/>
                <w:b/>
                <w:bCs/>
                <w:sz w:val="20"/>
                <w:szCs w:val="20"/>
                <w:u w:val="single"/>
                <w:lang w:val="en-CA"/>
              </w:rPr>
            </w:pPr>
            <w:r w:rsidRPr="007215A1">
              <w:rPr>
                <w:rFonts w:cs="Arial"/>
                <w:b/>
                <w:sz w:val="20"/>
                <w:szCs w:val="20"/>
                <w:u w:val="single"/>
                <w:lang w:val="en-CA"/>
              </w:rPr>
              <w:t>Poster Analysis</w:t>
            </w:r>
          </w:p>
          <w:p w14:paraId="7A5BFC14" w14:textId="77777777" w:rsidR="007516B7" w:rsidRPr="007215A1" w:rsidRDefault="007516B7" w:rsidP="00AB489B">
            <w:pPr>
              <w:rPr>
                <w:rFonts w:cs="Arial"/>
                <w:b/>
                <w:bCs/>
                <w:sz w:val="20"/>
                <w:szCs w:val="20"/>
                <w:u w:val="single"/>
                <w:lang w:val="en-CA"/>
              </w:rPr>
            </w:pPr>
          </w:p>
          <w:p w14:paraId="35E29283" w14:textId="77777777" w:rsidR="007516B7" w:rsidRPr="007215A1" w:rsidRDefault="007516B7" w:rsidP="00AB489B">
            <w:pPr>
              <w:rPr>
                <w:rFonts w:cs="Arial"/>
                <w:b/>
                <w:bCs/>
                <w:sz w:val="20"/>
                <w:szCs w:val="20"/>
                <w:u w:val="single"/>
                <w:lang w:val="en-CA"/>
              </w:rPr>
            </w:pPr>
            <w:r w:rsidRPr="007215A1">
              <w:rPr>
                <w:rFonts w:cs="Arial"/>
                <w:b/>
                <w:bCs/>
                <w:sz w:val="20"/>
                <w:szCs w:val="20"/>
                <w:u w:val="single"/>
                <w:lang w:val="en-CA"/>
              </w:rPr>
              <w:t>Source: DSAD</w:t>
            </w:r>
          </w:p>
          <w:p w14:paraId="501B802F" w14:textId="77777777" w:rsidR="007516B7" w:rsidRPr="007215A1" w:rsidRDefault="007516B7" w:rsidP="00AB489B">
            <w:pPr>
              <w:rPr>
                <w:rFonts w:cs="Arial"/>
                <w:b/>
                <w:bCs/>
                <w:sz w:val="20"/>
                <w:szCs w:val="20"/>
                <w:u w:val="single"/>
                <w:lang w:val="en-CA"/>
              </w:rPr>
            </w:pPr>
          </w:p>
          <w:p w14:paraId="4A1167AF" w14:textId="77777777" w:rsidR="007516B7" w:rsidRPr="007215A1" w:rsidRDefault="007516B7" w:rsidP="00AB489B">
            <w:pPr>
              <w:rPr>
                <w:rFonts w:cs="Arial"/>
                <w:sz w:val="20"/>
                <w:szCs w:val="20"/>
                <w:lang w:val="en-CA"/>
              </w:rPr>
            </w:pPr>
            <w:r w:rsidRPr="007215A1">
              <w:rPr>
                <w:rFonts w:cs="Arial"/>
                <w:b/>
                <w:bCs/>
                <w:sz w:val="20"/>
                <w:szCs w:val="20"/>
                <w:u w:val="single"/>
                <w:lang w:val="en-CA"/>
              </w:rPr>
              <w:t>Client:</w:t>
            </w:r>
            <w:r w:rsidRPr="007215A1">
              <w:rPr>
                <w:rFonts w:cs="Arial"/>
                <w:sz w:val="20"/>
                <w:szCs w:val="20"/>
                <w:u w:val="single"/>
                <w:lang w:val="en-CA"/>
              </w:rPr>
              <w:t xml:space="preserve"> </w:t>
            </w:r>
            <w:r w:rsidRPr="007215A1">
              <w:rPr>
                <w:rFonts w:cs="Arial"/>
                <w:b/>
                <w:bCs/>
                <w:sz w:val="20"/>
                <w:szCs w:val="20"/>
                <w:u w:val="single"/>
                <w:lang w:val="en-CA"/>
              </w:rPr>
              <w:t>Policy and Communications Sector (PCS), SBDS</w:t>
            </w:r>
          </w:p>
        </w:tc>
        <w:tc>
          <w:tcPr>
            <w:tcW w:w="6662" w:type="dxa"/>
          </w:tcPr>
          <w:p w14:paraId="18C391E6" w14:textId="77777777" w:rsidR="007516B7" w:rsidRPr="007215A1" w:rsidRDefault="007516B7" w:rsidP="00AB489B">
            <w:pPr>
              <w:rPr>
                <w:sz w:val="20"/>
                <w:szCs w:val="20"/>
                <w:lang w:val="en-CA" w:eastAsia="en-CA"/>
              </w:rPr>
            </w:pPr>
            <w:r w:rsidRPr="007215A1">
              <w:rPr>
                <w:sz w:val="20"/>
                <w:szCs w:val="20"/>
                <w:lang w:val="en-CA" w:eastAsia="en-CA"/>
              </w:rPr>
              <w:t>The advertisement phase can be a source of barriers to applicants from various background. We propose to look at the effect of features on posters leading to an increase diverse pool of candidate.</w:t>
            </w:r>
          </w:p>
          <w:p w14:paraId="21C0D88F" w14:textId="77777777" w:rsidR="007516B7" w:rsidRPr="007215A1" w:rsidRDefault="007516B7" w:rsidP="00AB489B">
            <w:pPr>
              <w:rPr>
                <w:sz w:val="20"/>
                <w:szCs w:val="20"/>
                <w:lang w:val="en-CA" w:eastAsia="en-CA"/>
              </w:rPr>
            </w:pPr>
          </w:p>
          <w:p w14:paraId="7E409BAB" w14:textId="77777777" w:rsidR="007516B7" w:rsidRPr="007215A1" w:rsidRDefault="007516B7" w:rsidP="00AB489B">
            <w:pPr>
              <w:rPr>
                <w:sz w:val="20"/>
                <w:szCs w:val="20"/>
                <w:lang w:val="en-CA" w:eastAsia="en-CA"/>
              </w:rPr>
            </w:pPr>
            <w:r w:rsidRPr="007215A1">
              <w:rPr>
                <w:sz w:val="20"/>
                <w:szCs w:val="20"/>
                <w:lang w:val="en-CA" w:eastAsia="en-CA"/>
              </w:rPr>
              <w:t xml:space="preserve">Q: Which poster features lead to a diverse pool of candidate? </w:t>
            </w:r>
          </w:p>
          <w:p w14:paraId="0FA0F865" w14:textId="77777777" w:rsidR="007516B7" w:rsidRPr="007215A1" w:rsidRDefault="007516B7" w:rsidP="00AB489B">
            <w:pPr>
              <w:rPr>
                <w:sz w:val="20"/>
                <w:szCs w:val="20"/>
                <w:lang w:val="en-CA" w:eastAsia="en-CA"/>
              </w:rPr>
            </w:pPr>
            <w:r w:rsidRPr="007215A1">
              <w:rPr>
                <w:sz w:val="20"/>
                <w:szCs w:val="20"/>
                <w:lang w:val="en-CA" w:eastAsia="en-CA"/>
              </w:rPr>
              <w:t xml:space="preserve">Q: What is the impact of education requirements on candidate’s diversity? </w:t>
            </w:r>
          </w:p>
        </w:tc>
        <w:tc>
          <w:tcPr>
            <w:tcW w:w="2694" w:type="dxa"/>
          </w:tcPr>
          <w:p w14:paraId="2D65E52D" w14:textId="77777777" w:rsidR="007516B7" w:rsidRPr="007215A1" w:rsidRDefault="007516B7" w:rsidP="00AB489B">
            <w:pPr>
              <w:rPr>
                <w:rFonts w:cs="Arial"/>
                <w:sz w:val="20"/>
                <w:szCs w:val="20"/>
                <w:lang w:val="en-CA"/>
              </w:rPr>
            </w:pPr>
            <w:r w:rsidRPr="007215A1">
              <w:rPr>
                <w:rFonts w:cs="Arial"/>
                <w:sz w:val="20"/>
                <w:szCs w:val="20"/>
                <w:lang w:val="en-CA"/>
              </w:rPr>
              <w:t>Identify best practices to attract a diverse pool of candidates and identify barriers during the advertisement phase.</w:t>
            </w:r>
          </w:p>
        </w:tc>
        <w:tc>
          <w:tcPr>
            <w:tcW w:w="3969" w:type="dxa"/>
          </w:tcPr>
          <w:p w14:paraId="3915C8D0" w14:textId="77777777" w:rsidR="007516B7" w:rsidRPr="007215A1" w:rsidRDefault="007516B7" w:rsidP="00AB489B">
            <w:pPr>
              <w:rPr>
                <w:rFonts w:cs="Arial"/>
                <w:sz w:val="20"/>
                <w:szCs w:val="20"/>
                <w:lang w:val="en-CA"/>
              </w:rPr>
            </w:pPr>
            <w:r w:rsidRPr="007215A1">
              <w:rPr>
                <w:rFonts w:cs="Arial"/>
                <w:sz w:val="20"/>
                <w:szCs w:val="20"/>
                <w:u w:val="single"/>
                <w:lang w:val="en-CA"/>
              </w:rPr>
              <w:t>FTE</w:t>
            </w:r>
            <w:r w:rsidRPr="007215A1">
              <w:rPr>
                <w:rFonts w:cs="Arial"/>
                <w:sz w:val="20"/>
                <w:szCs w:val="20"/>
                <w:lang w:val="en-CA"/>
              </w:rPr>
              <w:t>: ½</w:t>
            </w:r>
          </w:p>
          <w:p w14:paraId="13C5A8C2" w14:textId="77777777" w:rsidR="007516B7" w:rsidRPr="007215A1" w:rsidRDefault="007516B7" w:rsidP="00AB489B">
            <w:pPr>
              <w:rPr>
                <w:rFonts w:cs="Arial"/>
                <w:sz w:val="20"/>
                <w:szCs w:val="20"/>
                <w:u w:val="single"/>
                <w:lang w:val="en-CA"/>
              </w:rPr>
            </w:pPr>
          </w:p>
          <w:p w14:paraId="20E7E21C" w14:textId="6D3B6BC5" w:rsidR="007516B7" w:rsidRPr="007215A1" w:rsidRDefault="007516B7" w:rsidP="00AB489B">
            <w:pPr>
              <w:rPr>
                <w:rFonts w:cs="Arial"/>
                <w:sz w:val="20"/>
                <w:szCs w:val="20"/>
                <w:u w:val="single"/>
                <w:lang w:val="en-CA"/>
              </w:rPr>
            </w:pPr>
            <w:r w:rsidRPr="007215A1">
              <w:rPr>
                <w:rFonts w:cs="Arial"/>
                <w:sz w:val="20"/>
                <w:szCs w:val="20"/>
                <w:u w:val="single"/>
                <w:lang w:val="en-CA"/>
              </w:rPr>
              <w:t>Data</w:t>
            </w:r>
            <w:r w:rsidRPr="007215A1">
              <w:rPr>
                <w:rFonts w:cs="Arial"/>
                <w:sz w:val="20"/>
                <w:szCs w:val="20"/>
                <w:lang w:val="en-CA"/>
              </w:rPr>
              <w:t>: Administrative sources</w:t>
            </w:r>
            <w:r w:rsidR="008B0942" w:rsidRPr="007215A1">
              <w:rPr>
                <w:rFonts w:cs="Arial"/>
                <w:sz w:val="20"/>
                <w:szCs w:val="20"/>
                <w:lang w:val="en-CA"/>
              </w:rPr>
              <w:t xml:space="preserve"> (Public Service Resourcing System</w:t>
            </w:r>
            <w:r w:rsidR="00A538DC" w:rsidRPr="007215A1">
              <w:rPr>
                <w:rFonts w:cs="Arial"/>
                <w:sz w:val="20"/>
                <w:szCs w:val="20"/>
                <w:lang w:val="en-CA"/>
              </w:rPr>
              <w:t xml:space="preserve"> [PSRS]</w:t>
            </w:r>
            <w:r w:rsidR="008B0942" w:rsidRPr="007215A1">
              <w:rPr>
                <w:rFonts w:cs="Arial"/>
                <w:sz w:val="20"/>
                <w:szCs w:val="20"/>
                <w:lang w:val="en-CA"/>
              </w:rPr>
              <w:t>)</w:t>
            </w:r>
          </w:p>
        </w:tc>
      </w:tr>
      <w:tr w:rsidR="007516B7" w:rsidRPr="005F3776" w14:paraId="78EBDD2A" w14:textId="77777777" w:rsidTr="00101877">
        <w:tc>
          <w:tcPr>
            <w:tcW w:w="562" w:type="dxa"/>
          </w:tcPr>
          <w:p w14:paraId="1BEBAA0B" w14:textId="77777777" w:rsidR="007516B7" w:rsidRPr="007215A1" w:rsidRDefault="007516B7" w:rsidP="00AB489B">
            <w:pPr>
              <w:rPr>
                <w:rFonts w:cs="Arial"/>
                <w:sz w:val="20"/>
                <w:szCs w:val="20"/>
                <w:lang w:val="en-CA"/>
              </w:rPr>
            </w:pPr>
            <w:r w:rsidRPr="007215A1">
              <w:rPr>
                <w:rFonts w:cs="Arial"/>
                <w:sz w:val="20"/>
                <w:szCs w:val="20"/>
                <w:lang w:val="en-CA"/>
              </w:rPr>
              <w:t>4</w:t>
            </w:r>
          </w:p>
        </w:tc>
        <w:tc>
          <w:tcPr>
            <w:tcW w:w="3544" w:type="dxa"/>
          </w:tcPr>
          <w:p w14:paraId="3AE7280F" w14:textId="77777777" w:rsidR="007516B7" w:rsidRPr="007215A1" w:rsidRDefault="007516B7" w:rsidP="00AB489B">
            <w:pPr>
              <w:rPr>
                <w:rFonts w:cs="Arial"/>
                <w:b/>
                <w:sz w:val="20"/>
                <w:szCs w:val="20"/>
                <w:u w:val="single"/>
                <w:lang w:val="en-CA"/>
              </w:rPr>
            </w:pPr>
            <w:bookmarkStart w:id="21" w:name="_Hlk80687513"/>
            <w:r w:rsidRPr="007215A1">
              <w:rPr>
                <w:rFonts w:cs="Arial"/>
                <w:b/>
                <w:sz w:val="20"/>
                <w:szCs w:val="20"/>
                <w:u w:val="single"/>
                <w:lang w:val="en-CA"/>
              </w:rPr>
              <w:t xml:space="preserve">Barriers to EE into the </w:t>
            </w:r>
            <w:proofErr w:type="gramStart"/>
            <w:r w:rsidRPr="007215A1">
              <w:rPr>
                <w:rFonts w:cs="Arial"/>
                <w:b/>
                <w:sz w:val="20"/>
                <w:szCs w:val="20"/>
                <w:u w:val="single"/>
                <w:lang w:val="en-CA"/>
              </w:rPr>
              <w:t>EX groups</w:t>
            </w:r>
            <w:proofErr w:type="gramEnd"/>
          </w:p>
          <w:bookmarkEnd w:id="21"/>
          <w:p w14:paraId="50F8ACE7" w14:textId="77777777" w:rsidR="007516B7" w:rsidRPr="007215A1" w:rsidRDefault="007516B7" w:rsidP="00AB489B">
            <w:pPr>
              <w:rPr>
                <w:rFonts w:cs="Arial"/>
                <w:b/>
                <w:sz w:val="20"/>
                <w:szCs w:val="20"/>
                <w:u w:val="single"/>
                <w:lang w:val="en-CA"/>
              </w:rPr>
            </w:pPr>
          </w:p>
          <w:p w14:paraId="6F0DF182" w14:textId="77777777" w:rsidR="007516B7" w:rsidRPr="007215A1" w:rsidRDefault="007516B7" w:rsidP="00AB489B">
            <w:pPr>
              <w:rPr>
                <w:rFonts w:cs="Arial"/>
                <w:b/>
                <w:sz w:val="20"/>
                <w:szCs w:val="20"/>
                <w:u w:val="single"/>
                <w:lang w:val="en-CA"/>
              </w:rPr>
            </w:pPr>
            <w:r w:rsidRPr="007215A1">
              <w:rPr>
                <w:rFonts w:cs="Arial"/>
                <w:b/>
                <w:sz w:val="20"/>
                <w:szCs w:val="20"/>
                <w:u w:val="single"/>
                <w:lang w:val="en-CA"/>
              </w:rPr>
              <w:t>Source: DSAD, PEER WG</w:t>
            </w:r>
          </w:p>
          <w:p w14:paraId="04F6EF08" w14:textId="77777777" w:rsidR="007516B7" w:rsidRPr="007215A1" w:rsidRDefault="007516B7" w:rsidP="00AB489B">
            <w:pPr>
              <w:rPr>
                <w:rFonts w:cs="Arial"/>
                <w:b/>
                <w:sz w:val="20"/>
                <w:szCs w:val="20"/>
                <w:u w:val="single"/>
                <w:lang w:val="en-CA"/>
              </w:rPr>
            </w:pPr>
          </w:p>
          <w:p w14:paraId="103CC17A" w14:textId="77777777" w:rsidR="007516B7" w:rsidRPr="007215A1" w:rsidRDefault="007516B7" w:rsidP="00AB489B">
            <w:pPr>
              <w:rPr>
                <w:rFonts w:cs="Arial"/>
                <w:b/>
                <w:sz w:val="20"/>
                <w:szCs w:val="20"/>
                <w:u w:val="single"/>
                <w:lang w:val="en-CA"/>
              </w:rPr>
            </w:pPr>
            <w:r w:rsidRPr="007215A1">
              <w:rPr>
                <w:rFonts w:cs="Arial"/>
                <w:b/>
                <w:sz w:val="20"/>
                <w:szCs w:val="20"/>
                <w:u w:val="single"/>
                <w:lang w:val="en-CA"/>
              </w:rPr>
              <w:t>Client: Policy and Communication Sector (PCS)</w:t>
            </w:r>
          </w:p>
        </w:tc>
        <w:tc>
          <w:tcPr>
            <w:tcW w:w="6662" w:type="dxa"/>
          </w:tcPr>
          <w:p w14:paraId="05D7284F" w14:textId="73C4745E" w:rsidR="007516B7" w:rsidRPr="007215A1" w:rsidRDefault="007516B7" w:rsidP="00AB489B">
            <w:pPr>
              <w:rPr>
                <w:sz w:val="20"/>
                <w:szCs w:val="20"/>
                <w:lang w:val="en-CA" w:eastAsia="en-CA"/>
              </w:rPr>
            </w:pPr>
            <w:r w:rsidRPr="007215A1">
              <w:rPr>
                <w:sz w:val="20"/>
                <w:szCs w:val="20"/>
                <w:lang w:val="en-CA" w:eastAsia="en-CA"/>
              </w:rPr>
              <w:t xml:space="preserve">A recent study on EE promotion Rate for members of Visible Minority subgroups showed that members of Visible Minority subgroups have lower promotion rates than their counterparts from the </w:t>
            </w:r>
            <w:proofErr w:type="gramStart"/>
            <w:r w:rsidRPr="007215A1">
              <w:rPr>
                <w:sz w:val="20"/>
                <w:szCs w:val="20"/>
                <w:lang w:val="en-CA" w:eastAsia="en-CA"/>
              </w:rPr>
              <w:t>EX feeder</w:t>
            </w:r>
            <w:proofErr w:type="gramEnd"/>
            <w:r w:rsidRPr="007215A1">
              <w:rPr>
                <w:sz w:val="20"/>
                <w:szCs w:val="20"/>
                <w:lang w:val="en-CA" w:eastAsia="en-CA"/>
              </w:rPr>
              <w:t xml:space="preserve"> groups into the EX categories. </w:t>
            </w:r>
            <w:r w:rsidR="00266ABE" w:rsidRPr="007215A1">
              <w:rPr>
                <w:sz w:val="20"/>
                <w:szCs w:val="20"/>
                <w:lang w:val="en-CA" w:eastAsia="en-CA"/>
              </w:rPr>
              <w:t>Need for m</w:t>
            </w:r>
            <w:r w:rsidRPr="007215A1">
              <w:rPr>
                <w:sz w:val="20"/>
                <w:szCs w:val="20"/>
                <w:lang w:val="en-CA" w:eastAsia="en-CA"/>
              </w:rPr>
              <w:t>ore research on this issue was identified, as a next step to be undertaken by the PSC.</w:t>
            </w:r>
          </w:p>
          <w:p w14:paraId="2A322103" w14:textId="77777777" w:rsidR="007516B7" w:rsidRPr="007215A1" w:rsidRDefault="007516B7" w:rsidP="00AB489B">
            <w:pPr>
              <w:rPr>
                <w:sz w:val="20"/>
                <w:szCs w:val="20"/>
                <w:lang w:val="en-CA" w:eastAsia="en-CA"/>
              </w:rPr>
            </w:pPr>
          </w:p>
          <w:p w14:paraId="71C68E5D" w14:textId="77777777" w:rsidR="00D82463" w:rsidRPr="007215A1" w:rsidRDefault="007516B7" w:rsidP="00AB489B">
            <w:pPr>
              <w:rPr>
                <w:sz w:val="20"/>
                <w:szCs w:val="20"/>
                <w:lang w:val="en-CA" w:eastAsia="en-CA"/>
              </w:rPr>
            </w:pPr>
            <w:r w:rsidRPr="007215A1">
              <w:rPr>
                <w:sz w:val="20"/>
                <w:szCs w:val="20"/>
                <w:lang w:val="en-CA" w:eastAsia="en-CA"/>
              </w:rPr>
              <w:t xml:space="preserve">Q: What are the barriers faced by EE members when trying to reach the </w:t>
            </w:r>
            <w:proofErr w:type="gramStart"/>
            <w:r w:rsidRPr="007215A1">
              <w:rPr>
                <w:sz w:val="20"/>
                <w:szCs w:val="20"/>
                <w:lang w:val="en-CA" w:eastAsia="en-CA"/>
              </w:rPr>
              <w:t>EX cadre</w:t>
            </w:r>
            <w:proofErr w:type="gramEnd"/>
            <w:r w:rsidRPr="007215A1">
              <w:rPr>
                <w:sz w:val="20"/>
                <w:szCs w:val="20"/>
                <w:lang w:val="en-CA" w:eastAsia="en-CA"/>
              </w:rPr>
              <w:t>?</w:t>
            </w:r>
            <w:r w:rsidR="00266ABE" w:rsidRPr="007215A1">
              <w:rPr>
                <w:sz w:val="20"/>
                <w:szCs w:val="20"/>
                <w:lang w:val="en-CA" w:eastAsia="en-CA"/>
              </w:rPr>
              <w:t xml:space="preserve"> </w:t>
            </w:r>
          </w:p>
          <w:p w14:paraId="16F5729C" w14:textId="5C4647CA" w:rsidR="007516B7" w:rsidRPr="007215A1" w:rsidRDefault="00D82463" w:rsidP="00AB489B">
            <w:pPr>
              <w:rPr>
                <w:sz w:val="20"/>
                <w:szCs w:val="20"/>
                <w:lang w:val="en-CA" w:eastAsia="en-CA"/>
              </w:rPr>
            </w:pPr>
            <w:r w:rsidRPr="007215A1">
              <w:rPr>
                <w:sz w:val="20"/>
                <w:szCs w:val="20"/>
                <w:lang w:val="en-CA" w:eastAsia="en-CA"/>
              </w:rPr>
              <w:t xml:space="preserve">Q: </w:t>
            </w:r>
            <w:r w:rsidR="00AA1A4E" w:rsidRPr="007215A1">
              <w:rPr>
                <w:sz w:val="20"/>
                <w:szCs w:val="20"/>
                <w:lang w:val="en-CA" w:eastAsia="en-CA"/>
              </w:rPr>
              <w:t>Are equity seeking groups equally represented in</w:t>
            </w:r>
            <w:r w:rsidR="001A46E4" w:rsidRPr="007215A1">
              <w:rPr>
                <w:sz w:val="20"/>
                <w:szCs w:val="20"/>
                <w:lang w:val="en-CA" w:eastAsia="en-CA"/>
              </w:rPr>
              <w:t xml:space="preserve"> the </w:t>
            </w:r>
            <w:proofErr w:type="gramStart"/>
            <w:r w:rsidR="00266ABE" w:rsidRPr="007215A1">
              <w:rPr>
                <w:sz w:val="20"/>
                <w:szCs w:val="20"/>
                <w:lang w:val="en-CA" w:eastAsia="en-CA"/>
              </w:rPr>
              <w:t>EX Feeder</w:t>
            </w:r>
            <w:proofErr w:type="gramEnd"/>
            <w:r w:rsidR="00266ABE" w:rsidRPr="007215A1">
              <w:rPr>
                <w:sz w:val="20"/>
                <w:szCs w:val="20"/>
                <w:lang w:val="en-CA" w:eastAsia="en-CA"/>
              </w:rPr>
              <w:t xml:space="preserve"> Groups?</w:t>
            </w:r>
          </w:p>
          <w:p w14:paraId="60294069" w14:textId="190CC173" w:rsidR="00266ABE" w:rsidRPr="007215A1" w:rsidRDefault="00266ABE" w:rsidP="00AB489B">
            <w:pPr>
              <w:rPr>
                <w:sz w:val="20"/>
                <w:szCs w:val="20"/>
                <w:lang w:val="en-CA" w:eastAsia="en-CA"/>
              </w:rPr>
            </w:pPr>
            <w:r w:rsidRPr="007215A1">
              <w:rPr>
                <w:sz w:val="20"/>
                <w:szCs w:val="20"/>
                <w:lang w:val="en-CA" w:eastAsia="en-CA"/>
              </w:rPr>
              <w:t xml:space="preserve">Q: Are EE members participating in promotion processes? </w:t>
            </w:r>
          </w:p>
        </w:tc>
        <w:tc>
          <w:tcPr>
            <w:tcW w:w="2694" w:type="dxa"/>
          </w:tcPr>
          <w:p w14:paraId="2998F18F" w14:textId="77777777" w:rsidR="007516B7" w:rsidRPr="007215A1" w:rsidRDefault="007516B7" w:rsidP="00AB489B">
            <w:pPr>
              <w:rPr>
                <w:rFonts w:cs="Arial"/>
                <w:sz w:val="20"/>
                <w:szCs w:val="20"/>
                <w:lang w:val="en-CA"/>
              </w:rPr>
            </w:pPr>
            <w:r w:rsidRPr="007215A1">
              <w:rPr>
                <w:rFonts w:cs="Arial"/>
                <w:sz w:val="20"/>
                <w:szCs w:val="20"/>
                <w:lang w:val="en-CA"/>
              </w:rPr>
              <w:t xml:space="preserve">Provide evidence to inform policy discussions on barriers faced by designated EE groups when trying to reach the </w:t>
            </w:r>
            <w:proofErr w:type="gramStart"/>
            <w:r w:rsidRPr="007215A1">
              <w:rPr>
                <w:rFonts w:cs="Arial"/>
                <w:sz w:val="20"/>
                <w:szCs w:val="20"/>
                <w:lang w:val="en-CA"/>
              </w:rPr>
              <w:t>EX cadre</w:t>
            </w:r>
            <w:proofErr w:type="gramEnd"/>
            <w:r w:rsidRPr="007215A1">
              <w:rPr>
                <w:rFonts w:cs="Arial"/>
                <w:sz w:val="20"/>
                <w:szCs w:val="20"/>
                <w:lang w:val="en-CA"/>
              </w:rPr>
              <w:t xml:space="preserve">. </w:t>
            </w:r>
          </w:p>
        </w:tc>
        <w:tc>
          <w:tcPr>
            <w:tcW w:w="3969" w:type="dxa"/>
          </w:tcPr>
          <w:p w14:paraId="6B77C6A0" w14:textId="77777777" w:rsidR="007516B7" w:rsidRPr="007215A1" w:rsidRDefault="007516B7" w:rsidP="00AB489B">
            <w:pPr>
              <w:rPr>
                <w:rFonts w:cs="Arial"/>
                <w:sz w:val="20"/>
                <w:szCs w:val="20"/>
                <w:lang w:val="en-CA"/>
              </w:rPr>
            </w:pPr>
            <w:r w:rsidRPr="007215A1">
              <w:rPr>
                <w:rFonts w:cs="Arial"/>
                <w:sz w:val="20"/>
                <w:szCs w:val="20"/>
                <w:u w:val="single"/>
                <w:lang w:val="en-CA"/>
              </w:rPr>
              <w:t>FTE</w:t>
            </w:r>
            <w:r w:rsidRPr="007215A1">
              <w:rPr>
                <w:rFonts w:cs="Arial"/>
                <w:sz w:val="20"/>
                <w:szCs w:val="20"/>
                <w:lang w:val="en-CA"/>
              </w:rPr>
              <w:t>: ½</w:t>
            </w:r>
          </w:p>
          <w:p w14:paraId="6D0BD37F" w14:textId="77777777" w:rsidR="007516B7" w:rsidRPr="007215A1" w:rsidRDefault="007516B7" w:rsidP="00AB489B">
            <w:pPr>
              <w:rPr>
                <w:rFonts w:cs="Arial"/>
                <w:sz w:val="20"/>
                <w:szCs w:val="20"/>
                <w:u w:val="single"/>
                <w:lang w:val="en-CA"/>
              </w:rPr>
            </w:pPr>
          </w:p>
          <w:p w14:paraId="79BD9436" w14:textId="12CF9AF6" w:rsidR="007516B7" w:rsidRPr="007215A1" w:rsidRDefault="007516B7" w:rsidP="00AB489B">
            <w:pPr>
              <w:rPr>
                <w:rFonts w:cs="Arial"/>
                <w:sz w:val="20"/>
                <w:szCs w:val="20"/>
                <w:u w:val="single"/>
                <w:lang w:val="en-CA"/>
              </w:rPr>
            </w:pPr>
            <w:r w:rsidRPr="007215A1">
              <w:rPr>
                <w:rFonts w:cs="Arial"/>
                <w:sz w:val="20"/>
                <w:szCs w:val="20"/>
                <w:u w:val="single"/>
                <w:lang w:val="en-CA"/>
              </w:rPr>
              <w:t>Data</w:t>
            </w:r>
            <w:r w:rsidRPr="007215A1">
              <w:rPr>
                <w:rFonts w:cs="Arial"/>
                <w:sz w:val="20"/>
                <w:szCs w:val="20"/>
                <w:lang w:val="en-CA"/>
              </w:rPr>
              <w:t xml:space="preserve">: Administrative sources, </w:t>
            </w:r>
            <w:r w:rsidR="00D82463" w:rsidRPr="007215A1">
              <w:rPr>
                <w:rFonts w:cs="Arial"/>
                <w:sz w:val="20"/>
                <w:szCs w:val="20"/>
                <w:lang w:val="en-CA"/>
              </w:rPr>
              <w:t xml:space="preserve">Literature reviews, </w:t>
            </w:r>
            <w:r w:rsidR="00AD6C7A" w:rsidRPr="007215A1">
              <w:rPr>
                <w:rFonts w:cs="Arial"/>
                <w:sz w:val="20"/>
                <w:szCs w:val="20"/>
                <w:lang w:val="en-CA"/>
              </w:rPr>
              <w:t>Survey</w:t>
            </w:r>
            <w:r w:rsidR="00CD257D" w:rsidRPr="007215A1">
              <w:rPr>
                <w:rFonts w:cs="Arial"/>
                <w:sz w:val="20"/>
                <w:szCs w:val="20"/>
                <w:lang w:val="en-CA"/>
              </w:rPr>
              <w:t xml:space="preserve"> data</w:t>
            </w:r>
            <w:r w:rsidR="0089772F" w:rsidRPr="007215A1">
              <w:rPr>
                <w:rFonts w:cs="Arial"/>
                <w:sz w:val="20"/>
                <w:szCs w:val="20"/>
                <w:lang w:val="en-CA"/>
              </w:rPr>
              <w:t xml:space="preserve"> (</w:t>
            </w:r>
            <w:proofErr w:type="gramStart"/>
            <w:r w:rsidR="0089772F" w:rsidRPr="007215A1">
              <w:rPr>
                <w:rFonts w:cs="Arial"/>
                <w:sz w:val="20"/>
                <w:szCs w:val="20"/>
                <w:lang w:val="en-CA"/>
              </w:rPr>
              <w:t>e.g.</w:t>
            </w:r>
            <w:proofErr w:type="gramEnd"/>
            <w:r w:rsidR="0089772F" w:rsidRPr="007215A1">
              <w:rPr>
                <w:rFonts w:cs="Arial"/>
                <w:sz w:val="20"/>
                <w:szCs w:val="20"/>
                <w:lang w:val="en-CA"/>
              </w:rPr>
              <w:t xml:space="preserve"> SNPS)</w:t>
            </w:r>
          </w:p>
        </w:tc>
      </w:tr>
      <w:tr w:rsidR="007516B7" w:rsidRPr="005F3776" w14:paraId="367D4BD8" w14:textId="77777777" w:rsidTr="00101877">
        <w:tc>
          <w:tcPr>
            <w:tcW w:w="562" w:type="dxa"/>
          </w:tcPr>
          <w:p w14:paraId="0B9096B6" w14:textId="77777777" w:rsidR="007516B7" w:rsidRPr="007215A1" w:rsidRDefault="007516B7" w:rsidP="00AB489B">
            <w:pPr>
              <w:rPr>
                <w:rFonts w:cs="Arial"/>
                <w:sz w:val="20"/>
                <w:szCs w:val="20"/>
                <w:lang w:val="en-CA"/>
              </w:rPr>
            </w:pPr>
            <w:r w:rsidRPr="007215A1">
              <w:rPr>
                <w:rFonts w:cs="Arial"/>
                <w:sz w:val="20"/>
                <w:szCs w:val="20"/>
                <w:lang w:val="en-CA"/>
              </w:rPr>
              <w:t>5</w:t>
            </w:r>
          </w:p>
        </w:tc>
        <w:tc>
          <w:tcPr>
            <w:tcW w:w="3544" w:type="dxa"/>
          </w:tcPr>
          <w:p w14:paraId="44F280BC" w14:textId="14DD8B11" w:rsidR="007516B7" w:rsidRPr="007215A1" w:rsidRDefault="008A69BB" w:rsidP="00AB489B">
            <w:pPr>
              <w:rPr>
                <w:rFonts w:cs="Arial"/>
                <w:b/>
                <w:sz w:val="20"/>
                <w:szCs w:val="20"/>
                <w:u w:val="single"/>
                <w:lang w:val="en-CA"/>
              </w:rPr>
            </w:pPr>
            <w:r w:rsidRPr="007215A1">
              <w:rPr>
                <w:rFonts w:cs="Arial"/>
                <w:b/>
                <w:sz w:val="20"/>
                <w:szCs w:val="20"/>
                <w:u w:val="single"/>
                <w:lang w:val="en-CA"/>
              </w:rPr>
              <w:t xml:space="preserve">Analysis of </w:t>
            </w:r>
            <w:r w:rsidR="007516B7" w:rsidRPr="007215A1">
              <w:rPr>
                <w:rFonts w:cs="Arial"/>
                <w:b/>
                <w:sz w:val="20"/>
                <w:szCs w:val="20"/>
                <w:u w:val="single"/>
                <w:lang w:val="en-CA"/>
              </w:rPr>
              <w:t xml:space="preserve">Students </w:t>
            </w:r>
            <w:r w:rsidRPr="007215A1">
              <w:rPr>
                <w:rFonts w:cs="Arial"/>
                <w:b/>
                <w:sz w:val="20"/>
                <w:szCs w:val="20"/>
                <w:u w:val="single"/>
                <w:lang w:val="en-CA"/>
              </w:rPr>
              <w:t xml:space="preserve">hired </w:t>
            </w:r>
            <w:r w:rsidR="007516B7" w:rsidRPr="007215A1">
              <w:rPr>
                <w:rFonts w:cs="Arial"/>
                <w:b/>
                <w:sz w:val="20"/>
                <w:szCs w:val="20"/>
                <w:u w:val="single"/>
                <w:lang w:val="en-CA"/>
              </w:rPr>
              <w:t>as casual with GBA+ lens</w:t>
            </w:r>
          </w:p>
          <w:p w14:paraId="2641841D" w14:textId="77777777" w:rsidR="007516B7" w:rsidRPr="007215A1" w:rsidRDefault="007516B7" w:rsidP="00AB489B">
            <w:pPr>
              <w:rPr>
                <w:rFonts w:cs="Arial"/>
                <w:b/>
                <w:sz w:val="20"/>
                <w:szCs w:val="20"/>
                <w:u w:val="single"/>
                <w:lang w:val="en-CA"/>
              </w:rPr>
            </w:pPr>
          </w:p>
          <w:p w14:paraId="3A7621E1" w14:textId="77777777" w:rsidR="007516B7" w:rsidRPr="007215A1" w:rsidRDefault="007516B7" w:rsidP="00AB489B">
            <w:pPr>
              <w:rPr>
                <w:rFonts w:cs="Arial"/>
                <w:b/>
                <w:sz w:val="20"/>
                <w:szCs w:val="20"/>
                <w:lang w:val="en-CA"/>
              </w:rPr>
            </w:pPr>
            <w:r w:rsidRPr="007215A1">
              <w:rPr>
                <w:rFonts w:cs="Arial"/>
                <w:b/>
                <w:sz w:val="20"/>
                <w:szCs w:val="20"/>
                <w:u w:val="single"/>
                <w:lang w:val="en-CA"/>
              </w:rPr>
              <w:t>Source:</w:t>
            </w:r>
            <w:r w:rsidRPr="007215A1">
              <w:rPr>
                <w:rFonts w:cs="Arial"/>
                <w:b/>
                <w:sz w:val="20"/>
                <w:szCs w:val="20"/>
                <w:lang w:val="en-CA"/>
              </w:rPr>
              <w:t xml:space="preserve"> Integration Committee, OIS Extended SMC</w:t>
            </w:r>
          </w:p>
          <w:p w14:paraId="60FE8A4E" w14:textId="77777777" w:rsidR="007516B7" w:rsidRPr="007215A1" w:rsidRDefault="007516B7" w:rsidP="00AB489B">
            <w:pPr>
              <w:rPr>
                <w:rFonts w:cs="Arial"/>
                <w:b/>
                <w:sz w:val="20"/>
                <w:szCs w:val="20"/>
                <w:u w:val="single"/>
                <w:lang w:val="en-CA"/>
              </w:rPr>
            </w:pPr>
          </w:p>
          <w:p w14:paraId="200CBCD0" w14:textId="77777777" w:rsidR="007516B7" w:rsidRPr="007215A1" w:rsidRDefault="007516B7" w:rsidP="00AB489B">
            <w:pPr>
              <w:rPr>
                <w:rFonts w:cs="Arial"/>
                <w:b/>
                <w:sz w:val="20"/>
                <w:szCs w:val="20"/>
                <w:u w:val="single"/>
                <w:lang w:val="en-CA"/>
              </w:rPr>
            </w:pPr>
            <w:r w:rsidRPr="007215A1">
              <w:rPr>
                <w:rFonts w:cs="Arial"/>
                <w:b/>
                <w:sz w:val="20"/>
                <w:szCs w:val="20"/>
                <w:u w:val="single"/>
                <w:lang w:val="en-CA"/>
              </w:rPr>
              <w:t>Client: Corporate Affairs Sector (GBA+ Team)</w:t>
            </w:r>
          </w:p>
        </w:tc>
        <w:tc>
          <w:tcPr>
            <w:tcW w:w="6662" w:type="dxa"/>
          </w:tcPr>
          <w:p w14:paraId="23B42F50" w14:textId="646CA263" w:rsidR="007516B7" w:rsidRPr="007215A1" w:rsidRDefault="007516B7" w:rsidP="00AB489B">
            <w:pPr>
              <w:rPr>
                <w:sz w:val="20"/>
                <w:szCs w:val="20"/>
                <w:lang w:val="en-CA" w:eastAsia="en-CA"/>
              </w:rPr>
            </w:pPr>
            <w:r w:rsidRPr="007215A1">
              <w:rPr>
                <w:sz w:val="20"/>
                <w:szCs w:val="20"/>
                <w:lang w:val="en-CA" w:eastAsia="en-CA"/>
              </w:rPr>
              <w:t xml:space="preserve">Updates to an analysis of students </w:t>
            </w:r>
            <w:r w:rsidR="008A69BB" w:rsidRPr="007215A1">
              <w:rPr>
                <w:sz w:val="20"/>
                <w:szCs w:val="20"/>
                <w:lang w:val="en-CA" w:eastAsia="en-CA"/>
              </w:rPr>
              <w:t xml:space="preserve">hired </w:t>
            </w:r>
            <w:r w:rsidRPr="007215A1">
              <w:rPr>
                <w:sz w:val="20"/>
                <w:szCs w:val="20"/>
                <w:lang w:val="en-CA" w:eastAsia="en-CA"/>
              </w:rPr>
              <w:t>as casuals have been made for several years. During our last IC presentation, we were asked to look at the data using a GBA+ lens to investigate whether students who self-declared as members of designated EE groups were negatively impacted by this phenomenon. We know from previous analysis that casual employment is often an entry door to indeterminate</w:t>
            </w:r>
            <w:r w:rsidR="00DB6E90" w:rsidRPr="007215A1">
              <w:rPr>
                <w:sz w:val="20"/>
                <w:szCs w:val="20"/>
                <w:lang w:val="en-CA" w:eastAsia="en-CA"/>
              </w:rPr>
              <w:t xml:space="preserve"> and term</w:t>
            </w:r>
            <w:r w:rsidRPr="007215A1">
              <w:rPr>
                <w:sz w:val="20"/>
                <w:szCs w:val="20"/>
                <w:lang w:val="en-CA" w:eastAsia="en-CA"/>
              </w:rPr>
              <w:t xml:space="preserve"> positions and can therefore be an advantage relative to other candidates in future job opportunities.</w:t>
            </w:r>
          </w:p>
          <w:p w14:paraId="5287C8EF" w14:textId="77777777" w:rsidR="007516B7" w:rsidRPr="007215A1" w:rsidRDefault="007516B7" w:rsidP="00AB489B">
            <w:pPr>
              <w:rPr>
                <w:sz w:val="20"/>
                <w:szCs w:val="20"/>
                <w:lang w:val="en-CA" w:eastAsia="en-CA"/>
              </w:rPr>
            </w:pPr>
          </w:p>
          <w:p w14:paraId="3AD4681D" w14:textId="77777777" w:rsidR="007516B7" w:rsidRPr="007215A1" w:rsidRDefault="007516B7" w:rsidP="00AB489B">
            <w:pPr>
              <w:rPr>
                <w:sz w:val="20"/>
                <w:szCs w:val="20"/>
                <w:lang w:val="en-CA" w:eastAsia="en-CA"/>
              </w:rPr>
            </w:pPr>
            <w:r w:rsidRPr="007215A1">
              <w:rPr>
                <w:sz w:val="20"/>
                <w:szCs w:val="20"/>
                <w:lang w:val="en-CA" w:eastAsia="en-CA"/>
              </w:rPr>
              <w:t>Q: To what extent do students who self-declare as members of designated EE groups benefit from casual positions?</w:t>
            </w:r>
          </w:p>
          <w:p w14:paraId="3E344D7E" w14:textId="01D11C9C" w:rsidR="0097276F" w:rsidRPr="007215A1" w:rsidRDefault="0097276F" w:rsidP="00AB489B">
            <w:pPr>
              <w:rPr>
                <w:sz w:val="20"/>
                <w:szCs w:val="20"/>
                <w:lang w:val="en-CA" w:eastAsia="en-CA"/>
              </w:rPr>
            </w:pPr>
            <w:r w:rsidRPr="007215A1">
              <w:rPr>
                <w:sz w:val="20"/>
                <w:szCs w:val="20"/>
                <w:lang w:val="en-CA" w:eastAsia="en-CA"/>
              </w:rPr>
              <w:t xml:space="preserve">Q: To what extent are students registered in the FSWEP or RAP programs hired as casuals rather than as students? </w:t>
            </w:r>
            <w:r w:rsidRPr="007215A1">
              <w:rPr>
                <w:sz w:val="20"/>
                <w:szCs w:val="20"/>
                <w:lang w:val="en-CA" w:eastAsia="en-CA"/>
              </w:rPr>
              <w:br/>
              <w:t>Q: Of the casual appointments, how many are likely to have finished their academic studies vs how many are transitioning to other forms of employment in the public service?</w:t>
            </w:r>
          </w:p>
        </w:tc>
        <w:tc>
          <w:tcPr>
            <w:tcW w:w="2694" w:type="dxa"/>
          </w:tcPr>
          <w:p w14:paraId="778DBE5A" w14:textId="77777777" w:rsidR="007516B7" w:rsidRPr="007215A1" w:rsidRDefault="007516B7" w:rsidP="00AB489B">
            <w:pPr>
              <w:rPr>
                <w:rFonts w:cs="Arial"/>
                <w:sz w:val="20"/>
                <w:szCs w:val="20"/>
                <w:lang w:val="en-CA"/>
              </w:rPr>
            </w:pPr>
            <w:r w:rsidRPr="007215A1">
              <w:rPr>
                <w:rFonts w:cs="Arial"/>
                <w:sz w:val="20"/>
                <w:szCs w:val="20"/>
                <w:lang w:val="en-CA"/>
              </w:rPr>
              <w:t>Provide evidence to inform policy discussions on whether students who are members of designated groups are disadvantaged by this practice.</w:t>
            </w:r>
          </w:p>
        </w:tc>
        <w:tc>
          <w:tcPr>
            <w:tcW w:w="3969" w:type="dxa"/>
          </w:tcPr>
          <w:p w14:paraId="13CC6BE6" w14:textId="77777777" w:rsidR="007516B7" w:rsidRPr="007215A1" w:rsidRDefault="007516B7" w:rsidP="00AB489B">
            <w:pPr>
              <w:rPr>
                <w:rFonts w:cs="Arial"/>
                <w:sz w:val="20"/>
                <w:szCs w:val="20"/>
                <w:lang w:val="en-CA"/>
              </w:rPr>
            </w:pPr>
            <w:r w:rsidRPr="007215A1">
              <w:rPr>
                <w:rFonts w:cs="Arial"/>
                <w:sz w:val="20"/>
                <w:szCs w:val="20"/>
                <w:u w:val="single"/>
                <w:lang w:val="en-CA"/>
              </w:rPr>
              <w:t>FTE</w:t>
            </w:r>
            <w:r w:rsidRPr="007215A1">
              <w:rPr>
                <w:rFonts w:cs="Arial"/>
                <w:sz w:val="20"/>
                <w:szCs w:val="20"/>
                <w:lang w:val="en-CA"/>
              </w:rPr>
              <w:t xml:space="preserve">: ¼ </w:t>
            </w:r>
          </w:p>
          <w:p w14:paraId="24540AEE" w14:textId="77777777" w:rsidR="007516B7" w:rsidRPr="007215A1" w:rsidRDefault="007516B7" w:rsidP="00AB489B">
            <w:pPr>
              <w:rPr>
                <w:rFonts w:cs="Arial"/>
                <w:sz w:val="20"/>
                <w:szCs w:val="20"/>
                <w:u w:val="single"/>
                <w:lang w:val="en-CA"/>
              </w:rPr>
            </w:pPr>
          </w:p>
          <w:p w14:paraId="47342507" w14:textId="5D291508" w:rsidR="007516B7" w:rsidRPr="007215A1" w:rsidRDefault="007516B7" w:rsidP="00AB489B">
            <w:pPr>
              <w:rPr>
                <w:rFonts w:cs="Arial"/>
                <w:sz w:val="20"/>
                <w:szCs w:val="20"/>
                <w:u w:val="single"/>
                <w:lang w:val="en-CA"/>
              </w:rPr>
            </w:pPr>
            <w:r w:rsidRPr="007215A1">
              <w:rPr>
                <w:rFonts w:cs="Arial"/>
                <w:sz w:val="20"/>
                <w:szCs w:val="20"/>
                <w:u w:val="single"/>
                <w:lang w:val="en-CA"/>
              </w:rPr>
              <w:t>Data</w:t>
            </w:r>
            <w:r w:rsidRPr="007215A1">
              <w:rPr>
                <w:rFonts w:cs="Arial"/>
                <w:sz w:val="20"/>
                <w:szCs w:val="20"/>
                <w:lang w:val="en-CA"/>
              </w:rPr>
              <w:t xml:space="preserve">: </w:t>
            </w:r>
            <w:r w:rsidR="0097276F" w:rsidRPr="007215A1">
              <w:rPr>
                <w:rFonts w:cs="Arial"/>
                <w:sz w:val="20"/>
                <w:szCs w:val="20"/>
                <w:lang w:val="en-CA"/>
              </w:rPr>
              <w:t>PSRS advertisement and application files and PSC staffing datasets</w:t>
            </w:r>
          </w:p>
        </w:tc>
      </w:tr>
      <w:tr w:rsidR="007516B7" w:rsidRPr="005F3776" w14:paraId="68C72635" w14:textId="77777777" w:rsidTr="00101877">
        <w:tc>
          <w:tcPr>
            <w:tcW w:w="562" w:type="dxa"/>
          </w:tcPr>
          <w:p w14:paraId="7FD37030" w14:textId="77777777" w:rsidR="007516B7" w:rsidRPr="007215A1" w:rsidRDefault="007516B7" w:rsidP="00AB489B">
            <w:pPr>
              <w:rPr>
                <w:rFonts w:cs="Arial"/>
                <w:sz w:val="20"/>
                <w:szCs w:val="20"/>
                <w:lang w:val="en-CA"/>
              </w:rPr>
            </w:pPr>
            <w:r w:rsidRPr="007215A1">
              <w:rPr>
                <w:rFonts w:cs="Arial"/>
                <w:sz w:val="20"/>
                <w:szCs w:val="20"/>
                <w:lang w:val="en-CA"/>
              </w:rPr>
              <w:lastRenderedPageBreak/>
              <w:t>6</w:t>
            </w:r>
          </w:p>
        </w:tc>
        <w:tc>
          <w:tcPr>
            <w:tcW w:w="3544" w:type="dxa"/>
          </w:tcPr>
          <w:p w14:paraId="6D83CFA8" w14:textId="77777777" w:rsidR="007516B7" w:rsidRPr="007215A1" w:rsidRDefault="007516B7" w:rsidP="00AB489B">
            <w:pPr>
              <w:rPr>
                <w:rFonts w:cs="Arial"/>
                <w:b/>
                <w:bCs/>
                <w:sz w:val="20"/>
                <w:szCs w:val="20"/>
                <w:u w:val="single"/>
                <w:lang w:val="en-CA"/>
              </w:rPr>
            </w:pPr>
            <w:r w:rsidRPr="007215A1">
              <w:rPr>
                <w:rFonts w:cs="Arial"/>
                <w:b/>
                <w:sz w:val="20"/>
                <w:szCs w:val="20"/>
                <w:u w:val="single"/>
                <w:lang w:val="en-CA"/>
              </w:rPr>
              <w:t>Integration and retention of EE students</w:t>
            </w:r>
          </w:p>
          <w:p w14:paraId="74C2415C" w14:textId="77777777" w:rsidR="007516B7" w:rsidRPr="007215A1" w:rsidRDefault="007516B7" w:rsidP="00AB489B">
            <w:pPr>
              <w:rPr>
                <w:rFonts w:cs="Arial"/>
                <w:b/>
                <w:bCs/>
                <w:sz w:val="20"/>
                <w:szCs w:val="20"/>
                <w:u w:val="single"/>
                <w:lang w:val="en-CA"/>
              </w:rPr>
            </w:pPr>
          </w:p>
          <w:p w14:paraId="5B5264D3" w14:textId="77777777" w:rsidR="007516B7" w:rsidRPr="007215A1" w:rsidRDefault="007516B7" w:rsidP="00AB489B">
            <w:pPr>
              <w:rPr>
                <w:rFonts w:cs="Arial"/>
                <w:b/>
                <w:bCs/>
                <w:sz w:val="20"/>
                <w:szCs w:val="20"/>
                <w:u w:val="single"/>
                <w:lang w:val="en-CA"/>
              </w:rPr>
            </w:pPr>
            <w:r w:rsidRPr="007215A1">
              <w:rPr>
                <w:rFonts w:cs="Arial"/>
                <w:b/>
                <w:bCs/>
                <w:sz w:val="20"/>
                <w:szCs w:val="20"/>
                <w:u w:val="single"/>
                <w:lang w:val="en-CA"/>
              </w:rPr>
              <w:t>Source: SBDS</w:t>
            </w:r>
          </w:p>
          <w:p w14:paraId="02F2DCFB" w14:textId="77777777" w:rsidR="007516B7" w:rsidRPr="007215A1" w:rsidRDefault="007516B7" w:rsidP="00AB489B">
            <w:pPr>
              <w:rPr>
                <w:rFonts w:cs="Arial"/>
                <w:b/>
                <w:bCs/>
                <w:sz w:val="20"/>
                <w:szCs w:val="20"/>
                <w:u w:val="single"/>
                <w:lang w:val="en-CA"/>
              </w:rPr>
            </w:pPr>
          </w:p>
          <w:p w14:paraId="3A1432FF" w14:textId="77777777" w:rsidR="007516B7" w:rsidRPr="007215A1" w:rsidRDefault="007516B7" w:rsidP="00AB489B">
            <w:pPr>
              <w:rPr>
                <w:rFonts w:cs="Arial"/>
                <w:sz w:val="20"/>
                <w:szCs w:val="20"/>
                <w:lang w:val="en-CA"/>
              </w:rPr>
            </w:pPr>
            <w:r w:rsidRPr="007215A1">
              <w:rPr>
                <w:rFonts w:cs="Arial"/>
                <w:b/>
                <w:bCs/>
                <w:sz w:val="20"/>
                <w:szCs w:val="20"/>
                <w:u w:val="single"/>
                <w:lang w:val="en-CA"/>
              </w:rPr>
              <w:t>Client: SBDS</w:t>
            </w:r>
          </w:p>
        </w:tc>
        <w:tc>
          <w:tcPr>
            <w:tcW w:w="6662" w:type="dxa"/>
          </w:tcPr>
          <w:p w14:paraId="33F521C1" w14:textId="77777777" w:rsidR="007516B7" w:rsidRPr="007215A1" w:rsidRDefault="007516B7" w:rsidP="00AB489B">
            <w:pPr>
              <w:rPr>
                <w:sz w:val="20"/>
                <w:szCs w:val="20"/>
                <w:lang w:val="en-CA" w:eastAsia="en-CA"/>
              </w:rPr>
            </w:pPr>
            <w:r w:rsidRPr="007215A1">
              <w:rPr>
                <w:sz w:val="20"/>
                <w:szCs w:val="20"/>
                <w:lang w:val="en-CA" w:eastAsia="en-CA"/>
              </w:rPr>
              <w:t>The PSC has put together several initiatives to attract students of diverse background. However, we have no information on the long-term outcomes of those programs (</w:t>
            </w:r>
            <w:proofErr w:type="gramStart"/>
            <w:r w:rsidRPr="007215A1">
              <w:rPr>
                <w:sz w:val="20"/>
                <w:szCs w:val="20"/>
                <w:lang w:val="en-CA" w:eastAsia="en-CA"/>
              </w:rPr>
              <w:t>i.e.</w:t>
            </w:r>
            <w:proofErr w:type="gramEnd"/>
            <w:r w:rsidRPr="007215A1">
              <w:rPr>
                <w:sz w:val="20"/>
                <w:szCs w:val="20"/>
                <w:lang w:val="en-CA" w:eastAsia="en-CA"/>
              </w:rPr>
              <w:t xml:space="preserve"> student reemployment, bridging, casual/term/indeterminate career).</w:t>
            </w:r>
          </w:p>
          <w:p w14:paraId="5E1CADAC" w14:textId="77777777" w:rsidR="007516B7" w:rsidRPr="007215A1" w:rsidRDefault="007516B7" w:rsidP="00AB489B">
            <w:pPr>
              <w:rPr>
                <w:sz w:val="20"/>
                <w:szCs w:val="20"/>
                <w:lang w:val="en-CA" w:eastAsia="en-CA"/>
              </w:rPr>
            </w:pPr>
          </w:p>
          <w:p w14:paraId="0D3F810B" w14:textId="3A9DFAB2" w:rsidR="007516B7" w:rsidRPr="007215A1" w:rsidRDefault="007516B7" w:rsidP="00AB489B">
            <w:pPr>
              <w:rPr>
                <w:sz w:val="20"/>
                <w:szCs w:val="20"/>
                <w:lang w:val="en-CA" w:eastAsia="en-CA"/>
              </w:rPr>
            </w:pPr>
            <w:r w:rsidRPr="007215A1">
              <w:rPr>
                <w:sz w:val="20"/>
                <w:szCs w:val="20"/>
                <w:lang w:val="en-CA" w:eastAsia="en-CA"/>
              </w:rPr>
              <w:t>Q: To what degree are students who self-declare as members of EE groups retained and integrated in the</w:t>
            </w:r>
            <w:r w:rsidR="00641FCC" w:rsidRPr="007215A1">
              <w:rPr>
                <w:sz w:val="20"/>
                <w:szCs w:val="20"/>
                <w:lang w:val="en-CA" w:eastAsia="en-CA"/>
              </w:rPr>
              <w:t xml:space="preserve"> Federal Public Service</w:t>
            </w:r>
            <w:r w:rsidRPr="007215A1">
              <w:rPr>
                <w:sz w:val="20"/>
                <w:szCs w:val="20"/>
                <w:lang w:val="en-CA" w:eastAsia="en-CA"/>
              </w:rPr>
              <w:t xml:space="preserve"> workforce?</w:t>
            </w:r>
          </w:p>
        </w:tc>
        <w:tc>
          <w:tcPr>
            <w:tcW w:w="2694" w:type="dxa"/>
          </w:tcPr>
          <w:p w14:paraId="58464981" w14:textId="7DCD0B11" w:rsidR="007516B7" w:rsidRPr="007215A1" w:rsidRDefault="007516B7" w:rsidP="00AB489B">
            <w:pPr>
              <w:rPr>
                <w:rFonts w:cs="Arial"/>
                <w:sz w:val="20"/>
                <w:szCs w:val="20"/>
                <w:lang w:val="en-CA"/>
              </w:rPr>
            </w:pPr>
            <w:r w:rsidRPr="007215A1">
              <w:rPr>
                <w:rFonts w:cs="Arial"/>
                <w:sz w:val="20"/>
                <w:szCs w:val="20"/>
                <w:lang w:val="en-CA"/>
              </w:rPr>
              <w:t xml:space="preserve">Inform EE student programs on medium/long-term outcome of their programs. </w:t>
            </w:r>
            <w:r w:rsidR="00FF1B44" w:rsidRPr="007215A1">
              <w:rPr>
                <w:rFonts w:cs="Arial"/>
                <w:sz w:val="20"/>
                <w:szCs w:val="20"/>
                <w:lang w:val="en-CA"/>
              </w:rPr>
              <w:t>P</w:t>
            </w:r>
            <w:r w:rsidRPr="007215A1">
              <w:rPr>
                <w:rFonts w:cs="Arial"/>
                <w:sz w:val="20"/>
                <w:szCs w:val="20"/>
                <w:lang w:val="en-CA"/>
              </w:rPr>
              <w:t>rovide evidence to inform the programs on issues/barriers faced by participants.</w:t>
            </w:r>
          </w:p>
        </w:tc>
        <w:tc>
          <w:tcPr>
            <w:tcW w:w="3969" w:type="dxa"/>
          </w:tcPr>
          <w:p w14:paraId="1B7EB0C8" w14:textId="77777777" w:rsidR="007516B7" w:rsidRPr="007215A1" w:rsidRDefault="007516B7" w:rsidP="00AB489B">
            <w:pPr>
              <w:rPr>
                <w:rFonts w:cs="Arial"/>
                <w:sz w:val="20"/>
                <w:szCs w:val="20"/>
                <w:lang w:val="en-CA"/>
              </w:rPr>
            </w:pPr>
            <w:r w:rsidRPr="007215A1">
              <w:rPr>
                <w:rFonts w:cs="Arial"/>
                <w:sz w:val="20"/>
                <w:szCs w:val="20"/>
                <w:u w:val="single"/>
                <w:lang w:val="en-CA"/>
              </w:rPr>
              <w:t>FTE</w:t>
            </w:r>
            <w:r w:rsidRPr="007215A1">
              <w:rPr>
                <w:rFonts w:cs="Arial"/>
                <w:sz w:val="20"/>
                <w:szCs w:val="20"/>
                <w:lang w:val="en-CA"/>
              </w:rPr>
              <w:t xml:space="preserve">: ¼ </w:t>
            </w:r>
          </w:p>
          <w:p w14:paraId="6650B71B" w14:textId="77777777" w:rsidR="007516B7" w:rsidRPr="007215A1" w:rsidRDefault="007516B7" w:rsidP="00AB489B">
            <w:pPr>
              <w:rPr>
                <w:rFonts w:cs="Arial"/>
                <w:sz w:val="20"/>
                <w:szCs w:val="20"/>
                <w:u w:val="single"/>
                <w:lang w:val="en-CA"/>
              </w:rPr>
            </w:pPr>
          </w:p>
          <w:p w14:paraId="418D6777" w14:textId="2DA147EC" w:rsidR="007516B7" w:rsidRPr="007215A1" w:rsidRDefault="007516B7" w:rsidP="00AB489B">
            <w:pPr>
              <w:rPr>
                <w:rFonts w:cs="Arial"/>
                <w:sz w:val="20"/>
                <w:szCs w:val="20"/>
                <w:u w:val="single"/>
                <w:lang w:val="en-CA"/>
              </w:rPr>
            </w:pPr>
            <w:r w:rsidRPr="007215A1">
              <w:rPr>
                <w:rFonts w:cs="Arial"/>
                <w:sz w:val="20"/>
                <w:szCs w:val="20"/>
                <w:u w:val="single"/>
                <w:lang w:val="en-CA"/>
              </w:rPr>
              <w:t>Data</w:t>
            </w:r>
            <w:r w:rsidRPr="007215A1">
              <w:rPr>
                <w:rFonts w:cs="Arial"/>
                <w:sz w:val="20"/>
                <w:szCs w:val="20"/>
                <w:lang w:val="en-CA"/>
              </w:rPr>
              <w:t>: Administrative sources</w:t>
            </w:r>
            <w:r w:rsidR="00A538DC" w:rsidRPr="007215A1">
              <w:rPr>
                <w:rFonts w:cs="Arial"/>
                <w:sz w:val="20"/>
                <w:szCs w:val="20"/>
                <w:lang w:val="en-CA"/>
              </w:rPr>
              <w:t xml:space="preserve"> (PSRS self-declaration and EEDB self-identification)</w:t>
            </w:r>
          </w:p>
        </w:tc>
      </w:tr>
      <w:tr w:rsidR="007516B7" w:rsidRPr="007215A1" w14:paraId="2024F395" w14:textId="77777777" w:rsidTr="00101877">
        <w:tc>
          <w:tcPr>
            <w:tcW w:w="562" w:type="dxa"/>
          </w:tcPr>
          <w:p w14:paraId="334D0D3C" w14:textId="6548BB01" w:rsidR="007516B7" w:rsidRPr="007215A1" w:rsidRDefault="00AA1A4E" w:rsidP="00AB489B">
            <w:pPr>
              <w:rPr>
                <w:rFonts w:cs="Arial"/>
                <w:sz w:val="20"/>
                <w:szCs w:val="20"/>
                <w:lang w:val="en-CA"/>
              </w:rPr>
            </w:pPr>
            <w:r w:rsidRPr="007215A1">
              <w:rPr>
                <w:rFonts w:cs="Arial"/>
                <w:sz w:val="20"/>
                <w:szCs w:val="20"/>
                <w:lang w:val="en-CA"/>
              </w:rPr>
              <w:t>7</w:t>
            </w:r>
          </w:p>
        </w:tc>
        <w:tc>
          <w:tcPr>
            <w:tcW w:w="3544" w:type="dxa"/>
          </w:tcPr>
          <w:p w14:paraId="2E019210" w14:textId="1F751053" w:rsidR="007516B7" w:rsidRPr="007215A1" w:rsidRDefault="00283D44" w:rsidP="00AB489B">
            <w:pPr>
              <w:rPr>
                <w:rFonts w:cs="Arial"/>
                <w:b/>
                <w:bCs/>
                <w:sz w:val="20"/>
                <w:szCs w:val="20"/>
                <w:u w:val="single"/>
                <w:lang w:val="en-CA"/>
              </w:rPr>
            </w:pPr>
            <w:bookmarkStart w:id="22" w:name="_Hlk80688100"/>
            <w:r w:rsidRPr="007215A1">
              <w:rPr>
                <w:rFonts w:cs="Arial"/>
                <w:b/>
                <w:sz w:val="20"/>
                <w:szCs w:val="20"/>
                <w:u w:val="single"/>
                <w:lang w:val="en-CA"/>
              </w:rPr>
              <w:t>Impact of Non-Advertised Appointments</w:t>
            </w:r>
          </w:p>
          <w:bookmarkEnd w:id="22"/>
          <w:p w14:paraId="0D4D2C6F" w14:textId="77777777" w:rsidR="007516B7" w:rsidRPr="007215A1" w:rsidRDefault="007516B7" w:rsidP="00AB489B">
            <w:pPr>
              <w:rPr>
                <w:rFonts w:cs="Arial"/>
                <w:b/>
                <w:bCs/>
                <w:sz w:val="20"/>
                <w:szCs w:val="20"/>
                <w:u w:val="single"/>
                <w:lang w:val="en-CA"/>
              </w:rPr>
            </w:pPr>
          </w:p>
          <w:p w14:paraId="64AE4FC6" w14:textId="77777777" w:rsidR="007516B7" w:rsidRPr="007215A1" w:rsidRDefault="007516B7" w:rsidP="00AB489B">
            <w:pPr>
              <w:rPr>
                <w:rFonts w:cs="Arial"/>
                <w:b/>
                <w:bCs/>
                <w:sz w:val="20"/>
                <w:szCs w:val="20"/>
                <w:u w:val="single"/>
                <w:lang w:val="en-CA"/>
              </w:rPr>
            </w:pPr>
            <w:r w:rsidRPr="007215A1">
              <w:rPr>
                <w:rFonts w:cs="Arial"/>
                <w:b/>
                <w:bCs/>
                <w:sz w:val="20"/>
                <w:szCs w:val="20"/>
                <w:u w:val="single"/>
                <w:lang w:val="en-CA"/>
              </w:rPr>
              <w:t xml:space="preserve">Source: </w:t>
            </w:r>
            <w:r w:rsidRPr="007215A1">
              <w:rPr>
                <w:rFonts w:cs="Arial"/>
                <w:b/>
                <w:sz w:val="20"/>
                <w:szCs w:val="20"/>
                <w:u w:val="single"/>
                <w:lang w:val="en-CA"/>
              </w:rPr>
              <w:t>Policy and Communication Sector (PCS) / SSAD</w:t>
            </w:r>
          </w:p>
          <w:p w14:paraId="0E375AA4" w14:textId="77777777" w:rsidR="007516B7" w:rsidRPr="007215A1" w:rsidRDefault="007516B7" w:rsidP="00AB489B">
            <w:pPr>
              <w:rPr>
                <w:rFonts w:cs="Arial"/>
                <w:b/>
                <w:bCs/>
                <w:sz w:val="20"/>
                <w:szCs w:val="20"/>
                <w:u w:val="single"/>
                <w:lang w:val="en-CA"/>
              </w:rPr>
            </w:pPr>
          </w:p>
          <w:p w14:paraId="7C9CF4C8" w14:textId="5BAAC0A3" w:rsidR="007516B7" w:rsidRPr="007215A1" w:rsidRDefault="007516B7" w:rsidP="00AB489B">
            <w:pPr>
              <w:rPr>
                <w:rFonts w:cs="Arial"/>
                <w:sz w:val="20"/>
                <w:szCs w:val="20"/>
                <w:lang w:val="en-CA"/>
              </w:rPr>
            </w:pPr>
            <w:r w:rsidRPr="007215A1">
              <w:rPr>
                <w:rFonts w:cs="Arial"/>
                <w:b/>
                <w:bCs/>
                <w:sz w:val="20"/>
                <w:szCs w:val="20"/>
                <w:u w:val="single"/>
                <w:lang w:val="en-CA"/>
              </w:rPr>
              <w:t>Client:</w:t>
            </w:r>
            <w:r w:rsidRPr="007215A1">
              <w:rPr>
                <w:rFonts w:cs="Arial"/>
                <w:b/>
                <w:bCs/>
                <w:sz w:val="20"/>
                <w:szCs w:val="20"/>
                <w:lang w:val="en-CA"/>
              </w:rPr>
              <w:t xml:space="preserve"> SSAD</w:t>
            </w:r>
            <w:r w:rsidR="0071595A" w:rsidRPr="007215A1">
              <w:rPr>
                <w:rFonts w:cs="Arial"/>
                <w:b/>
                <w:bCs/>
                <w:sz w:val="20"/>
                <w:szCs w:val="20"/>
                <w:lang w:val="en-CA"/>
              </w:rPr>
              <w:t>, OIS Audit</w:t>
            </w:r>
          </w:p>
        </w:tc>
        <w:tc>
          <w:tcPr>
            <w:tcW w:w="6662" w:type="dxa"/>
          </w:tcPr>
          <w:p w14:paraId="2C678722" w14:textId="77777777" w:rsidR="007516B7" w:rsidRPr="007215A1" w:rsidRDefault="007516B7" w:rsidP="00AB489B">
            <w:pPr>
              <w:rPr>
                <w:sz w:val="20"/>
                <w:szCs w:val="20"/>
                <w:lang w:val="en-CA" w:eastAsia="en-CA"/>
              </w:rPr>
            </w:pPr>
            <w:r w:rsidRPr="007215A1">
              <w:rPr>
                <w:sz w:val="20"/>
                <w:szCs w:val="20"/>
                <w:lang w:val="en-CA" w:eastAsia="en-CA"/>
              </w:rPr>
              <w:t xml:space="preserve">Since the implementation of NDS, we have seen a constant increase in the proportion of </w:t>
            </w:r>
            <w:proofErr w:type="gramStart"/>
            <w:r w:rsidRPr="007215A1">
              <w:rPr>
                <w:sz w:val="20"/>
                <w:szCs w:val="20"/>
                <w:lang w:val="en-CA" w:eastAsia="en-CA"/>
              </w:rPr>
              <w:t>Non-Advertised</w:t>
            </w:r>
            <w:proofErr w:type="gramEnd"/>
            <w:r w:rsidRPr="007215A1">
              <w:rPr>
                <w:sz w:val="20"/>
                <w:szCs w:val="20"/>
                <w:lang w:val="en-CA" w:eastAsia="en-CA"/>
              </w:rPr>
              <w:t xml:space="preserve"> appointments. While Non-Advertised appointments provide flexibility to hiring managers, merit still must be met.</w:t>
            </w:r>
          </w:p>
          <w:p w14:paraId="1AB7DB2D" w14:textId="77777777" w:rsidR="007516B7" w:rsidRPr="007215A1" w:rsidRDefault="007516B7" w:rsidP="00AB489B">
            <w:pPr>
              <w:rPr>
                <w:sz w:val="20"/>
                <w:szCs w:val="20"/>
                <w:lang w:val="en-CA" w:eastAsia="en-CA"/>
              </w:rPr>
            </w:pPr>
          </w:p>
          <w:p w14:paraId="1A600D30" w14:textId="77777777" w:rsidR="007516B7" w:rsidRPr="007215A1" w:rsidRDefault="007516B7" w:rsidP="00AB489B">
            <w:pPr>
              <w:rPr>
                <w:sz w:val="20"/>
                <w:szCs w:val="20"/>
                <w:lang w:val="en-CA" w:eastAsia="en-CA"/>
              </w:rPr>
            </w:pPr>
            <w:r w:rsidRPr="007215A1">
              <w:rPr>
                <w:sz w:val="20"/>
                <w:szCs w:val="20"/>
                <w:lang w:val="en-CA" w:eastAsia="en-CA"/>
              </w:rPr>
              <w:t>Q: What are the main reasons given when moving forward with non-advertised appointments?</w:t>
            </w:r>
          </w:p>
          <w:p w14:paraId="6BFEDB8F" w14:textId="0F9BD4EA" w:rsidR="008D28CE" w:rsidRPr="007215A1" w:rsidRDefault="007516B7" w:rsidP="00AB489B">
            <w:pPr>
              <w:rPr>
                <w:sz w:val="20"/>
                <w:szCs w:val="20"/>
                <w:lang w:val="en-CA" w:eastAsia="en-CA"/>
              </w:rPr>
            </w:pPr>
            <w:r w:rsidRPr="007215A1">
              <w:rPr>
                <w:sz w:val="20"/>
                <w:szCs w:val="20"/>
                <w:lang w:val="en-CA" w:eastAsia="en-CA"/>
              </w:rPr>
              <w:t xml:space="preserve">Q: </w:t>
            </w:r>
            <w:r w:rsidR="00A538DC" w:rsidRPr="007215A1">
              <w:rPr>
                <w:sz w:val="20"/>
                <w:szCs w:val="20"/>
                <w:lang w:val="en-CA" w:eastAsia="en-CA"/>
              </w:rPr>
              <w:t>Do</w:t>
            </w:r>
            <w:r w:rsidRPr="007215A1">
              <w:rPr>
                <w:sz w:val="20"/>
                <w:szCs w:val="20"/>
                <w:lang w:val="en-CA" w:eastAsia="en-CA"/>
              </w:rPr>
              <w:t xml:space="preserve"> non-advertised acting appointments lead to </w:t>
            </w:r>
            <w:r w:rsidR="00A538DC" w:rsidRPr="007215A1">
              <w:rPr>
                <w:sz w:val="20"/>
                <w:szCs w:val="20"/>
                <w:lang w:val="en-CA" w:eastAsia="en-CA"/>
              </w:rPr>
              <w:t>non-advertised</w:t>
            </w:r>
            <w:r w:rsidRPr="007215A1">
              <w:rPr>
                <w:sz w:val="20"/>
                <w:szCs w:val="20"/>
                <w:lang w:val="en-CA" w:eastAsia="en-CA"/>
              </w:rPr>
              <w:t xml:space="preserve"> promotions?</w:t>
            </w:r>
            <w:r w:rsidR="00A538DC" w:rsidRPr="007215A1">
              <w:rPr>
                <w:sz w:val="20"/>
                <w:szCs w:val="20"/>
                <w:lang w:val="en-CA" w:eastAsia="en-CA"/>
              </w:rPr>
              <w:t xml:space="preserve"> Is this </w:t>
            </w:r>
            <w:r w:rsidR="00AB489B" w:rsidRPr="007215A1">
              <w:rPr>
                <w:sz w:val="20"/>
                <w:szCs w:val="20"/>
                <w:lang w:val="en-CA" w:eastAsia="en-CA"/>
              </w:rPr>
              <w:t>propensity different for advertised acting appointment and advertised promotions?</w:t>
            </w:r>
          </w:p>
          <w:p w14:paraId="3BA03980" w14:textId="1478BB13" w:rsidR="005E18CC" w:rsidRPr="007215A1" w:rsidRDefault="005E18CC" w:rsidP="00AB489B">
            <w:pPr>
              <w:rPr>
                <w:sz w:val="20"/>
                <w:szCs w:val="20"/>
                <w:lang w:val="en-CA" w:eastAsia="en-CA"/>
              </w:rPr>
            </w:pPr>
            <w:r w:rsidRPr="007215A1">
              <w:rPr>
                <w:sz w:val="20"/>
                <w:szCs w:val="20"/>
                <w:lang w:val="en-CA" w:eastAsia="en-CA"/>
              </w:rPr>
              <w:t>Q: Do n</w:t>
            </w:r>
            <w:r w:rsidR="00283D44" w:rsidRPr="007215A1">
              <w:rPr>
                <w:sz w:val="20"/>
                <w:szCs w:val="20"/>
                <w:lang w:val="en-CA" w:eastAsia="en-CA"/>
              </w:rPr>
              <w:t>on-advertised appointments impact the hiring of EE members</w:t>
            </w:r>
            <w:r w:rsidR="00640293" w:rsidRPr="007215A1">
              <w:rPr>
                <w:sz w:val="20"/>
                <w:szCs w:val="20"/>
                <w:lang w:val="en-CA" w:eastAsia="en-CA"/>
              </w:rPr>
              <w:t xml:space="preserve"> in the public service?</w:t>
            </w:r>
          </w:p>
        </w:tc>
        <w:tc>
          <w:tcPr>
            <w:tcW w:w="2694" w:type="dxa"/>
          </w:tcPr>
          <w:p w14:paraId="0CCAC955" w14:textId="0D45FE41" w:rsidR="007516B7" w:rsidRPr="007215A1" w:rsidRDefault="007516B7" w:rsidP="00AB489B">
            <w:pPr>
              <w:rPr>
                <w:rFonts w:cs="Arial"/>
                <w:sz w:val="20"/>
                <w:szCs w:val="20"/>
                <w:lang w:val="en-CA"/>
              </w:rPr>
            </w:pPr>
            <w:r w:rsidRPr="007215A1">
              <w:rPr>
                <w:rFonts w:cs="Arial"/>
                <w:sz w:val="20"/>
                <w:szCs w:val="20"/>
                <w:lang w:val="en-CA"/>
              </w:rPr>
              <w:t>Provide evidence to inform policy discussions on the use of non-advertised staffing. Identify the impact of non-advertised acting appointments</w:t>
            </w:r>
            <w:r w:rsidR="00CD421A" w:rsidRPr="007215A1">
              <w:rPr>
                <w:rFonts w:cs="Arial"/>
                <w:sz w:val="20"/>
                <w:szCs w:val="20"/>
                <w:lang w:val="en-CA"/>
              </w:rPr>
              <w:t xml:space="preserve"> on career progression</w:t>
            </w:r>
            <w:r w:rsidRPr="007215A1">
              <w:rPr>
                <w:rFonts w:cs="Arial"/>
                <w:sz w:val="20"/>
                <w:szCs w:val="20"/>
                <w:lang w:val="en-CA"/>
              </w:rPr>
              <w:t>.</w:t>
            </w:r>
            <w:r w:rsidR="0071595A" w:rsidRPr="007215A1">
              <w:rPr>
                <w:rFonts w:cs="Arial"/>
                <w:sz w:val="20"/>
                <w:szCs w:val="20"/>
                <w:lang w:val="en-CA"/>
              </w:rPr>
              <w:t xml:space="preserve"> Work will be done in collaboration with the Audit team to complement their work on the audit of non-advertised appointments.</w:t>
            </w:r>
          </w:p>
          <w:p w14:paraId="5A9A6F95" w14:textId="77777777" w:rsidR="007516B7" w:rsidRPr="007215A1" w:rsidRDefault="007516B7" w:rsidP="00AB489B">
            <w:pPr>
              <w:rPr>
                <w:rFonts w:cs="Arial"/>
                <w:sz w:val="20"/>
                <w:szCs w:val="20"/>
                <w:lang w:val="en-CA"/>
              </w:rPr>
            </w:pPr>
          </w:p>
        </w:tc>
        <w:tc>
          <w:tcPr>
            <w:tcW w:w="3969" w:type="dxa"/>
          </w:tcPr>
          <w:p w14:paraId="71B79FB0" w14:textId="0733F409" w:rsidR="007516B7" w:rsidRPr="007215A1" w:rsidRDefault="007516B7" w:rsidP="00AB489B">
            <w:pPr>
              <w:rPr>
                <w:rFonts w:cs="Arial"/>
                <w:sz w:val="20"/>
                <w:szCs w:val="20"/>
                <w:lang w:val="en-CA"/>
              </w:rPr>
            </w:pPr>
            <w:r w:rsidRPr="007215A1">
              <w:rPr>
                <w:rFonts w:cs="Arial"/>
                <w:sz w:val="20"/>
                <w:szCs w:val="20"/>
                <w:u w:val="single"/>
                <w:lang w:val="en-CA"/>
              </w:rPr>
              <w:t>FTE</w:t>
            </w:r>
            <w:r w:rsidRPr="007215A1">
              <w:rPr>
                <w:rFonts w:cs="Arial"/>
                <w:sz w:val="20"/>
                <w:szCs w:val="20"/>
                <w:lang w:val="en-CA"/>
              </w:rPr>
              <w:t xml:space="preserve">: </w:t>
            </w:r>
            <w:r w:rsidR="00886606" w:rsidRPr="007215A1">
              <w:rPr>
                <w:rFonts w:cs="Arial"/>
                <w:sz w:val="20"/>
                <w:szCs w:val="20"/>
                <w:lang w:val="en-CA"/>
              </w:rPr>
              <w:t xml:space="preserve">¼ </w:t>
            </w:r>
          </w:p>
          <w:p w14:paraId="2C7606BE" w14:textId="77777777" w:rsidR="007516B7" w:rsidRPr="007215A1" w:rsidRDefault="007516B7" w:rsidP="00AB489B">
            <w:pPr>
              <w:rPr>
                <w:rFonts w:cs="Arial"/>
                <w:sz w:val="20"/>
                <w:szCs w:val="20"/>
                <w:u w:val="single"/>
                <w:lang w:val="en-CA"/>
              </w:rPr>
            </w:pPr>
          </w:p>
          <w:p w14:paraId="46ED7EC4" w14:textId="0B8BA4FB" w:rsidR="007516B7" w:rsidRPr="007215A1" w:rsidRDefault="007516B7" w:rsidP="00AB489B">
            <w:pPr>
              <w:rPr>
                <w:rFonts w:cs="Arial"/>
                <w:sz w:val="20"/>
                <w:szCs w:val="20"/>
                <w:u w:val="single"/>
                <w:lang w:val="en-CA"/>
              </w:rPr>
            </w:pPr>
            <w:r w:rsidRPr="007215A1">
              <w:rPr>
                <w:rFonts w:cs="Arial"/>
                <w:sz w:val="20"/>
                <w:szCs w:val="20"/>
                <w:u w:val="single"/>
                <w:lang w:val="en-CA"/>
              </w:rPr>
              <w:t>Data</w:t>
            </w:r>
            <w:r w:rsidRPr="007215A1">
              <w:rPr>
                <w:rFonts w:cs="Arial"/>
                <w:sz w:val="20"/>
                <w:szCs w:val="20"/>
                <w:lang w:val="en-CA"/>
              </w:rPr>
              <w:t>: Administrative sources</w:t>
            </w:r>
            <w:r w:rsidR="0013406C" w:rsidRPr="007215A1">
              <w:rPr>
                <w:rFonts w:cs="Arial"/>
                <w:sz w:val="20"/>
                <w:szCs w:val="20"/>
                <w:lang w:val="en-CA"/>
              </w:rPr>
              <w:t xml:space="preserve"> (</w:t>
            </w:r>
            <w:proofErr w:type="gramStart"/>
            <w:r w:rsidR="0013406C" w:rsidRPr="007215A1">
              <w:rPr>
                <w:rFonts w:cs="Arial"/>
                <w:sz w:val="20"/>
                <w:szCs w:val="20"/>
                <w:lang w:val="en-CA"/>
              </w:rPr>
              <w:t>e.g.</w:t>
            </w:r>
            <w:proofErr w:type="gramEnd"/>
            <w:r w:rsidR="0013406C" w:rsidRPr="007215A1">
              <w:rPr>
                <w:rFonts w:cs="Arial"/>
                <w:sz w:val="20"/>
                <w:szCs w:val="20"/>
                <w:lang w:val="en-CA"/>
              </w:rPr>
              <w:t xml:space="preserve"> SNPS)</w:t>
            </w:r>
          </w:p>
        </w:tc>
      </w:tr>
      <w:tr w:rsidR="007516B7" w:rsidRPr="007215A1" w14:paraId="05311E3C" w14:textId="77777777" w:rsidTr="00101877">
        <w:tc>
          <w:tcPr>
            <w:tcW w:w="562" w:type="dxa"/>
          </w:tcPr>
          <w:p w14:paraId="44A14E74" w14:textId="3F67A1D7" w:rsidR="007516B7" w:rsidRPr="007215A1" w:rsidRDefault="00AA1A4E" w:rsidP="00AB489B">
            <w:pPr>
              <w:rPr>
                <w:rFonts w:cs="Arial"/>
                <w:sz w:val="20"/>
                <w:szCs w:val="20"/>
                <w:lang w:val="en-CA"/>
              </w:rPr>
            </w:pPr>
            <w:r w:rsidRPr="007215A1">
              <w:rPr>
                <w:rFonts w:cs="Arial"/>
                <w:sz w:val="20"/>
                <w:szCs w:val="20"/>
                <w:lang w:val="en-CA"/>
              </w:rPr>
              <w:t>8</w:t>
            </w:r>
          </w:p>
        </w:tc>
        <w:tc>
          <w:tcPr>
            <w:tcW w:w="3544" w:type="dxa"/>
          </w:tcPr>
          <w:p w14:paraId="7B4BA23C" w14:textId="73F29284" w:rsidR="007516B7" w:rsidRPr="007215A1" w:rsidRDefault="007516B7" w:rsidP="00AB489B">
            <w:pPr>
              <w:rPr>
                <w:rFonts w:cs="Arial"/>
                <w:b/>
                <w:sz w:val="20"/>
                <w:szCs w:val="20"/>
                <w:u w:val="single"/>
                <w:lang w:val="en-CA"/>
              </w:rPr>
            </w:pPr>
            <w:bookmarkStart w:id="23" w:name="_Hlk80688218"/>
            <w:r w:rsidRPr="007215A1">
              <w:rPr>
                <w:rFonts w:cs="Arial"/>
                <w:b/>
                <w:sz w:val="20"/>
                <w:szCs w:val="20"/>
                <w:u w:val="single"/>
                <w:lang w:val="en-CA"/>
              </w:rPr>
              <w:t>Effect of Bill C-30</w:t>
            </w:r>
            <w:r w:rsidR="002760EE" w:rsidRPr="007215A1">
              <w:rPr>
                <w:rFonts w:cs="Arial"/>
                <w:b/>
                <w:sz w:val="20"/>
                <w:szCs w:val="20"/>
                <w:u w:val="single"/>
                <w:lang w:val="en-CA"/>
              </w:rPr>
              <w:t xml:space="preserve"> BIA</w:t>
            </w:r>
            <w:r w:rsidRPr="007215A1">
              <w:rPr>
                <w:rFonts w:cs="Arial"/>
                <w:b/>
                <w:sz w:val="20"/>
                <w:szCs w:val="20"/>
                <w:u w:val="single"/>
                <w:lang w:val="en-CA"/>
              </w:rPr>
              <w:t xml:space="preserve"> on Permanent Residents</w:t>
            </w:r>
          </w:p>
          <w:bookmarkEnd w:id="23"/>
          <w:p w14:paraId="1F9BDFCB" w14:textId="77777777" w:rsidR="007516B7" w:rsidRPr="007215A1" w:rsidRDefault="007516B7" w:rsidP="00AB489B">
            <w:pPr>
              <w:rPr>
                <w:rFonts w:cs="Arial"/>
                <w:b/>
                <w:sz w:val="20"/>
                <w:szCs w:val="20"/>
                <w:u w:val="single"/>
                <w:lang w:val="en-CA"/>
              </w:rPr>
            </w:pPr>
          </w:p>
          <w:p w14:paraId="39E53C4C" w14:textId="77777777" w:rsidR="007516B7" w:rsidRPr="007215A1" w:rsidRDefault="007516B7" w:rsidP="00AB489B">
            <w:pPr>
              <w:rPr>
                <w:rFonts w:cs="Arial"/>
                <w:b/>
                <w:sz w:val="20"/>
                <w:szCs w:val="20"/>
                <w:u w:val="single"/>
                <w:lang w:val="en-CA"/>
              </w:rPr>
            </w:pPr>
            <w:r w:rsidRPr="007215A1">
              <w:rPr>
                <w:rFonts w:cs="Arial"/>
                <w:b/>
                <w:sz w:val="20"/>
                <w:szCs w:val="20"/>
                <w:u w:val="single"/>
                <w:lang w:val="en-CA"/>
              </w:rPr>
              <w:t>Source: DSAD</w:t>
            </w:r>
          </w:p>
          <w:p w14:paraId="2A470960" w14:textId="77777777" w:rsidR="007516B7" w:rsidRPr="007215A1" w:rsidRDefault="007516B7" w:rsidP="00AB489B">
            <w:pPr>
              <w:rPr>
                <w:rFonts w:cs="Arial"/>
                <w:b/>
                <w:sz w:val="20"/>
                <w:szCs w:val="20"/>
                <w:u w:val="single"/>
                <w:lang w:val="en-CA"/>
              </w:rPr>
            </w:pPr>
          </w:p>
          <w:p w14:paraId="023F7295" w14:textId="77777777" w:rsidR="007516B7" w:rsidRPr="007215A1" w:rsidRDefault="007516B7" w:rsidP="00AB489B">
            <w:pPr>
              <w:rPr>
                <w:rFonts w:cs="Arial"/>
                <w:b/>
                <w:sz w:val="20"/>
                <w:szCs w:val="20"/>
                <w:u w:val="single"/>
                <w:lang w:val="en-CA"/>
              </w:rPr>
            </w:pPr>
            <w:r w:rsidRPr="007215A1">
              <w:rPr>
                <w:rFonts w:cs="Arial"/>
                <w:b/>
                <w:sz w:val="20"/>
                <w:szCs w:val="20"/>
                <w:u w:val="single"/>
                <w:lang w:val="en-CA"/>
              </w:rPr>
              <w:t>Client: Policy and Communication Sector (PCS)</w:t>
            </w:r>
          </w:p>
        </w:tc>
        <w:tc>
          <w:tcPr>
            <w:tcW w:w="6662" w:type="dxa"/>
          </w:tcPr>
          <w:p w14:paraId="571B7546" w14:textId="77777777" w:rsidR="007516B7" w:rsidRPr="007215A1" w:rsidRDefault="007516B7" w:rsidP="00AB489B">
            <w:pPr>
              <w:rPr>
                <w:sz w:val="20"/>
                <w:szCs w:val="20"/>
                <w:lang w:val="en-CA" w:eastAsia="en-CA"/>
              </w:rPr>
            </w:pPr>
            <w:r w:rsidRPr="007215A1">
              <w:rPr>
                <w:sz w:val="20"/>
                <w:szCs w:val="20"/>
                <w:lang w:val="en-CA" w:eastAsia="en-CA"/>
              </w:rPr>
              <w:t>Recent changes to the PSEA will change the preference given to permanent residents. The PSC should keep a close eye on the impact of this change. A previous citizenship analysis can be used as a basis for future analysis.</w:t>
            </w:r>
          </w:p>
          <w:p w14:paraId="3632A60B" w14:textId="77777777" w:rsidR="009D63F6" w:rsidRPr="007215A1" w:rsidRDefault="009D63F6" w:rsidP="00AB489B">
            <w:pPr>
              <w:rPr>
                <w:sz w:val="20"/>
                <w:szCs w:val="20"/>
                <w:lang w:val="en-CA" w:eastAsia="en-CA"/>
              </w:rPr>
            </w:pPr>
          </w:p>
          <w:p w14:paraId="017CB552" w14:textId="3BEED8F4" w:rsidR="009D63F6" w:rsidRPr="007215A1" w:rsidRDefault="009D63F6" w:rsidP="00AB489B">
            <w:pPr>
              <w:rPr>
                <w:sz w:val="20"/>
                <w:szCs w:val="20"/>
                <w:u w:val="single"/>
                <w:lang w:val="en-CA" w:eastAsia="en-CA"/>
              </w:rPr>
            </w:pPr>
            <w:r w:rsidRPr="007215A1">
              <w:rPr>
                <w:sz w:val="20"/>
                <w:szCs w:val="20"/>
                <w:u w:val="single"/>
                <w:lang w:val="en-CA" w:eastAsia="en-CA"/>
              </w:rPr>
              <w:t>2021 Research Cycle: Current state analysis</w:t>
            </w:r>
          </w:p>
          <w:p w14:paraId="44CFC259" w14:textId="1883863C" w:rsidR="009B6D5E" w:rsidRPr="007215A1" w:rsidRDefault="009D63F6" w:rsidP="00AB489B">
            <w:pPr>
              <w:rPr>
                <w:sz w:val="20"/>
                <w:szCs w:val="20"/>
                <w:lang w:val="en-CA" w:eastAsia="en-CA"/>
              </w:rPr>
            </w:pPr>
            <w:r w:rsidRPr="007215A1">
              <w:rPr>
                <w:sz w:val="20"/>
                <w:szCs w:val="20"/>
                <w:lang w:val="en-CA" w:eastAsia="en-CA"/>
              </w:rPr>
              <w:t>Q: What is the application and recruitment rate of permanent residents?</w:t>
            </w:r>
          </w:p>
          <w:p w14:paraId="5DC11832" w14:textId="61C51996" w:rsidR="009D63F6" w:rsidRPr="007215A1" w:rsidRDefault="009D63F6" w:rsidP="00AB489B">
            <w:pPr>
              <w:rPr>
                <w:sz w:val="20"/>
                <w:szCs w:val="20"/>
                <w:lang w:val="en-CA" w:eastAsia="en-CA"/>
              </w:rPr>
            </w:pPr>
            <w:r w:rsidRPr="007215A1">
              <w:rPr>
                <w:sz w:val="20"/>
                <w:szCs w:val="20"/>
                <w:lang w:val="en-CA" w:eastAsia="en-CA"/>
              </w:rPr>
              <w:t xml:space="preserve">Q: What are the barriers faced by permanent residents in being successfully recruited? </w:t>
            </w:r>
          </w:p>
          <w:p w14:paraId="61737851" w14:textId="05B89CF6" w:rsidR="009B6D5E" w:rsidRPr="007215A1" w:rsidRDefault="009B6D5E" w:rsidP="00AB489B">
            <w:pPr>
              <w:rPr>
                <w:sz w:val="20"/>
                <w:szCs w:val="20"/>
                <w:lang w:val="en-CA" w:eastAsia="en-CA"/>
              </w:rPr>
            </w:pPr>
            <w:r w:rsidRPr="007215A1">
              <w:rPr>
                <w:sz w:val="20"/>
                <w:szCs w:val="20"/>
                <w:lang w:val="en-CA" w:eastAsia="en-CA"/>
              </w:rPr>
              <w:t xml:space="preserve">Q: What is the effect permanent residents have on EE groups’ </w:t>
            </w:r>
          </w:p>
          <w:p w14:paraId="31A53B76" w14:textId="41EFBE3A" w:rsidR="009D63F6" w:rsidRPr="007215A1" w:rsidRDefault="009D63F6" w:rsidP="00AB489B">
            <w:pPr>
              <w:rPr>
                <w:sz w:val="20"/>
                <w:szCs w:val="20"/>
                <w:lang w:val="en-CA" w:eastAsia="en-CA"/>
              </w:rPr>
            </w:pPr>
          </w:p>
          <w:p w14:paraId="25618F1D" w14:textId="7E6A49B0" w:rsidR="009D63F6" w:rsidRPr="007215A1" w:rsidRDefault="009D63F6" w:rsidP="00AB489B">
            <w:pPr>
              <w:rPr>
                <w:sz w:val="20"/>
                <w:szCs w:val="20"/>
                <w:u w:val="single"/>
                <w:lang w:val="en-CA" w:eastAsia="en-CA"/>
              </w:rPr>
            </w:pPr>
            <w:r w:rsidRPr="007215A1">
              <w:rPr>
                <w:sz w:val="20"/>
                <w:szCs w:val="20"/>
                <w:u w:val="single"/>
                <w:lang w:val="en-CA" w:eastAsia="en-CA"/>
              </w:rPr>
              <w:t xml:space="preserve">2023 Research Cycle: Long-term effect/trend analysis </w:t>
            </w:r>
          </w:p>
          <w:p w14:paraId="739C7A70" w14:textId="37C86548" w:rsidR="009D63F6" w:rsidRPr="007215A1" w:rsidRDefault="0089310C" w:rsidP="009D63F6">
            <w:pPr>
              <w:rPr>
                <w:sz w:val="20"/>
                <w:szCs w:val="20"/>
                <w:lang w:val="en-CA" w:eastAsia="en-CA"/>
              </w:rPr>
            </w:pPr>
            <w:r w:rsidRPr="007215A1">
              <w:rPr>
                <w:sz w:val="20"/>
                <w:szCs w:val="20"/>
                <w:lang w:val="en-CA" w:eastAsia="en-CA"/>
              </w:rPr>
              <w:t>Q: Is there a change in applicants and volumes following the implementation of Bill C-30?</w:t>
            </w:r>
            <w:r w:rsidR="009D63F6" w:rsidRPr="007215A1">
              <w:rPr>
                <w:sz w:val="20"/>
                <w:szCs w:val="20"/>
                <w:lang w:val="en-CA" w:eastAsia="en-CA"/>
              </w:rPr>
              <w:t xml:space="preserve"> </w:t>
            </w:r>
            <w:r w:rsidR="009D63F6" w:rsidRPr="007215A1">
              <w:rPr>
                <w:sz w:val="20"/>
                <w:szCs w:val="20"/>
                <w:lang w:val="en-CA" w:eastAsia="en-CA"/>
              </w:rPr>
              <w:br/>
              <w:t xml:space="preserve">Q: What is the effect of Bill C-30 on hiring of permanent residents? </w:t>
            </w:r>
          </w:p>
          <w:p w14:paraId="1DE24962" w14:textId="166A3368" w:rsidR="009B6D5E" w:rsidRPr="007215A1" w:rsidRDefault="009B6D5E" w:rsidP="009D63F6">
            <w:pPr>
              <w:rPr>
                <w:sz w:val="20"/>
                <w:szCs w:val="20"/>
                <w:lang w:val="en-CA" w:eastAsia="en-CA"/>
              </w:rPr>
            </w:pPr>
            <w:r w:rsidRPr="007215A1">
              <w:rPr>
                <w:sz w:val="20"/>
                <w:szCs w:val="20"/>
                <w:lang w:val="en-CA" w:eastAsia="en-CA"/>
              </w:rPr>
              <w:lastRenderedPageBreak/>
              <w:t>Q: Is there a</w:t>
            </w:r>
            <w:r w:rsidR="00252552" w:rsidRPr="007215A1">
              <w:rPr>
                <w:sz w:val="20"/>
                <w:szCs w:val="20"/>
                <w:lang w:val="en-CA" w:eastAsia="en-CA"/>
              </w:rPr>
              <w:t>n</w:t>
            </w:r>
            <w:r w:rsidRPr="007215A1">
              <w:rPr>
                <w:sz w:val="20"/>
                <w:szCs w:val="20"/>
                <w:lang w:val="en-CA" w:eastAsia="en-CA"/>
              </w:rPr>
              <w:t xml:space="preserve"> impact on EE groups’ representation in the PS?</w:t>
            </w:r>
          </w:p>
          <w:p w14:paraId="536EF2A5" w14:textId="551213D8" w:rsidR="007516B7" w:rsidRPr="007215A1" w:rsidRDefault="007516B7" w:rsidP="00AB489B">
            <w:pPr>
              <w:rPr>
                <w:sz w:val="20"/>
                <w:szCs w:val="20"/>
                <w:lang w:val="en-CA" w:eastAsia="en-CA"/>
              </w:rPr>
            </w:pPr>
          </w:p>
        </w:tc>
        <w:tc>
          <w:tcPr>
            <w:tcW w:w="2694" w:type="dxa"/>
          </w:tcPr>
          <w:p w14:paraId="625F8A37" w14:textId="0FB50534" w:rsidR="007516B7" w:rsidRPr="007215A1" w:rsidRDefault="007516B7" w:rsidP="00AB489B">
            <w:pPr>
              <w:rPr>
                <w:rFonts w:cs="Arial"/>
                <w:sz w:val="20"/>
                <w:szCs w:val="20"/>
                <w:lang w:val="en-CA"/>
              </w:rPr>
            </w:pPr>
            <w:r w:rsidRPr="007215A1">
              <w:rPr>
                <w:rFonts w:cs="Arial"/>
                <w:sz w:val="20"/>
                <w:szCs w:val="20"/>
                <w:lang w:val="en-CA"/>
              </w:rPr>
              <w:lastRenderedPageBreak/>
              <w:t>Measure the outcome of this legislative change to see if it impacts positively members of designated EE groups. Provide policy evidence on the impact of Bill C-30</w:t>
            </w:r>
            <w:r w:rsidRPr="007215A1">
              <w:rPr>
                <w:rFonts w:cs="Arial"/>
                <w:b/>
                <w:bCs/>
                <w:i/>
                <w:iCs/>
                <w:sz w:val="20"/>
                <w:szCs w:val="20"/>
                <w:lang w:val="en-CA"/>
              </w:rPr>
              <w:t>.</w:t>
            </w:r>
          </w:p>
        </w:tc>
        <w:tc>
          <w:tcPr>
            <w:tcW w:w="3969" w:type="dxa"/>
          </w:tcPr>
          <w:p w14:paraId="06465DDD" w14:textId="4043DE2B" w:rsidR="007516B7" w:rsidRPr="007215A1" w:rsidRDefault="007516B7" w:rsidP="00AB489B">
            <w:pPr>
              <w:rPr>
                <w:rFonts w:cs="Arial"/>
                <w:sz w:val="20"/>
                <w:szCs w:val="20"/>
                <w:lang w:val="en-CA"/>
              </w:rPr>
            </w:pPr>
            <w:r w:rsidRPr="007215A1">
              <w:rPr>
                <w:rFonts w:cs="Arial"/>
                <w:sz w:val="20"/>
                <w:szCs w:val="20"/>
                <w:u w:val="single"/>
                <w:lang w:val="en-CA"/>
              </w:rPr>
              <w:t>FTE</w:t>
            </w:r>
            <w:r w:rsidRPr="007215A1">
              <w:rPr>
                <w:rFonts w:cs="Arial"/>
                <w:sz w:val="20"/>
                <w:szCs w:val="20"/>
                <w:lang w:val="en-CA"/>
              </w:rPr>
              <w:t xml:space="preserve">: </w:t>
            </w:r>
            <w:r w:rsidR="00886606" w:rsidRPr="007215A1">
              <w:rPr>
                <w:rFonts w:cs="Arial"/>
                <w:sz w:val="20"/>
                <w:szCs w:val="20"/>
                <w:lang w:val="en-CA"/>
              </w:rPr>
              <w:t xml:space="preserve">¼ </w:t>
            </w:r>
          </w:p>
          <w:p w14:paraId="548BA0C1" w14:textId="77777777" w:rsidR="007516B7" w:rsidRPr="007215A1" w:rsidRDefault="007516B7" w:rsidP="00AB489B">
            <w:pPr>
              <w:rPr>
                <w:rFonts w:cs="Arial"/>
                <w:sz w:val="20"/>
                <w:szCs w:val="20"/>
                <w:u w:val="single"/>
                <w:lang w:val="en-CA"/>
              </w:rPr>
            </w:pPr>
          </w:p>
          <w:p w14:paraId="0BA2F22B" w14:textId="547998E5" w:rsidR="007516B7" w:rsidRPr="007215A1" w:rsidRDefault="007516B7" w:rsidP="00AB489B">
            <w:pPr>
              <w:rPr>
                <w:rFonts w:cs="Arial"/>
                <w:sz w:val="20"/>
                <w:szCs w:val="20"/>
                <w:u w:val="single"/>
                <w:lang w:val="en-CA"/>
              </w:rPr>
            </w:pPr>
            <w:r w:rsidRPr="007215A1">
              <w:rPr>
                <w:rFonts w:cs="Arial"/>
                <w:sz w:val="20"/>
                <w:szCs w:val="20"/>
                <w:u w:val="single"/>
                <w:lang w:val="en-CA"/>
              </w:rPr>
              <w:t>Data</w:t>
            </w:r>
            <w:r w:rsidRPr="007215A1">
              <w:rPr>
                <w:rFonts w:cs="Arial"/>
                <w:sz w:val="20"/>
                <w:szCs w:val="20"/>
                <w:lang w:val="en-CA"/>
              </w:rPr>
              <w:t>: Administrative sources</w:t>
            </w:r>
            <w:r w:rsidR="00D060CF" w:rsidRPr="007215A1">
              <w:rPr>
                <w:rFonts w:cs="Arial"/>
                <w:sz w:val="20"/>
                <w:szCs w:val="20"/>
                <w:lang w:val="en-CA"/>
              </w:rPr>
              <w:t xml:space="preserve"> (</w:t>
            </w:r>
            <w:proofErr w:type="gramStart"/>
            <w:r w:rsidR="00D060CF" w:rsidRPr="007215A1">
              <w:rPr>
                <w:rFonts w:cs="Arial"/>
                <w:sz w:val="20"/>
                <w:szCs w:val="20"/>
                <w:lang w:val="en-CA"/>
              </w:rPr>
              <w:t>e.g.</w:t>
            </w:r>
            <w:proofErr w:type="gramEnd"/>
            <w:r w:rsidR="00D060CF" w:rsidRPr="007215A1">
              <w:rPr>
                <w:rFonts w:cs="Arial"/>
                <w:sz w:val="20"/>
                <w:szCs w:val="20"/>
                <w:lang w:val="en-CA"/>
              </w:rPr>
              <w:t xml:space="preserve"> application data)</w:t>
            </w:r>
          </w:p>
        </w:tc>
      </w:tr>
      <w:tr w:rsidR="007516B7" w:rsidRPr="007215A1" w14:paraId="1FAB6C3F" w14:textId="77777777" w:rsidTr="00101877">
        <w:tc>
          <w:tcPr>
            <w:tcW w:w="562" w:type="dxa"/>
          </w:tcPr>
          <w:p w14:paraId="4861A9A1" w14:textId="0342CC71" w:rsidR="007516B7" w:rsidRPr="007215A1" w:rsidRDefault="00AA1A4E" w:rsidP="00AB489B">
            <w:pPr>
              <w:rPr>
                <w:rFonts w:cs="Arial"/>
                <w:sz w:val="20"/>
                <w:szCs w:val="20"/>
                <w:lang w:val="en-CA"/>
              </w:rPr>
            </w:pPr>
            <w:r w:rsidRPr="007215A1">
              <w:rPr>
                <w:rFonts w:cs="Arial"/>
                <w:sz w:val="20"/>
                <w:szCs w:val="20"/>
                <w:lang w:val="en-CA"/>
              </w:rPr>
              <w:t>9</w:t>
            </w:r>
          </w:p>
        </w:tc>
        <w:tc>
          <w:tcPr>
            <w:tcW w:w="3544" w:type="dxa"/>
          </w:tcPr>
          <w:p w14:paraId="65B56A6A" w14:textId="77777777" w:rsidR="007516B7" w:rsidRPr="007215A1" w:rsidRDefault="007516B7" w:rsidP="00AB489B">
            <w:pPr>
              <w:rPr>
                <w:rFonts w:cs="Arial"/>
                <w:b/>
                <w:bCs/>
                <w:sz w:val="20"/>
                <w:szCs w:val="20"/>
                <w:u w:val="single"/>
                <w:lang w:val="en-CA"/>
              </w:rPr>
            </w:pPr>
            <w:bookmarkStart w:id="24" w:name="_Hlk80688469"/>
            <w:r w:rsidRPr="007215A1">
              <w:rPr>
                <w:rFonts w:cs="Arial"/>
                <w:b/>
                <w:sz w:val="20"/>
                <w:szCs w:val="20"/>
                <w:u w:val="single"/>
                <w:lang w:val="en-CA"/>
              </w:rPr>
              <w:t>Effect of teleworking on hiring demographics</w:t>
            </w:r>
          </w:p>
          <w:bookmarkEnd w:id="24"/>
          <w:p w14:paraId="7BC0580B" w14:textId="77777777" w:rsidR="007516B7" w:rsidRPr="007215A1" w:rsidRDefault="007516B7" w:rsidP="00AB489B">
            <w:pPr>
              <w:rPr>
                <w:rFonts w:cs="Arial"/>
                <w:b/>
                <w:bCs/>
                <w:sz w:val="20"/>
                <w:szCs w:val="20"/>
                <w:u w:val="single"/>
                <w:lang w:val="en-CA"/>
              </w:rPr>
            </w:pPr>
          </w:p>
          <w:p w14:paraId="1CFEA1A6" w14:textId="77777777" w:rsidR="007516B7" w:rsidRPr="007215A1" w:rsidRDefault="007516B7" w:rsidP="00AB489B">
            <w:pPr>
              <w:rPr>
                <w:rFonts w:cs="Arial"/>
                <w:b/>
                <w:bCs/>
                <w:sz w:val="20"/>
                <w:szCs w:val="20"/>
                <w:u w:val="single"/>
                <w:lang w:val="en-CA"/>
              </w:rPr>
            </w:pPr>
            <w:r w:rsidRPr="007215A1">
              <w:rPr>
                <w:rFonts w:cs="Arial"/>
                <w:b/>
                <w:bCs/>
                <w:sz w:val="20"/>
                <w:szCs w:val="20"/>
                <w:u w:val="single"/>
                <w:lang w:val="en-CA"/>
              </w:rPr>
              <w:t>Source: DSAD</w:t>
            </w:r>
          </w:p>
          <w:p w14:paraId="6F8C1653" w14:textId="77777777" w:rsidR="007516B7" w:rsidRPr="007215A1" w:rsidRDefault="007516B7" w:rsidP="00AB489B">
            <w:pPr>
              <w:rPr>
                <w:rFonts w:cs="Arial"/>
                <w:b/>
                <w:bCs/>
                <w:sz w:val="20"/>
                <w:szCs w:val="20"/>
                <w:u w:val="single"/>
                <w:lang w:val="en-CA"/>
              </w:rPr>
            </w:pPr>
          </w:p>
          <w:p w14:paraId="6C4150C1" w14:textId="77777777" w:rsidR="007516B7" w:rsidRPr="007215A1" w:rsidRDefault="007516B7" w:rsidP="00AB489B">
            <w:pPr>
              <w:rPr>
                <w:rFonts w:cs="Arial"/>
                <w:b/>
                <w:sz w:val="20"/>
                <w:szCs w:val="20"/>
                <w:u w:val="single"/>
                <w:lang w:val="en-CA"/>
              </w:rPr>
            </w:pPr>
            <w:r w:rsidRPr="007215A1">
              <w:rPr>
                <w:rFonts w:cs="Arial"/>
                <w:b/>
                <w:bCs/>
                <w:sz w:val="20"/>
                <w:szCs w:val="20"/>
                <w:u w:val="single"/>
                <w:lang w:val="en-CA"/>
              </w:rPr>
              <w:t>Client: TBS OCHRO</w:t>
            </w:r>
            <w:r w:rsidRPr="007215A1">
              <w:rPr>
                <w:rFonts w:cs="Arial"/>
                <w:sz w:val="20"/>
                <w:szCs w:val="20"/>
                <w:u w:val="single"/>
                <w:lang w:val="en-CA"/>
              </w:rPr>
              <w:t>/</w:t>
            </w:r>
            <w:r w:rsidRPr="007215A1">
              <w:rPr>
                <w:rFonts w:cs="Arial"/>
                <w:b/>
                <w:sz w:val="20"/>
                <w:szCs w:val="20"/>
                <w:u w:val="single"/>
                <w:lang w:val="en-CA"/>
              </w:rPr>
              <w:t xml:space="preserve"> Policy and Communication Sector (PCS)</w:t>
            </w:r>
          </w:p>
        </w:tc>
        <w:tc>
          <w:tcPr>
            <w:tcW w:w="6662" w:type="dxa"/>
          </w:tcPr>
          <w:p w14:paraId="20C3FDD1" w14:textId="77777777" w:rsidR="007516B7" w:rsidRPr="007215A1" w:rsidRDefault="007516B7" w:rsidP="00AB489B">
            <w:pPr>
              <w:rPr>
                <w:sz w:val="20"/>
                <w:szCs w:val="20"/>
                <w:lang w:val="en-CA" w:eastAsia="en-CA"/>
              </w:rPr>
            </w:pPr>
            <w:r w:rsidRPr="007215A1">
              <w:rPr>
                <w:sz w:val="20"/>
                <w:szCs w:val="20"/>
                <w:lang w:val="en-CA" w:eastAsia="en-CA"/>
              </w:rPr>
              <w:t>The Covid-19 pandemic accelerated the move towards virtual and flexible work locations. At this point, no clear direction has been given on the use of virtual work locations. However, the use of flexible and virtual workspace could reshape the demographics of the PS population.</w:t>
            </w:r>
          </w:p>
          <w:p w14:paraId="19ECFE97" w14:textId="77777777" w:rsidR="007516B7" w:rsidRPr="007215A1" w:rsidRDefault="007516B7" w:rsidP="00AB489B">
            <w:pPr>
              <w:rPr>
                <w:sz w:val="20"/>
                <w:szCs w:val="20"/>
                <w:lang w:val="en-CA" w:eastAsia="en-CA"/>
              </w:rPr>
            </w:pPr>
          </w:p>
          <w:p w14:paraId="33EF9B28" w14:textId="50FF9910" w:rsidR="007516B7" w:rsidRPr="007215A1" w:rsidRDefault="007516B7" w:rsidP="00AB489B">
            <w:pPr>
              <w:rPr>
                <w:sz w:val="20"/>
                <w:szCs w:val="20"/>
                <w:lang w:val="en-CA" w:eastAsia="en-CA"/>
              </w:rPr>
            </w:pPr>
            <w:r w:rsidRPr="007215A1">
              <w:rPr>
                <w:sz w:val="20"/>
                <w:szCs w:val="20"/>
                <w:lang w:val="en-CA" w:eastAsia="en-CA"/>
              </w:rPr>
              <w:t>Q: What is the effect of teleworking and virtual work locations on hiring demographics</w:t>
            </w:r>
            <w:r w:rsidR="00E84440" w:rsidRPr="007215A1">
              <w:rPr>
                <w:sz w:val="20"/>
                <w:szCs w:val="20"/>
                <w:lang w:val="en-CA" w:eastAsia="en-CA"/>
              </w:rPr>
              <w:t xml:space="preserve"> (</w:t>
            </w:r>
            <w:proofErr w:type="gramStart"/>
            <w:r w:rsidR="00B5725E" w:rsidRPr="007215A1">
              <w:rPr>
                <w:sz w:val="20"/>
                <w:szCs w:val="20"/>
                <w:lang w:val="en-CA" w:eastAsia="en-CA"/>
              </w:rPr>
              <w:t>e.g</w:t>
            </w:r>
            <w:r w:rsidR="00936773" w:rsidRPr="007215A1">
              <w:rPr>
                <w:sz w:val="20"/>
                <w:szCs w:val="20"/>
                <w:lang w:val="en-CA" w:eastAsia="en-CA"/>
              </w:rPr>
              <w:t>.</w:t>
            </w:r>
            <w:proofErr w:type="gramEnd"/>
            <w:r w:rsidR="00936773" w:rsidRPr="007215A1">
              <w:rPr>
                <w:sz w:val="20"/>
                <w:szCs w:val="20"/>
                <w:lang w:val="en-CA" w:eastAsia="en-CA"/>
              </w:rPr>
              <w:t xml:space="preserve"> Diversity and Inclusion)</w:t>
            </w:r>
            <w:r w:rsidRPr="007215A1">
              <w:rPr>
                <w:sz w:val="20"/>
                <w:szCs w:val="20"/>
                <w:lang w:val="en-CA" w:eastAsia="en-CA"/>
              </w:rPr>
              <w:t>?</w:t>
            </w:r>
          </w:p>
          <w:p w14:paraId="68C36C9A" w14:textId="77777777" w:rsidR="007516B7" w:rsidRPr="007215A1" w:rsidRDefault="007516B7" w:rsidP="00AB489B">
            <w:pPr>
              <w:rPr>
                <w:sz w:val="20"/>
                <w:szCs w:val="20"/>
                <w:lang w:val="en-CA" w:eastAsia="en-CA"/>
              </w:rPr>
            </w:pPr>
            <w:r w:rsidRPr="007215A1">
              <w:rPr>
                <w:sz w:val="20"/>
                <w:szCs w:val="20"/>
                <w:lang w:val="en-CA" w:eastAsia="en-CA"/>
              </w:rPr>
              <w:t>Q: What is the effect of virtual work location on employee mobility</w:t>
            </w:r>
            <w:r w:rsidR="001C3BDB" w:rsidRPr="007215A1">
              <w:rPr>
                <w:sz w:val="20"/>
                <w:szCs w:val="20"/>
                <w:lang w:val="en-CA" w:eastAsia="en-CA"/>
              </w:rPr>
              <w:t xml:space="preserve"> (</w:t>
            </w:r>
            <w:proofErr w:type="gramStart"/>
            <w:r w:rsidR="001C3BDB" w:rsidRPr="007215A1">
              <w:rPr>
                <w:sz w:val="20"/>
                <w:szCs w:val="20"/>
                <w:lang w:val="en-CA" w:eastAsia="en-CA"/>
              </w:rPr>
              <w:t>e.g.</w:t>
            </w:r>
            <w:proofErr w:type="gramEnd"/>
            <w:r w:rsidR="001C3BDB" w:rsidRPr="007215A1">
              <w:rPr>
                <w:sz w:val="20"/>
                <w:szCs w:val="20"/>
                <w:lang w:val="en-CA" w:eastAsia="en-CA"/>
              </w:rPr>
              <w:t xml:space="preserve"> movement between departments, promotions etc.)</w:t>
            </w:r>
            <w:r w:rsidRPr="007215A1">
              <w:rPr>
                <w:sz w:val="20"/>
                <w:szCs w:val="20"/>
                <w:lang w:val="en-CA" w:eastAsia="en-CA"/>
              </w:rPr>
              <w:t>?</w:t>
            </w:r>
          </w:p>
          <w:p w14:paraId="0A201F22" w14:textId="768498CB" w:rsidR="0071595A" w:rsidRPr="007215A1" w:rsidRDefault="001A46E4" w:rsidP="001A46E4">
            <w:pPr>
              <w:rPr>
                <w:sz w:val="20"/>
                <w:szCs w:val="20"/>
                <w:lang w:val="en-CA" w:eastAsia="en-CA"/>
              </w:rPr>
            </w:pPr>
            <w:r w:rsidRPr="007215A1">
              <w:rPr>
                <w:sz w:val="20"/>
                <w:szCs w:val="20"/>
                <w:lang w:val="en-CA" w:eastAsia="en-CA"/>
              </w:rPr>
              <w:t>Q: Does teleworking have an impact on employee retention?</w:t>
            </w:r>
          </w:p>
        </w:tc>
        <w:tc>
          <w:tcPr>
            <w:tcW w:w="2694" w:type="dxa"/>
          </w:tcPr>
          <w:p w14:paraId="0D57076A" w14:textId="77777777" w:rsidR="007516B7" w:rsidRPr="007215A1" w:rsidRDefault="007516B7" w:rsidP="00AB489B">
            <w:pPr>
              <w:rPr>
                <w:rFonts w:cs="Arial"/>
                <w:sz w:val="20"/>
                <w:szCs w:val="20"/>
                <w:lang w:val="en-CA"/>
              </w:rPr>
            </w:pPr>
            <w:r w:rsidRPr="007215A1">
              <w:rPr>
                <w:rFonts w:cs="Arial"/>
                <w:sz w:val="20"/>
                <w:szCs w:val="20"/>
                <w:lang w:val="en-CA"/>
              </w:rPr>
              <w:t xml:space="preserve">Monitor changes to the hiring demographics as changes to work arrangements are being made across the Public Service. This can serve as evidence to stimulate policy discussions. </w:t>
            </w:r>
          </w:p>
        </w:tc>
        <w:tc>
          <w:tcPr>
            <w:tcW w:w="3969" w:type="dxa"/>
          </w:tcPr>
          <w:p w14:paraId="5EC4197D" w14:textId="77777777" w:rsidR="007516B7" w:rsidRPr="007215A1" w:rsidRDefault="007516B7" w:rsidP="00AB489B">
            <w:pPr>
              <w:rPr>
                <w:rFonts w:cs="Arial"/>
                <w:sz w:val="20"/>
                <w:szCs w:val="20"/>
                <w:lang w:val="en-CA"/>
              </w:rPr>
            </w:pPr>
            <w:r w:rsidRPr="007215A1">
              <w:rPr>
                <w:rFonts w:cs="Arial"/>
                <w:sz w:val="20"/>
                <w:szCs w:val="20"/>
                <w:u w:val="single"/>
                <w:lang w:val="en-CA"/>
              </w:rPr>
              <w:t>FTE</w:t>
            </w:r>
            <w:r w:rsidRPr="007215A1">
              <w:rPr>
                <w:rFonts w:cs="Arial"/>
                <w:sz w:val="20"/>
                <w:szCs w:val="20"/>
                <w:lang w:val="en-CA"/>
              </w:rPr>
              <w:t>: ½</w:t>
            </w:r>
          </w:p>
          <w:p w14:paraId="2412C227" w14:textId="77777777" w:rsidR="007516B7" w:rsidRPr="007215A1" w:rsidRDefault="007516B7" w:rsidP="00AB489B">
            <w:pPr>
              <w:rPr>
                <w:rFonts w:cs="Arial"/>
                <w:sz w:val="20"/>
                <w:szCs w:val="20"/>
                <w:u w:val="single"/>
                <w:lang w:val="en-CA"/>
              </w:rPr>
            </w:pPr>
          </w:p>
          <w:p w14:paraId="7EAF21AA" w14:textId="3CC92693" w:rsidR="007516B7" w:rsidRPr="007215A1" w:rsidRDefault="007516B7" w:rsidP="00AB489B">
            <w:pPr>
              <w:rPr>
                <w:rFonts w:cs="Arial"/>
                <w:sz w:val="20"/>
                <w:szCs w:val="20"/>
                <w:u w:val="single"/>
                <w:lang w:val="en-CA"/>
              </w:rPr>
            </w:pPr>
            <w:r w:rsidRPr="007215A1">
              <w:rPr>
                <w:rFonts w:cs="Arial"/>
                <w:sz w:val="20"/>
                <w:szCs w:val="20"/>
                <w:u w:val="single"/>
                <w:lang w:val="en-CA"/>
              </w:rPr>
              <w:t>Data</w:t>
            </w:r>
            <w:r w:rsidRPr="007215A1">
              <w:rPr>
                <w:rFonts w:cs="Arial"/>
                <w:sz w:val="20"/>
                <w:szCs w:val="20"/>
                <w:lang w:val="en-CA"/>
              </w:rPr>
              <w:t>: Administrative sources</w:t>
            </w:r>
            <w:r w:rsidR="001A46E4" w:rsidRPr="007215A1">
              <w:rPr>
                <w:rFonts w:cs="Arial"/>
                <w:sz w:val="20"/>
                <w:szCs w:val="20"/>
                <w:lang w:val="en-CA"/>
              </w:rPr>
              <w:t>, Literature review, survey</w:t>
            </w:r>
          </w:p>
        </w:tc>
      </w:tr>
      <w:tr w:rsidR="00A22B2C" w:rsidRPr="007215A1" w14:paraId="38529520" w14:textId="77777777" w:rsidTr="00101877">
        <w:tc>
          <w:tcPr>
            <w:tcW w:w="562" w:type="dxa"/>
          </w:tcPr>
          <w:p w14:paraId="4FCC0B4A" w14:textId="42DAED40" w:rsidR="00A22B2C" w:rsidRPr="007215A1" w:rsidRDefault="00A22B2C" w:rsidP="00AB489B">
            <w:pPr>
              <w:rPr>
                <w:rFonts w:cs="Arial"/>
                <w:sz w:val="20"/>
                <w:szCs w:val="20"/>
                <w:lang w:val="en-CA"/>
              </w:rPr>
            </w:pPr>
            <w:r w:rsidRPr="007215A1">
              <w:rPr>
                <w:rFonts w:cs="Arial"/>
                <w:sz w:val="20"/>
                <w:szCs w:val="20"/>
                <w:lang w:val="en-CA"/>
              </w:rPr>
              <w:t>1</w:t>
            </w:r>
            <w:r w:rsidR="00AA1A4E" w:rsidRPr="007215A1">
              <w:rPr>
                <w:rFonts w:cs="Arial"/>
                <w:sz w:val="20"/>
                <w:szCs w:val="20"/>
                <w:lang w:val="en-CA"/>
              </w:rPr>
              <w:t>0</w:t>
            </w:r>
          </w:p>
        </w:tc>
        <w:tc>
          <w:tcPr>
            <w:tcW w:w="3544" w:type="dxa"/>
          </w:tcPr>
          <w:p w14:paraId="7AFC673B" w14:textId="77777777" w:rsidR="00A22B2C" w:rsidRPr="007215A1" w:rsidRDefault="00A22B2C" w:rsidP="00AB489B">
            <w:pPr>
              <w:rPr>
                <w:rFonts w:cs="Arial"/>
                <w:b/>
                <w:sz w:val="20"/>
                <w:szCs w:val="20"/>
                <w:u w:val="single"/>
                <w:lang w:val="en-CA"/>
              </w:rPr>
            </w:pPr>
            <w:r w:rsidRPr="007215A1">
              <w:rPr>
                <w:rFonts w:cs="Arial"/>
                <w:b/>
                <w:sz w:val="20"/>
                <w:szCs w:val="20"/>
                <w:u w:val="single"/>
                <w:lang w:val="en-CA"/>
              </w:rPr>
              <w:t>Evaluating mobility of equity seeking groups compared to their counterparts</w:t>
            </w:r>
          </w:p>
          <w:p w14:paraId="7175761D" w14:textId="77777777" w:rsidR="00A22B2C" w:rsidRPr="007215A1" w:rsidRDefault="00A22B2C" w:rsidP="00AB489B">
            <w:pPr>
              <w:rPr>
                <w:rFonts w:cs="Arial"/>
                <w:b/>
                <w:sz w:val="20"/>
                <w:szCs w:val="20"/>
                <w:u w:val="single"/>
                <w:lang w:val="en-CA"/>
              </w:rPr>
            </w:pPr>
          </w:p>
          <w:p w14:paraId="3501D325" w14:textId="77777777" w:rsidR="00A22B2C" w:rsidRPr="007215A1" w:rsidRDefault="00A22B2C" w:rsidP="00AB489B">
            <w:pPr>
              <w:rPr>
                <w:rFonts w:cs="Arial"/>
                <w:b/>
                <w:sz w:val="20"/>
                <w:szCs w:val="20"/>
                <w:u w:val="single"/>
                <w:lang w:val="en-CA"/>
              </w:rPr>
            </w:pPr>
            <w:r w:rsidRPr="007215A1">
              <w:rPr>
                <w:rFonts w:cs="Arial"/>
                <w:b/>
                <w:sz w:val="20"/>
                <w:szCs w:val="20"/>
                <w:u w:val="single"/>
                <w:lang w:val="en-CA"/>
              </w:rPr>
              <w:t>Source: DSAD</w:t>
            </w:r>
          </w:p>
          <w:p w14:paraId="0BD5478E" w14:textId="77777777" w:rsidR="00A22B2C" w:rsidRPr="007215A1" w:rsidRDefault="00A22B2C" w:rsidP="00AB489B">
            <w:pPr>
              <w:rPr>
                <w:rFonts w:cs="Arial"/>
                <w:b/>
                <w:sz w:val="20"/>
                <w:szCs w:val="20"/>
                <w:u w:val="single"/>
                <w:lang w:val="en-CA"/>
              </w:rPr>
            </w:pPr>
          </w:p>
          <w:p w14:paraId="61DA00A7" w14:textId="26A7AA59" w:rsidR="00A22B2C" w:rsidRPr="007215A1" w:rsidRDefault="00A22B2C" w:rsidP="00AB489B">
            <w:pPr>
              <w:rPr>
                <w:rFonts w:cs="Arial"/>
                <w:b/>
                <w:sz w:val="20"/>
                <w:szCs w:val="20"/>
                <w:u w:val="single"/>
                <w:lang w:val="en-CA"/>
              </w:rPr>
            </w:pPr>
            <w:r w:rsidRPr="007215A1">
              <w:rPr>
                <w:rFonts w:cs="Arial"/>
                <w:b/>
                <w:sz w:val="20"/>
                <w:szCs w:val="20"/>
                <w:u w:val="single"/>
                <w:lang w:val="en-CA"/>
              </w:rPr>
              <w:t>Client: Audit of Employment Equity Representation in Recruitment – Action Plan</w:t>
            </w:r>
          </w:p>
        </w:tc>
        <w:tc>
          <w:tcPr>
            <w:tcW w:w="6662" w:type="dxa"/>
          </w:tcPr>
          <w:p w14:paraId="730ED8AF" w14:textId="77E91C1A" w:rsidR="00A22B2C" w:rsidRPr="007215A1" w:rsidRDefault="00E620E2" w:rsidP="00AB489B">
            <w:pPr>
              <w:rPr>
                <w:sz w:val="20"/>
                <w:szCs w:val="20"/>
                <w:lang w:val="en-CA" w:eastAsia="en-CA"/>
              </w:rPr>
            </w:pPr>
            <w:r w:rsidRPr="007215A1">
              <w:rPr>
                <w:sz w:val="20"/>
                <w:szCs w:val="20"/>
                <w:lang w:val="en-CA" w:eastAsia="en-CA"/>
              </w:rPr>
              <w:t>The EE Audit recommended that t</w:t>
            </w:r>
            <w:r w:rsidR="00A22B2C" w:rsidRPr="007215A1">
              <w:rPr>
                <w:sz w:val="20"/>
                <w:szCs w:val="20"/>
                <w:lang w:val="en-CA" w:eastAsia="en-CA"/>
              </w:rPr>
              <w:t>he PSC should work with other central agencies and employment equity groups to identify specific factors that impact success of employment equity groups and visible minority sub-groups within the hiring process and implement solutions.</w:t>
            </w:r>
          </w:p>
          <w:p w14:paraId="173BEA84" w14:textId="77777777" w:rsidR="00A22B2C" w:rsidRPr="007215A1" w:rsidRDefault="00A22B2C" w:rsidP="00AB489B">
            <w:pPr>
              <w:rPr>
                <w:sz w:val="20"/>
                <w:szCs w:val="20"/>
                <w:lang w:val="en-CA" w:eastAsia="en-CA"/>
              </w:rPr>
            </w:pPr>
            <w:r w:rsidRPr="007215A1">
              <w:rPr>
                <w:sz w:val="20"/>
                <w:szCs w:val="20"/>
                <w:lang w:val="en-CA" w:eastAsia="en-CA"/>
              </w:rPr>
              <w:t>Deliverable: Work with stakeholders to develop a better understanding of 'why' barriers exist for visible minorities in staffing system</w:t>
            </w:r>
          </w:p>
          <w:p w14:paraId="5A2C1D49" w14:textId="77777777" w:rsidR="00A22B2C" w:rsidRPr="007215A1" w:rsidRDefault="00A22B2C" w:rsidP="00AB489B">
            <w:pPr>
              <w:rPr>
                <w:sz w:val="20"/>
                <w:szCs w:val="20"/>
                <w:lang w:val="en-CA" w:eastAsia="en-CA"/>
              </w:rPr>
            </w:pPr>
          </w:p>
          <w:p w14:paraId="035800A8" w14:textId="273E2272" w:rsidR="00A22B2C" w:rsidRPr="007215A1" w:rsidRDefault="00A22B2C" w:rsidP="00AB489B">
            <w:pPr>
              <w:rPr>
                <w:sz w:val="20"/>
                <w:szCs w:val="20"/>
                <w:lang w:val="en-CA" w:eastAsia="en-CA"/>
              </w:rPr>
            </w:pPr>
            <w:r w:rsidRPr="007215A1">
              <w:rPr>
                <w:sz w:val="20"/>
                <w:szCs w:val="20"/>
                <w:lang w:val="en-CA" w:eastAsia="en-CA"/>
              </w:rPr>
              <w:t>Q: Are mobility rates in the public service experienced equally between equity seeking groups and their counter parts?</w:t>
            </w:r>
          </w:p>
        </w:tc>
        <w:tc>
          <w:tcPr>
            <w:tcW w:w="2694" w:type="dxa"/>
          </w:tcPr>
          <w:p w14:paraId="621DD56A" w14:textId="4D53727F" w:rsidR="00A22B2C" w:rsidRPr="007215A1" w:rsidRDefault="00A22B2C" w:rsidP="00AB489B">
            <w:pPr>
              <w:rPr>
                <w:rFonts w:cs="Arial"/>
                <w:sz w:val="20"/>
                <w:szCs w:val="20"/>
                <w:lang w:val="en-CA"/>
              </w:rPr>
            </w:pPr>
            <w:r w:rsidRPr="007215A1">
              <w:rPr>
                <w:rFonts w:cs="Arial"/>
                <w:sz w:val="20"/>
                <w:szCs w:val="20"/>
                <w:lang w:val="en-CA"/>
              </w:rPr>
              <w:t>Evaluate the share of populations (equity seeking groups and their counterparts) in the public service that experienced a promotion, acting, or lateral appointment over time.</w:t>
            </w:r>
          </w:p>
        </w:tc>
        <w:tc>
          <w:tcPr>
            <w:tcW w:w="3969" w:type="dxa"/>
          </w:tcPr>
          <w:p w14:paraId="3C5F9527" w14:textId="232FAE68" w:rsidR="00A22B2C" w:rsidRPr="007215A1" w:rsidRDefault="00A22B2C" w:rsidP="00A22B2C">
            <w:pPr>
              <w:rPr>
                <w:rFonts w:cs="Arial"/>
                <w:sz w:val="20"/>
                <w:szCs w:val="20"/>
                <w:lang w:val="en-CA"/>
              </w:rPr>
            </w:pPr>
            <w:r w:rsidRPr="007215A1">
              <w:rPr>
                <w:rFonts w:cs="Arial"/>
                <w:sz w:val="20"/>
                <w:szCs w:val="20"/>
                <w:u w:val="single"/>
                <w:lang w:val="en-CA"/>
              </w:rPr>
              <w:t>FTE</w:t>
            </w:r>
            <w:r w:rsidRPr="007215A1">
              <w:rPr>
                <w:rFonts w:cs="Arial"/>
                <w:sz w:val="20"/>
                <w:szCs w:val="20"/>
                <w:lang w:val="en-CA"/>
              </w:rPr>
              <w:t>: ¼</w:t>
            </w:r>
          </w:p>
          <w:p w14:paraId="39E9D0C3" w14:textId="77777777" w:rsidR="00A22B2C" w:rsidRPr="007215A1" w:rsidRDefault="00A22B2C" w:rsidP="00A22B2C">
            <w:pPr>
              <w:rPr>
                <w:rFonts w:cs="Arial"/>
                <w:sz w:val="20"/>
                <w:szCs w:val="20"/>
                <w:u w:val="single"/>
                <w:lang w:val="en-CA"/>
              </w:rPr>
            </w:pPr>
          </w:p>
          <w:p w14:paraId="2D91400A" w14:textId="59FA8947" w:rsidR="00A22B2C" w:rsidRPr="007215A1" w:rsidRDefault="00A22B2C" w:rsidP="00A22B2C">
            <w:pPr>
              <w:rPr>
                <w:rFonts w:cs="Arial"/>
                <w:sz w:val="20"/>
                <w:szCs w:val="20"/>
                <w:u w:val="single"/>
                <w:lang w:val="en-CA"/>
              </w:rPr>
            </w:pPr>
            <w:r w:rsidRPr="007215A1">
              <w:rPr>
                <w:rFonts w:cs="Arial"/>
                <w:sz w:val="20"/>
                <w:szCs w:val="20"/>
                <w:u w:val="single"/>
                <w:lang w:val="en-CA"/>
              </w:rPr>
              <w:t>Data</w:t>
            </w:r>
            <w:r w:rsidRPr="007215A1">
              <w:rPr>
                <w:rFonts w:cs="Arial"/>
                <w:sz w:val="20"/>
                <w:szCs w:val="20"/>
                <w:lang w:val="en-CA"/>
              </w:rPr>
              <w:t>: Administrative sources</w:t>
            </w:r>
          </w:p>
        </w:tc>
      </w:tr>
      <w:tr w:rsidR="00DB68C0" w:rsidRPr="007215A1" w14:paraId="28DFEE32" w14:textId="77777777" w:rsidTr="00101877">
        <w:tc>
          <w:tcPr>
            <w:tcW w:w="562" w:type="dxa"/>
          </w:tcPr>
          <w:p w14:paraId="73BA129D" w14:textId="724556D4" w:rsidR="00DB68C0" w:rsidRPr="007215A1" w:rsidRDefault="00DB68C0" w:rsidP="00AB489B">
            <w:pPr>
              <w:rPr>
                <w:rFonts w:cs="Arial"/>
                <w:sz w:val="20"/>
                <w:szCs w:val="20"/>
                <w:lang w:val="en-CA"/>
              </w:rPr>
            </w:pPr>
            <w:r w:rsidRPr="007215A1">
              <w:rPr>
                <w:rFonts w:cs="Arial"/>
                <w:sz w:val="20"/>
                <w:szCs w:val="20"/>
                <w:lang w:val="en-CA"/>
              </w:rPr>
              <w:t>11</w:t>
            </w:r>
          </w:p>
        </w:tc>
        <w:tc>
          <w:tcPr>
            <w:tcW w:w="3544" w:type="dxa"/>
          </w:tcPr>
          <w:p w14:paraId="24AFC4C1" w14:textId="77777777" w:rsidR="00DB68C0" w:rsidRPr="007215A1" w:rsidRDefault="00DB68C0" w:rsidP="00DB68C0">
            <w:pPr>
              <w:rPr>
                <w:rFonts w:cs="Arial"/>
                <w:b/>
                <w:sz w:val="20"/>
                <w:szCs w:val="20"/>
                <w:u w:val="single"/>
                <w:lang w:val="en-CA"/>
              </w:rPr>
            </w:pPr>
            <w:r w:rsidRPr="007215A1">
              <w:rPr>
                <w:rFonts w:cs="Arial"/>
                <w:b/>
                <w:sz w:val="20"/>
                <w:szCs w:val="20"/>
                <w:u w:val="single"/>
                <w:lang w:val="en-CA"/>
              </w:rPr>
              <w:t>Exploring Perceptions of Equity-Seeking Groups</w:t>
            </w:r>
          </w:p>
          <w:p w14:paraId="061BE8B9" w14:textId="77777777" w:rsidR="00DB68C0" w:rsidRPr="007215A1" w:rsidRDefault="00DB68C0" w:rsidP="00DB68C0">
            <w:pPr>
              <w:rPr>
                <w:rFonts w:cs="Arial"/>
                <w:b/>
                <w:sz w:val="20"/>
                <w:szCs w:val="20"/>
                <w:u w:val="single"/>
                <w:lang w:val="en-CA"/>
              </w:rPr>
            </w:pPr>
          </w:p>
          <w:p w14:paraId="4468F85D" w14:textId="77BBB50E" w:rsidR="00DB68C0" w:rsidRPr="007215A1" w:rsidRDefault="00DB68C0" w:rsidP="00DB68C0">
            <w:pPr>
              <w:rPr>
                <w:rFonts w:cs="Arial"/>
                <w:b/>
                <w:sz w:val="20"/>
                <w:szCs w:val="20"/>
                <w:u w:val="single"/>
                <w:lang w:val="en-CA"/>
              </w:rPr>
            </w:pPr>
            <w:r w:rsidRPr="007215A1">
              <w:rPr>
                <w:rFonts w:cs="Arial"/>
                <w:b/>
                <w:sz w:val="20"/>
                <w:szCs w:val="20"/>
                <w:u w:val="single"/>
                <w:lang w:val="en-CA"/>
              </w:rPr>
              <w:t>Source: EMC</w:t>
            </w:r>
          </w:p>
        </w:tc>
        <w:tc>
          <w:tcPr>
            <w:tcW w:w="6662" w:type="dxa"/>
          </w:tcPr>
          <w:p w14:paraId="4BB4795F" w14:textId="5C419138" w:rsidR="00DB68C0" w:rsidRPr="007215A1" w:rsidRDefault="00DB68C0" w:rsidP="00DB68C0">
            <w:pPr>
              <w:rPr>
                <w:sz w:val="20"/>
                <w:szCs w:val="20"/>
                <w:lang w:val="en-CA" w:eastAsia="en-CA"/>
              </w:rPr>
            </w:pPr>
            <w:r w:rsidRPr="007215A1">
              <w:rPr>
                <w:sz w:val="20"/>
                <w:szCs w:val="20"/>
                <w:lang w:val="en-CA" w:eastAsia="en-CA"/>
              </w:rPr>
              <w:t>In approving the 2021-2</w:t>
            </w:r>
            <w:r w:rsidR="00745815" w:rsidRPr="007215A1">
              <w:rPr>
                <w:sz w:val="20"/>
                <w:szCs w:val="20"/>
                <w:lang w:val="en-CA" w:eastAsia="en-CA"/>
              </w:rPr>
              <w:t>3</w:t>
            </w:r>
            <w:r w:rsidRPr="007215A1">
              <w:rPr>
                <w:sz w:val="20"/>
                <w:szCs w:val="20"/>
                <w:lang w:val="en-CA" w:eastAsia="en-CA"/>
              </w:rPr>
              <w:t xml:space="preserve"> PSC R&amp;D Plan, EMC recommended the inclusion of a project to start generating data on Equity-Seeking Groups.</w:t>
            </w:r>
          </w:p>
          <w:p w14:paraId="65A12221" w14:textId="77777777" w:rsidR="00DB68C0" w:rsidRPr="007215A1" w:rsidRDefault="00DB68C0" w:rsidP="00DB68C0">
            <w:pPr>
              <w:rPr>
                <w:sz w:val="20"/>
                <w:szCs w:val="20"/>
                <w:lang w:val="en-CA" w:eastAsia="en-CA"/>
              </w:rPr>
            </w:pPr>
            <w:r w:rsidRPr="007215A1">
              <w:rPr>
                <w:sz w:val="20"/>
                <w:szCs w:val="20"/>
                <w:lang w:val="en-CA" w:eastAsia="en-CA"/>
              </w:rPr>
              <w:t>Deliverable: DSAD to field a survey of public service employees who belong to one or more Equity-Seeking Groups to gather their views and perceptions on key themes covered by the SNPS.</w:t>
            </w:r>
          </w:p>
          <w:p w14:paraId="71A7260D" w14:textId="77777777" w:rsidR="00DB68C0" w:rsidRPr="007215A1" w:rsidRDefault="00DB68C0" w:rsidP="00DB68C0">
            <w:pPr>
              <w:rPr>
                <w:sz w:val="20"/>
                <w:szCs w:val="20"/>
                <w:lang w:val="en-CA" w:eastAsia="en-CA"/>
              </w:rPr>
            </w:pPr>
          </w:p>
          <w:p w14:paraId="346BA74D" w14:textId="77777777" w:rsidR="00DB68C0" w:rsidRPr="007215A1" w:rsidRDefault="00DB68C0" w:rsidP="00DB68C0">
            <w:pPr>
              <w:rPr>
                <w:sz w:val="20"/>
                <w:szCs w:val="20"/>
                <w:lang w:val="en-CA" w:eastAsia="en-CA"/>
              </w:rPr>
            </w:pPr>
            <w:r w:rsidRPr="007215A1">
              <w:rPr>
                <w:sz w:val="20"/>
                <w:szCs w:val="20"/>
                <w:lang w:val="en-CA" w:eastAsia="en-CA"/>
              </w:rPr>
              <w:t xml:space="preserve">Q: examine how federal public service employees who belong to one or more equity seeking groups perceive merit, </w:t>
            </w:r>
            <w:proofErr w:type="gramStart"/>
            <w:r w:rsidRPr="007215A1">
              <w:rPr>
                <w:sz w:val="20"/>
                <w:szCs w:val="20"/>
                <w:lang w:val="en-CA" w:eastAsia="en-CA"/>
              </w:rPr>
              <w:t>fairness</w:t>
            </w:r>
            <w:proofErr w:type="gramEnd"/>
            <w:r w:rsidRPr="007215A1">
              <w:rPr>
                <w:sz w:val="20"/>
                <w:szCs w:val="20"/>
                <w:lang w:val="en-CA" w:eastAsia="en-CA"/>
              </w:rPr>
              <w:t xml:space="preserve"> and transparency in the staffing system </w:t>
            </w:r>
          </w:p>
          <w:p w14:paraId="20FE0213" w14:textId="77777777" w:rsidR="00DB68C0" w:rsidRPr="007215A1" w:rsidRDefault="00DB68C0" w:rsidP="00DB68C0">
            <w:pPr>
              <w:rPr>
                <w:sz w:val="20"/>
                <w:szCs w:val="20"/>
                <w:lang w:val="en-CA" w:eastAsia="en-CA"/>
              </w:rPr>
            </w:pPr>
            <w:r w:rsidRPr="007215A1">
              <w:rPr>
                <w:sz w:val="20"/>
                <w:szCs w:val="20"/>
                <w:lang w:val="en-CA" w:eastAsia="en-CA"/>
              </w:rPr>
              <w:t xml:space="preserve">Q: determine whether employees who are members of an employment seeking group have different perceptions of merit, </w:t>
            </w:r>
            <w:proofErr w:type="gramStart"/>
            <w:r w:rsidRPr="007215A1">
              <w:rPr>
                <w:sz w:val="20"/>
                <w:szCs w:val="20"/>
                <w:lang w:val="en-CA" w:eastAsia="en-CA"/>
              </w:rPr>
              <w:t>fairness</w:t>
            </w:r>
            <w:proofErr w:type="gramEnd"/>
            <w:r w:rsidRPr="007215A1">
              <w:rPr>
                <w:sz w:val="20"/>
                <w:szCs w:val="20"/>
                <w:lang w:val="en-CA" w:eastAsia="en-CA"/>
              </w:rPr>
              <w:t xml:space="preserve"> and transparency in the staffing system than other employees, and whether perceptions differ by gender </w:t>
            </w:r>
          </w:p>
          <w:p w14:paraId="0A0CCDD9" w14:textId="4BA26938" w:rsidR="00DB68C0" w:rsidRPr="007215A1" w:rsidRDefault="00DB68C0" w:rsidP="00DB68C0">
            <w:pPr>
              <w:rPr>
                <w:sz w:val="20"/>
                <w:szCs w:val="20"/>
                <w:lang w:val="en-CA" w:eastAsia="en-CA"/>
              </w:rPr>
            </w:pPr>
            <w:r w:rsidRPr="007215A1">
              <w:rPr>
                <w:sz w:val="20"/>
                <w:szCs w:val="20"/>
                <w:lang w:val="en-CA" w:eastAsia="en-CA"/>
              </w:rPr>
              <w:lastRenderedPageBreak/>
              <w:t>Q: explore the perceptions of managers who belong to one or more equity seeking groups compared to the perceptions of other managers.</w:t>
            </w:r>
          </w:p>
        </w:tc>
        <w:tc>
          <w:tcPr>
            <w:tcW w:w="2694" w:type="dxa"/>
          </w:tcPr>
          <w:p w14:paraId="2841AAF1" w14:textId="28D8A28D" w:rsidR="00DB68C0" w:rsidRPr="007215A1" w:rsidRDefault="00DB68C0" w:rsidP="00AB489B">
            <w:pPr>
              <w:rPr>
                <w:rFonts w:cs="Arial"/>
                <w:sz w:val="20"/>
                <w:szCs w:val="20"/>
                <w:lang w:val="en-CA"/>
              </w:rPr>
            </w:pPr>
            <w:r w:rsidRPr="007215A1">
              <w:rPr>
                <w:rFonts w:cs="Arial"/>
                <w:sz w:val="20"/>
                <w:szCs w:val="20"/>
                <w:lang w:val="en-CA"/>
              </w:rPr>
              <w:lastRenderedPageBreak/>
              <w:t>Understand the collective perceptions of the staffing system among the various equity-seeking groups across the public service.</w:t>
            </w:r>
          </w:p>
        </w:tc>
        <w:tc>
          <w:tcPr>
            <w:tcW w:w="3969" w:type="dxa"/>
          </w:tcPr>
          <w:p w14:paraId="05344068" w14:textId="32ED28EF" w:rsidR="00DB68C0" w:rsidRPr="007215A1" w:rsidRDefault="00CB63DD" w:rsidP="00A22B2C">
            <w:pPr>
              <w:rPr>
                <w:rFonts w:cs="Arial"/>
                <w:sz w:val="20"/>
                <w:szCs w:val="20"/>
                <w:lang w:val="en-CA"/>
              </w:rPr>
            </w:pPr>
            <w:r w:rsidRPr="007215A1">
              <w:rPr>
                <w:rFonts w:cs="Arial"/>
                <w:sz w:val="20"/>
                <w:szCs w:val="20"/>
                <w:u w:val="single"/>
                <w:lang w:val="en-CA"/>
              </w:rPr>
              <w:t>FTE:</w:t>
            </w:r>
            <w:r w:rsidRPr="007215A1">
              <w:rPr>
                <w:rFonts w:cs="Arial"/>
                <w:sz w:val="20"/>
                <w:szCs w:val="20"/>
                <w:lang w:val="en-CA"/>
              </w:rPr>
              <w:t xml:space="preserve"> ½</w:t>
            </w:r>
          </w:p>
          <w:p w14:paraId="1BFB2167" w14:textId="77777777" w:rsidR="00CB63DD" w:rsidRPr="007215A1" w:rsidRDefault="00CB63DD" w:rsidP="00A22B2C">
            <w:pPr>
              <w:rPr>
                <w:rFonts w:cs="Arial"/>
                <w:sz w:val="20"/>
                <w:szCs w:val="20"/>
                <w:lang w:val="en-CA"/>
              </w:rPr>
            </w:pPr>
          </w:p>
          <w:p w14:paraId="7A47A05C" w14:textId="00520DFF" w:rsidR="00CB63DD" w:rsidRPr="007215A1" w:rsidRDefault="00CB63DD" w:rsidP="00A22B2C">
            <w:pPr>
              <w:rPr>
                <w:rFonts w:cs="Arial"/>
                <w:sz w:val="20"/>
                <w:szCs w:val="20"/>
                <w:lang w:val="en-CA"/>
              </w:rPr>
            </w:pPr>
            <w:r w:rsidRPr="007215A1">
              <w:rPr>
                <w:rFonts w:cs="Arial"/>
                <w:sz w:val="20"/>
                <w:szCs w:val="20"/>
                <w:u w:val="single"/>
                <w:lang w:val="en-CA"/>
              </w:rPr>
              <w:t>Data:</w:t>
            </w:r>
            <w:r w:rsidRPr="007215A1">
              <w:rPr>
                <w:rFonts w:cs="Arial"/>
                <w:sz w:val="20"/>
                <w:szCs w:val="20"/>
                <w:lang w:val="en-CA"/>
              </w:rPr>
              <w:t xml:space="preserve"> Survey data</w:t>
            </w:r>
          </w:p>
        </w:tc>
      </w:tr>
    </w:tbl>
    <w:p w14:paraId="12B8C9DA" w14:textId="72471E26" w:rsidR="007516B7" w:rsidRPr="007215A1" w:rsidRDefault="00C95B80" w:rsidP="00D715D7">
      <w:pPr>
        <w:pStyle w:val="Heading2"/>
        <w:rPr>
          <w:lang w:val="en-CA"/>
        </w:rPr>
      </w:pPr>
      <w:bookmarkStart w:id="25" w:name="_Toc106712303"/>
      <w:r w:rsidRPr="007215A1">
        <w:rPr>
          <w:lang w:val="en-CA"/>
        </w:rPr>
        <w:t xml:space="preserve">Development </w:t>
      </w:r>
      <w:r w:rsidR="007516B7" w:rsidRPr="007215A1">
        <w:rPr>
          <w:lang w:val="en-CA"/>
        </w:rPr>
        <w:t>Tools:</w:t>
      </w:r>
      <w:bookmarkEnd w:id="25"/>
    </w:p>
    <w:tbl>
      <w:tblPr>
        <w:tblStyle w:val="TableGrid"/>
        <w:tblW w:w="17431" w:type="dxa"/>
        <w:tblLayout w:type="fixed"/>
        <w:tblLook w:val="04A0" w:firstRow="1" w:lastRow="0" w:firstColumn="1" w:lastColumn="0" w:noHBand="0" w:noVBand="1"/>
        <w:tblCaption w:val="Tools"/>
        <w:tblDescription w:val="List of tools which will be developped as part of this year's tool plan."/>
      </w:tblPr>
      <w:tblGrid>
        <w:gridCol w:w="562"/>
        <w:gridCol w:w="3544"/>
        <w:gridCol w:w="6662"/>
        <w:gridCol w:w="2694"/>
        <w:gridCol w:w="3969"/>
      </w:tblGrid>
      <w:tr w:rsidR="00372271" w:rsidRPr="007215A1" w14:paraId="1E6FE1DC" w14:textId="77777777" w:rsidTr="00372271">
        <w:tc>
          <w:tcPr>
            <w:tcW w:w="562" w:type="dxa"/>
          </w:tcPr>
          <w:p w14:paraId="562475A7" w14:textId="3D65E4ED" w:rsidR="00372271" w:rsidRPr="007215A1" w:rsidRDefault="00372271" w:rsidP="00372271">
            <w:pPr>
              <w:rPr>
                <w:rFonts w:cs="Arial"/>
                <w:b/>
                <w:sz w:val="24"/>
                <w:szCs w:val="24"/>
                <w:lang w:val="en-CA"/>
              </w:rPr>
            </w:pPr>
            <w:r w:rsidRPr="007215A1">
              <w:rPr>
                <w:rFonts w:cs="Arial"/>
                <w:b/>
                <w:sz w:val="24"/>
                <w:szCs w:val="24"/>
                <w:lang w:val="en-CA"/>
              </w:rPr>
              <w:t>#</w:t>
            </w:r>
          </w:p>
        </w:tc>
        <w:tc>
          <w:tcPr>
            <w:tcW w:w="3544" w:type="dxa"/>
          </w:tcPr>
          <w:p w14:paraId="4110BEA0" w14:textId="090C2474" w:rsidR="00372271" w:rsidRPr="007215A1" w:rsidRDefault="00372271" w:rsidP="00372271">
            <w:pPr>
              <w:rPr>
                <w:rFonts w:cs="Arial"/>
                <w:b/>
                <w:strike/>
                <w:sz w:val="24"/>
                <w:szCs w:val="24"/>
                <w:lang w:val="en-CA"/>
              </w:rPr>
            </w:pPr>
            <w:r w:rsidRPr="007215A1">
              <w:rPr>
                <w:rFonts w:cs="Arial"/>
                <w:b/>
                <w:sz w:val="24"/>
                <w:szCs w:val="24"/>
                <w:lang w:val="en-CA"/>
              </w:rPr>
              <w:t>Proposed Topics</w:t>
            </w:r>
          </w:p>
        </w:tc>
        <w:tc>
          <w:tcPr>
            <w:tcW w:w="6662" w:type="dxa"/>
          </w:tcPr>
          <w:p w14:paraId="210544C9" w14:textId="59D37DFE" w:rsidR="00372271" w:rsidRPr="007215A1" w:rsidRDefault="00372271" w:rsidP="00372271">
            <w:pPr>
              <w:rPr>
                <w:rFonts w:cs="Arial"/>
                <w:b/>
                <w:sz w:val="24"/>
                <w:szCs w:val="24"/>
                <w:lang w:val="en-CA"/>
              </w:rPr>
            </w:pPr>
            <w:r w:rsidRPr="007215A1">
              <w:rPr>
                <w:rFonts w:cs="Arial"/>
                <w:b/>
                <w:sz w:val="24"/>
                <w:szCs w:val="24"/>
                <w:lang w:val="en-CA"/>
              </w:rPr>
              <w:t>Description/Research question(s)</w:t>
            </w:r>
          </w:p>
        </w:tc>
        <w:tc>
          <w:tcPr>
            <w:tcW w:w="2694" w:type="dxa"/>
          </w:tcPr>
          <w:p w14:paraId="66608C0F" w14:textId="78493537" w:rsidR="00372271" w:rsidRPr="007215A1" w:rsidRDefault="00372271" w:rsidP="00372271">
            <w:pPr>
              <w:rPr>
                <w:rFonts w:cs="Arial"/>
                <w:b/>
                <w:sz w:val="24"/>
                <w:szCs w:val="24"/>
                <w:lang w:val="en-CA"/>
              </w:rPr>
            </w:pPr>
            <w:r w:rsidRPr="007215A1">
              <w:rPr>
                <w:rFonts w:cs="Arial"/>
                <w:b/>
                <w:sz w:val="24"/>
                <w:szCs w:val="24"/>
                <w:lang w:val="en-CA"/>
              </w:rPr>
              <w:t>Outcomes/Impacts</w:t>
            </w:r>
          </w:p>
        </w:tc>
        <w:tc>
          <w:tcPr>
            <w:tcW w:w="3969" w:type="dxa"/>
          </w:tcPr>
          <w:p w14:paraId="4C84D1C2" w14:textId="1DAFCD08" w:rsidR="00372271" w:rsidRPr="007215A1" w:rsidRDefault="00372271" w:rsidP="00372271">
            <w:pPr>
              <w:rPr>
                <w:rFonts w:cs="Arial"/>
                <w:sz w:val="24"/>
                <w:szCs w:val="24"/>
                <w:lang w:val="en-CA"/>
              </w:rPr>
            </w:pPr>
            <w:r w:rsidRPr="007215A1">
              <w:rPr>
                <w:rFonts w:cs="Arial"/>
                <w:b/>
                <w:sz w:val="24"/>
                <w:szCs w:val="24"/>
                <w:lang w:val="en-CA"/>
              </w:rPr>
              <w:t>Resources*/Timelines</w:t>
            </w:r>
          </w:p>
        </w:tc>
      </w:tr>
      <w:tr w:rsidR="007516B7" w:rsidRPr="007215A1" w14:paraId="2FCA894D" w14:textId="77777777" w:rsidTr="00372271">
        <w:tc>
          <w:tcPr>
            <w:tcW w:w="562" w:type="dxa"/>
          </w:tcPr>
          <w:p w14:paraId="45387B5B" w14:textId="77777777" w:rsidR="007516B7" w:rsidRPr="007215A1" w:rsidRDefault="007516B7" w:rsidP="00AB489B">
            <w:pPr>
              <w:rPr>
                <w:rFonts w:cs="Arial"/>
                <w:b/>
                <w:sz w:val="20"/>
                <w:szCs w:val="20"/>
                <w:lang w:val="en-CA"/>
              </w:rPr>
            </w:pPr>
            <w:r w:rsidRPr="007215A1">
              <w:rPr>
                <w:rFonts w:cs="Arial"/>
                <w:b/>
                <w:sz w:val="20"/>
                <w:szCs w:val="20"/>
                <w:lang w:val="en-CA"/>
              </w:rPr>
              <w:t>1</w:t>
            </w:r>
          </w:p>
        </w:tc>
        <w:tc>
          <w:tcPr>
            <w:tcW w:w="3544" w:type="dxa"/>
          </w:tcPr>
          <w:p w14:paraId="22E12202" w14:textId="77777777" w:rsidR="007516B7" w:rsidRPr="007215A1" w:rsidRDefault="007516B7" w:rsidP="00AB489B">
            <w:pPr>
              <w:rPr>
                <w:rFonts w:cs="Arial"/>
                <w:b/>
                <w:sz w:val="20"/>
                <w:szCs w:val="20"/>
                <w:u w:val="single"/>
                <w:lang w:val="en-CA"/>
              </w:rPr>
            </w:pPr>
            <w:r w:rsidRPr="007215A1">
              <w:rPr>
                <w:rFonts w:cs="Arial"/>
                <w:b/>
                <w:sz w:val="20"/>
                <w:szCs w:val="20"/>
                <w:u w:val="single"/>
                <w:lang w:val="en-CA"/>
              </w:rPr>
              <w:t>Staffing Dashboard Improvements</w:t>
            </w:r>
          </w:p>
          <w:p w14:paraId="31E2794C" w14:textId="77777777" w:rsidR="007516B7" w:rsidRPr="007215A1" w:rsidRDefault="007516B7" w:rsidP="00AB489B">
            <w:pPr>
              <w:rPr>
                <w:rFonts w:cs="Arial"/>
                <w:b/>
                <w:sz w:val="20"/>
                <w:szCs w:val="20"/>
                <w:u w:val="single"/>
                <w:lang w:val="en-CA"/>
              </w:rPr>
            </w:pPr>
          </w:p>
          <w:p w14:paraId="585438E4" w14:textId="77777777" w:rsidR="007516B7" w:rsidRPr="007215A1" w:rsidRDefault="007516B7" w:rsidP="00AB489B">
            <w:pPr>
              <w:rPr>
                <w:rFonts w:cs="Arial"/>
                <w:b/>
                <w:sz w:val="20"/>
                <w:szCs w:val="20"/>
                <w:u w:val="single"/>
                <w:lang w:val="en-CA"/>
              </w:rPr>
            </w:pPr>
            <w:r w:rsidRPr="007215A1">
              <w:rPr>
                <w:rFonts w:cs="Arial"/>
                <w:b/>
                <w:sz w:val="20"/>
                <w:szCs w:val="20"/>
                <w:u w:val="single"/>
                <w:lang w:val="en-CA"/>
              </w:rPr>
              <w:t>Source: Policy and Communication Sector (PCS) / SSAD, Corporate Affairs Sector</w:t>
            </w:r>
          </w:p>
          <w:p w14:paraId="32176C54" w14:textId="77777777" w:rsidR="007516B7" w:rsidRPr="007215A1" w:rsidRDefault="007516B7" w:rsidP="00AB489B">
            <w:pPr>
              <w:rPr>
                <w:rFonts w:cs="Arial"/>
                <w:b/>
                <w:sz w:val="20"/>
                <w:szCs w:val="20"/>
                <w:u w:val="single"/>
                <w:lang w:val="en-CA"/>
              </w:rPr>
            </w:pPr>
          </w:p>
          <w:p w14:paraId="6BA80148" w14:textId="06D7CE5E" w:rsidR="007516B7" w:rsidRPr="007215A1" w:rsidRDefault="007516B7" w:rsidP="00AB489B">
            <w:pPr>
              <w:rPr>
                <w:rFonts w:cs="Arial"/>
                <w:b/>
                <w:sz w:val="20"/>
                <w:szCs w:val="20"/>
                <w:u w:val="single"/>
                <w:lang w:val="en-CA"/>
              </w:rPr>
            </w:pPr>
            <w:r w:rsidRPr="007215A1">
              <w:rPr>
                <w:rFonts w:cs="Arial"/>
                <w:b/>
                <w:bCs/>
                <w:sz w:val="20"/>
                <w:szCs w:val="20"/>
                <w:u w:val="single"/>
                <w:lang w:val="en-CA"/>
              </w:rPr>
              <w:t xml:space="preserve">Client: </w:t>
            </w:r>
            <w:r w:rsidRPr="007215A1">
              <w:rPr>
                <w:rFonts w:cs="Arial"/>
                <w:b/>
                <w:sz w:val="20"/>
                <w:szCs w:val="20"/>
                <w:u w:val="single"/>
                <w:lang w:val="en-CA"/>
              </w:rPr>
              <w:t>Policy and Communication Sector (PCS) / SSAD, Corporate Affairs Sector</w:t>
            </w:r>
          </w:p>
          <w:p w14:paraId="27461D52" w14:textId="77777777" w:rsidR="007516B7" w:rsidRPr="007215A1" w:rsidRDefault="007516B7" w:rsidP="00AB489B">
            <w:pPr>
              <w:rPr>
                <w:rFonts w:cs="Arial"/>
                <w:b/>
                <w:sz w:val="20"/>
                <w:szCs w:val="20"/>
                <w:u w:val="single"/>
                <w:lang w:val="en-CA"/>
              </w:rPr>
            </w:pPr>
          </w:p>
        </w:tc>
        <w:tc>
          <w:tcPr>
            <w:tcW w:w="6662" w:type="dxa"/>
          </w:tcPr>
          <w:p w14:paraId="47DF9780" w14:textId="77777777" w:rsidR="007516B7" w:rsidRPr="007215A1" w:rsidRDefault="007516B7" w:rsidP="00AB489B">
            <w:pPr>
              <w:rPr>
                <w:sz w:val="20"/>
                <w:szCs w:val="20"/>
                <w:lang w:val="en-CA" w:eastAsia="en-CA"/>
              </w:rPr>
            </w:pPr>
            <w:r w:rsidRPr="007215A1">
              <w:rPr>
                <w:sz w:val="20"/>
                <w:szCs w:val="20"/>
                <w:lang w:val="en-CA" w:eastAsia="en-CA"/>
              </w:rPr>
              <w:t xml:space="preserve">A new iteration of the PSC Staffing Dashboard was released making the switch from an Excel based product to a web-based product. During our consultations, various stakeholders expressed their interest for additional content to be presented on the dashboard. </w:t>
            </w:r>
          </w:p>
          <w:p w14:paraId="24A8A299" w14:textId="77777777" w:rsidR="007516B7" w:rsidRPr="007215A1" w:rsidRDefault="007516B7" w:rsidP="00AB489B">
            <w:pPr>
              <w:rPr>
                <w:sz w:val="20"/>
                <w:szCs w:val="20"/>
                <w:lang w:val="en-CA" w:eastAsia="en-CA"/>
              </w:rPr>
            </w:pPr>
            <w:r w:rsidRPr="007215A1">
              <w:rPr>
                <w:sz w:val="20"/>
                <w:szCs w:val="20"/>
                <w:lang w:val="en-CA" w:eastAsia="en-CA"/>
              </w:rPr>
              <w:t>Q: What indicators can be added to the staffing dashboard?</w:t>
            </w:r>
          </w:p>
          <w:p w14:paraId="67C3D2A1" w14:textId="1BDC824B" w:rsidR="00E63433" w:rsidRPr="007215A1" w:rsidRDefault="00E63433" w:rsidP="00AB489B">
            <w:pPr>
              <w:rPr>
                <w:sz w:val="20"/>
                <w:szCs w:val="20"/>
                <w:lang w:val="en-CA" w:eastAsia="en-CA"/>
              </w:rPr>
            </w:pPr>
            <w:r w:rsidRPr="007215A1">
              <w:rPr>
                <w:sz w:val="20"/>
                <w:szCs w:val="20"/>
                <w:lang w:val="en-CA" w:eastAsia="en-CA"/>
              </w:rPr>
              <w:t>Q: How can the data be streamlined to align with other PSC data products?</w:t>
            </w:r>
          </w:p>
        </w:tc>
        <w:tc>
          <w:tcPr>
            <w:tcW w:w="2694" w:type="dxa"/>
          </w:tcPr>
          <w:p w14:paraId="5E744F1E" w14:textId="1651525B" w:rsidR="007516B7" w:rsidRPr="007215A1" w:rsidRDefault="007516B7" w:rsidP="00AB489B">
            <w:pPr>
              <w:rPr>
                <w:rFonts w:cs="Arial"/>
                <w:sz w:val="20"/>
                <w:szCs w:val="20"/>
                <w:lang w:val="en-CA"/>
              </w:rPr>
            </w:pPr>
            <w:r w:rsidRPr="007215A1">
              <w:rPr>
                <w:rFonts w:cs="Arial"/>
                <w:sz w:val="20"/>
                <w:szCs w:val="20"/>
                <w:lang w:val="en-CA"/>
              </w:rPr>
              <w:t>More relevant data points to assist HR professionals in their HR planning.</w:t>
            </w:r>
            <w:r w:rsidR="00E63433" w:rsidRPr="007215A1">
              <w:rPr>
                <w:rFonts w:cs="Arial"/>
                <w:sz w:val="20"/>
                <w:szCs w:val="20"/>
                <w:lang w:val="en-CA"/>
              </w:rPr>
              <w:t xml:space="preserve"> </w:t>
            </w:r>
          </w:p>
        </w:tc>
        <w:tc>
          <w:tcPr>
            <w:tcW w:w="3969" w:type="dxa"/>
          </w:tcPr>
          <w:p w14:paraId="2F0C0991" w14:textId="77777777" w:rsidR="007516B7" w:rsidRPr="007215A1" w:rsidRDefault="007516B7" w:rsidP="00AB489B">
            <w:pPr>
              <w:rPr>
                <w:rFonts w:cs="Arial"/>
                <w:sz w:val="20"/>
                <w:szCs w:val="20"/>
                <w:lang w:val="en-CA"/>
              </w:rPr>
            </w:pPr>
            <w:r w:rsidRPr="007215A1">
              <w:rPr>
                <w:rFonts w:cs="Arial"/>
                <w:sz w:val="20"/>
                <w:szCs w:val="20"/>
                <w:u w:val="single"/>
                <w:lang w:val="en-CA"/>
              </w:rPr>
              <w:t>FTE</w:t>
            </w:r>
            <w:r w:rsidRPr="007215A1">
              <w:rPr>
                <w:rFonts w:cs="Arial"/>
                <w:sz w:val="20"/>
                <w:szCs w:val="20"/>
                <w:lang w:val="en-CA"/>
              </w:rPr>
              <w:t>: ½</w:t>
            </w:r>
          </w:p>
          <w:p w14:paraId="7BD7C714" w14:textId="77777777" w:rsidR="007516B7" w:rsidRPr="007215A1" w:rsidRDefault="007516B7" w:rsidP="00AB489B">
            <w:pPr>
              <w:rPr>
                <w:rFonts w:cs="Arial"/>
                <w:sz w:val="20"/>
                <w:szCs w:val="20"/>
                <w:lang w:val="en-CA"/>
              </w:rPr>
            </w:pPr>
          </w:p>
          <w:p w14:paraId="1FFD4E71" w14:textId="77777777" w:rsidR="007516B7" w:rsidRPr="007215A1" w:rsidRDefault="007516B7" w:rsidP="00AB489B">
            <w:pPr>
              <w:rPr>
                <w:rFonts w:cs="Arial"/>
                <w:sz w:val="20"/>
                <w:szCs w:val="20"/>
                <w:lang w:val="en-CA"/>
              </w:rPr>
            </w:pPr>
            <w:r w:rsidRPr="007215A1">
              <w:rPr>
                <w:rFonts w:cs="Arial"/>
                <w:sz w:val="20"/>
                <w:szCs w:val="20"/>
                <w:u w:val="single"/>
                <w:lang w:val="en-CA"/>
              </w:rPr>
              <w:t>Data</w:t>
            </w:r>
            <w:r w:rsidRPr="007215A1">
              <w:rPr>
                <w:rFonts w:cs="Arial"/>
                <w:sz w:val="20"/>
                <w:szCs w:val="20"/>
                <w:lang w:val="en-CA"/>
              </w:rPr>
              <w:t>: Administrative data</w:t>
            </w:r>
          </w:p>
          <w:p w14:paraId="53B70869" w14:textId="77777777" w:rsidR="007516B7" w:rsidRPr="007215A1" w:rsidRDefault="007516B7" w:rsidP="00AB489B">
            <w:pPr>
              <w:rPr>
                <w:rFonts w:cs="Arial"/>
                <w:sz w:val="20"/>
                <w:szCs w:val="20"/>
                <w:lang w:val="en-CA"/>
              </w:rPr>
            </w:pPr>
          </w:p>
        </w:tc>
      </w:tr>
      <w:tr w:rsidR="007516B7" w:rsidRPr="007215A1" w14:paraId="0F21B3AF" w14:textId="77777777" w:rsidTr="00372271">
        <w:tc>
          <w:tcPr>
            <w:tcW w:w="562" w:type="dxa"/>
          </w:tcPr>
          <w:p w14:paraId="08020AB2" w14:textId="77777777" w:rsidR="007516B7" w:rsidRPr="007215A1" w:rsidRDefault="007516B7" w:rsidP="00AB489B">
            <w:pPr>
              <w:rPr>
                <w:rFonts w:cs="Arial"/>
                <w:sz w:val="20"/>
                <w:szCs w:val="20"/>
                <w:lang w:val="en-CA"/>
              </w:rPr>
            </w:pPr>
            <w:r w:rsidRPr="007215A1">
              <w:rPr>
                <w:rFonts w:cs="Arial"/>
                <w:sz w:val="20"/>
                <w:szCs w:val="20"/>
                <w:lang w:val="en-CA"/>
              </w:rPr>
              <w:t>2</w:t>
            </w:r>
          </w:p>
        </w:tc>
        <w:tc>
          <w:tcPr>
            <w:tcW w:w="3544" w:type="dxa"/>
          </w:tcPr>
          <w:p w14:paraId="5160F939" w14:textId="77777777" w:rsidR="007516B7" w:rsidRPr="007215A1" w:rsidRDefault="007516B7" w:rsidP="00AB489B">
            <w:pPr>
              <w:rPr>
                <w:rFonts w:cs="Arial"/>
                <w:b/>
                <w:sz w:val="20"/>
                <w:szCs w:val="20"/>
                <w:u w:val="single"/>
                <w:lang w:val="en-CA"/>
              </w:rPr>
            </w:pPr>
            <w:r w:rsidRPr="007215A1">
              <w:rPr>
                <w:rFonts w:cs="Arial"/>
                <w:b/>
                <w:sz w:val="20"/>
                <w:szCs w:val="20"/>
                <w:u w:val="single"/>
                <w:lang w:val="en-CA"/>
              </w:rPr>
              <w:t>Application Forecasting Tool Update</w:t>
            </w:r>
          </w:p>
          <w:p w14:paraId="1045E025" w14:textId="77777777" w:rsidR="007516B7" w:rsidRPr="007215A1" w:rsidRDefault="007516B7" w:rsidP="00AB489B">
            <w:pPr>
              <w:rPr>
                <w:rFonts w:cs="Arial"/>
                <w:b/>
                <w:sz w:val="20"/>
                <w:szCs w:val="20"/>
                <w:u w:val="single"/>
                <w:lang w:val="en-CA"/>
              </w:rPr>
            </w:pPr>
          </w:p>
          <w:p w14:paraId="63B49626" w14:textId="77777777" w:rsidR="007516B7" w:rsidRPr="007215A1" w:rsidRDefault="007516B7" w:rsidP="00AB489B">
            <w:pPr>
              <w:rPr>
                <w:rFonts w:cs="Arial"/>
                <w:b/>
                <w:sz w:val="20"/>
                <w:szCs w:val="20"/>
                <w:u w:val="single"/>
                <w:lang w:val="en-CA"/>
              </w:rPr>
            </w:pPr>
            <w:r w:rsidRPr="007215A1">
              <w:rPr>
                <w:rFonts w:cs="Arial"/>
                <w:b/>
                <w:sz w:val="20"/>
                <w:szCs w:val="20"/>
                <w:u w:val="single"/>
                <w:lang w:val="en-CA"/>
              </w:rPr>
              <w:t>Source: DSAD</w:t>
            </w:r>
          </w:p>
          <w:p w14:paraId="21F11E2D" w14:textId="77777777" w:rsidR="007516B7" w:rsidRPr="007215A1" w:rsidRDefault="007516B7" w:rsidP="00AB489B">
            <w:pPr>
              <w:rPr>
                <w:rFonts w:cs="Arial"/>
                <w:b/>
                <w:sz w:val="20"/>
                <w:szCs w:val="20"/>
                <w:u w:val="single"/>
                <w:lang w:val="en-CA"/>
              </w:rPr>
            </w:pPr>
          </w:p>
          <w:p w14:paraId="3A1F6D2E" w14:textId="77777777" w:rsidR="007516B7" w:rsidRPr="007215A1" w:rsidRDefault="007516B7" w:rsidP="00AB489B">
            <w:pPr>
              <w:rPr>
                <w:rFonts w:cs="Arial"/>
                <w:b/>
                <w:sz w:val="20"/>
                <w:szCs w:val="20"/>
                <w:u w:val="single"/>
                <w:lang w:val="en-CA"/>
              </w:rPr>
            </w:pPr>
            <w:r w:rsidRPr="007215A1">
              <w:rPr>
                <w:rFonts w:cs="Arial"/>
                <w:b/>
                <w:sz w:val="20"/>
                <w:szCs w:val="20"/>
                <w:u w:val="single"/>
                <w:lang w:val="en-CA"/>
              </w:rPr>
              <w:t xml:space="preserve">Client: Policy and Communication Sector (PCS) / SSAD, Corporate Affairs Sector </w:t>
            </w:r>
          </w:p>
        </w:tc>
        <w:tc>
          <w:tcPr>
            <w:tcW w:w="6662" w:type="dxa"/>
          </w:tcPr>
          <w:p w14:paraId="62AC4677" w14:textId="77777777" w:rsidR="007516B7" w:rsidRPr="007215A1" w:rsidRDefault="007516B7" w:rsidP="00AB489B">
            <w:pPr>
              <w:rPr>
                <w:sz w:val="20"/>
                <w:szCs w:val="20"/>
                <w:lang w:val="en-CA" w:eastAsia="en-CA"/>
              </w:rPr>
            </w:pPr>
            <w:r w:rsidRPr="007215A1">
              <w:rPr>
                <w:sz w:val="20"/>
                <w:szCs w:val="20"/>
                <w:lang w:val="en-CA" w:eastAsia="en-CA"/>
              </w:rPr>
              <w:t>An assessment of the Application Forecasting Tool (AFT) predictions yielded that our predictions were inaccurate due to the large number of factors that had to be taken into considerations when predicting the number of applicants. An alternative visual interface will be developed to provide HR practitioners with more relevant information to estimate the number of candidates which will be applying to their specific HR process.</w:t>
            </w:r>
          </w:p>
          <w:p w14:paraId="06182B62" w14:textId="77777777" w:rsidR="007516B7" w:rsidRPr="007215A1" w:rsidRDefault="007516B7" w:rsidP="00AB489B">
            <w:pPr>
              <w:rPr>
                <w:sz w:val="20"/>
                <w:szCs w:val="20"/>
                <w:lang w:val="en-CA" w:eastAsia="en-CA"/>
              </w:rPr>
            </w:pPr>
            <w:r w:rsidRPr="007215A1">
              <w:rPr>
                <w:sz w:val="20"/>
                <w:szCs w:val="20"/>
                <w:lang w:val="en-CA" w:eastAsia="en-CA"/>
              </w:rPr>
              <w:t>Q: How can the information on the potential number of candidates to a staffing process be presented?</w:t>
            </w:r>
          </w:p>
        </w:tc>
        <w:tc>
          <w:tcPr>
            <w:tcW w:w="2694" w:type="dxa"/>
          </w:tcPr>
          <w:p w14:paraId="68451482" w14:textId="77777777" w:rsidR="007516B7" w:rsidRPr="007215A1" w:rsidRDefault="007516B7" w:rsidP="00AB489B">
            <w:pPr>
              <w:rPr>
                <w:rFonts w:cs="Arial"/>
                <w:sz w:val="20"/>
                <w:szCs w:val="20"/>
                <w:lang w:val="en-CA"/>
              </w:rPr>
            </w:pPr>
            <w:r w:rsidRPr="007215A1">
              <w:rPr>
                <w:rFonts w:cs="Arial"/>
                <w:sz w:val="20"/>
                <w:szCs w:val="20"/>
                <w:lang w:val="en-CA"/>
              </w:rPr>
              <w:t xml:space="preserve">An updated tool to provide visualization allowing HR practitioners in planning their HR processes. </w:t>
            </w:r>
          </w:p>
        </w:tc>
        <w:tc>
          <w:tcPr>
            <w:tcW w:w="3969" w:type="dxa"/>
          </w:tcPr>
          <w:p w14:paraId="07ACA3C5" w14:textId="68A2E9E6" w:rsidR="00177B1A" w:rsidRPr="007215A1" w:rsidRDefault="00177B1A" w:rsidP="00177B1A">
            <w:pPr>
              <w:rPr>
                <w:rFonts w:cs="Arial"/>
                <w:sz w:val="20"/>
                <w:szCs w:val="20"/>
                <w:lang w:val="en-CA"/>
              </w:rPr>
            </w:pPr>
            <w:r w:rsidRPr="007215A1">
              <w:rPr>
                <w:rFonts w:cs="Arial"/>
                <w:sz w:val="20"/>
                <w:szCs w:val="20"/>
                <w:u w:val="single"/>
                <w:lang w:val="en-CA"/>
              </w:rPr>
              <w:t>FTE</w:t>
            </w:r>
            <w:r w:rsidRPr="007215A1">
              <w:rPr>
                <w:rFonts w:cs="Arial"/>
                <w:sz w:val="20"/>
                <w:szCs w:val="20"/>
                <w:lang w:val="en-CA"/>
              </w:rPr>
              <w:t xml:space="preserve">: ¼ </w:t>
            </w:r>
          </w:p>
          <w:p w14:paraId="05136C3A" w14:textId="77777777" w:rsidR="00177B1A" w:rsidRPr="007215A1" w:rsidRDefault="00177B1A" w:rsidP="00177B1A">
            <w:pPr>
              <w:rPr>
                <w:rFonts w:cs="Arial"/>
                <w:sz w:val="20"/>
                <w:szCs w:val="20"/>
                <w:lang w:val="en-CA"/>
              </w:rPr>
            </w:pPr>
          </w:p>
          <w:p w14:paraId="552B8E43" w14:textId="77777777" w:rsidR="00177B1A" w:rsidRPr="007215A1" w:rsidRDefault="00177B1A" w:rsidP="00177B1A">
            <w:pPr>
              <w:rPr>
                <w:rFonts w:cs="Arial"/>
                <w:sz w:val="20"/>
                <w:szCs w:val="20"/>
                <w:lang w:val="en-CA"/>
              </w:rPr>
            </w:pPr>
            <w:r w:rsidRPr="007215A1">
              <w:rPr>
                <w:rFonts w:cs="Arial"/>
                <w:sz w:val="20"/>
                <w:szCs w:val="20"/>
                <w:u w:val="single"/>
                <w:lang w:val="en-CA"/>
              </w:rPr>
              <w:t>Data</w:t>
            </w:r>
            <w:r w:rsidRPr="007215A1">
              <w:rPr>
                <w:rFonts w:cs="Arial"/>
                <w:sz w:val="20"/>
                <w:szCs w:val="20"/>
                <w:lang w:val="en-CA"/>
              </w:rPr>
              <w:t>: Administrative data</w:t>
            </w:r>
          </w:p>
          <w:p w14:paraId="3D30AB20" w14:textId="77777777" w:rsidR="007516B7" w:rsidRPr="007215A1" w:rsidRDefault="007516B7" w:rsidP="00AB489B">
            <w:pPr>
              <w:rPr>
                <w:rFonts w:cs="Arial"/>
                <w:sz w:val="20"/>
                <w:szCs w:val="20"/>
                <w:u w:val="single"/>
                <w:lang w:val="en-CA"/>
              </w:rPr>
            </w:pPr>
          </w:p>
        </w:tc>
      </w:tr>
      <w:tr w:rsidR="007516B7" w:rsidRPr="007215A1" w14:paraId="5788767B" w14:textId="77777777" w:rsidTr="00372271">
        <w:tc>
          <w:tcPr>
            <w:tcW w:w="562" w:type="dxa"/>
          </w:tcPr>
          <w:p w14:paraId="1AF6F7E0" w14:textId="77777777" w:rsidR="007516B7" w:rsidRPr="007215A1" w:rsidRDefault="007516B7" w:rsidP="00AB489B">
            <w:pPr>
              <w:rPr>
                <w:rFonts w:cs="Arial"/>
                <w:sz w:val="20"/>
                <w:szCs w:val="20"/>
                <w:lang w:val="en-CA"/>
              </w:rPr>
            </w:pPr>
            <w:r w:rsidRPr="007215A1">
              <w:rPr>
                <w:rFonts w:cs="Arial"/>
                <w:sz w:val="20"/>
                <w:szCs w:val="20"/>
                <w:lang w:val="en-CA"/>
              </w:rPr>
              <w:t>3</w:t>
            </w:r>
          </w:p>
        </w:tc>
        <w:tc>
          <w:tcPr>
            <w:tcW w:w="3544" w:type="dxa"/>
          </w:tcPr>
          <w:p w14:paraId="0F9001CD" w14:textId="77777777" w:rsidR="007516B7" w:rsidRPr="007215A1" w:rsidRDefault="007516B7" w:rsidP="00AB489B">
            <w:pPr>
              <w:rPr>
                <w:rFonts w:cs="Arial"/>
                <w:b/>
                <w:sz w:val="20"/>
                <w:szCs w:val="20"/>
                <w:u w:val="single"/>
                <w:lang w:val="en-CA"/>
              </w:rPr>
            </w:pPr>
            <w:r w:rsidRPr="007215A1">
              <w:rPr>
                <w:rFonts w:cs="Arial"/>
                <w:b/>
                <w:sz w:val="20"/>
                <w:szCs w:val="20"/>
                <w:u w:val="single"/>
                <w:lang w:val="en-CA"/>
              </w:rPr>
              <w:t>Annual Report Visualisation</w:t>
            </w:r>
          </w:p>
          <w:p w14:paraId="22A1DC82" w14:textId="77777777" w:rsidR="007516B7" w:rsidRPr="007215A1" w:rsidRDefault="007516B7" w:rsidP="00AB489B">
            <w:pPr>
              <w:rPr>
                <w:rFonts w:cs="Arial"/>
                <w:b/>
                <w:sz w:val="20"/>
                <w:szCs w:val="20"/>
                <w:u w:val="single"/>
                <w:lang w:val="en-CA"/>
              </w:rPr>
            </w:pPr>
          </w:p>
          <w:p w14:paraId="36952232" w14:textId="77777777" w:rsidR="007516B7" w:rsidRPr="007215A1" w:rsidRDefault="007516B7" w:rsidP="00AB489B">
            <w:pPr>
              <w:rPr>
                <w:rFonts w:cs="Arial"/>
                <w:b/>
                <w:sz w:val="20"/>
                <w:szCs w:val="20"/>
                <w:u w:val="single"/>
                <w:lang w:val="en-CA"/>
              </w:rPr>
            </w:pPr>
            <w:r w:rsidRPr="007215A1">
              <w:rPr>
                <w:rFonts w:cs="Arial"/>
                <w:b/>
                <w:sz w:val="20"/>
                <w:szCs w:val="20"/>
                <w:u w:val="single"/>
                <w:lang w:val="en-CA"/>
              </w:rPr>
              <w:t>Source: Policy and Communication Sector (PCS)</w:t>
            </w:r>
          </w:p>
          <w:p w14:paraId="124DB022" w14:textId="77777777" w:rsidR="007516B7" w:rsidRPr="007215A1" w:rsidRDefault="007516B7" w:rsidP="00AB489B">
            <w:pPr>
              <w:rPr>
                <w:rFonts w:cs="Arial"/>
                <w:b/>
                <w:sz w:val="20"/>
                <w:szCs w:val="20"/>
                <w:u w:val="single"/>
                <w:lang w:val="en-CA"/>
              </w:rPr>
            </w:pPr>
          </w:p>
          <w:p w14:paraId="496AC545" w14:textId="77777777" w:rsidR="007516B7" w:rsidRPr="007215A1" w:rsidRDefault="007516B7" w:rsidP="00AB489B">
            <w:pPr>
              <w:rPr>
                <w:rFonts w:cs="Arial"/>
                <w:b/>
                <w:sz w:val="20"/>
                <w:szCs w:val="20"/>
                <w:u w:val="single"/>
                <w:lang w:val="en-CA"/>
              </w:rPr>
            </w:pPr>
            <w:r w:rsidRPr="007215A1">
              <w:rPr>
                <w:rFonts w:cs="Arial"/>
                <w:b/>
                <w:sz w:val="20"/>
                <w:szCs w:val="20"/>
                <w:u w:val="single"/>
                <w:lang w:val="en-CA"/>
              </w:rPr>
              <w:t>Client: Policy and Communication Sector (PCS)</w:t>
            </w:r>
          </w:p>
        </w:tc>
        <w:tc>
          <w:tcPr>
            <w:tcW w:w="6662" w:type="dxa"/>
          </w:tcPr>
          <w:p w14:paraId="201EB565" w14:textId="77777777" w:rsidR="007516B7" w:rsidRPr="007215A1" w:rsidRDefault="007516B7" w:rsidP="00AB489B">
            <w:pPr>
              <w:rPr>
                <w:sz w:val="20"/>
                <w:szCs w:val="20"/>
                <w:lang w:val="en-CA" w:eastAsia="en-CA"/>
              </w:rPr>
            </w:pPr>
            <w:r w:rsidRPr="007215A1">
              <w:rPr>
                <w:sz w:val="20"/>
                <w:szCs w:val="20"/>
                <w:lang w:val="en-CA" w:eastAsia="en-CA"/>
              </w:rPr>
              <w:t xml:space="preserve">The PSC annual report team needs to be able to manipulate data easily with the use of an interactive data tool. This project aims at equipping this team with the right data and tool to produce the PSC annual report. </w:t>
            </w:r>
          </w:p>
          <w:p w14:paraId="5521A88D" w14:textId="77777777" w:rsidR="007516B7" w:rsidRPr="007215A1" w:rsidRDefault="007516B7" w:rsidP="00AB489B">
            <w:pPr>
              <w:rPr>
                <w:sz w:val="20"/>
                <w:szCs w:val="20"/>
                <w:lang w:val="en-CA" w:eastAsia="en-CA"/>
              </w:rPr>
            </w:pPr>
            <w:r w:rsidRPr="007215A1">
              <w:rPr>
                <w:sz w:val="20"/>
                <w:szCs w:val="20"/>
                <w:lang w:val="en-CA" w:eastAsia="en-CA"/>
              </w:rPr>
              <w:t>Q: What tool does the PSC AR teams need?</w:t>
            </w:r>
          </w:p>
        </w:tc>
        <w:tc>
          <w:tcPr>
            <w:tcW w:w="2694" w:type="dxa"/>
          </w:tcPr>
          <w:p w14:paraId="074C004B" w14:textId="77777777" w:rsidR="007516B7" w:rsidRPr="007215A1" w:rsidRDefault="007516B7" w:rsidP="00AB489B">
            <w:pPr>
              <w:rPr>
                <w:rFonts w:cs="Arial"/>
                <w:sz w:val="20"/>
                <w:szCs w:val="20"/>
                <w:lang w:val="en-CA"/>
              </w:rPr>
            </w:pPr>
            <w:r w:rsidRPr="007215A1">
              <w:rPr>
                <w:rFonts w:cs="Arial"/>
                <w:sz w:val="20"/>
                <w:szCs w:val="20"/>
                <w:lang w:val="en-CA"/>
              </w:rPr>
              <w:t>A data tool allowing the AR team to access the data it needs to produce a relevant timely report.</w:t>
            </w:r>
          </w:p>
        </w:tc>
        <w:tc>
          <w:tcPr>
            <w:tcW w:w="3969" w:type="dxa"/>
          </w:tcPr>
          <w:p w14:paraId="3BA08991" w14:textId="77777777" w:rsidR="00177B1A" w:rsidRPr="007215A1" w:rsidRDefault="00177B1A" w:rsidP="00177B1A">
            <w:pPr>
              <w:rPr>
                <w:rFonts w:cs="Arial"/>
                <w:sz w:val="20"/>
                <w:szCs w:val="20"/>
                <w:lang w:val="en-CA"/>
              </w:rPr>
            </w:pPr>
            <w:r w:rsidRPr="007215A1">
              <w:rPr>
                <w:rFonts w:cs="Arial"/>
                <w:sz w:val="20"/>
                <w:szCs w:val="20"/>
                <w:u w:val="single"/>
                <w:lang w:val="en-CA"/>
              </w:rPr>
              <w:t>FTE</w:t>
            </w:r>
            <w:r w:rsidRPr="007215A1">
              <w:rPr>
                <w:rFonts w:cs="Arial"/>
                <w:sz w:val="20"/>
                <w:szCs w:val="20"/>
                <w:lang w:val="en-CA"/>
              </w:rPr>
              <w:t xml:space="preserve">: ¼ </w:t>
            </w:r>
          </w:p>
          <w:p w14:paraId="18CA44C3" w14:textId="77777777" w:rsidR="00177B1A" w:rsidRPr="007215A1" w:rsidRDefault="00177B1A" w:rsidP="00177B1A">
            <w:pPr>
              <w:rPr>
                <w:rFonts w:cs="Arial"/>
                <w:sz w:val="20"/>
                <w:szCs w:val="20"/>
                <w:lang w:val="en-CA"/>
              </w:rPr>
            </w:pPr>
          </w:p>
          <w:p w14:paraId="22BCB273" w14:textId="77777777" w:rsidR="00177B1A" w:rsidRPr="007215A1" w:rsidRDefault="00177B1A" w:rsidP="00177B1A">
            <w:pPr>
              <w:rPr>
                <w:rFonts w:cs="Arial"/>
                <w:sz w:val="20"/>
                <w:szCs w:val="20"/>
                <w:lang w:val="en-CA"/>
              </w:rPr>
            </w:pPr>
            <w:r w:rsidRPr="007215A1">
              <w:rPr>
                <w:rFonts w:cs="Arial"/>
                <w:sz w:val="20"/>
                <w:szCs w:val="20"/>
                <w:u w:val="single"/>
                <w:lang w:val="en-CA"/>
              </w:rPr>
              <w:t>Data</w:t>
            </w:r>
            <w:r w:rsidRPr="007215A1">
              <w:rPr>
                <w:rFonts w:cs="Arial"/>
                <w:sz w:val="20"/>
                <w:szCs w:val="20"/>
                <w:lang w:val="en-CA"/>
              </w:rPr>
              <w:t>: Administrative data</w:t>
            </w:r>
          </w:p>
          <w:p w14:paraId="09B3F346" w14:textId="77777777" w:rsidR="007516B7" w:rsidRPr="007215A1" w:rsidRDefault="007516B7" w:rsidP="00AB489B">
            <w:pPr>
              <w:rPr>
                <w:rFonts w:cs="Arial"/>
                <w:sz w:val="20"/>
                <w:szCs w:val="20"/>
                <w:u w:val="single"/>
                <w:lang w:val="en-CA"/>
              </w:rPr>
            </w:pPr>
          </w:p>
        </w:tc>
      </w:tr>
      <w:tr w:rsidR="007516B7" w:rsidRPr="007215A1" w14:paraId="2A7A16DB" w14:textId="77777777" w:rsidTr="00372271">
        <w:tc>
          <w:tcPr>
            <w:tcW w:w="562" w:type="dxa"/>
          </w:tcPr>
          <w:p w14:paraId="29363369" w14:textId="77777777" w:rsidR="007516B7" w:rsidRPr="007215A1" w:rsidRDefault="007516B7" w:rsidP="00AB489B">
            <w:pPr>
              <w:rPr>
                <w:rFonts w:cs="Arial"/>
                <w:sz w:val="20"/>
                <w:szCs w:val="20"/>
                <w:lang w:val="en-CA"/>
              </w:rPr>
            </w:pPr>
            <w:r w:rsidRPr="007215A1">
              <w:rPr>
                <w:rFonts w:cs="Arial"/>
                <w:sz w:val="20"/>
                <w:szCs w:val="20"/>
                <w:lang w:val="en-CA"/>
              </w:rPr>
              <w:t>4</w:t>
            </w:r>
          </w:p>
        </w:tc>
        <w:tc>
          <w:tcPr>
            <w:tcW w:w="3544" w:type="dxa"/>
          </w:tcPr>
          <w:p w14:paraId="1F5F1E1C" w14:textId="77777777" w:rsidR="007516B7" w:rsidRPr="007215A1" w:rsidRDefault="007516B7" w:rsidP="00AB489B">
            <w:pPr>
              <w:rPr>
                <w:rFonts w:cs="Arial"/>
                <w:b/>
                <w:sz w:val="20"/>
                <w:szCs w:val="20"/>
                <w:u w:val="single"/>
                <w:lang w:val="en-CA"/>
              </w:rPr>
            </w:pPr>
            <w:r w:rsidRPr="007215A1">
              <w:rPr>
                <w:rFonts w:cs="Arial"/>
                <w:b/>
                <w:sz w:val="20"/>
                <w:szCs w:val="20"/>
                <w:u w:val="single"/>
                <w:lang w:val="en-CA"/>
              </w:rPr>
              <w:t>Public Service Employee Survey Bundle</w:t>
            </w:r>
          </w:p>
          <w:p w14:paraId="1F12DF48" w14:textId="77777777" w:rsidR="007516B7" w:rsidRPr="007215A1" w:rsidRDefault="007516B7" w:rsidP="00AB489B">
            <w:pPr>
              <w:rPr>
                <w:rFonts w:cs="Arial"/>
                <w:b/>
                <w:sz w:val="20"/>
                <w:szCs w:val="20"/>
                <w:u w:val="single"/>
                <w:lang w:val="en-CA"/>
              </w:rPr>
            </w:pPr>
          </w:p>
          <w:p w14:paraId="320C8F18" w14:textId="77777777" w:rsidR="007516B7" w:rsidRPr="007215A1" w:rsidRDefault="007516B7" w:rsidP="00AB489B">
            <w:pPr>
              <w:rPr>
                <w:rFonts w:cs="Arial"/>
                <w:b/>
                <w:sz w:val="20"/>
                <w:szCs w:val="20"/>
                <w:u w:val="single"/>
                <w:lang w:val="en-CA"/>
              </w:rPr>
            </w:pPr>
            <w:r w:rsidRPr="007215A1">
              <w:rPr>
                <w:rFonts w:cs="Arial"/>
                <w:b/>
                <w:sz w:val="20"/>
                <w:szCs w:val="20"/>
                <w:u w:val="single"/>
                <w:lang w:val="en-CA"/>
              </w:rPr>
              <w:t>Source: DSAD</w:t>
            </w:r>
          </w:p>
          <w:p w14:paraId="26DA5F91" w14:textId="77777777" w:rsidR="007516B7" w:rsidRPr="007215A1" w:rsidRDefault="007516B7" w:rsidP="00AB489B">
            <w:pPr>
              <w:rPr>
                <w:rFonts w:cs="Arial"/>
                <w:b/>
                <w:sz w:val="20"/>
                <w:szCs w:val="20"/>
                <w:u w:val="single"/>
                <w:lang w:val="en-CA"/>
              </w:rPr>
            </w:pPr>
          </w:p>
          <w:p w14:paraId="4AB30707" w14:textId="77777777" w:rsidR="007516B7" w:rsidRPr="007215A1" w:rsidRDefault="007516B7" w:rsidP="00AB489B">
            <w:pPr>
              <w:rPr>
                <w:rFonts w:cs="Arial"/>
                <w:b/>
                <w:sz w:val="20"/>
                <w:szCs w:val="20"/>
                <w:u w:val="single"/>
                <w:lang w:val="en-CA"/>
              </w:rPr>
            </w:pPr>
            <w:r w:rsidRPr="007215A1">
              <w:rPr>
                <w:rFonts w:cs="Arial"/>
                <w:b/>
                <w:sz w:val="20"/>
                <w:szCs w:val="20"/>
                <w:u w:val="single"/>
                <w:lang w:val="en-CA"/>
              </w:rPr>
              <w:t>Client: Corporate Affairs Sector</w:t>
            </w:r>
          </w:p>
          <w:p w14:paraId="2290FAF8" w14:textId="2ED20914" w:rsidR="00B47855" w:rsidRPr="007215A1" w:rsidRDefault="00B47855" w:rsidP="00B47855">
            <w:pPr>
              <w:jc w:val="right"/>
              <w:rPr>
                <w:rFonts w:cs="Arial"/>
                <w:sz w:val="20"/>
                <w:szCs w:val="20"/>
                <w:lang w:val="en-CA"/>
              </w:rPr>
            </w:pPr>
          </w:p>
        </w:tc>
        <w:tc>
          <w:tcPr>
            <w:tcW w:w="6662" w:type="dxa"/>
          </w:tcPr>
          <w:p w14:paraId="2EF8C5E6" w14:textId="77777777" w:rsidR="007516B7" w:rsidRPr="007215A1" w:rsidRDefault="007516B7" w:rsidP="00AB489B">
            <w:pPr>
              <w:rPr>
                <w:sz w:val="20"/>
                <w:szCs w:val="20"/>
                <w:lang w:val="en-CA" w:eastAsia="en-CA"/>
              </w:rPr>
            </w:pPr>
            <w:r w:rsidRPr="007215A1">
              <w:rPr>
                <w:sz w:val="20"/>
                <w:szCs w:val="20"/>
                <w:lang w:val="en-CA" w:eastAsia="en-CA"/>
              </w:rPr>
              <w:lastRenderedPageBreak/>
              <w:t>There has been an increased number of requests made to DSAD to produce internal aggregated data of PSES results. To meet demands in a timely fashion, a tool will be built to provide access to data to PSC employees.</w:t>
            </w:r>
          </w:p>
          <w:p w14:paraId="18CCDF2D" w14:textId="77777777" w:rsidR="007516B7" w:rsidRPr="007215A1" w:rsidRDefault="007516B7" w:rsidP="00AB489B">
            <w:pPr>
              <w:rPr>
                <w:sz w:val="20"/>
                <w:szCs w:val="20"/>
                <w:lang w:val="en-CA" w:eastAsia="en-CA"/>
              </w:rPr>
            </w:pPr>
            <w:r w:rsidRPr="007215A1">
              <w:rPr>
                <w:sz w:val="20"/>
                <w:szCs w:val="20"/>
                <w:lang w:val="en-CA" w:eastAsia="en-CA"/>
              </w:rPr>
              <w:lastRenderedPageBreak/>
              <w:t>Q: What tool do PSC employee needs to access PSES data?</w:t>
            </w:r>
          </w:p>
        </w:tc>
        <w:tc>
          <w:tcPr>
            <w:tcW w:w="2694" w:type="dxa"/>
          </w:tcPr>
          <w:p w14:paraId="069A73EE" w14:textId="77777777" w:rsidR="007516B7" w:rsidRPr="007215A1" w:rsidRDefault="007516B7" w:rsidP="00AB489B">
            <w:pPr>
              <w:rPr>
                <w:rFonts w:cs="Arial"/>
                <w:sz w:val="20"/>
                <w:szCs w:val="20"/>
                <w:lang w:val="en-CA"/>
              </w:rPr>
            </w:pPr>
            <w:r w:rsidRPr="007215A1">
              <w:rPr>
                <w:rFonts w:cs="Arial"/>
                <w:sz w:val="20"/>
                <w:szCs w:val="20"/>
                <w:lang w:val="en-CA"/>
              </w:rPr>
              <w:lastRenderedPageBreak/>
              <w:t>A data tool which allows PSC employees to consult PSES data.</w:t>
            </w:r>
          </w:p>
        </w:tc>
        <w:tc>
          <w:tcPr>
            <w:tcW w:w="3969" w:type="dxa"/>
          </w:tcPr>
          <w:p w14:paraId="3C16B5CD" w14:textId="77777777" w:rsidR="00177B1A" w:rsidRPr="007215A1" w:rsidRDefault="00177B1A" w:rsidP="00177B1A">
            <w:pPr>
              <w:rPr>
                <w:rFonts w:cs="Arial"/>
                <w:sz w:val="20"/>
                <w:szCs w:val="20"/>
                <w:lang w:val="en-CA"/>
              </w:rPr>
            </w:pPr>
            <w:r w:rsidRPr="007215A1">
              <w:rPr>
                <w:rFonts w:cs="Arial"/>
                <w:sz w:val="20"/>
                <w:szCs w:val="20"/>
                <w:u w:val="single"/>
                <w:lang w:val="en-CA"/>
              </w:rPr>
              <w:t>FTE</w:t>
            </w:r>
            <w:r w:rsidRPr="007215A1">
              <w:rPr>
                <w:rFonts w:cs="Arial"/>
                <w:sz w:val="20"/>
                <w:szCs w:val="20"/>
                <w:lang w:val="en-CA"/>
              </w:rPr>
              <w:t xml:space="preserve">: ¼ </w:t>
            </w:r>
          </w:p>
          <w:p w14:paraId="4E495303" w14:textId="77777777" w:rsidR="00177B1A" w:rsidRPr="007215A1" w:rsidRDefault="00177B1A" w:rsidP="00177B1A">
            <w:pPr>
              <w:rPr>
                <w:rFonts w:cs="Arial"/>
                <w:sz w:val="20"/>
                <w:szCs w:val="20"/>
                <w:lang w:val="en-CA"/>
              </w:rPr>
            </w:pPr>
          </w:p>
          <w:p w14:paraId="6E027640" w14:textId="77777777" w:rsidR="00177B1A" w:rsidRPr="007215A1" w:rsidRDefault="00177B1A" w:rsidP="00177B1A">
            <w:pPr>
              <w:rPr>
                <w:rFonts w:cs="Arial"/>
                <w:sz w:val="20"/>
                <w:szCs w:val="20"/>
                <w:lang w:val="en-CA"/>
              </w:rPr>
            </w:pPr>
            <w:r w:rsidRPr="007215A1">
              <w:rPr>
                <w:rFonts w:cs="Arial"/>
                <w:sz w:val="20"/>
                <w:szCs w:val="20"/>
                <w:u w:val="single"/>
                <w:lang w:val="en-CA"/>
              </w:rPr>
              <w:t>Data</w:t>
            </w:r>
            <w:r w:rsidRPr="007215A1">
              <w:rPr>
                <w:rFonts w:cs="Arial"/>
                <w:sz w:val="20"/>
                <w:szCs w:val="20"/>
                <w:lang w:val="en-CA"/>
              </w:rPr>
              <w:t>: Administrative data</w:t>
            </w:r>
          </w:p>
          <w:p w14:paraId="6E5E15E0" w14:textId="77777777" w:rsidR="007516B7" w:rsidRPr="007215A1" w:rsidRDefault="007516B7" w:rsidP="00AB489B">
            <w:pPr>
              <w:rPr>
                <w:rFonts w:cs="Arial"/>
                <w:sz w:val="20"/>
                <w:szCs w:val="20"/>
                <w:u w:val="single"/>
                <w:lang w:val="en-CA"/>
              </w:rPr>
            </w:pPr>
          </w:p>
        </w:tc>
      </w:tr>
      <w:tr w:rsidR="00190775" w:rsidRPr="007215A1" w14:paraId="5A96C997" w14:textId="77777777" w:rsidTr="00372271">
        <w:tc>
          <w:tcPr>
            <w:tcW w:w="562" w:type="dxa"/>
          </w:tcPr>
          <w:p w14:paraId="15E1FF67" w14:textId="65C08B62" w:rsidR="00190775" w:rsidRPr="007215A1" w:rsidRDefault="00190775" w:rsidP="00AB489B">
            <w:pPr>
              <w:rPr>
                <w:rFonts w:cs="Arial"/>
                <w:sz w:val="20"/>
                <w:szCs w:val="20"/>
                <w:lang w:val="en-CA"/>
              </w:rPr>
            </w:pPr>
            <w:r w:rsidRPr="007215A1">
              <w:rPr>
                <w:rFonts w:cs="Arial"/>
                <w:sz w:val="20"/>
                <w:szCs w:val="20"/>
                <w:lang w:val="en-CA"/>
              </w:rPr>
              <w:t>5</w:t>
            </w:r>
          </w:p>
        </w:tc>
        <w:tc>
          <w:tcPr>
            <w:tcW w:w="3544" w:type="dxa"/>
          </w:tcPr>
          <w:p w14:paraId="337F38BA" w14:textId="5884095C" w:rsidR="00190775" w:rsidRPr="007215A1" w:rsidRDefault="00190775" w:rsidP="00190775">
            <w:pPr>
              <w:rPr>
                <w:rFonts w:cs="Arial"/>
                <w:b/>
                <w:sz w:val="20"/>
                <w:szCs w:val="20"/>
                <w:u w:val="single"/>
                <w:lang w:val="en-CA"/>
              </w:rPr>
            </w:pPr>
            <w:r w:rsidRPr="007215A1">
              <w:rPr>
                <w:rFonts w:cs="Arial"/>
                <w:b/>
                <w:sz w:val="20"/>
                <w:szCs w:val="20"/>
                <w:u w:val="single"/>
                <w:lang w:val="en-CA"/>
              </w:rPr>
              <w:t>Staffing and Non-Partisanship Survey Results Dashboard</w:t>
            </w:r>
          </w:p>
          <w:p w14:paraId="32AFF503" w14:textId="77777777" w:rsidR="00190775" w:rsidRPr="007215A1" w:rsidRDefault="00190775" w:rsidP="00190775">
            <w:pPr>
              <w:rPr>
                <w:rFonts w:cs="Arial"/>
                <w:b/>
                <w:sz w:val="20"/>
                <w:szCs w:val="20"/>
                <w:u w:val="single"/>
                <w:lang w:val="en-CA"/>
              </w:rPr>
            </w:pPr>
          </w:p>
          <w:p w14:paraId="23574BD5" w14:textId="77777777" w:rsidR="00190775" w:rsidRPr="007215A1" w:rsidRDefault="00190775" w:rsidP="00190775">
            <w:pPr>
              <w:rPr>
                <w:rFonts w:cs="Arial"/>
                <w:b/>
                <w:sz w:val="20"/>
                <w:szCs w:val="20"/>
                <w:u w:val="single"/>
                <w:lang w:val="en-CA"/>
              </w:rPr>
            </w:pPr>
            <w:r w:rsidRPr="007215A1">
              <w:rPr>
                <w:rFonts w:cs="Arial"/>
                <w:b/>
                <w:sz w:val="20"/>
                <w:szCs w:val="20"/>
                <w:u w:val="single"/>
                <w:lang w:val="en-CA"/>
              </w:rPr>
              <w:t>Source: DSAD</w:t>
            </w:r>
          </w:p>
          <w:p w14:paraId="6704F8C0" w14:textId="77777777" w:rsidR="00190775" w:rsidRPr="007215A1" w:rsidRDefault="00190775" w:rsidP="00190775">
            <w:pPr>
              <w:rPr>
                <w:rFonts w:cs="Arial"/>
                <w:b/>
                <w:sz w:val="20"/>
                <w:szCs w:val="20"/>
                <w:u w:val="single"/>
                <w:lang w:val="en-CA"/>
              </w:rPr>
            </w:pPr>
          </w:p>
          <w:p w14:paraId="1A0FCE70" w14:textId="71CAEB6F" w:rsidR="00190775" w:rsidRPr="007215A1" w:rsidRDefault="00190775" w:rsidP="00AB489B">
            <w:pPr>
              <w:rPr>
                <w:rFonts w:cs="Arial"/>
                <w:b/>
                <w:sz w:val="20"/>
                <w:szCs w:val="20"/>
                <w:u w:val="single"/>
                <w:lang w:val="en-CA"/>
              </w:rPr>
            </w:pPr>
            <w:r w:rsidRPr="007215A1">
              <w:rPr>
                <w:rFonts w:cs="Arial"/>
                <w:b/>
                <w:sz w:val="20"/>
                <w:szCs w:val="20"/>
                <w:u w:val="single"/>
                <w:lang w:val="en-CA"/>
              </w:rPr>
              <w:t>Client: Oversight and Investigation Sector (OIS)</w:t>
            </w:r>
          </w:p>
        </w:tc>
        <w:tc>
          <w:tcPr>
            <w:tcW w:w="6662" w:type="dxa"/>
          </w:tcPr>
          <w:p w14:paraId="53D69BDF" w14:textId="77777777" w:rsidR="00190775" w:rsidRPr="007215A1" w:rsidRDefault="00190775" w:rsidP="00C778F6">
            <w:pPr>
              <w:rPr>
                <w:sz w:val="20"/>
                <w:szCs w:val="20"/>
                <w:lang w:val="en-CA" w:eastAsia="en-CA"/>
              </w:rPr>
            </w:pPr>
            <w:r w:rsidRPr="007215A1">
              <w:rPr>
                <w:sz w:val="20"/>
                <w:szCs w:val="20"/>
                <w:lang w:val="en-CA" w:eastAsia="en-CA"/>
              </w:rPr>
              <w:t>DSAD exploring the possibility of replacing Organizational Reports and Interactive Visualization Tool with a dashboard-type tool</w:t>
            </w:r>
          </w:p>
          <w:p w14:paraId="6B268D8E" w14:textId="77777777" w:rsidR="00190775" w:rsidRPr="007215A1" w:rsidRDefault="00190775" w:rsidP="00C778F6">
            <w:pPr>
              <w:numPr>
                <w:ilvl w:val="0"/>
                <w:numId w:val="19"/>
              </w:numPr>
              <w:rPr>
                <w:sz w:val="20"/>
                <w:szCs w:val="20"/>
                <w:lang w:val="en-CA" w:eastAsia="en-CA"/>
              </w:rPr>
            </w:pPr>
            <w:r w:rsidRPr="007215A1">
              <w:rPr>
                <w:sz w:val="20"/>
                <w:szCs w:val="20"/>
                <w:lang w:val="en-CA" w:eastAsia="en-CA"/>
              </w:rPr>
              <w:t>on PSC extranet site</w:t>
            </w:r>
          </w:p>
          <w:p w14:paraId="41116EBB" w14:textId="77777777" w:rsidR="00190775" w:rsidRPr="007215A1" w:rsidRDefault="00190775" w:rsidP="00C778F6">
            <w:pPr>
              <w:numPr>
                <w:ilvl w:val="0"/>
                <w:numId w:val="19"/>
              </w:numPr>
              <w:rPr>
                <w:sz w:val="20"/>
                <w:szCs w:val="20"/>
                <w:lang w:val="en-CA" w:eastAsia="en-CA"/>
              </w:rPr>
            </w:pPr>
            <w:r w:rsidRPr="007215A1">
              <w:rPr>
                <w:sz w:val="20"/>
                <w:szCs w:val="20"/>
                <w:lang w:val="en-CA" w:eastAsia="en-CA"/>
              </w:rPr>
              <w:t>similar platform as the revised PSC Staffing Dashboard</w:t>
            </w:r>
          </w:p>
          <w:p w14:paraId="54D1D65F" w14:textId="77777777" w:rsidR="00190775" w:rsidRPr="007215A1" w:rsidRDefault="00190775" w:rsidP="00C778F6">
            <w:pPr>
              <w:rPr>
                <w:sz w:val="20"/>
                <w:szCs w:val="20"/>
                <w:lang w:val="en-CA" w:eastAsia="en-CA"/>
              </w:rPr>
            </w:pPr>
            <w:r w:rsidRPr="007215A1">
              <w:rPr>
                <w:sz w:val="20"/>
                <w:szCs w:val="20"/>
                <w:lang w:val="en-CA" w:eastAsia="en-CA"/>
              </w:rPr>
              <w:t>Comparison with 2018 and 2021 public service-wide results and results for similar size organizations, where feasible (see Appendix 2 for proposed data tables)</w:t>
            </w:r>
          </w:p>
          <w:p w14:paraId="6B6F651E" w14:textId="77777777" w:rsidR="00190775" w:rsidRPr="007215A1" w:rsidRDefault="00190775" w:rsidP="00AB489B">
            <w:pPr>
              <w:rPr>
                <w:sz w:val="20"/>
                <w:szCs w:val="20"/>
                <w:lang w:val="en-CA" w:eastAsia="en-CA"/>
              </w:rPr>
            </w:pPr>
          </w:p>
        </w:tc>
        <w:tc>
          <w:tcPr>
            <w:tcW w:w="2694" w:type="dxa"/>
          </w:tcPr>
          <w:p w14:paraId="2B872636" w14:textId="40940595" w:rsidR="00190775" w:rsidRPr="007215A1" w:rsidRDefault="00190775" w:rsidP="00AB489B">
            <w:pPr>
              <w:rPr>
                <w:rFonts w:cs="Arial"/>
                <w:sz w:val="20"/>
                <w:szCs w:val="20"/>
                <w:lang w:val="en-CA"/>
              </w:rPr>
            </w:pPr>
            <w:r w:rsidRPr="007215A1">
              <w:rPr>
                <w:rFonts w:cs="Arial"/>
                <w:sz w:val="20"/>
                <w:szCs w:val="20"/>
                <w:lang w:val="en-CA"/>
              </w:rPr>
              <w:t>A data tool which allows public service employees to view SNPS results for specific organizations and results.</w:t>
            </w:r>
          </w:p>
        </w:tc>
        <w:tc>
          <w:tcPr>
            <w:tcW w:w="3969" w:type="dxa"/>
          </w:tcPr>
          <w:p w14:paraId="65B398A7" w14:textId="77777777" w:rsidR="00190775" w:rsidRPr="007215A1" w:rsidRDefault="00190775" w:rsidP="00190775">
            <w:pPr>
              <w:rPr>
                <w:rFonts w:cs="Arial"/>
                <w:sz w:val="20"/>
                <w:szCs w:val="20"/>
                <w:lang w:val="en-CA"/>
              </w:rPr>
            </w:pPr>
            <w:r w:rsidRPr="007215A1">
              <w:rPr>
                <w:rFonts w:cs="Arial"/>
                <w:sz w:val="20"/>
                <w:szCs w:val="20"/>
                <w:u w:val="single"/>
                <w:lang w:val="en-CA"/>
              </w:rPr>
              <w:t>FTE</w:t>
            </w:r>
            <w:r w:rsidRPr="007215A1">
              <w:rPr>
                <w:rFonts w:cs="Arial"/>
                <w:sz w:val="20"/>
                <w:szCs w:val="20"/>
                <w:lang w:val="en-CA"/>
              </w:rPr>
              <w:t xml:space="preserve">: ¼ </w:t>
            </w:r>
          </w:p>
          <w:p w14:paraId="35F42373" w14:textId="77777777" w:rsidR="00190775" w:rsidRPr="007215A1" w:rsidRDefault="00190775" w:rsidP="00190775">
            <w:pPr>
              <w:rPr>
                <w:rFonts w:cs="Arial"/>
                <w:sz w:val="20"/>
                <w:szCs w:val="20"/>
                <w:lang w:val="en-CA"/>
              </w:rPr>
            </w:pPr>
          </w:p>
          <w:p w14:paraId="7AD1B843" w14:textId="41CF2F92" w:rsidR="00190775" w:rsidRPr="007215A1" w:rsidRDefault="00190775" w:rsidP="00190775">
            <w:pPr>
              <w:rPr>
                <w:rFonts w:cs="Arial"/>
                <w:sz w:val="20"/>
                <w:szCs w:val="20"/>
                <w:u w:val="single"/>
                <w:lang w:val="en-CA"/>
              </w:rPr>
            </w:pPr>
            <w:r w:rsidRPr="007215A1">
              <w:rPr>
                <w:rFonts w:cs="Arial"/>
                <w:sz w:val="20"/>
                <w:szCs w:val="20"/>
                <w:u w:val="single"/>
                <w:lang w:val="en-CA"/>
              </w:rPr>
              <w:t>Data</w:t>
            </w:r>
            <w:r w:rsidRPr="007215A1">
              <w:rPr>
                <w:rFonts w:cs="Arial"/>
                <w:sz w:val="20"/>
                <w:szCs w:val="20"/>
                <w:lang w:val="en-CA"/>
              </w:rPr>
              <w:t>: Survey</w:t>
            </w:r>
          </w:p>
        </w:tc>
      </w:tr>
    </w:tbl>
    <w:p w14:paraId="4506EF0E" w14:textId="7E65A821" w:rsidR="007516B7" w:rsidRPr="007215A1" w:rsidRDefault="007516B7" w:rsidP="00D715D7">
      <w:pPr>
        <w:rPr>
          <w:lang w:val="en-CA"/>
        </w:rPr>
      </w:pPr>
    </w:p>
    <w:sectPr w:rsidR="007516B7" w:rsidRPr="007215A1" w:rsidSect="009E7A17">
      <w:footerReference w:type="default" r:id="rId16"/>
      <w:footerReference w:type="first" r:id="rId17"/>
      <w:pgSz w:w="20163" w:h="12242" w:orient="landscape" w:code="5"/>
      <w:pgMar w:top="1440" w:right="1440" w:bottom="1440" w:left="1440" w:header="709" w:footer="709" w:gutter="0"/>
      <w:pgNumType w:start="1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FD8A8" w14:textId="77777777" w:rsidR="00474DB4" w:rsidRDefault="00474DB4" w:rsidP="00941B2E">
      <w:pPr>
        <w:spacing w:after="0" w:line="240" w:lineRule="auto"/>
      </w:pPr>
      <w:r>
        <w:separator/>
      </w:r>
    </w:p>
  </w:endnote>
  <w:endnote w:type="continuationSeparator" w:id="0">
    <w:p w14:paraId="6F629F22" w14:textId="77777777" w:rsidR="00474DB4" w:rsidRDefault="00474DB4" w:rsidP="00941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84A70" w14:textId="5E62BED1" w:rsidR="00732541" w:rsidRPr="009E7A17" w:rsidRDefault="004A2C00" w:rsidP="009E7A17">
    <w:pPr>
      <w:pStyle w:val="Footer"/>
      <w:rPr>
        <w:lang w:val="en-CA"/>
      </w:rPr>
    </w:pPr>
    <w:r w:rsidRPr="00941B2E">
      <w:rPr>
        <w:rFonts w:ascii="Segoe UI Semibold" w:hAnsi="Segoe UI Semibold" w:cs="Segoe UI Semibold"/>
        <w:noProof/>
        <w:lang w:val="en-CA" w:eastAsia="en-CA"/>
      </w:rPr>
      <w:drawing>
        <wp:anchor distT="0" distB="0" distL="114300" distR="114300" simplePos="0" relativeHeight="251659264" behindDoc="1" locked="0" layoutInCell="1" allowOverlap="1" wp14:anchorId="1FA42887" wp14:editId="0D3F4493">
          <wp:simplePos x="0" y="0"/>
          <wp:positionH relativeFrom="margin">
            <wp:posOffset>-828040</wp:posOffset>
          </wp:positionH>
          <wp:positionV relativeFrom="page">
            <wp:posOffset>9431655</wp:posOffset>
          </wp:positionV>
          <wp:extent cx="7830000" cy="643620"/>
          <wp:effectExtent l="0" t="0" r="0" b="4445"/>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Picture 52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30000" cy="643620"/>
                  </a:xfrm>
                  <a:prstGeom prst="rect">
                    <a:avLst/>
                  </a:prstGeom>
                </pic:spPr>
              </pic:pic>
            </a:graphicData>
          </a:graphic>
          <wp14:sizeRelH relativeFrom="margin">
            <wp14:pctWidth>0</wp14:pctWidth>
          </wp14:sizeRelH>
          <wp14:sizeRelV relativeFrom="margin">
            <wp14:pctHeight>0</wp14:pctHeight>
          </wp14:sizeRelV>
        </wp:anchor>
      </w:drawing>
    </w:r>
    <w:sdt>
      <w:sdtPr>
        <w:id w:val="-1452319509"/>
        <w:docPartObj>
          <w:docPartGallery w:val="Page Numbers (Bottom of Page)"/>
          <w:docPartUnique/>
        </w:docPartObj>
      </w:sdtPr>
      <w:sdtEndPr>
        <w:rPr>
          <w:noProof/>
        </w:rPr>
      </w:sdtEndPr>
      <w:sdtContent>
        <w:r>
          <w:fldChar w:fldCharType="begin"/>
        </w:r>
        <w:r w:rsidRPr="009E7A17">
          <w:rPr>
            <w:lang w:val="en-CA"/>
          </w:rPr>
          <w:instrText xml:space="preserve"> PAGE   \* MERGEFORMAT </w:instrText>
        </w:r>
        <w:r>
          <w:fldChar w:fldCharType="separate"/>
        </w:r>
        <w:r w:rsidRPr="009E7A17">
          <w:rPr>
            <w:noProof/>
            <w:lang w:val="en-CA"/>
          </w:rPr>
          <w:t>2</w:t>
        </w:r>
        <w:r>
          <w:rPr>
            <w:noProof/>
          </w:rPr>
          <w:fldChar w:fldCharType="end"/>
        </w:r>
      </w:sdtContent>
    </w:sdt>
    <w:r w:rsidR="009E7A17" w:rsidRPr="009E7A17">
      <w:rPr>
        <w:noProof/>
        <w:lang w:val="en-CA"/>
      </w:rPr>
      <w:t xml:space="preserve">  </w:t>
    </w:r>
    <w:r w:rsidR="009E7A17" w:rsidRPr="003B1157">
      <w:rPr>
        <w:rFonts w:ascii="Segoe UI Semibold" w:hAnsi="Segoe UI Semibold" w:cs="Segoe UI Semibold"/>
        <w:noProof/>
        <w:lang w:val="en-CA"/>
      </w:rPr>
      <w:t xml:space="preserve">– </w:t>
    </w:r>
    <w:r w:rsidR="009E7A17" w:rsidRPr="003B1157">
      <w:rPr>
        <w:rFonts w:ascii="Segoe UI Semibold" w:hAnsi="Segoe UI Semibold" w:cs="Segoe UI Semibold"/>
        <w:lang w:val="en-CA"/>
      </w:rPr>
      <w:t xml:space="preserve">OIS Research and </w:t>
    </w:r>
    <w:r w:rsidR="009E7A17">
      <w:rPr>
        <w:rFonts w:ascii="Segoe UI Semibold" w:hAnsi="Segoe UI Semibold" w:cs="Segoe UI Semibold"/>
        <w:lang w:val="en-CA"/>
      </w:rPr>
      <w:t>Development</w:t>
    </w:r>
    <w:r w:rsidR="009E7A17" w:rsidRPr="003B1157">
      <w:rPr>
        <w:rFonts w:ascii="Segoe UI Semibold" w:hAnsi="Segoe UI Semibold" w:cs="Segoe UI Semibold"/>
        <w:lang w:val="en-CA"/>
      </w:rPr>
      <w:t xml:space="preserve"> Plan 2021-202</w:t>
    </w:r>
    <w:r w:rsidR="009E7A17">
      <w:rPr>
        <w:rFonts w:ascii="Segoe UI Semibold" w:hAnsi="Segoe UI Semibold" w:cs="Segoe UI Semibold"/>
        <w:lang w:val="en-CA"/>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9A63" w14:textId="5A98C4EC" w:rsidR="009E7A17" w:rsidRPr="009E7A17" w:rsidRDefault="009E7A17" w:rsidP="009E7A17">
    <w:pPr>
      <w:pStyle w:val="Footer"/>
      <w:rPr>
        <w:lang w:val="en-CA"/>
      </w:rPr>
    </w:pPr>
    <w:r w:rsidRPr="00941B2E">
      <w:rPr>
        <w:rFonts w:ascii="Segoe UI Semibold" w:hAnsi="Segoe UI Semibold" w:cs="Segoe UI Semibold"/>
        <w:noProof/>
        <w:lang w:val="en-CA" w:eastAsia="en-CA"/>
      </w:rPr>
      <w:drawing>
        <wp:anchor distT="0" distB="0" distL="114300" distR="114300" simplePos="0" relativeHeight="251665408" behindDoc="1" locked="0" layoutInCell="1" allowOverlap="1" wp14:anchorId="31C7783D" wp14:editId="35D5B17A">
          <wp:simplePos x="0" y="0"/>
          <wp:positionH relativeFrom="page">
            <wp:align>right</wp:align>
          </wp:positionH>
          <wp:positionV relativeFrom="page">
            <wp:align>bottom</wp:align>
          </wp:positionV>
          <wp:extent cx="12830175" cy="643255"/>
          <wp:effectExtent l="0" t="0" r="9525" b="4445"/>
          <wp:wrapNone/>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Picture 52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830175" cy="643255"/>
                  </a:xfrm>
                  <a:prstGeom prst="rect">
                    <a:avLst/>
                  </a:prstGeom>
                </pic:spPr>
              </pic:pic>
            </a:graphicData>
          </a:graphic>
          <wp14:sizeRelH relativeFrom="margin">
            <wp14:pctWidth>0</wp14:pctWidth>
          </wp14:sizeRelH>
          <wp14:sizeRelV relativeFrom="margin">
            <wp14:pctHeight>0</wp14:pctHeight>
          </wp14:sizeRelV>
        </wp:anchor>
      </w:drawing>
    </w:r>
    <w:r w:rsidRPr="00941B2E">
      <w:rPr>
        <w:rFonts w:ascii="Segoe UI Semibold" w:hAnsi="Segoe UI Semibold" w:cs="Segoe UI Semibold"/>
        <w:noProof/>
        <w:lang w:val="en-CA" w:eastAsia="en-CA"/>
      </w:rPr>
      <w:drawing>
        <wp:anchor distT="0" distB="0" distL="114300" distR="114300" simplePos="0" relativeHeight="251663360" behindDoc="1" locked="0" layoutInCell="1" allowOverlap="1" wp14:anchorId="07A09751" wp14:editId="36D9BF9D">
          <wp:simplePos x="0" y="0"/>
          <wp:positionH relativeFrom="margin">
            <wp:posOffset>-828040</wp:posOffset>
          </wp:positionH>
          <wp:positionV relativeFrom="page">
            <wp:posOffset>9431655</wp:posOffset>
          </wp:positionV>
          <wp:extent cx="7830000" cy="643620"/>
          <wp:effectExtent l="0" t="0" r="0" b="4445"/>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Picture 52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30000" cy="643620"/>
                  </a:xfrm>
                  <a:prstGeom prst="rect">
                    <a:avLst/>
                  </a:prstGeom>
                </pic:spPr>
              </pic:pic>
            </a:graphicData>
          </a:graphic>
          <wp14:sizeRelH relativeFrom="margin">
            <wp14:pctWidth>0</wp14:pctWidth>
          </wp14:sizeRelH>
          <wp14:sizeRelV relativeFrom="margin">
            <wp14:pctHeight>0</wp14:pctHeight>
          </wp14:sizeRelV>
        </wp:anchor>
      </w:drawing>
    </w:r>
    <w:sdt>
      <w:sdtPr>
        <w:id w:val="969862080"/>
        <w:docPartObj>
          <w:docPartGallery w:val="Page Numbers (Bottom of Page)"/>
          <w:docPartUnique/>
        </w:docPartObj>
      </w:sdtPr>
      <w:sdtEndPr>
        <w:rPr>
          <w:noProof/>
        </w:rPr>
      </w:sdtEndPr>
      <w:sdtContent>
        <w:r>
          <w:fldChar w:fldCharType="begin"/>
        </w:r>
        <w:r w:rsidRPr="009E7A17">
          <w:rPr>
            <w:lang w:val="en-CA"/>
          </w:rPr>
          <w:instrText xml:space="preserve"> PAGE   \* MERGEFORMAT </w:instrText>
        </w:r>
        <w:r>
          <w:fldChar w:fldCharType="separate"/>
        </w:r>
        <w:r w:rsidRPr="009E7A17">
          <w:rPr>
            <w:noProof/>
            <w:lang w:val="en-CA"/>
          </w:rPr>
          <w:t>2</w:t>
        </w:r>
        <w:r>
          <w:rPr>
            <w:noProof/>
          </w:rPr>
          <w:fldChar w:fldCharType="end"/>
        </w:r>
      </w:sdtContent>
    </w:sdt>
    <w:r w:rsidRPr="009E7A17">
      <w:rPr>
        <w:noProof/>
        <w:lang w:val="en-CA"/>
      </w:rPr>
      <w:t xml:space="preserve">  </w:t>
    </w:r>
    <w:r w:rsidRPr="003B1157">
      <w:rPr>
        <w:rFonts w:ascii="Segoe UI Semibold" w:hAnsi="Segoe UI Semibold" w:cs="Segoe UI Semibold"/>
        <w:noProof/>
        <w:lang w:val="en-CA"/>
      </w:rPr>
      <w:t xml:space="preserve">– </w:t>
    </w:r>
    <w:r w:rsidRPr="003B1157">
      <w:rPr>
        <w:rFonts w:ascii="Segoe UI Semibold" w:hAnsi="Segoe UI Semibold" w:cs="Segoe UI Semibold"/>
        <w:lang w:val="en-CA"/>
      </w:rPr>
      <w:t xml:space="preserve">OIS Research and </w:t>
    </w:r>
    <w:r>
      <w:rPr>
        <w:rFonts w:ascii="Segoe UI Semibold" w:hAnsi="Segoe UI Semibold" w:cs="Segoe UI Semibold"/>
        <w:lang w:val="en-CA"/>
      </w:rPr>
      <w:t>Development</w:t>
    </w:r>
    <w:r w:rsidRPr="003B1157">
      <w:rPr>
        <w:rFonts w:ascii="Segoe UI Semibold" w:hAnsi="Segoe UI Semibold" w:cs="Segoe UI Semibold"/>
        <w:lang w:val="en-CA"/>
      </w:rPr>
      <w:t xml:space="preserve"> Plan 2021-202</w:t>
    </w:r>
    <w:r>
      <w:rPr>
        <w:rFonts w:ascii="Segoe UI Semibold" w:hAnsi="Segoe UI Semibold" w:cs="Segoe UI Semibold"/>
        <w:lang w:val="en-CA"/>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EDF0" w14:textId="2370DE1E" w:rsidR="009E7A17" w:rsidRPr="009E7A17" w:rsidRDefault="009E7A17">
    <w:pPr>
      <w:pStyle w:val="Footer"/>
      <w:rPr>
        <w:lang w:val="en-CA"/>
      </w:rPr>
    </w:pPr>
    <w:r w:rsidRPr="00941B2E">
      <w:rPr>
        <w:rFonts w:ascii="Segoe UI Semibold" w:hAnsi="Segoe UI Semibold" w:cs="Segoe UI Semibold"/>
        <w:noProof/>
        <w:lang w:val="en-CA" w:eastAsia="en-CA"/>
      </w:rPr>
      <w:drawing>
        <wp:anchor distT="0" distB="0" distL="114300" distR="114300" simplePos="0" relativeHeight="251661312" behindDoc="1" locked="0" layoutInCell="1" allowOverlap="1" wp14:anchorId="5FE85A6F" wp14:editId="33276420">
          <wp:simplePos x="0" y="0"/>
          <wp:positionH relativeFrom="page">
            <wp:align>right</wp:align>
          </wp:positionH>
          <wp:positionV relativeFrom="page">
            <wp:posOffset>7134225</wp:posOffset>
          </wp:positionV>
          <wp:extent cx="12830175" cy="643255"/>
          <wp:effectExtent l="0" t="0" r="9525" b="444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Picture 52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830175" cy="643255"/>
                  </a:xfrm>
                  <a:prstGeom prst="rect">
                    <a:avLst/>
                  </a:prstGeom>
                </pic:spPr>
              </pic:pic>
            </a:graphicData>
          </a:graphic>
          <wp14:sizeRelH relativeFrom="margin">
            <wp14:pctWidth>0</wp14:pctWidth>
          </wp14:sizeRelH>
          <wp14:sizeRelV relativeFrom="margin">
            <wp14:pctHeight>0</wp14:pctHeight>
          </wp14:sizeRelV>
        </wp:anchor>
      </w:drawing>
    </w:r>
    <w:r>
      <w:rPr>
        <w:lang w:val="en-CA"/>
      </w:rPr>
      <w:t xml:space="preserve">10 </w:t>
    </w:r>
    <w:r w:rsidRPr="003B1157">
      <w:rPr>
        <w:rFonts w:ascii="Segoe UI Semibold" w:hAnsi="Segoe UI Semibold" w:cs="Segoe UI Semibold"/>
        <w:noProof/>
        <w:lang w:val="en-CA"/>
      </w:rPr>
      <w:t xml:space="preserve">– </w:t>
    </w:r>
    <w:r w:rsidRPr="003B1157">
      <w:rPr>
        <w:rFonts w:ascii="Segoe UI Semibold" w:hAnsi="Segoe UI Semibold" w:cs="Segoe UI Semibold"/>
        <w:lang w:val="en-CA"/>
      </w:rPr>
      <w:t xml:space="preserve">OIS Research and </w:t>
    </w:r>
    <w:r>
      <w:rPr>
        <w:rFonts w:ascii="Segoe UI Semibold" w:hAnsi="Segoe UI Semibold" w:cs="Segoe UI Semibold"/>
        <w:lang w:val="en-CA"/>
      </w:rPr>
      <w:t>Development</w:t>
    </w:r>
    <w:r w:rsidRPr="003B1157">
      <w:rPr>
        <w:rFonts w:ascii="Segoe UI Semibold" w:hAnsi="Segoe UI Semibold" w:cs="Segoe UI Semibold"/>
        <w:lang w:val="en-CA"/>
      </w:rPr>
      <w:t xml:space="preserve"> Plan 2021-202</w:t>
    </w:r>
    <w:r>
      <w:rPr>
        <w:rFonts w:ascii="Segoe UI Semibold" w:hAnsi="Segoe UI Semibold" w:cs="Segoe UI Semibold"/>
        <w:lang w:val="en-CA"/>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932D8" w14:textId="77777777" w:rsidR="00474DB4" w:rsidRDefault="00474DB4" w:rsidP="00941B2E">
      <w:pPr>
        <w:spacing w:after="0" w:line="240" w:lineRule="auto"/>
      </w:pPr>
      <w:r>
        <w:separator/>
      </w:r>
    </w:p>
  </w:footnote>
  <w:footnote w:type="continuationSeparator" w:id="0">
    <w:p w14:paraId="39FC4683" w14:textId="77777777" w:rsidR="00474DB4" w:rsidRDefault="00474DB4" w:rsidP="00941B2E">
      <w:pPr>
        <w:spacing w:after="0" w:line="240" w:lineRule="auto"/>
      </w:pPr>
      <w:r>
        <w:continuationSeparator/>
      </w:r>
    </w:p>
  </w:footnote>
  <w:footnote w:id="1">
    <w:p w14:paraId="086C4DF3" w14:textId="77777777" w:rsidR="009B6D5E" w:rsidRPr="00C40727" w:rsidRDefault="009B6D5E" w:rsidP="00C40727">
      <w:pPr>
        <w:pStyle w:val="NoSpacing"/>
        <w:rPr>
          <w:rFonts w:asciiTheme="minorHAnsi" w:eastAsiaTheme="minorHAnsi" w:hAnsiTheme="minorHAnsi"/>
          <w:sz w:val="24"/>
          <w:szCs w:val="24"/>
          <w:lang w:val="en-CA"/>
        </w:rPr>
      </w:pPr>
      <w:r w:rsidRPr="00C40727">
        <w:rPr>
          <w:rFonts w:asciiTheme="minorHAnsi" w:eastAsiaTheme="minorHAnsi" w:hAnsiTheme="minorHAnsi"/>
          <w:sz w:val="24"/>
          <w:szCs w:val="24"/>
          <w:vertAlign w:val="superscript"/>
          <w:lang w:val="en-CA"/>
        </w:rPr>
        <w:footnoteRef/>
      </w:r>
      <w:r w:rsidRPr="00C40727">
        <w:rPr>
          <w:rFonts w:asciiTheme="minorHAnsi" w:eastAsiaTheme="minorHAnsi" w:hAnsiTheme="minorHAnsi"/>
          <w:sz w:val="24"/>
          <w:szCs w:val="24"/>
          <w:vertAlign w:val="superscript"/>
          <w:lang w:val="en-CA"/>
        </w:rPr>
        <w:t xml:space="preserve"> </w:t>
      </w:r>
      <w:r w:rsidRPr="00C40727">
        <w:rPr>
          <w:rFonts w:asciiTheme="minorHAnsi" w:eastAsiaTheme="minorHAnsi" w:hAnsiTheme="minorHAnsi"/>
          <w:sz w:val="24"/>
          <w:szCs w:val="24"/>
          <w:lang w:val="en-CA"/>
        </w:rPr>
        <w:t>Developed from generally accepted definitions of research used by universities and associated research institutions.</w:t>
      </w:r>
    </w:p>
  </w:footnote>
  <w:footnote w:id="2">
    <w:p w14:paraId="79918D92" w14:textId="0967AEA8" w:rsidR="009B6D5E" w:rsidRPr="003D2E99" w:rsidRDefault="009B6D5E">
      <w:pPr>
        <w:pStyle w:val="FootnoteText"/>
      </w:pPr>
      <w:r>
        <w:rPr>
          <w:rStyle w:val="FootnoteReference"/>
        </w:rPr>
        <w:footnoteRef/>
      </w:r>
      <w:r>
        <w:t xml:space="preserve"> Shugart, Ian. “</w:t>
      </w:r>
      <w:r w:rsidRPr="00C60E2F">
        <w:t>Call to action on anti-racism, equity, and inclusion in the Federal Public Service</w:t>
      </w:r>
      <w:r>
        <w:t xml:space="preserve">” </w:t>
      </w:r>
      <w:hyperlink r:id="rId1" w:history="1">
        <w:r w:rsidRPr="003E7324">
          <w:rPr>
            <w:rStyle w:val="Hyperlink"/>
            <w:color w:val="auto"/>
          </w:rPr>
          <w:t>Call to Action on Anti-Racism, Equity, and Inclusion in the Federal Public Service - Privy Council Office - Canada.ca - Canada.ca</w:t>
        </w:r>
      </w:hyperlink>
      <w:r w:rsidRPr="003E732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73C14" w14:textId="61CDE99A" w:rsidR="00732541" w:rsidRPr="00732541" w:rsidRDefault="00732541" w:rsidP="00732541">
    <w:pPr>
      <w:pStyle w:val="Header"/>
    </w:pPr>
    <w:r>
      <w:rPr>
        <w:noProof/>
        <w:lang w:val="en-CA" w:eastAsia="en-CA"/>
      </w:rPr>
      <w:drawing>
        <wp:inline distT="0" distB="0" distL="0" distR="0" wp14:anchorId="3387B34E" wp14:editId="106201D0">
          <wp:extent cx="4485834" cy="267086"/>
          <wp:effectExtent l="0" t="0" r="0" b="0"/>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485834" cy="2670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F14"/>
    <w:multiLevelType w:val="hybridMultilevel"/>
    <w:tmpl w:val="073A8CE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625C4F"/>
    <w:multiLevelType w:val="hybridMultilevel"/>
    <w:tmpl w:val="75B407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14229"/>
    <w:multiLevelType w:val="hybridMultilevel"/>
    <w:tmpl w:val="D5CCA8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C033F"/>
    <w:multiLevelType w:val="hybridMultilevel"/>
    <w:tmpl w:val="BEE881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52D84"/>
    <w:multiLevelType w:val="hybridMultilevel"/>
    <w:tmpl w:val="DE04D0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A0648B5"/>
    <w:multiLevelType w:val="hybridMultilevel"/>
    <w:tmpl w:val="F65A75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FC819AC"/>
    <w:multiLevelType w:val="hybridMultilevel"/>
    <w:tmpl w:val="3BC69E84"/>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28D5522"/>
    <w:multiLevelType w:val="hybridMultilevel"/>
    <w:tmpl w:val="67629E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4A40ACE"/>
    <w:multiLevelType w:val="hybridMultilevel"/>
    <w:tmpl w:val="58FC25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7426641"/>
    <w:multiLevelType w:val="hybridMultilevel"/>
    <w:tmpl w:val="5566B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E865EE"/>
    <w:multiLevelType w:val="hybridMultilevel"/>
    <w:tmpl w:val="4ED6F1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B6F232E"/>
    <w:multiLevelType w:val="hybridMultilevel"/>
    <w:tmpl w:val="95F07B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2C6BF6"/>
    <w:multiLevelType w:val="hybridMultilevel"/>
    <w:tmpl w:val="56FA14D2"/>
    <w:lvl w:ilvl="0" w:tplc="3FAE77F8">
      <w:numFmt w:val="bullet"/>
      <w:pStyle w:val="ListParagraph"/>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CFB7DD7"/>
    <w:multiLevelType w:val="hybridMultilevel"/>
    <w:tmpl w:val="0B8EB124"/>
    <w:lvl w:ilvl="0" w:tplc="61C678C8">
      <w:start w:val="1"/>
      <w:numFmt w:val="bullet"/>
      <w:lvlText w:val=""/>
      <w:lvlJc w:val="left"/>
      <w:pPr>
        <w:tabs>
          <w:tab w:val="num" w:pos="720"/>
        </w:tabs>
        <w:ind w:left="720" w:hanging="360"/>
      </w:pPr>
      <w:rPr>
        <w:rFonts w:ascii="Wingdings" w:hAnsi="Wingdings" w:hint="default"/>
      </w:rPr>
    </w:lvl>
    <w:lvl w:ilvl="1" w:tplc="0FDA5CB0">
      <w:start w:val="1"/>
      <w:numFmt w:val="bullet"/>
      <w:lvlText w:val=""/>
      <w:lvlJc w:val="left"/>
      <w:pPr>
        <w:tabs>
          <w:tab w:val="num" w:pos="1440"/>
        </w:tabs>
        <w:ind w:left="1440" w:hanging="360"/>
      </w:pPr>
      <w:rPr>
        <w:rFonts w:ascii="Wingdings" w:hAnsi="Wingdings" w:hint="default"/>
      </w:rPr>
    </w:lvl>
    <w:lvl w:ilvl="2" w:tplc="294E228C">
      <w:numFmt w:val="none"/>
      <w:lvlText w:val=""/>
      <w:lvlJc w:val="left"/>
      <w:pPr>
        <w:tabs>
          <w:tab w:val="num" w:pos="360"/>
        </w:tabs>
      </w:pPr>
    </w:lvl>
    <w:lvl w:ilvl="3" w:tplc="DB90E58E" w:tentative="1">
      <w:start w:val="1"/>
      <w:numFmt w:val="bullet"/>
      <w:lvlText w:val=""/>
      <w:lvlJc w:val="left"/>
      <w:pPr>
        <w:tabs>
          <w:tab w:val="num" w:pos="2880"/>
        </w:tabs>
        <w:ind w:left="2880" w:hanging="360"/>
      </w:pPr>
      <w:rPr>
        <w:rFonts w:ascii="Wingdings" w:hAnsi="Wingdings" w:hint="default"/>
      </w:rPr>
    </w:lvl>
    <w:lvl w:ilvl="4" w:tplc="1786F0A8" w:tentative="1">
      <w:start w:val="1"/>
      <w:numFmt w:val="bullet"/>
      <w:lvlText w:val=""/>
      <w:lvlJc w:val="left"/>
      <w:pPr>
        <w:tabs>
          <w:tab w:val="num" w:pos="3600"/>
        </w:tabs>
        <w:ind w:left="3600" w:hanging="360"/>
      </w:pPr>
      <w:rPr>
        <w:rFonts w:ascii="Wingdings" w:hAnsi="Wingdings" w:hint="default"/>
      </w:rPr>
    </w:lvl>
    <w:lvl w:ilvl="5" w:tplc="F6ACC8A2" w:tentative="1">
      <w:start w:val="1"/>
      <w:numFmt w:val="bullet"/>
      <w:lvlText w:val=""/>
      <w:lvlJc w:val="left"/>
      <w:pPr>
        <w:tabs>
          <w:tab w:val="num" w:pos="4320"/>
        </w:tabs>
        <w:ind w:left="4320" w:hanging="360"/>
      </w:pPr>
      <w:rPr>
        <w:rFonts w:ascii="Wingdings" w:hAnsi="Wingdings" w:hint="default"/>
      </w:rPr>
    </w:lvl>
    <w:lvl w:ilvl="6" w:tplc="66A8D22C" w:tentative="1">
      <w:start w:val="1"/>
      <w:numFmt w:val="bullet"/>
      <w:lvlText w:val=""/>
      <w:lvlJc w:val="left"/>
      <w:pPr>
        <w:tabs>
          <w:tab w:val="num" w:pos="5040"/>
        </w:tabs>
        <w:ind w:left="5040" w:hanging="360"/>
      </w:pPr>
      <w:rPr>
        <w:rFonts w:ascii="Wingdings" w:hAnsi="Wingdings" w:hint="default"/>
      </w:rPr>
    </w:lvl>
    <w:lvl w:ilvl="7" w:tplc="A2E016B0" w:tentative="1">
      <w:start w:val="1"/>
      <w:numFmt w:val="bullet"/>
      <w:lvlText w:val=""/>
      <w:lvlJc w:val="left"/>
      <w:pPr>
        <w:tabs>
          <w:tab w:val="num" w:pos="5760"/>
        </w:tabs>
        <w:ind w:left="5760" w:hanging="360"/>
      </w:pPr>
      <w:rPr>
        <w:rFonts w:ascii="Wingdings" w:hAnsi="Wingdings" w:hint="default"/>
      </w:rPr>
    </w:lvl>
    <w:lvl w:ilvl="8" w:tplc="B434BDB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882A70"/>
    <w:multiLevelType w:val="hybridMultilevel"/>
    <w:tmpl w:val="AB3EEB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8F2ABD"/>
    <w:multiLevelType w:val="hybridMultilevel"/>
    <w:tmpl w:val="BF326ADE"/>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28087731"/>
    <w:multiLevelType w:val="hybridMultilevel"/>
    <w:tmpl w:val="E3D27A34"/>
    <w:lvl w:ilvl="0" w:tplc="F2FA19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5D6EEA"/>
    <w:multiLevelType w:val="hybridMultilevel"/>
    <w:tmpl w:val="B72C8B2A"/>
    <w:lvl w:ilvl="0" w:tplc="BE323AAE">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2C11A31"/>
    <w:multiLevelType w:val="hybridMultilevel"/>
    <w:tmpl w:val="F40283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5FA105F"/>
    <w:multiLevelType w:val="hybridMultilevel"/>
    <w:tmpl w:val="8A7E6E7A"/>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63E4567"/>
    <w:multiLevelType w:val="hybridMultilevel"/>
    <w:tmpl w:val="FECC9DB6"/>
    <w:lvl w:ilvl="0" w:tplc="EC807D4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7F92DBE"/>
    <w:multiLevelType w:val="hybridMultilevel"/>
    <w:tmpl w:val="409C09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FBF0067"/>
    <w:multiLevelType w:val="hybridMultilevel"/>
    <w:tmpl w:val="5E18365E"/>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3224A83"/>
    <w:multiLevelType w:val="hybridMultilevel"/>
    <w:tmpl w:val="8FB6A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6A70CD"/>
    <w:multiLevelType w:val="hybridMultilevel"/>
    <w:tmpl w:val="680874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C535FB"/>
    <w:multiLevelType w:val="hybridMultilevel"/>
    <w:tmpl w:val="21FAC61E"/>
    <w:lvl w:ilvl="0" w:tplc="FF2241DC">
      <w:start w:val="1"/>
      <w:numFmt w:val="decimal"/>
      <w:lvlText w:val="%1."/>
      <w:lvlJc w:val="left"/>
      <w:pPr>
        <w:tabs>
          <w:tab w:val="num" w:pos="720"/>
        </w:tabs>
        <w:ind w:left="720" w:hanging="360"/>
      </w:pPr>
    </w:lvl>
    <w:lvl w:ilvl="1" w:tplc="0F6618F8" w:tentative="1">
      <w:start w:val="1"/>
      <w:numFmt w:val="decimal"/>
      <w:lvlText w:val="%2."/>
      <w:lvlJc w:val="left"/>
      <w:pPr>
        <w:tabs>
          <w:tab w:val="num" w:pos="1440"/>
        </w:tabs>
        <w:ind w:left="1440" w:hanging="360"/>
      </w:pPr>
    </w:lvl>
    <w:lvl w:ilvl="2" w:tplc="316A0646" w:tentative="1">
      <w:start w:val="1"/>
      <w:numFmt w:val="decimal"/>
      <w:lvlText w:val="%3."/>
      <w:lvlJc w:val="left"/>
      <w:pPr>
        <w:tabs>
          <w:tab w:val="num" w:pos="2160"/>
        </w:tabs>
        <w:ind w:left="2160" w:hanging="360"/>
      </w:pPr>
    </w:lvl>
    <w:lvl w:ilvl="3" w:tplc="10B8E8B6" w:tentative="1">
      <w:start w:val="1"/>
      <w:numFmt w:val="decimal"/>
      <w:lvlText w:val="%4."/>
      <w:lvlJc w:val="left"/>
      <w:pPr>
        <w:tabs>
          <w:tab w:val="num" w:pos="2880"/>
        </w:tabs>
        <w:ind w:left="2880" w:hanging="360"/>
      </w:pPr>
    </w:lvl>
    <w:lvl w:ilvl="4" w:tplc="4ED24194" w:tentative="1">
      <w:start w:val="1"/>
      <w:numFmt w:val="decimal"/>
      <w:lvlText w:val="%5."/>
      <w:lvlJc w:val="left"/>
      <w:pPr>
        <w:tabs>
          <w:tab w:val="num" w:pos="3600"/>
        </w:tabs>
        <w:ind w:left="3600" w:hanging="360"/>
      </w:pPr>
    </w:lvl>
    <w:lvl w:ilvl="5" w:tplc="1D385B6C" w:tentative="1">
      <w:start w:val="1"/>
      <w:numFmt w:val="decimal"/>
      <w:lvlText w:val="%6."/>
      <w:lvlJc w:val="left"/>
      <w:pPr>
        <w:tabs>
          <w:tab w:val="num" w:pos="4320"/>
        </w:tabs>
        <w:ind w:left="4320" w:hanging="360"/>
      </w:pPr>
    </w:lvl>
    <w:lvl w:ilvl="6" w:tplc="C812019E" w:tentative="1">
      <w:start w:val="1"/>
      <w:numFmt w:val="decimal"/>
      <w:lvlText w:val="%7."/>
      <w:lvlJc w:val="left"/>
      <w:pPr>
        <w:tabs>
          <w:tab w:val="num" w:pos="5040"/>
        </w:tabs>
        <w:ind w:left="5040" w:hanging="360"/>
      </w:pPr>
    </w:lvl>
    <w:lvl w:ilvl="7" w:tplc="8B92C0C6" w:tentative="1">
      <w:start w:val="1"/>
      <w:numFmt w:val="decimal"/>
      <w:lvlText w:val="%8."/>
      <w:lvlJc w:val="left"/>
      <w:pPr>
        <w:tabs>
          <w:tab w:val="num" w:pos="5760"/>
        </w:tabs>
        <w:ind w:left="5760" w:hanging="360"/>
      </w:pPr>
    </w:lvl>
    <w:lvl w:ilvl="8" w:tplc="107CBB18" w:tentative="1">
      <w:start w:val="1"/>
      <w:numFmt w:val="decimal"/>
      <w:lvlText w:val="%9."/>
      <w:lvlJc w:val="left"/>
      <w:pPr>
        <w:tabs>
          <w:tab w:val="num" w:pos="6480"/>
        </w:tabs>
        <w:ind w:left="6480" w:hanging="360"/>
      </w:pPr>
    </w:lvl>
  </w:abstractNum>
  <w:abstractNum w:abstractNumId="26" w15:restartNumberingAfterBreak="0">
    <w:nsid w:val="728A7A78"/>
    <w:multiLevelType w:val="hybridMultilevel"/>
    <w:tmpl w:val="80D62994"/>
    <w:lvl w:ilvl="0" w:tplc="8F3A1028">
      <w:start w:val="1"/>
      <w:numFmt w:val="bullet"/>
      <w:lvlText w:val=""/>
      <w:lvlJc w:val="left"/>
      <w:pPr>
        <w:tabs>
          <w:tab w:val="num" w:pos="720"/>
        </w:tabs>
        <w:ind w:left="720" w:hanging="360"/>
      </w:pPr>
      <w:rPr>
        <w:rFonts w:ascii="Symbol" w:hAnsi="Symbol" w:hint="default"/>
      </w:rPr>
    </w:lvl>
    <w:lvl w:ilvl="1" w:tplc="0B202456">
      <w:start w:val="1"/>
      <w:numFmt w:val="bullet"/>
      <w:lvlText w:val=""/>
      <w:lvlJc w:val="left"/>
      <w:pPr>
        <w:tabs>
          <w:tab w:val="num" w:pos="1440"/>
        </w:tabs>
        <w:ind w:left="1440" w:hanging="360"/>
      </w:pPr>
      <w:rPr>
        <w:rFonts w:ascii="Wingdings" w:hAnsi="Wingdings" w:hint="default"/>
      </w:rPr>
    </w:lvl>
    <w:lvl w:ilvl="2" w:tplc="4144268E">
      <w:numFmt w:val="none"/>
      <w:lvlText w:val=""/>
      <w:lvlJc w:val="left"/>
      <w:pPr>
        <w:tabs>
          <w:tab w:val="num" w:pos="360"/>
        </w:tabs>
      </w:pPr>
    </w:lvl>
    <w:lvl w:ilvl="3" w:tplc="9BB4B502" w:tentative="1">
      <w:start w:val="1"/>
      <w:numFmt w:val="bullet"/>
      <w:lvlText w:val=""/>
      <w:lvlJc w:val="left"/>
      <w:pPr>
        <w:tabs>
          <w:tab w:val="num" w:pos="2880"/>
        </w:tabs>
        <w:ind w:left="2880" w:hanging="360"/>
      </w:pPr>
      <w:rPr>
        <w:rFonts w:ascii="Wingdings" w:hAnsi="Wingdings" w:hint="default"/>
      </w:rPr>
    </w:lvl>
    <w:lvl w:ilvl="4" w:tplc="8FF6424C" w:tentative="1">
      <w:start w:val="1"/>
      <w:numFmt w:val="bullet"/>
      <w:lvlText w:val=""/>
      <w:lvlJc w:val="left"/>
      <w:pPr>
        <w:tabs>
          <w:tab w:val="num" w:pos="3600"/>
        </w:tabs>
        <w:ind w:left="3600" w:hanging="360"/>
      </w:pPr>
      <w:rPr>
        <w:rFonts w:ascii="Wingdings" w:hAnsi="Wingdings" w:hint="default"/>
      </w:rPr>
    </w:lvl>
    <w:lvl w:ilvl="5" w:tplc="B5AAAE60" w:tentative="1">
      <w:start w:val="1"/>
      <w:numFmt w:val="bullet"/>
      <w:lvlText w:val=""/>
      <w:lvlJc w:val="left"/>
      <w:pPr>
        <w:tabs>
          <w:tab w:val="num" w:pos="4320"/>
        </w:tabs>
        <w:ind w:left="4320" w:hanging="360"/>
      </w:pPr>
      <w:rPr>
        <w:rFonts w:ascii="Wingdings" w:hAnsi="Wingdings" w:hint="default"/>
      </w:rPr>
    </w:lvl>
    <w:lvl w:ilvl="6" w:tplc="0C9CFB88" w:tentative="1">
      <w:start w:val="1"/>
      <w:numFmt w:val="bullet"/>
      <w:lvlText w:val=""/>
      <w:lvlJc w:val="left"/>
      <w:pPr>
        <w:tabs>
          <w:tab w:val="num" w:pos="5040"/>
        </w:tabs>
        <w:ind w:left="5040" w:hanging="360"/>
      </w:pPr>
      <w:rPr>
        <w:rFonts w:ascii="Wingdings" w:hAnsi="Wingdings" w:hint="default"/>
      </w:rPr>
    </w:lvl>
    <w:lvl w:ilvl="7" w:tplc="3C8E5C38" w:tentative="1">
      <w:start w:val="1"/>
      <w:numFmt w:val="bullet"/>
      <w:lvlText w:val=""/>
      <w:lvlJc w:val="left"/>
      <w:pPr>
        <w:tabs>
          <w:tab w:val="num" w:pos="5760"/>
        </w:tabs>
        <w:ind w:left="5760" w:hanging="360"/>
      </w:pPr>
      <w:rPr>
        <w:rFonts w:ascii="Wingdings" w:hAnsi="Wingdings" w:hint="default"/>
      </w:rPr>
    </w:lvl>
    <w:lvl w:ilvl="8" w:tplc="38D8463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7261DE"/>
    <w:multiLevelType w:val="hybridMultilevel"/>
    <w:tmpl w:val="71AE932A"/>
    <w:lvl w:ilvl="0" w:tplc="9FE6C8BC">
      <w:numFmt w:val="bullet"/>
      <w:lvlText w:val="-"/>
      <w:lvlJc w:val="left"/>
      <w:pPr>
        <w:ind w:left="720" w:hanging="360"/>
      </w:pPr>
      <w:rPr>
        <w:rFonts w:ascii="Segoe UI Semilight" w:eastAsiaTheme="minorHAnsi" w:hAnsi="Segoe UI Semilight" w:cs="Segoe UI Semilight"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23188840">
    <w:abstractNumId w:val="12"/>
  </w:num>
  <w:num w:numId="2" w16cid:durableId="1125319912">
    <w:abstractNumId w:val="21"/>
  </w:num>
  <w:num w:numId="3" w16cid:durableId="1716005752">
    <w:abstractNumId w:val="20"/>
  </w:num>
  <w:num w:numId="4" w16cid:durableId="1326133543">
    <w:abstractNumId w:val="7"/>
  </w:num>
  <w:num w:numId="5" w16cid:durableId="245965620">
    <w:abstractNumId w:val="8"/>
  </w:num>
  <w:num w:numId="6" w16cid:durableId="2096128113">
    <w:abstractNumId w:val="10"/>
  </w:num>
  <w:num w:numId="7" w16cid:durableId="818426106">
    <w:abstractNumId w:val="25"/>
  </w:num>
  <w:num w:numId="8" w16cid:durableId="845248731">
    <w:abstractNumId w:val="5"/>
  </w:num>
  <w:num w:numId="9" w16cid:durableId="1642617051">
    <w:abstractNumId w:val="18"/>
  </w:num>
  <w:num w:numId="10" w16cid:durableId="2101682025">
    <w:abstractNumId w:val="0"/>
  </w:num>
  <w:num w:numId="11" w16cid:durableId="1051463337">
    <w:abstractNumId w:val="6"/>
  </w:num>
  <w:num w:numId="12" w16cid:durableId="205222279">
    <w:abstractNumId w:val="22"/>
  </w:num>
  <w:num w:numId="13" w16cid:durableId="358436898">
    <w:abstractNumId w:val="19"/>
  </w:num>
  <w:num w:numId="14" w16cid:durableId="2029603541">
    <w:abstractNumId w:val="15"/>
  </w:num>
  <w:num w:numId="15" w16cid:durableId="598829035">
    <w:abstractNumId w:val="17"/>
  </w:num>
  <w:num w:numId="16" w16cid:durableId="552470664">
    <w:abstractNumId w:val="4"/>
  </w:num>
  <w:num w:numId="17" w16cid:durableId="1777407266">
    <w:abstractNumId w:val="27"/>
  </w:num>
  <w:num w:numId="18" w16cid:durableId="510486541">
    <w:abstractNumId w:val="13"/>
  </w:num>
  <w:num w:numId="19" w16cid:durableId="1371148378">
    <w:abstractNumId w:val="26"/>
  </w:num>
  <w:num w:numId="20" w16cid:durableId="479544281">
    <w:abstractNumId w:val="23"/>
  </w:num>
  <w:num w:numId="21" w16cid:durableId="745803590">
    <w:abstractNumId w:val="16"/>
  </w:num>
  <w:num w:numId="22" w16cid:durableId="1781297895">
    <w:abstractNumId w:val="9"/>
  </w:num>
  <w:num w:numId="23" w16cid:durableId="1716848244">
    <w:abstractNumId w:val="11"/>
  </w:num>
  <w:num w:numId="24" w16cid:durableId="991106242">
    <w:abstractNumId w:val="2"/>
  </w:num>
  <w:num w:numId="25" w16cid:durableId="1869415452">
    <w:abstractNumId w:val="24"/>
  </w:num>
  <w:num w:numId="26" w16cid:durableId="2029213497">
    <w:abstractNumId w:val="3"/>
  </w:num>
  <w:num w:numId="27" w16cid:durableId="836268799">
    <w:abstractNumId w:val="14"/>
  </w:num>
  <w:num w:numId="28" w16cid:durableId="117921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727"/>
    <w:rsid w:val="000211B2"/>
    <w:rsid w:val="00024F81"/>
    <w:rsid w:val="000433FE"/>
    <w:rsid w:val="0004629C"/>
    <w:rsid w:val="00051B9E"/>
    <w:rsid w:val="000528D8"/>
    <w:rsid w:val="000624FD"/>
    <w:rsid w:val="00066EBF"/>
    <w:rsid w:val="0007249E"/>
    <w:rsid w:val="00080611"/>
    <w:rsid w:val="000965EC"/>
    <w:rsid w:val="000973F8"/>
    <w:rsid w:val="000E227F"/>
    <w:rsid w:val="000E7986"/>
    <w:rsid w:val="000F0ADE"/>
    <w:rsid w:val="00101877"/>
    <w:rsid w:val="0012003E"/>
    <w:rsid w:val="0013406C"/>
    <w:rsid w:val="00151E74"/>
    <w:rsid w:val="00177B1A"/>
    <w:rsid w:val="00180DFC"/>
    <w:rsid w:val="00182BD4"/>
    <w:rsid w:val="00186A1F"/>
    <w:rsid w:val="00190775"/>
    <w:rsid w:val="00197D67"/>
    <w:rsid w:val="001A101E"/>
    <w:rsid w:val="001A32B6"/>
    <w:rsid w:val="001A46E4"/>
    <w:rsid w:val="001A6CBB"/>
    <w:rsid w:val="001B3FF3"/>
    <w:rsid w:val="001B4E7F"/>
    <w:rsid w:val="001C3BDB"/>
    <w:rsid w:val="00214354"/>
    <w:rsid w:val="00225C49"/>
    <w:rsid w:val="00226D01"/>
    <w:rsid w:val="00234984"/>
    <w:rsid w:val="00236F32"/>
    <w:rsid w:val="0024027D"/>
    <w:rsid w:val="00240867"/>
    <w:rsid w:val="00241552"/>
    <w:rsid w:val="00252552"/>
    <w:rsid w:val="00266ABE"/>
    <w:rsid w:val="002760EE"/>
    <w:rsid w:val="00283D44"/>
    <w:rsid w:val="002958C3"/>
    <w:rsid w:val="002F13C1"/>
    <w:rsid w:val="00314B57"/>
    <w:rsid w:val="00323DA3"/>
    <w:rsid w:val="0034706D"/>
    <w:rsid w:val="00372271"/>
    <w:rsid w:val="003A6D77"/>
    <w:rsid w:val="003B1157"/>
    <w:rsid w:val="003C2DA8"/>
    <w:rsid w:val="003D2E99"/>
    <w:rsid w:val="003E7324"/>
    <w:rsid w:val="003F698C"/>
    <w:rsid w:val="00402829"/>
    <w:rsid w:val="004142C9"/>
    <w:rsid w:val="00432DDD"/>
    <w:rsid w:val="00435DD5"/>
    <w:rsid w:val="00436FEC"/>
    <w:rsid w:val="00462513"/>
    <w:rsid w:val="00474DB4"/>
    <w:rsid w:val="004750DE"/>
    <w:rsid w:val="00477D52"/>
    <w:rsid w:val="00487360"/>
    <w:rsid w:val="00490859"/>
    <w:rsid w:val="004974AD"/>
    <w:rsid w:val="004A2C00"/>
    <w:rsid w:val="004A39F6"/>
    <w:rsid w:val="004B67FC"/>
    <w:rsid w:val="004B6F95"/>
    <w:rsid w:val="004D0E1A"/>
    <w:rsid w:val="004D2D46"/>
    <w:rsid w:val="004E032E"/>
    <w:rsid w:val="004E2FAC"/>
    <w:rsid w:val="004F1C0F"/>
    <w:rsid w:val="00510EF6"/>
    <w:rsid w:val="00541767"/>
    <w:rsid w:val="00545B9A"/>
    <w:rsid w:val="00546141"/>
    <w:rsid w:val="005625D4"/>
    <w:rsid w:val="00562C9E"/>
    <w:rsid w:val="00563CEC"/>
    <w:rsid w:val="00564E2A"/>
    <w:rsid w:val="005A37BB"/>
    <w:rsid w:val="005B3916"/>
    <w:rsid w:val="005C29F0"/>
    <w:rsid w:val="005D7B50"/>
    <w:rsid w:val="005E18CC"/>
    <w:rsid w:val="005F3776"/>
    <w:rsid w:val="00607B4B"/>
    <w:rsid w:val="00611640"/>
    <w:rsid w:val="00616D1B"/>
    <w:rsid w:val="00633F9D"/>
    <w:rsid w:val="00640293"/>
    <w:rsid w:val="00641FCC"/>
    <w:rsid w:val="00642C42"/>
    <w:rsid w:val="00643B57"/>
    <w:rsid w:val="00647807"/>
    <w:rsid w:val="00660E00"/>
    <w:rsid w:val="00664C0F"/>
    <w:rsid w:val="00665574"/>
    <w:rsid w:val="00692055"/>
    <w:rsid w:val="006A60BB"/>
    <w:rsid w:val="006C3982"/>
    <w:rsid w:val="006C775A"/>
    <w:rsid w:val="0070335B"/>
    <w:rsid w:val="0071595A"/>
    <w:rsid w:val="007215A1"/>
    <w:rsid w:val="0072400F"/>
    <w:rsid w:val="00732541"/>
    <w:rsid w:val="007333A0"/>
    <w:rsid w:val="00745815"/>
    <w:rsid w:val="00745FA4"/>
    <w:rsid w:val="0075030B"/>
    <w:rsid w:val="007516B7"/>
    <w:rsid w:val="007742EA"/>
    <w:rsid w:val="00775CB0"/>
    <w:rsid w:val="0079003F"/>
    <w:rsid w:val="00790498"/>
    <w:rsid w:val="007A235E"/>
    <w:rsid w:val="007A5A4B"/>
    <w:rsid w:val="007E1718"/>
    <w:rsid w:val="007E541C"/>
    <w:rsid w:val="007E7DFE"/>
    <w:rsid w:val="007F640D"/>
    <w:rsid w:val="00800A75"/>
    <w:rsid w:val="0080799A"/>
    <w:rsid w:val="00812906"/>
    <w:rsid w:val="00817F5E"/>
    <w:rsid w:val="00821797"/>
    <w:rsid w:val="00824E77"/>
    <w:rsid w:val="00830ACD"/>
    <w:rsid w:val="00832AE7"/>
    <w:rsid w:val="0083381E"/>
    <w:rsid w:val="008352F3"/>
    <w:rsid w:val="008513A3"/>
    <w:rsid w:val="00860538"/>
    <w:rsid w:val="00862DE5"/>
    <w:rsid w:val="00872C14"/>
    <w:rsid w:val="00886606"/>
    <w:rsid w:val="0089310C"/>
    <w:rsid w:val="0089772F"/>
    <w:rsid w:val="008A69BB"/>
    <w:rsid w:val="008B0942"/>
    <w:rsid w:val="008C40B6"/>
    <w:rsid w:val="008D28CE"/>
    <w:rsid w:val="008E3DE9"/>
    <w:rsid w:val="008F3FEA"/>
    <w:rsid w:val="009238CE"/>
    <w:rsid w:val="00934A4B"/>
    <w:rsid w:val="00936773"/>
    <w:rsid w:val="00941B2E"/>
    <w:rsid w:val="0097276F"/>
    <w:rsid w:val="009878EC"/>
    <w:rsid w:val="009A37ED"/>
    <w:rsid w:val="009B1D3A"/>
    <w:rsid w:val="009B28C5"/>
    <w:rsid w:val="009B6D5E"/>
    <w:rsid w:val="009D5259"/>
    <w:rsid w:val="009D63F6"/>
    <w:rsid w:val="009E59AD"/>
    <w:rsid w:val="009E7A17"/>
    <w:rsid w:val="009F6415"/>
    <w:rsid w:val="009F7C3F"/>
    <w:rsid w:val="00A10839"/>
    <w:rsid w:val="00A22B2C"/>
    <w:rsid w:val="00A538DC"/>
    <w:rsid w:val="00A57819"/>
    <w:rsid w:val="00AA1A4E"/>
    <w:rsid w:val="00AA6F2B"/>
    <w:rsid w:val="00AB158A"/>
    <w:rsid w:val="00AB489B"/>
    <w:rsid w:val="00AD0C73"/>
    <w:rsid w:val="00AD6C7A"/>
    <w:rsid w:val="00AE0518"/>
    <w:rsid w:val="00AE693F"/>
    <w:rsid w:val="00B054F8"/>
    <w:rsid w:val="00B14048"/>
    <w:rsid w:val="00B47855"/>
    <w:rsid w:val="00B5725E"/>
    <w:rsid w:val="00B60081"/>
    <w:rsid w:val="00B75925"/>
    <w:rsid w:val="00B90290"/>
    <w:rsid w:val="00BA468D"/>
    <w:rsid w:val="00BB6318"/>
    <w:rsid w:val="00BE2254"/>
    <w:rsid w:val="00BF0727"/>
    <w:rsid w:val="00C02273"/>
    <w:rsid w:val="00C1188B"/>
    <w:rsid w:val="00C217C8"/>
    <w:rsid w:val="00C25409"/>
    <w:rsid w:val="00C37A59"/>
    <w:rsid w:val="00C40727"/>
    <w:rsid w:val="00C60E2F"/>
    <w:rsid w:val="00C63FC1"/>
    <w:rsid w:val="00C778F6"/>
    <w:rsid w:val="00C93C4E"/>
    <w:rsid w:val="00C95B80"/>
    <w:rsid w:val="00CB1817"/>
    <w:rsid w:val="00CB63DD"/>
    <w:rsid w:val="00CC0E77"/>
    <w:rsid w:val="00CD257D"/>
    <w:rsid w:val="00CD421A"/>
    <w:rsid w:val="00CD5601"/>
    <w:rsid w:val="00CD5F04"/>
    <w:rsid w:val="00CF21D6"/>
    <w:rsid w:val="00D04E41"/>
    <w:rsid w:val="00D060CF"/>
    <w:rsid w:val="00D11223"/>
    <w:rsid w:val="00D23305"/>
    <w:rsid w:val="00D45717"/>
    <w:rsid w:val="00D715D7"/>
    <w:rsid w:val="00D76210"/>
    <w:rsid w:val="00D82463"/>
    <w:rsid w:val="00D91F1D"/>
    <w:rsid w:val="00DA4DFF"/>
    <w:rsid w:val="00DB68C0"/>
    <w:rsid w:val="00DB6E90"/>
    <w:rsid w:val="00DD3242"/>
    <w:rsid w:val="00DD6E9E"/>
    <w:rsid w:val="00DE6861"/>
    <w:rsid w:val="00E17233"/>
    <w:rsid w:val="00E360C7"/>
    <w:rsid w:val="00E620E2"/>
    <w:rsid w:val="00E63433"/>
    <w:rsid w:val="00E63D0C"/>
    <w:rsid w:val="00E67B5F"/>
    <w:rsid w:val="00E779D3"/>
    <w:rsid w:val="00E84440"/>
    <w:rsid w:val="00E87D68"/>
    <w:rsid w:val="00E906A9"/>
    <w:rsid w:val="00EE28C8"/>
    <w:rsid w:val="00F04528"/>
    <w:rsid w:val="00F10808"/>
    <w:rsid w:val="00F13962"/>
    <w:rsid w:val="00F17AF7"/>
    <w:rsid w:val="00F32D4C"/>
    <w:rsid w:val="00F377B4"/>
    <w:rsid w:val="00F525CF"/>
    <w:rsid w:val="00F72B2F"/>
    <w:rsid w:val="00F86BCE"/>
    <w:rsid w:val="00F94A1F"/>
    <w:rsid w:val="00F95A2D"/>
    <w:rsid w:val="00FD211C"/>
    <w:rsid w:val="00FE6C8D"/>
    <w:rsid w:val="00FF1B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278BB"/>
  <w15:chartTrackingRefBased/>
  <w15:docId w15:val="{6D470F53-4AC7-4AF3-BCEC-98EB7DB4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B2E"/>
    <w:pPr>
      <w:keepLines/>
    </w:pPr>
    <w:rPr>
      <w:color w:val="54575A" w:themeColor="text1"/>
      <w:lang w:val="fr-CA"/>
    </w:rPr>
  </w:style>
  <w:style w:type="paragraph" w:styleId="Heading1">
    <w:name w:val="heading 1"/>
    <w:basedOn w:val="Normal"/>
    <w:next w:val="Normal"/>
    <w:link w:val="Heading1Char"/>
    <w:uiPriority w:val="9"/>
    <w:qFormat/>
    <w:rsid w:val="00941B2E"/>
    <w:pPr>
      <w:keepNext/>
      <w:spacing w:before="240" w:after="0"/>
      <w:outlineLvl w:val="0"/>
    </w:pPr>
    <w:rPr>
      <w:rFonts w:asciiTheme="majorHAnsi" w:eastAsiaTheme="majorEastAsia" w:hAnsiTheme="majorHAnsi" w:cstheme="majorBidi"/>
      <w:sz w:val="48"/>
      <w:szCs w:val="48"/>
    </w:rPr>
  </w:style>
  <w:style w:type="paragraph" w:styleId="Heading2">
    <w:name w:val="heading 2"/>
    <w:basedOn w:val="Normal"/>
    <w:next w:val="Normal"/>
    <w:link w:val="Heading2Char"/>
    <w:uiPriority w:val="9"/>
    <w:unhideWhenUsed/>
    <w:qFormat/>
    <w:rsid w:val="00941B2E"/>
    <w:pPr>
      <w:keepNext/>
      <w:spacing w:before="40" w:after="0"/>
      <w:outlineLvl w:val="1"/>
    </w:pPr>
    <w:rPr>
      <w:rFonts w:ascii="Segoe UI" w:eastAsiaTheme="majorEastAsia" w:hAnsi="Segoe UI" w:cs="Segoe UI"/>
      <w:b/>
      <w:color w:val="5B315E" w:themeColor="accent2"/>
      <w:sz w:val="32"/>
      <w:szCs w:val="32"/>
    </w:rPr>
  </w:style>
  <w:style w:type="paragraph" w:styleId="Heading3">
    <w:name w:val="heading 3"/>
    <w:basedOn w:val="Normal"/>
    <w:next w:val="Normal"/>
    <w:link w:val="Heading3Char"/>
    <w:uiPriority w:val="9"/>
    <w:unhideWhenUsed/>
    <w:qFormat/>
    <w:rsid w:val="007E541C"/>
    <w:pPr>
      <w:keepNext/>
      <w:spacing w:before="40" w:after="0"/>
      <w:outlineLvl w:val="2"/>
    </w:pPr>
    <w:rPr>
      <w:rFonts w:asciiTheme="majorHAnsi" w:eastAsiaTheme="majorEastAsia" w:hAnsiTheme="majorHAnsi" w:cstheme="majorBidi"/>
      <w:color w:val="6A002B"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B2E"/>
  </w:style>
  <w:style w:type="paragraph" w:styleId="Footer">
    <w:name w:val="footer"/>
    <w:basedOn w:val="Normal"/>
    <w:link w:val="FooterChar"/>
    <w:uiPriority w:val="99"/>
    <w:unhideWhenUsed/>
    <w:rsid w:val="00941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B2E"/>
  </w:style>
  <w:style w:type="paragraph" w:styleId="Title">
    <w:name w:val="Title"/>
    <w:basedOn w:val="Normal"/>
    <w:next w:val="Normal"/>
    <w:link w:val="TitleChar"/>
    <w:autoRedefine/>
    <w:uiPriority w:val="10"/>
    <w:qFormat/>
    <w:rsid w:val="00941B2E"/>
    <w:pPr>
      <w:spacing w:before="1200" w:after="0" w:line="1200" w:lineRule="exact"/>
      <w:contextualSpacing/>
    </w:pPr>
    <w:rPr>
      <w:rFonts w:ascii="Segoe UI Light" w:eastAsiaTheme="majorEastAsia" w:hAnsi="Segoe UI Light" w:cs="Segoe UI Light"/>
      <w:spacing w:val="-10"/>
      <w:kern w:val="28"/>
      <w:sz w:val="120"/>
      <w:szCs w:val="120"/>
    </w:rPr>
  </w:style>
  <w:style w:type="character" w:customStyle="1" w:styleId="TitleChar">
    <w:name w:val="Title Char"/>
    <w:basedOn w:val="DefaultParagraphFont"/>
    <w:link w:val="Title"/>
    <w:uiPriority w:val="10"/>
    <w:rsid w:val="00941B2E"/>
    <w:rPr>
      <w:rFonts w:ascii="Segoe UI Light" w:eastAsiaTheme="majorEastAsia" w:hAnsi="Segoe UI Light" w:cs="Segoe UI Light"/>
      <w:color w:val="54575A" w:themeColor="text1"/>
      <w:spacing w:val="-10"/>
      <w:kern w:val="28"/>
      <w:sz w:val="120"/>
      <w:szCs w:val="120"/>
      <w:lang w:val="fr-CA"/>
    </w:rPr>
  </w:style>
  <w:style w:type="paragraph" w:styleId="Subtitle">
    <w:name w:val="Subtitle"/>
    <w:basedOn w:val="Normal"/>
    <w:next w:val="Normal"/>
    <w:link w:val="SubtitleChar"/>
    <w:uiPriority w:val="11"/>
    <w:qFormat/>
    <w:rsid w:val="00941B2E"/>
    <w:rPr>
      <w:rFonts w:ascii="Segoe UI Light" w:hAnsi="Segoe UI Light" w:cs="Segoe UI Light"/>
      <w:sz w:val="36"/>
      <w:szCs w:val="36"/>
    </w:rPr>
  </w:style>
  <w:style w:type="character" w:customStyle="1" w:styleId="SubtitleChar">
    <w:name w:val="Subtitle Char"/>
    <w:basedOn w:val="DefaultParagraphFont"/>
    <w:link w:val="Subtitle"/>
    <w:uiPriority w:val="11"/>
    <w:rsid w:val="00941B2E"/>
    <w:rPr>
      <w:rFonts w:ascii="Segoe UI Light" w:hAnsi="Segoe UI Light" w:cs="Segoe UI Light"/>
      <w:color w:val="54575A" w:themeColor="text1"/>
      <w:sz w:val="36"/>
      <w:szCs w:val="36"/>
      <w:lang w:val="fr-CA"/>
    </w:rPr>
  </w:style>
  <w:style w:type="character" w:customStyle="1" w:styleId="Heading1Char">
    <w:name w:val="Heading 1 Char"/>
    <w:basedOn w:val="DefaultParagraphFont"/>
    <w:link w:val="Heading1"/>
    <w:uiPriority w:val="9"/>
    <w:rsid w:val="00941B2E"/>
    <w:rPr>
      <w:rFonts w:asciiTheme="majorHAnsi" w:eastAsiaTheme="majorEastAsia" w:hAnsiTheme="majorHAnsi" w:cstheme="majorBidi"/>
      <w:color w:val="54575A" w:themeColor="text1"/>
      <w:sz w:val="48"/>
      <w:szCs w:val="48"/>
      <w:lang w:val="fr-CA"/>
    </w:rPr>
  </w:style>
  <w:style w:type="character" w:customStyle="1" w:styleId="Heading2Char">
    <w:name w:val="Heading 2 Char"/>
    <w:basedOn w:val="DefaultParagraphFont"/>
    <w:link w:val="Heading2"/>
    <w:uiPriority w:val="9"/>
    <w:rsid w:val="00941B2E"/>
    <w:rPr>
      <w:rFonts w:ascii="Segoe UI" w:eastAsiaTheme="majorEastAsia" w:hAnsi="Segoe UI" w:cs="Segoe UI"/>
      <w:b/>
      <w:color w:val="5B315E" w:themeColor="accent2"/>
      <w:sz w:val="32"/>
      <w:szCs w:val="32"/>
      <w:lang w:val="fr-CA"/>
    </w:rPr>
  </w:style>
  <w:style w:type="paragraph" w:styleId="ListParagraph">
    <w:name w:val="List Paragraph"/>
    <w:basedOn w:val="Normal"/>
    <w:uiPriority w:val="34"/>
    <w:qFormat/>
    <w:rsid w:val="00941B2E"/>
    <w:pPr>
      <w:numPr>
        <w:numId w:val="1"/>
      </w:numPr>
      <w:spacing w:after="320"/>
      <w:contextualSpacing/>
    </w:pPr>
  </w:style>
  <w:style w:type="character" w:styleId="Hyperlink">
    <w:name w:val="Hyperlink"/>
    <w:basedOn w:val="DefaultParagraphFont"/>
    <w:uiPriority w:val="99"/>
    <w:unhideWhenUsed/>
    <w:rsid w:val="00941B2E"/>
    <w:rPr>
      <w:color w:val="5B315E" w:themeColor="accent2"/>
      <w:u w:val="single"/>
      <w:shd w:val="clear" w:color="auto" w:fill="auto"/>
    </w:rPr>
  </w:style>
  <w:style w:type="paragraph" w:styleId="NoSpacing">
    <w:name w:val="No Spacing"/>
    <w:link w:val="NoSpacingChar"/>
    <w:uiPriority w:val="1"/>
    <w:qFormat/>
    <w:rsid w:val="00C40727"/>
    <w:pPr>
      <w:spacing w:after="0" w:line="240" w:lineRule="auto"/>
    </w:pPr>
    <w:rPr>
      <w:rFonts w:ascii="Arial" w:eastAsiaTheme="minorEastAsia" w:hAnsi="Arial"/>
      <w:lang w:val="en-US"/>
    </w:rPr>
  </w:style>
  <w:style w:type="character" w:customStyle="1" w:styleId="NoSpacingChar">
    <w:name w:val="No Spacing Char"/>
    <w:basedOn w:val="DefaultParagraphFont"/>
    <w:link w:val="NoSpacing"/>
    <w:uiPriority w:val="1"/>
    <w:rsid w:val="00C40727"/>
    <w:rPr>
      <w:rFonts w:ascii="Arial" w:eastAsiaTheme="minorEastAsia" w:hAnsi="Arial"/>
      <w:lang w:val="en-US"/>
    </w:rPr>
  </w:style>
  <w:style w:type="paragraph" w:styleId="FootnoteText">
    <w:name w:val="footnote text"/>
    <w:basedOn w:val="Normal"/>
    <w:link w:val="FootnoteTextChar"/>
    <w:uiPriority w:val="99"/>
    <w:unhideWhenUsed/>
    <w:rsid w:val="00C40727"/>
    <w:pPr>
      <w:keepLines w:val="0"/>
      <w:spacing w:after="0" w:line="240" w:lineRule="auto"/>
    </w:pPr>
    <w:rPr>
      <w:rFonts w:ascii="Arial" w:hAnsi="Arial"/>
      <w:color w:val="auto"/>
      <w:sz w:val="20"/>
      <w:szCs w:val="20"/>
      <w:lang w:val="en-CA"/>
    </w:rPr>
  </w:style>
  <w:style w:type="character" w:customStyle="1" w:styleId="FootnoteTextChar">
    <w:name w:val="Footnote Text Char"/>
    <w:basedOn w:val="DefaultParagraphFont"/>
    <w:link w:val="FootnoteText"/>
    <w:uiPriority w:val="99"/>
    <w:rsid w:val="00C40727"/>
    <w:rPr>
      <w:rFonts w:ascii="Arial" w:hAnsi="Arial"/>
      <w:sz w:val="20"/>
      <w:szCs w:val="20"/>
    </w:rPr>
  </w:style>
  <w:style w:type="character" w:styleId="FootnoteReference">
    <w:name w:val="footnote reference"/>
    <w:basedOn w:val="DefaultParagraphFont"/>
    <w:uiPriority w:val="99"/>
    <w:semiHidden/>
    <w:unhideWhenUsed/>
    <w:rsid w:val="00C40727"/>
    <w:rPr>
      <w:vertAlign w:val="superscript"/>
    </w:rPr>
  </w:style>
  <w:style w:type="paragraph" w:styleId="TOCHeading">
    <w:name w:val="TOC Heading"/>
    <w:basedOn w:val="Heading1"/>
    <w:next w:val="Normal"/>
    <w:uiPriority w:val="39"/>
    <w:unhideWhenUsed/>
    <w:qFormat/>
    <w:rsid w:val="008C40B6"/>
    <w:pPr>
      <w:outlineLvl w:val="9"/>
    </w:pPr>
    <w:rPr>
      <w:color w:val="9F0040" w:themeColor="accent1" w:themeShade="BF"/>
      <w:sz w:val="32"/>
      <w:szCs w:val="32"/>
      <w:lang w:val="en-US"/>
    </w:rPr>
  </w:style>
  <w:style w:type="paragraph" w:styleId="TOC1">
    <w:name w:val="toc 1"/>
    <w:basedOn w:val="Normal"/>
    <w:next w:val="Normal"/>
    <w:autoRedefine/>
    <w:uiPriority w:val="39"/>
    <w:unhideWhenUsed/>
    <w:rsid w:val="008C40B6"/>
    <w:pPr>
      <w:spacing w:after="100"/>
    </w:pPr>
  </w:style>
  <w:style w:type="character" w:styleId="CommentReference">
    <w:name w:val="annotation reference"/>
    <w:basedOn w:val="DefaultParagraphFont"/>
    <w:uiPriority w:val="99"/>
    <w:semiHidden/>
    <w:unhideWhenUsed/>
    <w:rsid w:val="008C40B6"/>
    <w:rPr>
      <w:sz w:val="16"/>
      <w:szCs w:val="16"/>
    </w:rPr>
  </w:style>
  <w:style w:type="paragraph" w:styleId="CommentText">
    <w:name w:val="annotation text"/>
    <w:basedOn w:val="Normal"/>
    <w:link w:val="CommentTextChar"/>
    <w:uiPriority w:val="99"/>
    <w:unhideWhenUsed/>
    <w:rsid w:val="008C40B6"/>
    <w:pPr>
      <w:spacing w:line="240" w:lineRule="auto"/>
    </w:pPr>
    <w:rPr>
      <w:sz w:val="20"/>
      <w:szCs w:val="20"/>
    </w:rPr>
  </w:style>
  <w:style w:type="character" w:customStyle="1" w:styleId="CommentTextChar">
    <w:name w:val="Comment Text Char"/>
    <w:basedOn w:val="DefaultParagraphFont"/>
    <w:link w:val="CommentText"/>
    <w:uiPriority w:val="99"/>
    <w:rsid w:val="008C40B6"/>
    <w:rPr>
      <w:color w:val="54575A" w:themeColor="text1"/>
      <w:sz w:val="20"/>
      <w:szCs w:val="20"/>
      <w:lang w:val="fr-CA"/>
    </w:rPr>
  </w:style>
  <w:style w:type="paragraph" w:styleId="CommentSubject">
    <w:name w:val="annotation subject"/>
    <w:basedOn w:val="CommentText"/>
    <w:next w:val="CommentText"/>
    <w:link w:val="CommentSubjectChar"/>
    <w:uiPriority w:val="99"/>
    <w:semiHidden/>
    <w:unhideWhenUsed/>
    <w:rsid w:val="008C40B6"/>
    <w:rPr>
      <w:b/>
      <w:bCs/>
    </w:rPr>
  </w:style>
  <w:style w:type="character" w:customStyle="1" w:styleId="CommentSubjectChar">
    <w:name w:val="Comment Subject Char"/>
    <w:basedOn w:val="CommentTextChar"/>
    <w:link w:val="CommentSubject"/>
    <w:uiPriority w:val="99"/>
    <w:semiHidden/>
    <w:rsid w:val="008C40B6"/>
    <w:rPr>
      <w:b/>
      <w:bCs/>
      <w:color w:val="54575A" w:themeColor="text1"/>
      <w:sz w:val="20"/>
      <w:szCs w:val="20"/>
      <w:lang w:val="fr-CA"/>
    </w:rPr>
  </w:style>
  <w:style w:type="paragraph" w:styleId="BalloonText">
    <w:name w:val="Balloon Text"/>
    <w:basedOn w:val="Normal"/>
    <w:link w:val="BalloonTextChar"/>
    <w:uiPriority w:val="99"/>
    <w:semiHidden/>
    <w:unhideWhenUsed/>
    <w:rsid w:val="008C40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0B6"/>
    <w:rPr>
      <w:rFonts w:ascii="Segoe UI" w:hAnsi="Segoe UI" w:cs="Segoe UI"/>
      <w:color w:val="54575A" w:themeColor="text1"/>
      <w:sz w:val="18"/>
      <w:szCs w:val="18"/>
      <w:lang w:val="fr-CA"/>
    </w:rPr>
  </w:style>
  <w:style w:type="character" w:styleId="Emphasis">
    <w:name w:val="Emphasis"/>
    <w:basedOn w:val="DefaultParagraphFont"/>
    <w:uiPriority w:val="20"/>
    <w:qFormat/>
    <w:rsid w:val="008C40B6"/>
    <w:rPr>
      <w:i/>
      <w:iCs/>
    </w:rPr>
  </w:style>
  <w:style w:type="table" w:styleId="GridTable4-Accent3">
    <w:name w:val="Grid Table 4 Accent 3"/>
    <w:basedOn w:val="TableNormal"/>
    <w:uiPriority w:val="49"/>
    <w:rsid w:val="008C40B6"/>
    <w:pPr>
      <w:spacing w:after="0" w:line="240" w:lineRule="auto"/>
    </w:pPr>
    <w:tblPr>
      <w:tblStyleRowBandSize w:val="1"/>
      <w:tblStyleColBandSize w:val="1"/>
      <w:tblBorders>
        <w:top w:val="single" w:sz="4" w:space="0" w:color="31ECFF" w:themeColor="accent3" w:themeTint="99"/>
        <w:left w:val="single" w:sz="4" w:space="0" w:color="31ECFF" w:themeColor="accent3" w:themeTint="99"/>
        <w:bottom w:val="single" w:sz="4" w:space="0" w:color="31ECFF" w:themeColor="accent3" w:themeTint="99"/>
        <w:right w:val="single" w:sz="4" w:space="0" w:color="31ECFF" w:themeColor="accent3" w:themeTint="99"/>
        <w:insideH w:val="single" w:sz="4" w:space="0" w:color="31ECFF" w:themeColor="accent3" w:themeTint="99"/>
        <w:insideV w:val="single" w:sz="4" w:space="0" w:color="31ECFF" w:themeColor="accent3" w:themeTint="99"/>
      </w:tblBorders>
    </w:tblPr>
    <w:tblStylePr w:type="firstRow">
      <w:rPr>
        <w:b/>
        <w:bCs/>
        <w:color w:val="FFFFFF" w:themeColor="background1"/>
      </w:rPr>
      <w:tblPr/>
      <w:tcPr>
        <w:tcBorders>
          <w:top w:val="single" w:sz="4" w:space="0" w:color="0099A8" w:themeColor="accent3"/>
          <w:left w:val="single" w:sz="4" w:space="0" w:color="0099A8" w:themeColor="accent3"/>
          <w:bottom w:val="single" w:sz="4" w:space="0" w:color="0099A8" w:themeColor="accent3"/>
          <w:right w:val="single" w:sz="4" w:space="0" w:color="0099A8" w:themeColor="accent3"/>
          <w:insideH w:val="nil"/>
          <w:insideV w:val="nil"/>
        </w:tcBorders>
        <w:shd w:val="clear" w:color="auto" w:fill="0099A8" w:themeFill="accent3"/>
      </w:tcPr>
    </w:tblStylePr>
    <w:tblStylePr w:type="lastRow">
      <w:rPr>
        <w:b/>
        <w:bCs/>
      </w:rPr>
      <w:tblPr/>
      <w:tcPr>
        <w:tcBorders>
          <w:top w:val="double" w:sz="4" w:space="0" w:color="0099A8" w:themeColor="accent3"/>
        </w:tcBorders>
      </w:tcPr>
    </w:tblStylePr>
    <w:tblStylePr w:type="firstCol">
      <w:rPr>
        <w:b/>
        <w:bCs/>
      </w:rPr>
    </w:tblStylePr>
    <w:tblStylePr w:type="lastCol">
      <w:rPr>
        <w:b/>
        <w:bCs/>
      </w:rPr>
    </w:tblStylePr>
    <w:tblStylePr w:type="band1Vert">
      <w:tblPr/>
      <w:tcPr>
        <w:shd w:val="clear" w:color="auto" w:fill="BAF8FF" w:themeFill="accent3" w:themeFillTint="33"/>
      </w:tcPr>
    </w:tblStylePr>
    <w:tblStylePr w:type="band1Horz">
      <w:tblPr/>
      <w:tcPr>
        <w:shd w:val="clear" w:color="auto" w:fill="BAF8FF" w:themeFill="accent3" w:themeFillTint="33"/>
      </w:tcPr>
    </w:tblStylePr>
  </w:style>
  <w:style w:type="character" w:styleId="UnresolvedMention">
    <w:name w:val="Unresolved Mention"/>
    <w:basedOn w:val="DefaultParagraphFont"/>
    <w:uiPriority w:val="99"/>
    <w:semiHidden/>
    <w:unhideWhenUsed/>
    <w:rsid w:val="000433FE"/>
    <w:rPr>
      <w:color w:val="605E5C"/>
      <w:shd w:val="clear" w:color="auto" w:fill="E1DFDD"/>
    </w:rPr>
  </w:style>
  <w:style w:type="table" w:styleId="GridTable4">
    <w:name w:val="Grid Table 4"/>
    <w:basedOn w:val="TableNormal"/>
    <w:uiPriority w:val="49"/>
    <w:rsid w:val="00101877"/>
    <w:pPr>
      <w:spacing w:after="0" w:line="240" w:lineRule="auto"/>
    </w:pPr>
    <w:tblPr>
      <w:tblStyleRowBandSize w:val="1"/>
      <w:tblStyleColBandSize w:val="1"/>
      <w:tblBorders>
        <w:top w:val="single" w:sz="4" w:space="0" w:color="969A9D" w:themeColor="text1" w:themeTint="99"/>
        <w:left w:val="single" w:sz="4" w:space="0" w:color="969A9D" w:themeColor="text1" w:themeTint="99"/>
        <w:bottom w:val="single" w:sz="4" w:space="0" w:color="969A9D" w:themeColor="text1" w:themeTint="99"/>
        <w:right w:val="single" w:sz="4" w:space="0" w:color="969A9D" w:themeColor="text1" w:themeTint="99"/>
        <w:insideH w:val="single" w:sz="4" w:space="0" w:color="969A9D" w:themeColor="text1" w:themeTint="99"/>
        <w:insideV w:val="single" w:sz="4" w:space="0" w:color="969A9D" w:themeColor="text1" w:themeTint="99"/>
      </w:tblBorders>
    </w:tblPr>
    <w:tblStylePr w:type="firstRow">
      <w:rPr>
        <w:b/>
        <w:bCs/>
        <w:color w:val="FFFFFF" w:themeColor="background1"/>
      </w:rPr>
      <w:tblPr/>
      <w:tcPr>
        <w:tcBorders>
          <w:top w:val="single" w:sz="4" w:space="0" w:color="54575A" w:themeColor="text1"/>
          <w:left w:val="single" w:sz="4" w:space="0" w:color="54575A" w:themeColor="text1"/>
          <w:bottom w:val="single" w:sz="4" w:space="0" w:color="54575A" w:themeColor="text1"/>
          <w:right w:val="single" w:sz="4" w:space="0" w:color="54575A" w:themeColor="text1"/>
          <w:insideH w:val="nil"/>
          <w:insideV w:val="nil"/>
        </w:tcBorders>
        <w:shd w:val="clear" w:color="auto" w:fill="54575A" w:themeFill="text1"/>
      </w:tcPr>
    </w:tblStylePr>
    <w:tblStylePr w:type="lastRow">
      <w:rPr>
        <w:b/>
        <w:bCs/>
      </w:rPr>
      <w:tblPr/>
      <w:tcPr>
        <w:tcBorders>
          <w:top w:val="double" w:sz="4" w:space="0" w:color="54575A" w:themeColor="text1"/>
        </w:tcBorders>
      </w:tcPr>
    </w:tblStylePr>
    <w:tblStylePr w:type="firstCol">
      <w:rPr>
        <w:b/>
        <w:bCs/>
      </w:rPr>
    </w:tblStylePr>
    <w:tblStylePr w:type="lastCol">
      <w:rPr>
        <w:b/>
        <w:bCs/>
      </w:rPr>
    </w:tblStylePr>
    <w:tblStylePr w:type="band1Vert">
      <w:tblPr/>
      <w:tcPr>
        <w:shd w:val="clear" w:color="auto" w:fill="DCDDDE" w:themeFill="text1" w:themeFillTint="33"/>
      </w:tcPr>
    </w:tblStylePr>
    <w:tblStylePr w:type="band1Horz">
      <w:tblPr/>
      <w:tcPr>
        <w:shd w:val="clear" w:color="auto" w:fill="DCDDDE" w:themeFill="text1" w:themeFillTint="33"/>
      </w:tcPr>
    </w:tblStylePr>
  </w:style>
  <w:style w:type="table" w:styleId="TableGrid">
    <w:name w:val="Table Grid"/>
    <w:basedOn w:val="TableNormal"/>
    <w:uiPriority w:val="39"/>
    <w:rsid w:val="00101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4F1C0F"/>
    <w:pPr>
      <w:spacing w:after="100"/>
      <w:ind w:left="220"/>
    </w:pPr>
  </w:style>
  <w:style w:type="paragraph" w:styleId="Revision">
    <w:name w:val="Revision"/>
    <w:hidden/>
    <w:uiPriority w:val="99"/>
    <w:semiHidden/>
    <w:rsid w:val="001A46E4"/>
    <w:pPr>
      <w:spacing w:after="0" w:line="240" w:lineRule="auto"/>
    </w:pPr>
    <w:rPr>
      <w:color w:val="54575A" w:themeColor="text1"/>
      <w:lang w:val="fr-CA"/>
    </w:rPr>
  </w:style>
  <w:style w:type="character" w:styleId="FollowedHyperlink">
    <w:name w:val="FollowedHyperlink"/>
    <w:basedOn w:val="DefaultParagraphFont"/>
    <w:uiPriority w:val="99"/>
    <w:semiHidden/>
    <w:unhideWhenUsed/>
    <w:rsid w:val="00860538"/>
    <w:rPr>
      <w:color w:val="FF4C95" w:themeColor="followedHyperlink"/>
      <w:u w:val="single"/>
    </w:rPr>
  </w:style>
  <w:style w:type="character" w:customStyle="1" w:styleId="Heading3Char">
    <w:name w:val="Heading 3 Char"/>
    <w:basedOn w:val="DefaultParagraphFont"/>
    <w:link w:val="Heading3"/>
    <w:uiPriority w:val="9"/>
    <w:rsid w:val="007E541C"/>
    <w:rPr>
      <w:rFonts w:asciiTheme="majorHAnsi" w:eastAsiaTheme="majorEastAsia" w:hAnsiTheme="majorHAnsi" w:cstheme="majorBidi"/>
      <w:color w:val="6A002B" w:themeColor="accent1" w:themeShade="7F"/>
      <w:sz w:val="24"/>
      <w:szCs w:val="24"/>
      <w:lang w:val="fr-CA"/>
    </w:rPr>
  </w:style>
  <w:style w:type="paragraph" w:styleId="TOC3">
    <w:name w:val="toc 3"/>
    <w:basedOn w:val="Normal"/>
    <w:next w:val="Normal"/>
    <w:autoRedefine/>
    <w:uiPriority w:val="39"/>
    <w:unhideWhenUsed/>
    <w:rsid w:val="00FD211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16970">
      <w:bodyDiv w:val="1"/>
      <w:marLeft w:val="0"/>
      <w:marRight w:val="0"/>
      <w:marTop w:val="0"/>
      <w:marBottom w:val="0"/>
      <w:divBdr>
        <w:top w:val="none" w:sz="0" w:space="0" w:color="auto"/>
        <w:left w:val="none" w:sz="0" w:space="0" w:color="auto"/>
        <w:bottom w:val="none" w:sz="0" w:space="0" w:color="auto"/>
        <w:right w:val="none" w:sz="0" w:space="0" w:color="auto"/>
      </w:divBdr>
    </w:div>
    <w:div w:id="1823544018">
      <w:bodyDiv w:val="1"/>
      <w:marLeft w:val="0"/>
      <w:marRight w:val="0"/>
      <w:marTop w:val="0"/>
      <w:marBottom w:val="0"/>
      <w:divBdr>
        <w:top w:val="none" w:sz="0" w:space="0" w:color="auto"/>
        <w:left w:val="none" w:sz="0" w:space="0" w:color="auto"/>
        <w:bottom w:val="none" w:sz="0" w:space="0" w:color="auto"/>
        <w:right w:val="none" w:sz="0" w:space="0" w:color="auto"/>
      </w:divBdr>
      <w:divsChild>
        <w:div w:id="782920679">
          <w:marLeft w:val="1123"/>
          <w:marRight w:val="0"/>
          <w:marTop w:val="80"/>
          <w:marBottom w:val="0"/>
          <w:divBdr>
            <w:top w:val="none" w:sz="0" w:space="0" w:color="auto"/>
            <w:left w:val="none" w:sz="0" w:space="0" w:color="auto"/>
            <w:bottom w:val="none" w:sz="0" w:space="0" w:color="auto"/>
            <w:right w:val="none" w:sz="0" w:space="0" w:color="auto"/>
          </w:divBdr>
        </w:div>
        <w:div w:id="1912228487">
          <w:marLeft w:val="2102"/>
          <w:marRight w:val="0"/>
          <w:marTop w:val="80"/>
          <w:marBottom w:val="0"/>
          <w:divBdr>
            <w:top w:val="none" w:sz="0" w:space="0" w:color="auto"/>
            <w:left w:val="none" w:sz="0" w:space="0" w:color="auto"/>
            <w:bottom w:val="none" w:sz="0" w:space="0" w:color="auto"/>
            <w:right w:val="none" w:sz="0" w:space="0" w:color="auto"/>
          </w:divBdr>
        </w:div>
        <w:div w:id="1516577649">
          <w:marLeft w:val="2102"/>
          <w:marRight w:val="0"/>
          <w:marTop w:val="80"/>
          <w:marBottom w:val="0"/>
          <w:divBdr>
            <w:top w:val="none" w:sz="0" w:space="0" w:color="auto"/>
            <w:left w:val="none" w:sz="0" w:space="0" w:color="auto"/>
            <w:bottom w:val="none" w:sz="0" w:space="0" w:color="auto"/>
            <w:right w:val="none" w:sz="0" w:space="0" w:color="auto"/>
          </w:divBdr>
        </w:div>
        <w:div w:id="1720468654">
          <w:marLeft w:val="1123"/>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nada.ca/en/privy-council/corporate/clerk/call-to-action-anti-racism-equity-inclusion-federal-public-service.html"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canada.ca/en/privy-council/corporate/clerk/call-to-action-anti-racism-equity-inclusion-federal-public-servic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PSC-Report-2021.dotx" TargetMode="External"/></Relationships>
</file>

<file path=word/theme/theme1.xml><?xml version="1.0" encoding="utf-8"?>
<a:theme xmlns:a="http://schemas.openxmlformats.org/drawingml/2006/main" name="CFP-PSC-2021-Theme">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D50057"/>
      </a:hlink>
      <a:folHlink>
        <a:srgbClr val="FF4C9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FP-PSC-2021-Theme" id="{F9227C59-6BDC-46A6-9073-3F4F2FFED3F1}" vid="{33E9A152-DAE1-40D5-91A4-95A57416C0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B99960B7045045962666DE2A0F3968" ma:contentTypeVersion="11" ma:contentTypeDescription="Create a new document." ma:contentTypeScope="" ma:versionID="f4d87ed14097df2d83277cb23b4cb559">
  <xsd:schema xmlns:xsd="http://www.w3.org/2001/XMLSchema" xmlns:xs="http://www.w3.org/2001/XMLSchema" xmlns:p="http://schemas.microsoft.com/office/2006/metadata/properties" xmlns:ns3="eb5f99b1-d795-4367-b33e-9c3bdb74a100" xmlns:ns4="35c687e9-5198-4bd1-bc80-70f2eef9f068" targetNamespace="http://schemas.microsoft.com/office/2006/metadata/properties" ma:root="true" ma:fieldsID="671e325093ce771588110b5c004c93ed" ns3:_="" ns4:_="">
    <xsd:import namespace="eb5f99b1-d795-4367-b33e-9c3bdb74a100"/>
    <xsd:import namespace="35c687e9-5198-4bd1-bc80-70f2eef9f06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f99b1-d795-4367-b33e-9c3bdb74a1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c687e9-5198-4bd1-bc80-70f2eef9f0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8971CC-57EB-4CC7-9A0A-832EDE964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f99b1-d795-4367-b33e-9c3bdb74a100"/>
    <ds:schemaRef ds:uri="35c687e9-5198-4bd1-bc80-70f2eef9f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BF8424-6F1F-4C64-AC26-5B265B76F706}">
  <ds:schemaRefs>
    <ds:schemaRef ds:uri="http://schemas.openxmlformats.org/officeDocument/2006/bibliography"/>
  </ds:schemaRefs>
</ds:datastoreItem>
</file>

<file path=customXml/itemProps3.xml><?xml version="1.0" encoding="utf-8"?>
<ds:datastoreItem xmlns:ds="http://schemas.openxmlformats.org/officeDocument/2006/customXml" ds:itemID="{868FF45C-3E10-4654-A5CF-C53040D9201D}">
  <ds:schemaRefs>
    <ds:schemaRef ds:uri="http://purl.org/dc/dcmitype/"/>
    <ds:schemaRef ds:uri="35c687e9-5198-4bd1-bc80-70f2eef9f068"/>
    <ds:schemaRef ds:uri="http://schemas.microsoft.com/office/2006/metadata/properties"/>
    <ds:schemaRef ds:uri="http://www.w3.org/XML/1998/namespace"/>
    <ds:schemaRef ds:uri="http://schemas.microsoft.com/office/2006/documentManagement/types"/>
    <ds:schemaRef ds:uri="eb5f99b1-d795-4367-b33e-9c3bdb74a100"/>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4.xml><?xml version="1.0" encoding="utf-8"?>
<ds:datastoreItem xmlns:ds="http://schemas.openxmlformats.org/officeDocument/2006/customXml" ds:itemID="{DF0E8CE9-3698-4FEE-93EC-D0614C2D9F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PSC-Report-2021.dotx</Template>
  <TotalTime>49</TotalTime>
  <Pages>15</Pages>
  <Words>4166</Words>
  <Characters>23750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Comtois Lecocq</dc:creator>
  <cp:keywords/>
  <dc:description/>
  <cp:lastModifiedBy>David Farough</cp:lastModifiedBy>
  <cp:revision>3</cp:revision>
  <dcterms:created xsi:type="dcterms:W3CDTF">2022-08-23T17:32:00Z</dcterms:created>
  <dcterms:modified xsi:type="dcterms:W3CDTF">2022-09-08T14:50:00Z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0x0101005EB99960B7045045962666DE2A0F3968</vt:lpwstr>
  </property>
</Properties>
</file>