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5E9C" w14:textId="09F4EF49" w:rsidR="00A57819" w:rsidRPr="00C25AC9" w:rsidRDefault="00C9054A" w:rsidP="00A57819">
      <w:pPr>
        <w:pStyle w:val="Title"/>
      </w:pPr>
      <w:bookmarkStart w:id="0" w:name="_Hlk93604908"/>
      <w:r w:rsidRPr="00C25AC9">
        <w:t>Plan de recherche et développement du Secteur de la surveillance et des enquêtes</w:t>
      </w:r>
    </w:p>
    <w:p w14:paraId="54731D3C" w14:textId="71FA5B28" w:rsidR="00A57819" w:rsidRDefault="00C9054A" w:rsidP="00A57819">
      <w:pPr>
        <w:pStyle w:val="Subtitle"/>
      </w:pPr>
      <w:r w:rsidRPr="00C25AC9">
        <w:t>2021-2023 et au-delà</w:t>
      </w:r>
    </w:p>
    <w:p w14:paraId="2C88062B" w14:textId="6CA4D905" w:rsidR="00103FE8" w:rsidRPr="009C15E2" w:rsidRDefault="00103FE8" w:rsidP="00103FE8">
      <w:r w:rsidRPr="00103FE8">
        <w:t xml:space="preserve">Diffusion possible - Gouvernement ouvert / </w:t>
      </w:r>
      <w:r w:rsidRPr="009C15E2">
        <w:t>Candidature pour un gouvernement ouvert</w:t>
      </w:r>
    </w:p>
    <w:p w14:paraId="0B26763A" w14:textId="75F4495C" w:rsidR="00103FE8" w:rsidRPr="00103FE8" w:rsidRDefault="00103FE8" w:rsidP="00103FE8">
      <w:proofErr w:type="spellStart"/>
      <w:r w:rsidRPr="00103FE8">
        <w:t>GCDoc</w:t>
      </w:r>
      <w:proofErr w:type="spellEnd"/>
      <w:r w:rsidRPr="00103FE8">
        <w:t xml:space="preserve"> no 12537903</w:t>
      </w:r>
    </w:p>
    <w:p w14:paraId="02F857AB" w14:textId="125214F3" w:rsidR="00941B2E" w:rsidRPr="00C25AC9" w:rsidRDefault="00941B2E" w:rsidP="00214354">
      <w:pPr>
        <w:keepLines w:val="0"/>
        <w:tabs>
          <w:tab w:val="center" w:pos="4680"/>
        </w:tabs>
      </w:pPr>
      <w:r w:rsidRPr="00C25AC9">
        <w:br w:type="page"/>
      </w:r>
      <w:r w:rsidR="00F72B2F" w:rsidRPr="00C25AC9">
        <w:lastRenderedPageBreak/>
        <w:tab/>
      </w:r>
    </w:p>
    <w:sdt>
      <w:sdtPr>
        <w:rPr>
          <w:rFonts w:asciiTheme="minorHAnsi" w:eastAsiaTheme="minorHAnsi" w:hAnsiTheme="minorHAnsi" w:cstheme="minorBidi"/>
          <w:color w:val="54575A" w:themeColor="text1"/>
          <w:sz w:val="22"/>
          <w:szCs w:val="22"/>
          <w:lang w:val="fr-CA"/>
        </w:rPr>
        <w:id w:val="805437904"/>
        <w:docPartObj>
          <w:docPartGallery w:val="Table of Contents"/>
          <w:docPartUnique/>
        </w:docPartObj>
      </w:sdtPr>
      <w:sdtEndPr>
        <w:rPr>
          <w:b/>
          <w:bCs/>
          <w:noProof/>
        </w:rPr>
      </w:sdtEndPr>
      <w:sdtContent>
        <w:p w14:paraId="1FA90ADD" w14:textId="24753AED" w:rsidR="008C40B6" w:rsidRPr="00C25AC9" w:rsidRDefault="008C40B6">
          <w:pPr>
            <w:pStyle w:val="TOCHeading"/>
            <w:rPr>
              <w:lang w:val="fr-CA"/>
            </w:rPr>
          </w:pPr>
          <w:r w:rsidRPr="00C25AC9">
            <w:rPr>
              <w:lang w:val="fr-CA"/>
            </w:rPr>
            <w:t xml:space="preserve">Table </w:t>
          </w:r>
          <w:r w:rsidR="00C9054A" w:rsidRPr="00C25AC9">
            <w:rPr>
              <w:lang w:val="fr-CA"/>
            </w:rPr>
            <w:t>des matières</w:t>
          </w:r>
        </w:p>
        <w:p w14:paraId="4DAE5483" w14:textId="663AE98E" w:rsidR="0014001F" w:rsidRPr="00C25AC9" w:rsidRDefault="008C40B6">
          <w:pPr>
            <w:pStyle w:val="TOC1"/>
            <w:tabs>
              <w:tab w:val="right" w:leader="dot" w:pos="9350"/>
            </w:tabs>
            <w:rPr>
              <w:rFonts w:eastAsiaTheme="minorEastAsia"/>
              <w:noProof/>
              <w:color w:val="auto"/>
              <w:lang w:eastAsia="fr-CA"/>
            </w:rPr>
          </w:pPr>
          <w:r w:rsidRPr="00C25AC9">
            <w:fldChar w:fldCharType="begin"/>
          </w:r>
          <w:r w:rsidRPr="00C25AC9">
            <w:instrText xml:space="preserve"> TOC \o "1-3" \h \z \u </w:instrText>
          </w:r>
          <w:r w:rsidRPr="00C25AC9">
            <w:fldChar w:fldCharType="separate"/>
          </w:r>
          <w:hyperlink w:anchor="_Toc93996144" w:history="1">
            <w:r w:rsidR="0014001F" w:rsidRPr="00C25AC9">
              <w:rPr>
                <w:rStyle w:val="Hyperlink"/>
                <w:noProof/>
              </w:rPr>
              <w:t>Introduction</w:t>
            </w:r>
            <w:r w:rsidR="0014001F" w:rsidRPr="00C25AC9">
              <w:rPr>
                <w:noProof/>
                <w:webHidden/>
              </w:rPr>
              <w:tab/>
            </w:r>
            <w:r w:rsidR="0014001F" w:rsidRPr="00C25AC9">
              <w:rPr>
                <w:noProof/>
                <w:webHidden/>
              </w:rPr>
              <w:fldChar w:fldCharType="begin"/>
            </w:r>
            <w:r w:rsidR="0014001F" w:rsidRPr="00C25AC9">
              <w:rPr>
                <w:noProof/>
                <w:webHidden/>
              </w:rPr>
              <w:instrText xml:space="preserve"> PAGEREF _Toc93996144 \h </w:instrText>
            </w:r>
            <w:r w:rsidR="0014001F" w:rsidRPr="00C25AC9">
              <w:rPr>
                <w:noProof/>
                <w:webHidden/>
              </w:rPr>
            </w:r>
            <w:r w:rsidR="0014001F" w:rsidRPr="00C25AC9">
              <w:rPr>
                <w:noProof/>
                <w:webHidden/>
              </w:rPr>
              <w:fldChar w:fldCharType="separate"/>
            </w:r>
            <w:r w:rsidR="0014001F" w:rsidRPr="00C25AC9">
              <w:rPr>
                <w:noProof/>
                <w:webHidden/>
              </w:rPr>
              <w:t>3</w:t>
            </w:r>
            <w:r w:rsidR="0014001F" w:rsidRPr="00C25AC9">
              <w:rPr>
                <w:noProof/>
                <w:webHidden/>
              </w:rPr>
              <w:fldChar w:fldCharType="end"/>
            </w:r>
          </w:hyperlink>
        </w:p>
        <w:p w14:paraId="33ECF52A" w14:textId="1162ABB4" w:rsidR="0014001F" w:rsidRPr="00C25AC9" w:rsidRDefault="00A045A7">
          <w:pPr>
            <w:pStyle w:val="TOC1"/>
            <w:tabs>
              <w:tab w:val="right" w:leader="dot" w:pos="9350"/>
            </w:tabs>
            <w:rPr>
              <w:rFonts w:eastAsiaTheme="minorEastAsia"/>
              <w:noProof/>
              <w:color w:val="auto"/>
              <w:lang w:eastAsia="fr-CA"/>
            </w:rPr>
          </w:pPr>
          <w:hyperlink w:anchor="_Toc93996145" w:history="1">
            <w:r w:rsidR="0014001F" w:rsidRPr="00C25AC9">
              <w:rPr>
                <w:rStyle w:val="Hyperlink"/>
                <w:noProof/>
              </w:rPr>
              <w:t>Contexte actuel</w:t>
            </w:r>
            <w:r w:rsidR="0014001F" w:rsidRPr="00C25AC9">
              <w:rPr>
                <w:noProof/>
                <w:webHidden/>
              </w:rPr>
              <w:tab/>
            </w:r>
            <w:r w:rsidR="0014001F" w:rsidRPr="00C25AC9">
              <w:rPr>
                <w:noProof/>
                <w:webHidden/>
              </w:rPr>
              <w:fldChar w:fldCharType="begin"/>
            </w:r>
            <w:r w:rsidR="0014001F" w:rsidRPr="00C25AC9">
              <w:rPr>
                <w:noProof/>
                <w:webHidden/>
              </w:rPr>
              <w:instrText xml:space="preserve"> PAGEREF _Toc93996145 \h </w:instrText>
            </w:r>
            <w:r w:rsidR="0014001F" w:rsidRPr="00C25AC9">
              <w:rPr>
                <w:noProof/>
                <w:webHidden/>
              </w:rPr>
            </w:r>
            <w:r w:rsidR="0014001F" w:rsidRPr="00C25AC9">
              <w:rPr>
                <w:noProof/>
                <w:webHidden/>
              </w:rPr>
              <w:fldChar w:fldCharType="separate"/>
            </w:r>
            <w:r w:rsidR="0014001F" w:rsidRPr="00C25AC9">
              <w:rPr>
                <w:noProof/>
                <w:webHidden/>
              </w:rPr>
              <w:t>3</w:t>
            </w:r>
            <w:r w:rsidR="0014001F" w:rsidRPr="00C25AC9">
              <w:rPr>
                <w:noProof/>
                <w:webHidden/>
              </w:rPr>
              <w:fldChar w:fldCharType="end"/>
            </w:r>
          </w:hyperlink>
        </w:p>
        <w:p w14:paraId="2486225A" w14:textId="2D704657" w:rsidR="0014001F" w:rsidRPr="00C25AC9" w:rsidRDefault="00A045A7">
          <w:pPr>
            <w:pStyle w:val="TOC1"/>
            <w:tabs>
              <w:tab w:val="right" w:leader="dot" w:pos="9350"/>
            </w:tabs>
            <w:rPr>
              <w:rFonts w:eastAsiaTheme="minorEastAsia"/>
              <w:noProof/>
              <w:color w:val="auto"/>
              <w:lang w:eastAsia="fr-CA"/>
            </w:rPr>
          </w:pPr>
          <w:hyperlink w:anchor="_Toc93996146" w:history="1">
            <w:r w:rsidR="0014001F" w:rsidRPr="00C25AC9">
              <w:rPr>
                <w:rStyle w:val="Hyperlink"/>
                <w:noProof/>
              </w:rPr>
              <w:t>Recherche et modèle de surveillance de la CFP</w:t>
            </w:r>
            <w:r w:rsidR="0014001F" w:rsidRPr="00C25AC9">
              <w:rPr>
                <w:noProof/>
                <w:webHidden/>
              </w:rPr>
              <w:tab/>
            </w:r>
            <w:r w:rsidR="0014001F" w:rsidRPr="00C25AC9">
              <w:rPr>
                <w:noProof/>
                <w:webHidden/>
              </w:rPr>
              <w:fldChar w:fldCharType="begin"/>
            </w:r>
            <w:r w:rsidR="0014001F" w:rsidRPr="00C25AC9">
              <w:rPr>
                <w:noProof/>
                <w:webHidden/>
              </w:rPr>
              <w:instrText xml:space="preserve"> PAGEREF _Toc93996146 \h </w:instrText>
            </w:r>
            <w:r w:rsidR="0014001F" w:rsidRPr="00C25AC9">
              <w:rPr>
                <w:noProof/>
                <w:webHidden/>
              </w:rPr>
            </w:r>
            <w:r w:rsidR="0014001F" w:rsidRPr="00C25AC9">
              <w:rPr>
                <w:noProof/>
                <w:webHidden/>
              </w:rPr>
              <w:fldChar w:fldCharType="separate"/>
            </w:r>
            <w:r w:rsidR="0014001F" w:rsidRPr="00C25AC9">
              <w:rPr>
                <w:noProof/>
                <w:webHidden/>
              </w:rPr>
              <w:t>5</w:t>
            </w:r>
            <w:r w:rsidR="0014001F" w:rsidRPr="00C25AC9">
              <w:rPr>
                <w:noProof/>
                <w:webHidden/>
              </w:rPr>
              <w:fldChar w:fldCharType="end"/>
            </w:r>
          </w:hyperlink>
        </w:p>
        <w:p w14:paraId="48E0A538" w14:textId="33C3A60A" w:rsidR="0014001F" w:rsidRPr="00C25AC9" w:rsidRDefault="00A045A7">
          <w:pPr>
            <w:pStyle w:val="TOC1"/>
            <w:tabs>
              <w:tab w:val="right" w:leader="dot" w:pos="9350"/>
            </w:tabs>
            <w:rPr>
              <w:rFonts w:eastAsiaTheme="minorEastAsia"/>
              <w:noProof/>
              <w:color w:val="auto"/>
              <w:lang w:eastAsia="fr-CA"/>
            </w:rPr>
          </w:pPr>
          <w:hyperlink w:anchor="_Toc93996147" w:history="1">
            <w:r w:rsidR="0014001F" w:rsidRPr="00C25AC9">
              <w:rPr>
                <w:rStyle w:val="Hyperlink"/>
                <w:noProof/>
              </w:rPr>
              <w:t>Capacité de recherche pour 2021-2023</w:t>
            </w:r>
            <w:r w:rsidR="0014001F" w:rsidRPr="00C25AC9">
              <w:rPr>
                <w:noProof/>
                <w:webHidden/>
              </w:rPr>
              <w:tab/>
            </w:r>
            <w:r w:rsidR="0014001F" w:rsidRPr="00C25AC9">
              <w:rPr>
                <w:noProof/>
                <w:webHidden/>
              </w:rPr>
              <w:fldChar w:fldCharType="begin"/>
            </w:r>
            <w:r w:rsidR="0014001F" w:rsidRPr="00C25AC9">
              <w:rPr>
                <w:noProof/>
                <w:webHidden/>
              </w:rPr>
              <w:instrText xml:space="preserve"> PAGEREF _Toc93996147 \h </w:instrText>
            </w:r>
            <w:r w:rsidR="0014001F" w:rsidRPr="00C25AC9">
              <w:rPr>
                <w:noProof/>
                <w:webHidden/>
              </w:rPr>
            </w:r>
            <w:r w:rsidR="0014001F" w:rsidRPr="00C25AC9">
              <w:rPr>
                <w:noProof/>
                <w:webHidden/>
              </w:rPr>
              <w:fldChar w:fldCharType="separate"/>
            </w:r>
            <w:r w:rsidR="0014001F" w:rsidRPr="00C25AC9">
              <w:rPr>
                <w:noProof/>
                <w:webHidden/>
              </w:rPr>
              <w:t>5</w:t>
            </w:r>
            <w:r w:rsidR="0014001F" w:rsidRPr="00C25AC9">
              <w:rPr>
                <w:noProof/>
                <w:webHidden/>
              </w:rPr>
              <w:fldChar w:fldCharType="end"/>
            </w:r>
          </w:hyperlink>
        </w:p>
        <w:p w14:paraId="6D2F3CF8" w14:textId="6A0378CB" w:rsidR="0014001F" w:rsidRPr="00C25AC9" w:rsidRDefault="00A045A7">
          <w:pPr>
            <w:pStyle w:val="TOC1"/>
            <w:tabs>
              <w:tab w:val="right" w:leader="dot" w:pos="9350"/>
            </w:tabs>
            <w:rPr>
              <w:rFonts w:eastAsiaTheme="minorEastAsia"/>
              <w:noProof/>
              <w:color w:val="auto"/>
              <w:lang w:eastAsia="fr-CA"/>
            </w:rPr>
          </w:pPr>
          <w:hyperlink w:anchor="_Toc93996148" w:history="1">
            <w:r w:rsidR="0014001F" w:rsidRPr="00C25AC9">
              <w:rPr>
                <w:rStyle w:val="Hyperlink"/>
                <w:noProof/>
              </w:rPr>
              <w:t>Consultations et gouvernance</w:t>
            </w:r>
            <w:r w:rsidR="0014001F" w:rsidRPr="00C25AC9">
              <w:rPr>
                <w:noProof/>
                <w:webHidden/>
              </w:rPr>
              <w:tab/>
            </w:r>
            <w:r w:rsidR="0014001F" w:rsidRPr="00C25AC9">
              <w:rPr>
                <w:noProof/>
                <w:webHidden/>
              </w:rPr>
              <w:fldChar w:fldCharType="begin"/>
            </w:r>
            <w:r w:rsidR="0014001F" w:rsidRPr="00C25AC9">
              <w:rPr>
                <w:noProof/>
                <w:webHidden/>
              </w:rPr>
              <w:instrText xml:space="preserve"> PAGEREF _Toc93996148 \h </w:instrText>
            </w:r>
            <w:r w:rsidR="0014001F" w:rsidRPr="00C25AC9">
              <w:rPr>
                <w:noProof/>
                <w:webHidden/>
              </w:rPr>
            </w:r>
            <w:r w:rsidR="0014001F" w:rsidRPr="00C25AC9">
              <w:rPr>
                <w:noProof/>
                <w:webHidden/>
              </w:rPr>
              <w:fldChar w:fldCharType="separate"/>
            </w:r>
            <w:r w:rsidR="0014001F" w:rsidRPr="00C25AC9">
              <w:rPr>
                <w:noProof/>
                <w:webHidden/>
              </w:rPr>
              <w:t>6</w:t>
            </w:r>
            <w:r w:rsidR="0014001F" w:rsidRPr="00C25AC9">
              <w:rPr>
                <w:noProof/>
                <w:webHidden/>
              </w:rPr>
              <w:fldChar w:fldCharType="end"/>
            </w:r>
          </w:hyperlink>
        </w:p>
        <w:p w14:paraId="4842D7F3" w14:textId="35DB6548" w:rsidR="0014001F" w:rsidRPr="00C25AC9" w:rsidRDefault="00A045A7">
          <w:pPr>
            <w:pStyle w:val="TOC1"/>
            <w:tabs>
              <w:tab w:val="right" w:leader="dot" w:pos="9350"/>
            </w:tabs>
            <w:rPr>
              <w:rFonts w:eastAsiaTheme="minorEastAsia"/>
              <w:noProof/>
              <w:color w:val="auto"/>
              <w:lang w:eastAsia="fr-CA"/>
            </w:rPr>
          </w:pPr>
          <w:hyperlink w:anchor="_Toc93996149" w:history="1">
            <w:r w:rsidR="0014001F" w:rsidRPr="00C25AC9">
              <w:rPr>
                <w:rStyle w:val="Hyperlink"/>
                <w:noProof/>
              </w:rPr>
              <w:t>Annexe A : Modèle de surveillance à l</w:t>
            </w:r>
            <w:r w:rsidR="00C25AC9" w:rsidRPr="00C25AC9">
              <w:rPr>
                <w:rStyle w:val="Hyperlink"/>
                <w:noProof/>
              </w:rPr>
              <w:t>’</w:t>
            </w:r>
            <w:r w:rsidR="0014001F" w:rsidRPr="00C25AC9">
              <w:rPr>
                <w:rStyle w:val="Hyperlink"/>
                <w:noProof/>
              </w:rPr>
              <w:t>échelle de la CFP</w:t>
            </w:r>
            <w:r w:rsidR="0014001F" w:rsidRPr="00C25AC9">
              <w:rPr>
                <w:noProof/>
                <w:webHidden/>
              </w:rPr>
              <w:tab/>
            </w:r>
            <w:r w:rsidR="0014001F" w:rsidRPr="00C25AC9">
              <w:rPr>
                <w:noProof/>
                <w:webHidden/>
              </w:rPr>
              <w:fldChar w:fldCharType="begin"/>
            </w:r>
            <w:r w:rsidR="0014001F" w:rsidRPr="00C25AC9">
              <w:rPr>
                <w:noProof/>
                <w:webHidden/>
              </w:rPr>
              <w:instrText xml:space="preserve"> PAGEREF _Toc93996149 \h </w:instrText>
            </w:r>
            <w:r w:rsidR="0014001F" w:rsidRPr="00C25AC9">
              <w:rPr>
                <w:noProof/>
                <w:webHidden/>
              </w:rPr>
            </w:r>
            <w:r w:rsidR="0014001F" w:rsidRPr="00C25AC9">
              <w:rPr>
                <w:noProof/>
                <w:webHidden/>
              </w:rPr>
              <w:fldChar w:fldCharType="separate"/>
            </w:r>
            <w:r w:rsidR="0014001F" w:rsidRPr="00C25AC9">
              <w:rPr>
                <w:noProof/>
                <w:webHidden/>
              </w:rPr>
              <w:t>8</w:t>
            </w:r>
            <w:r w:rsidR="0014001F" w:rsidRPr="00C25AC9">
              <w:rPr>
                <w:noProof/>
                <w:webHidden/>
              </w:rPr>
              <w:fldChar w:fldCharType="end"/>
            </w:r>
          </w:hyperlink>
        </w:p>
        <w:p w14:paraId="476367CF" w14:textId="4798EC82" w:rsidR="0014001F" w:rsidRPr="00C25AC9" w:rsidRDefault="00A045A7">
          <w:pPr>
            <w:pStyle w:val="TOC1"/>
            <w:tabs>
              <w:tab w:val="right" w:leader="dot" w:pos="9350"/>
            </w:tabs>
            <w:rPr>
              <w:rFonts w:eastAsiaTheme="minorEastAsia"/>
              <w:noProof/>
              <w:color w:val="auto"/>
              <w:lang w:eastAsia="fr-CA"/>
            </w:rPr>
          </w:pPr>
          <w:hyperlink w:anchor="_Toc93996150" w:history="1">
            <w:r w:rsidR="0014001F" w:rsidRPr="00C25AC9">
              <w:rPr>
                <w:rStyle w:val="Hyperlink"/>
                <w:noProof/>
              </w:rPr>
              <w:t>Annexe B : Projets de recherche</w:t>
            </w:r>
            <w:r w:rsidR="0014001F" w:rsidRPr="00C25AC9">
              <w:rPr>
                <w:noProof/>
                <w:webHidden/>
              </w:rPr>
              <w:tab/>
            </w:r>
            <w:r w:rsidR="0014001F" w:rsidRPr="00C25AC9">
              <w:rPr>
                <w:noProof/>
                <w:webHidden/>
              </w:rPr>
              <w:fldChar w:fldCharType="begin"/>
            </w:r>
            <w:r w:rsidR="0014001F" w:rsidRPr="00C25AC9">
              <w:rPr>
                <w:noProof/>
                <w:webHidden/>
              </w:rPr>
              <w:instrText xml:space="preserve"> PAGEREF _Toc93996150 \h </w:instrText>
            </w:r>
            <w:r w:rsidR="0014001F" w:rsidRPr="00C25AC9">
              <w:rPr>
                <w:noProof/>
                <w:webHidden/>
              </w:rPr>
            </w:r>
            <w:r w:rsidR="0014001F" w:rsidRPr="00C25AC9">
              <w:rPr>
                <w:noProof/>
                <w:webHidden/>
              </w:rPr>
              <w:fldChar w:fldCharType="separate"/>
            </w:r>
            <w:r w:rsidR="0014001F" w:rsidRPr="00C25AC9">
              <w:rPr>
                <w:noProof/>
                <w:webHidden/>
              </w:rPr>
              <w:t>9</w:t>
            </w:r>
            <w:r w:rsidR="0014001F" w:rsidRPr="00C25AC9">
              <w:rPr>
                <w:noProof/>
                <w:webHidden/>
              </w:rPr>
              <w:fldChar w:fldCharType="end"/>
            </w:r>
          </w:hyperlink>
        </w:p>
        <w:p w14:paraId="4B924491" w14:textId="3F42DD02" w:rsidR="0014001F" w:rsidRPr="00C25AC9" w:rsidRDefault="00A045A7">
          <w:pPr>
            <w:pStyle w:val="TOC2"/>
            <w:tabs>
              <w:tab w:val="right" w:leader="dot" w:pos="9350"/>
            </w:tabs>
            <w:rPr>
              <w:rFonts w:eastAsiaTheme="minorEastAsia"/>
              <w:noProof/>
              <w:color w:val="auto"/>
              <w:lang w:eastAsia="fr-CA"/>
            </w:rPr>
          </w:pPr>
          <w:hyperlink w:anchor="_Toc93996151" w:history="1">
            <w:r w:rsidR="0014001F" w:rsidRPr="00C25AC9">
              <w:rPr>
                <w:rStyle w:val="Hyperlink"/>
                <w:noProof/>
              </w:rPr>
              <w:t>Autres éléments du plan de 2019-2020</w:t>
            </w:r>
            <w:r w:rsidR="0014001F" w:rsidRPr="00C25AC9">
              <w:rPr>
                <w:noProof/>
                <w:webHidden/>
              </w:rPr>
              <w:tab/>
            </w:r>
            <w:r w:rsidR="0014001F" w:rsidRPr="00C25AC9">
              <w:rPr>
                <w:noProof/>
                <w:webHidden/>
              </w:rPr>
              <w:fldChar w:fldCharType="begin"/>
            </w:r>
            <w:r w:rsidR="0014001F" w:rsidRPr="00C25AC9">
              <w:rPr>
                <w:noProof/>
                <w:webHidden/>
              </w:rPr>
              <w:instrText xml:space="preserve"> PAGEREF _Toc93996151 \h </w:instrText>
            </w:r>
            <w:r w:rsidR="0014001F" w:rsidRPr="00C25AC9">
              <w:rPr>
                <w:noProof/>
                <w:webHidden/>
              </w:rPr>
            </w:r>
            <w:r w:rsidR="0014001F" w:rsidRPr="00C25AC9">
              <w:rPr>
                <w:noProof/>
                <w:webHidden/>
              </w:rPr>
              <w:fldChar w:fldCharType="separate"/>
            </w:r>
            <w:r w:rsidR="0014001F" w:rsidRPr="00C25AC9">
              <w:rPr>
                <w:noProof/>
                <w:webHidden/>
              </w:rPr>
              <w:t>9</w:t>
            </w:r>
            <w:r w:rsidR="0014001F" w:rsidRPr="00C25AC9">
              <w:rPr>
                <w:noProof/>
                <w:webHidden/>
              </w:rPr>
              <w:fldChar w:fldCharType="end"/>
            </w:r>
          </w:hyperlink>
        </w:p>
        <w:p w14:paraId="455D5CBF" w14:textId="1F38AC87" w:rsidR="0014001F" w:rsidRPr="00C25AC9" w:rsidRDefault="00A045A7">
          <w:pPr>
            <w:pStyle w:val="TOC2"/>
            <w:tabs>
              <w:tab w:val="right" w:leader="dot" w:pos="9350"/>
            </w:tabs>
            <w:rPr>
              <w:rFonts w:eastAsiaTheme="minorEastAsia"/>
              <w:noProof/>
              <w:color w:val="auto"/>
              <w:lang w:eastAsia="fr-CA"/>
            </w:rPr>
          </w:pPr>
          <w:hyperlink w:anchor="_Toc93996152" w:history="1">
            <w:r w:rsidR="0014001F" w:rsidRPr="00C25AC9">
              <w:rPr>
                <w:rStyle w:val="Hyperlink"/>
                <w:noProof/>
              </w:rPr>
              <w:t>Nouveaux éléments du plan 2021-2023</w:t>
            </w:r>
            <w:r w:rsidR="0014001F" w:rsidRPr="00C25AC9">
              <w:rPr>
                <w:noProof/>
                <w:webHidden/>
              </w:rPr>
              <w:tab/>
            </w:r>
            <w:r w:rsidR="0014001F" w:rsidRPr="00C25AC9">
              <w:rPr>
                <w:noProof/>
                <w:webHidden/>
              </w:rPr>
              <w:fldChar w:fldCharType="begin"/>
            </w:r>
            <w:r w:rsidR="0014001F" w:rsidRPr="00C25AC9">
              <w:rPr>
                <w:noProof/>
                <w:webHidden/>
              </w:rPr>
              <w:instrText xml:space="preserve"> PAGEREF _Toc93996152 \h </w:instrText>
            </w:r>
            <w:r w:rsidR="0014001F" w:rsidRPr="00C25AC9">
              <w:rPr>
                <w:noProof/>
                <w:webHidden/>
              </w:rPr>
            </w:r>
            <w:r w:rsidR="0014001F" w:rsidRPr="00C25AC9">
              <w:rPr>
                <w:noProof/>
                <w:webHidden/>
              </w:rPr>
              <w:fldChar w:fldCharType="separate"/>
            </w:r>
            <w:r w:rsidR="0014001F" w:rsidRPr="00C25AC9">
              <w:rPr>
                <w:noProof/>
                <w:webHidden/>
              </w:rPr>
              <w:t>10</w:t>
            </w:r>
            <w:r w:rsidR="0014001F" w:rsidRPr="00C25AC9">
              <w:rPr>
                <w:noProof/>
                <w:webHidden/>
              </w:rPr>
              <w:fldChar w:fldCharType="end"/>
            </w:r>
          </w:hyperlink>
        </w:p>
        <w:p w14:paraId="29BBDEB5" w14:textId="74E9A95A" w:rsidR="0014001F" w:rsidRPr="00C25AC9" w:rsidRDefault="00A045A7">
          <w:pPr>
            <w:pStyle w:val="TOC2"/>
            <w:tabs>
              <w:tab w:val="right" w:leader="dot" w:pos="9350"/>
            </w:tabs>
            <w:rPr>
              <w:rFonts w:eastAsiaTheme="minorEastAsia"/>
              <w:noProof/>
              <w:color w:val="auto"/>
              <w:lang w:eastAsia="fr-CA"/>
            </w:rPr>
          </w:pPr>
          <w:hyperlink w:anchor="_Toc93996153" w:history="1">
            <w:r w:rsidR="0014001F" w:rsidRPr="00C25AC9">
              <w:rPr>
                <w:rStyle w:val="Hyperlink"/>
                <w:noProof/>
              </w:rPr>
              <w:t>Outils de développement</w:t>
            </w:r>
            <w:r w:rsidR="0014001F" w:rsidRPr="00C25AC9">
              <w:rPr>
                <w:noProof/>
                <w:webHidden/>
              </w:rPr>
              <w:tab/>
            </w:r>
            <w:r w:rsidR="0014001F" w:rsidRPr="00C25AC9">
              <w:rPr>
                <w:noProof/>
                <w:webHidden/>
              </w:rPr>
              <w:fldChar w:fldCharType="begin"/>
            </w:r>
            <w:r w:rsidR="0014001F" w:rsidRPr="00C25AC9">
              <w:rPr>
                <w:noProof/>
                <w:webHidden/>
              </w:rPr>
              <w:instrText xml:space="preserve"> PAGEREF _Toc93996153 \h </w:instrText>
            </w:r>
            <w:r w:rsidR="0014001F" w:rsidRPr="00C25AC9">
              <w:rPr>
                <w:noProof/>
                <w:webHidden/>
              </w:rPr>
            </w:r>
            <w:r w:rsidR="0014001F" w:rsidRPr="00C25AC9">
              <w:rPr>
                <w:noProof/>
                <w:webHidden/>
              </w:rPr>
              <w:fldChar w:fldCharType="separate"/>
            </w:r>
            <w:r w:rsidR="0014001F" w:rsidRPr="00C25AC9">
              <w:rPr>
                <w:noProof/>
                <w:webHidden/>
              </w:rPr>
              <w:t>15</w:t>
            </w:r>
            <w:r w:rsidR="0014001F" w:rsidRPr="00C25AC9">
              <w:rPr>
                <w:noProof/>
                <w:webHidden/>
              </w:rPr>
              <w:fldChar w:fldCharType="end"/>
            </w:r>
          </w:hyperlink>
        </w:p>
        <w:p w14:paraId="3312891E" w14:textId="275B9EFF" w:rsidR="008C40B6" w:rsidRPr="00C25AC9" w:rsidRDefault="008C40B6">
          <w:r w:rsidRPr="00C25AC9">
            <w:rPr>
              <w:b/>
              <w:bCs/>
              <w:noProof/>
            </w:rPr>
            <w:fldChar w:fldCharType="end"/>
          </w:r>
        </w:p>
      </w:sdtContent>
    </w:sdt>
    <w:p w14:paraId="718B675F" w14:textId="0C09A53F" w:rsidR="00607B4B" w:rsidRPr="00C25AC9" w:rsidRDefault="00607B4B" w:rsidP="00607B4B"/>
    <w:p w14:paraId="69150D91" w14:textId="67B66FE8" w:rsidR="00607B4B" w:rsidRPr="00C25AC9" w:rsidRDefault="00607B4B" w:rsidP="00607B4B"/>
    <w:p w14:paraId="5CEFF743" w14:textId="7CEDB953" w:rsidR="00607B4B" w:rsidRPr="00C25AC9" w:rsidRDefault="00607B4B" w:rsidP="00607B4B"/>
    <w:p w14:paraId="46EBAC3F" w14:textId="5A3BD9E8" w:rsidR="00607B4B" w:rsidRPr="00C25AC9" w:rsidRDefault="00607B4B" w:rsidP="00607B4B"/>
    <w:p w14:paraId="45237E22" w14:textId="7DAACAEB" w:rsidR="00607B4B" w:rsidRPr="00C25AC9" w:rsidRDefault="00607B4B" w:rsidP="00607B4B"/>
    <w:p w14:paraId="1C37A125" w14:textId="1D2DC104" w:rsidR="00607B4B" w:rsidRPr="00C25AC9" w:rsidRDefault="00607B4B" w:rsidP="00607B4B"/>
    <w:p w14:paraId="7F526F3F" w14:textId="1882B7F4" w:rsidR="00607B4B" w:rsidRPr="00C25AC9" w:rsidRDefault="00607B4B" w:rsidP="00607B4B"/>
    <w:p w14:paraId="69D7CD0D" w14:textId="16E25B85" w:rsidR="00607B4B" w:rsidRPr="00C25AC9" w:rsidRDefault="00607B4B" w:rsidP="00607B4B"/>
    <w:p w14:paraId="04DDB119" w14:textId="47DFACE7" w:rsidR="00607B4B" w:rsidRPr="00C25AC9" w:rsidRDefault="00607B4B" w:rsidP="00607B4B"/>
    <w:p w14:paraId="6AF8E2D2" w14:textId="69228860" w:rsidR="00607B4B" w:rsidRPr="00C25AC9" w:rsidRDefault="00607B4B" w:rsidP="00607B4B"/>
    <w:p w14:paraId="6CD6AEE7" w14:textId="0300C091" w:rsidR="00607B4B" w:rsidRPr="00C25AC9" w:rsidRDefault="00607B4B" w:rsidP="00607B4B"/>
    <w:p w14:paraId="4EE83CD6" w14:textId="3E72C67F" w:rsidR="00607B4B" w:rsidRPr="00C25AC9" w:rsidRDefault="00607B4B" w:rsidP="00607B4B"/>
    <w:p w14:paraId="5435BE11" w14:textId="2CC97A67" w:rsidR="00607B4B" w:rsidRPr="00C25AC9" w:rsidRDefault="00607B4B" w:rsidP="00607B4B"/>
    <w:p w14:paraId="43079E9C" w14:textId="50E5F24B" w:rsidR="00607B4B" w:rsidRPr="00C25AC9" w:rsidRDefault="00607B4B" w:rsidP="00607B4B"/>
    <w:p w14:paraId="208CF70C" w14:textId="77777777" w:rsidR="00607B4B" w:rsidRPr="00C25AC9" w:rsidRDefault="00607B4B" w:rsidP="00607B4B"/>
    <w:p w14:paraId="0C47E5D5" w14:textId="4829400F" w:rsidR="00642C42" w:rsidRPr="00C25AC9" w:rsidRDefault="00C40727" w:rsidP="00C40727">
      <w:pPr>
        <w:pStyle w:val="Heading1"/>
      </w:pPr>
      <w:bookmarkStart w:id="1" w:name="_Toc93996144"/>
      <w:r w:rsidRPr="00C25AC9">
        <w:lastRenderedPageBreak/>
        <w:t>Introduction</w:t>
      </w:r>
      <w:bookmarkEnd w:id="1"/>
    </w:p>
    <w:p w14:paraId="671BF106" w14:textId="5C3FB500" w:rsidR="00E02505" w:rsidRPr="00C25AC9" w:rsidRDefault="00E02505" w:rsidP="00C40727">
      <w:pPr>
        <w:spacing w:line="240" w:lineRule="auto"/>
        <w:rPr>
          <w:color w:val="auto"/>
          <w:sz w:val="24"/>
          <w:szCs w:val="24"/>
        </w:rPr>
      </w:pPr>
      <w:r w:rsidRPr="00C25AC9">
        <w:rPr>
          <w:color w:val="auto"/>
          <w:sz w:val="24"/>
          <w:szCs w:val="24"/>
        </w:rPr>
        <w:t>Le plan de recherche et développement de la Commission de la fonction publique</w:t>
      </w:r>
      <w:r w:rsidR="00BB3B09" w:rsidRPr="00C25AC9">
        <w:rPr>
          <w:color w:val="auto"/>
          <w:sz w:val="24"/>
          <w:szCs w:val="24"/>
        </w:rPr>
        <w:t> </w:t>
      </w:r>
      <w:r w:rsidRPr="00C25AC9">
        <w:rPr>
          <w:color w:val="auto"/>
          <w:sz w:val="24"/>
          <w:szCs w:val="24"/>
        </w:rPr>
        <w:t>(CFP) a été élaboré pour décrire les activités de recherche et les activités liées à la recherche qui seront entreprises au cours des deux prochaines années par la Direction des services de données et de l</w:t>
      </w:r>
      <w:r w:rsidR="00C25AC9" w:rsidRPr="00C25AC9">
        <w:rPr>
          <w:color w:val="auto"/>
          <w:sz w:val="24"/>
          <w:szCs w:val="24"/>
        </w:rPr>
        <w:t>’</w:t>
      </w:r>
      <w:r w:rsidRPr="00C25AC9">
        <w:rPr>
          <w:color w:val="auto"/>
          <w:sz w:val="24"/>
          <w:szCs w:val="24"/>
        </w:rPr>
        <w:t>analyse</w:t>
      </w:r>
      <w:r w:rsidR="00BB3B09" w:rsidRPr="00C25AC9">
        <w:rPr>
          <w:color w:val="auto"/>
          <w:sz w:val="24"/>
          <w:szCs w:val="24"/>
        </w:rPr>
        <w:t> </w:t>
      </w:r>
      <w:r w:rsidR="005F066D" w:rsidRPr="00C25AC9">
        <w:rPr>
          <w:color w:val="auto"/>
          <w:sz w:val="24"/>
          <w:szCs w:val="24"/>
        </w:rPr>
        <w:t>(DS</w:t>
      </w:r>
      <w:r w:rsidR="007325D7" w:rsidRPr="00C25AC9">
        <w:rPr>
          <w:color w:val="auto"/>
          <w:sz w:val="24"/>
          <w:szCs w:val="24"/>
        </w:rPr>
        <w:t>DA</w:t>
      </w:r>
      <w:r w:rsidR="005F066D" w:rsidRPr="00C25AC9">
        <w:rPr>
          <w:color w:val="auto"/>
          <w:sz w:val="24"/>
          <w:szCs w:val="24"/>
        </w:rPr>
        <w:t>)</w:t>
      </w:r>
      <w:r w:rsidRPr="00C25AC9">
        <w:rPr>
          <w:color w:val="auto"/>
          <w:sz w:val="24"/>
          <w:szCs w:val="24"/>
        </w:rPr>
        <w:t xml:space="preserve"> du Secteur de la surveillance et des enquêtes</w:t>
      </w:r>
      <w:r w:rsidR="00BB3B09" w:rsidRPr="00C25AC9">
        <w:rPr>
          <w:color w:val="auto"/>
          <w:sz w:val="24"/>
          <w:szCs w:val="24"/>
        </w:rPr>
        <w:t> </w:t>
      </w:r>
      <w:r w:rsidRPr="00C25AC9">
        <w:rPr>
          <w:color w:val="auto"/>
          <w:sz w:val="24"/>
          <w:szCs w:val="24"/>
        </w:rPr>
        <w:t>(SSE) pour l</w:t>
      </w:r>
      <w:r w:rsidR="00C25AC9" w:rsidRPr="00C25AC9">
        <w:rPr>
          <w:color w:val="auto"/>
          <w:sz w:val="24"/>
          <w:szCs w:val="24"/>
        </w:rPr>
        <w:t>’</w:t>
      </w:r>
      <w:r w:rsidRPr="00C25AC9">
        <w:rPr>
          <w:color w:val="auto"/>
          <w:sz w:val="24"/>
          <w:szCs w:val="24"/>
        </w:rPr>
        <w:t>ensemble de la CFP. Aux fins du présent document, la recherche a été définie comme suit</w:t>
      </w:r>
      <w:r w:rsidR="00A4631E" w:rsidRPr="00C25AC9">
        <w:rPr>
          <w:color w:val="auto"/>
          <w:sz w:val="24"/>
          <w:szCs w:val="24"/>
        </w:rPr>
        <w:t> </w:t>
      </w:r>
      <w:r w:rsidRPr="00C25AC9">
        <w:rPr>
          <w:color w:val="auto"/>
          <w:sz w:val="24"/>
          <w:szCs w:val="24"/>
        </w:rPr>
        <w:t>:</w:t>
      </w:r>
    </w:p>
    <w:p w14:paraId="04C83308" w14:textId="70449ECD" w:rsidR="00E02505" w:rsidRPr="00C25AC9" w:rsidRDefault="00E02505" w:rsidP="00C40727">
      <w:pPr>
        <w:spacing w:line="240" w:lineRule="auto"/>
        <w:rPr>
          <w:color w:val="auto"/>
          <w:sz w:val="24"/>
          <w:szCs w:val="24"/>
        </w:rPr>
      </w:pPr>
      <w:r w:rsidRPr="00C25AC9">
        <w:rPr>
          <w:color w:val="auto"/>
          <w:sz w:val="24"/>
          <w:szCs w:val="24"/>
        </w:rPr>
        <w:t>« </w:t>
      </w:r>
      <w:r w:rsidR="000462E6" w:rsidRPr="00C25AC9">
        <w:rPr>
          <w:color w:val="auto"/>
          <w:sz w:val="24"/>
          <w:szCs w:val="24"/>
        </w:rPr>
        <w:t xml:space="preserve">… </w:t>
      </w:r>
      <w:r w:rsidRPr="00C25AC9">
        <w:rPr>
          <w:color w:val="auto"/>
          <w:sz w:val="24"/>
          <w:szCs w:val="24"/>
        </w:rPr>
        <w:t>la création de nouvelles connaissances ou l</w:t>
      </w:r>
      <w:r w:rsidR="00C25AC9" w:rsidRPr="00C25AC9">
        <w:rPr>
          <w:color w:val="auto"/>
          <w:sz w:val="24"/>
          <w:szCs w:val="24"/>
        </w:rPr>
        <w:t>’</w:t>
      </w:r>
      <w:r w:rsidRPr="00C25AC9">
        <w:rPr>
          <w:color w:val="auto"/>
          <w:sz w:val="24"/>
          <w:szCs w:val="24"/>
        </w:rPr>
        <w:t xml:space="preserve">utilisation novatrice des connaissances ou des données existantes </w:t>
      </w:r>
      <w:r w:rsidR="0037355B" w:rsidRPr="00C25AC9">
        <w:rPr>
          <w:color w:val="auto"/>
          <w:sz w:val="24"/>
          <w:szCs w:val="24"/>
        </w:rPr>
        <w:t xml:space="preserve">pour </w:t>
      </w:r>
      <w:r w:rsidRPr="00C25AC9">
        <w:rPr>
          <w:color w:val="auto"/>
          <w:sz w:val="24"/>
          <w:szCs w:val="24"/>
        </w:rPr>
        <w:t>générer de nouveaux concepts, de nouvelles méthodologies et de nouvelles compréhensions. Cela peut inclure la synthèse et l</w:t>
      </w:r>
      <w:r w:rsidR="00C25AC9" w:rsidRPr="00C25AC9">
        <w:rPr>
          <w:color w:val="auto"/>
          <w:sz w:val="24"/>
          <w:szCs w:val="24"/>
        </w:rPr>
        <w:t>’</w:t>
      </w:r>
      <w:r w:rsidRPr="00C25AC9">
        <w:rPr>
          <w:color w:val="auto"/>
          <w:sz w:val="24"/>
          <w:szCs w:val="24"/>
        </w:rPr>
        <w:t>analyse de recherches antérieures qui mènent à la création de nouveaux résultats ou de nouveaux outils</w:t>
      </w:r>
      <w:r w:rsidR="006D73C1" w:rsidRPr="00C25AC9">
        <w:rPr>
          <w:color w:val="auto"/>
          <w:sz w:val="24"/>
          <w:szCs w:val="24"/>
        </w:rPr>
        <w:t>.</w:t>
      </w:r>
      <w:r w:rsidRPr="00C25AC9">
        <w:rPr>
          <w:color w:val="auto"/>
          <w:sz w:val="24"/>
          <w:szCs w:val="24"/>
        </w:rPr>
        <w:t> »</w:t>
      </w:r>
      <w:r w:rsidRPr="00C25AC9">
        <w:rPr>
          <w:color w:val="auto"/>
          <w:sz w:val="24"/>
          <w:szCs w:val="24"/>
          <w:vertAlign w:val="superscript"/>
        </w:rPr>
        <w:footnoteReference w:id="1"/>
      </w:r>
      <w:r w:rsidRPr="00C25AC9">
        <w:rPr>
          <w:color w:val="auto"/>
          <w:sz w:val="24"/>
          <w:szCs w:val="24"/>
        </w:rPr>
        <w:t xml:space="preserve"> </w:t>
      </w:r>
    </w:p>
    <w:p w14:paraId="1ED6124D" w14:textId="2A6603FA" w:rsidR="005F066D" w:rsidRPr="00C25AC9" w:rsidRDefault="005F066D" w:rsidP="00C40727">
      <w:pPr>
        <w:spacing w:line="240" w:lineRule="auto"/>
        <w:rPr>
          <w:color w:val="auto"/>
          <w:sz w:val="24"/>
          <w:szCs w:val="24"/>
        </w:rPr>
      </w:pPr>
      <w:r w:rsidRPr="00C25AC9">
        <w:rPr>
          <w:color w:val="auto"/>
          <w:sz w:val="24"/>
          <w:szCs w:val="24"/>
        </w:rPr>
        <w:t>La recherche joue un rôle important au sein de la CFP. Non seulement appuie-t-elle la surveillance du système de dotation en fournissant un aperçu des résultats à l</w:t>
      </w:r>
      <w:r w:rsidR="00C25AC9" w:rsidRPr="00C25AC9">
        <w:rPr>
          <w:color w:val="auto"/>
          <w:sz w:val="24"/>
          <w:szCs w:val="24"/>
        </w:rPr>
        <w:t>’</w:t>
      </w:r>
      <w:r w:rsidRPr="00C25AC9">
        <w:rPr>
          <w:color w:val="auto"/>
          <w:sz w:val="24"/>
          <w:szCs w:val="24"/>
        </w:rPr>
        <w:t>échelle du système, mais elle favorise également l</w:t>
      </w:r>
      <w:r w:rsidR="00C25AC9" w:rsidRPr="00C25AC9">
        <w:rPr>
          <w:color w:val="auto"/>
          <w:sz w:val="24"/>
          <w:szCs w:val="24"/>
        </w:rPr>
        <w:t>’</w:t>
      </w:r>
      <w:r w:rsidRPr="00C25AC9">
        <w:rPr>
          <w:color w:val="auto"/>
          <w:sz w:val="24"/>
          <w:szCs w:val="24"/>
        </w:rPr>
        <w:t>apprentissage, éclaire l</w:t>
      </w:r>
      <w:r w:rsidR="00C25AC9" w:rsidRPr="00C25AC9">
        <w:rPr>
          <w:color w:val="auto"/>
          <w:sz w:val="24"/>
          <w:szCs w:val="24"/>
        </w:rPr>
        <w:t>’</w:t>
      </w:r>
      <w:r w:rsidRPr="00C25AC9">
        <w:rPr>
          <w:color w:val="auto"/>
          <w:sz w:val="24"/>
          <w:szCs w:val="24"/>
        </w:rPr>
        <w:t>élaboration et l</w:t>
      </w:r>
      <w:r w:rsidR="00C25AC9" w:rsidRPr="00C25AC9">
        <w:rPr>
          <w:color w:val="auto"/>
          <w:sz w:val="24"/>
          <w:szCs w:val="24"/>
        </w:rPr>
        <w:t>’</w:t>
      </w:r>
      <w:r w:rsidRPr="00C25AC9">
        <w:rPr>
          <w:color w:val="auto"/>
          <w:sz w:val="24"/>
          <w:szCs w:val="24"/>
        </w:rPr>
        <w:t>adaptation des politiques de dotation et fournit des preuves analytiques afin de promouvoir l</w:t>
      </w:r>
      <w:r w:rsidR="00C25AC9" w:rsidRPr="00C25AC9">
        <w:rPr>
          <w:color w:val="auto"/>
          <w:sz w:val="24"/>
          <w:szCs w:val="24"/>
        </w:rPr>
        <w:t>’</w:t>
      </w:r>
      <w:r w:rsidRPr="00C25AC9">
        <w:rPr>
          <w:color w:val="auto"/>
          <w:sz w:val="24"/>
          <w:szCs w:val="24"/>
        </w:rPr>
        <w:t>innovation dans le système de dotation.</w:t>
      </w:r>
    </w:p>
    <w:p w14:paraId="76989C79" w14:textId="77777777" w:rsidR="005F066D" w:rsidRPr="00C25AC9" w:rsidRDefault="005F066D" w:rsidP="00C40727">
      <w:pPr>
        <w:spacing w:line="240" w:lineRule="auto"/>
        <w:rPr>
          <w:color w:val="auto"/>
          <w:sz w:val="24"/>
          <w:szCs w:val="24"/>
        </w:rPr>
      </w:pPr>
      <w:r w:rsidRPr="00C25AC9">
        <w:rPr>
          <w:color w:val="auto"/>
          <w:sz w:val="24"/>
          <w:szCs w:val="24"/>
        </w:rPr>
        <w:t xml:space="preserve">Par conséquent, le programme de recherche de la DSDA vise à :  </w:t>
      </w:r>
    </w:p>
    <w:p w14:paraId="50C75AA1" w14:textId="51917C9A" w:rsidR="00D80F07" w:rsidRPr="00C25AC9" w:rsidRDefault="00D80F07" w:rsidP="00D80F07">
      <w:pPr>
        <w:pStyle w:val="ListParagraph"/>
        <w:numPr>
          <w:ilvl w:val="0"/>
          <w:numId w:val="8"/>
        </w:numPr>
        <w:spacing w:line="240" w:lineRule="auto"/>
        <w:rPr>
          <w:color w:val="auto"/>
          <w:sz w:val="24"/>
          <w:szCs w:val="24"/>
        </w:rPr>
      </w:pPr>
      <w:r w:rsidRPr="00C25AC9">
        <w:rPr>
          <w:color w:val="auto"/>
          <w:sz w:val="24"/>
          <w:szCs w:val="24"/>
        </w:rPr>
        <w:t xml:space="preserve">fournir des renseignements et des observations sur les résultats stratégiques attendus; </w:t>
      </w:r>
    </w:p>
    <w:p w14:paraId="0AECC07D" w14:textId="4600F09C" w:rsidR="00D80F07" w:rsidRPr="00C25AC9" w:rsidRDefault="00D80F07" w:rsidP="00D80F07">
      <w:pPr>
        <w:pStyle w:val="ListParagraph"/>
        <w:numPr>
          <w:ilvl w:val="0"/>
          <w:numId w:val="8"/>
        </w:numPr>
        <w:spacing w:line="240" w:lineRule="auto"/>
        <w:rPr>
          <w:color w:val="auto"/>
          <w:sz w:val="24"/>
          <w:szCs w:val="24"/>
        </w:rPr>
      </w:pPr>
      <w:r w:rsidRPr="00C25AC9">
        <w:rPr>
          <w:color w:val="auto"/>
          <w:sz w:val="24"/>
          <w:szCs w:val="24"/>
        </w:rPr>
        <w:t xml:space="preserve">soutenir la détermination rapide des risques; </w:t>
      </w:r>
    </w:p>
    <w:p w14:paraId="63DA7FC8" w14:textId="12923594" w:rsidR="00D80F07" w:rsidRPr="00C25AC9" w:rsidRDefault="00D80F07" w:rsidP="00D80F07">
      <w:pPr>
        <w:pStyle w:val="ListParagraph"/>
        <w:numPr>
          <w:ilvl w:val="0"/>
          <w:numId w:val="8"/>
        </w:numPr>
        <w:spacing w:line="240" w:lineRule="auto"/>
        <w:rPr>
          <w:color w:val="auto"/>
          <w:sz w:val="24"/>
          <w:szCs w:val="24"/>
        </w:rPr>
      </w:pPr>
      <w:r w:rsidRPr="00C25AC9">
        <w:rPr>
          <w:color w:val="auto"/>
          <w:sz w:val="24"/>
          <w:szCs w:val="24"/>
        </w:rPr>
        <w:t xml:space="preserve">permettre des interventions opportunes visant à améliorer les performances globales du système. </w:t>
      </w:r>
    </w:p>
    <w:p w14:paraId="6DFACF1D" w14:textId="51E1379D" w:rsidR="00D80F07" w:rsidRPr="00C25AC9" w:rsidRDefault="00D80F07" w:rsidP="00C40727">
      <w:pPr>
        <w:spacing w:line="240" w:lineRule="auto"/>
        <w:rPr>
          <w:color w:val="auto"/>
          <w:sz w:val="24"/>
          <w:szCs w:val="24"/>
        </w:rPr>
      </w:pPr>
      <w:r w:rsidRPr="00C25AC9">
        <w:rPr>
          <w:color w:val="auto"/>
          <w:sz w:val="24"/>
          <w:szCs w:val="24"/>
        </w:rPr>
        <w:t>Les activités de recherche de la DS</w:t>
      </w:r>
      <w:r w:rsidR="000462E6" w:rsidRPr="00C25AC9">
        <w:rPr>
          <w:color w:val="auto"/>
          <w:sz w:val="24"/>
          <w:szCs w:val="24"/>
        </w:rPr>
        <w:t>D</w:t>
      </w:r>
      <w:r w:rsidRPr="00C25AC9">
        <w:rPr>
          <w:color w:val="auto"/>
          <w:sz w:val="24"/>
          <w:szCs w:val="24"/>
        </w:rPr>
        <w:t xml:space="preserve">A peuvent être regroupées autour de trois grands thèmes : </w:t>
      </w:r>
    </w:p>
    <w:p w14:paraId="04745328" w14:textId="4A85BC9C" w:rsidR="00D80F07" w:rsidRPr="00C25AC9" w:rsidRDefault="00D80F07" w:rsidP="00D80F07">
      <w:pPr>
        <w:pStyle w:val="ListParagraph"/>
        <w:numPr>
          <w:ilvl w:val="0"/>
          <w:numId w:val="9"/>
        </w:numPr>
        <w:spacing w:line="240" w:lineRule="auto"/>
        <w:rPr>
          <w:color w:val="auto"/>
          <w:sz w:val="24"/>
          <w:szCs w:val="24"/>
        </w:rPr>
      </w:pPr>
      <w:r w:rsidRPr="00C25AC9">
        <w:rPr>
          <w:color w:val="auto"/>
          <w:sz w:val="24"/>
          <w:szCs w:val="24"/>
        </w:rPr>
        <w:t>la diversité et l</w:t>
      </w:r>
      <w:r w:rsidR="00C25AC9" w:rsidRPr="00C25AC9">
        <w:rPr>
          <w:color w:val="auto"/>
          <w:sz w:val="24"/>
          <w:szCs w:val="24"/>
        </w:rPr>
        <w:t>’</w:t>
      </w:r>
      <w:r w:rsidRPr="00C25AC9">
        <w:rPr>
          <w:color w:val="auto"/>
          <w:sz w:val="24"/>
          <w:szCs w:val="24"/>
        </w:rPr>
        <w:t>inclusion;</w:t>
      </w:r>
    </w:p>
    <w:p w14:paraId="7DA6E943" w14:textId="5D0AE63B" w:rsidR="00D80F07" w:rsidRPr="00C25AC9" w:rsidRDefault="00D80F07" w:rsidP="00D80F07">
      <w:pPr>
        <w:pStyle w:val="ListParagraph"/>
        <w:numPr>
          <w:ilvl w:val="0"/>
          <w:numId w:val="9"/>
        </w:numPr>
        <w:spacing w:line="240" w:lineRule="auto"/>
        <w:rPr>
          <w:color w:val="auto"/>
          <w:sz w:val="24"/>
          <w:szCs w:val="24"/>
        </w:rPr>
      </w:pPr>
      <w:r w:rsidRPr="00C25AC9">
        <w:rPr>
          <w:color w:val="auto"/>
          <w:sz w:val="24"/>
          <w:szCs w:val="24"/>
        </w:rPr>
        <w:t xml:space="preserve">les modifications apportées à la </w:t>
      </w:r>
      <w:r w:rsidRPr="00C25AC9">
        <w:rPr>
          <w:i/>
          <w:iCs/>
          <w:color w:val="auto"/>
          <w:sz w:val="24"/>
          <w:szCs w:val="24"/>
        </w:rPr>
        <w:t>Loi sur l</w:t>
      </w:r>
      <w:r w:rsidR="00C25AC9" w:rsidRPr="00C25AC9">
        <w:rPr>
          <w:i/>
          <w:iCs/>
          <w:color w:val="auto"/>
          <w:sz w:val="24"/>
          <w:szCs w:val="24"/>
        </w:rPr>
        <w:t>’</w:t>
      </w:r>
      <w:r w:rsidRPr="00C25AC9">
        <w:rPr>
          <w:i/>
          <w:iCs/>
          <w:color w:val="auto"/>
          <w:sz w:val="24"/>
          <w:szCs w:val="24"/>
        </w:rPr>
        <w:t>emploi dans la fonction publique</w:t>
      </w:r>
      <w:r w:rsidR="00BB3B09" w:rsidRPr="00C25AC9">
        <w:rPr>
          <w:i/>
          <w:iCs/>
          <w:color w:val="auto"/>
          <w:sz w:val="24"/>
          <w:szCs w:val="24"/>
        </w:rPr>
        <w:t> </w:t>
      </w:r>
      <w:r w:rsidRPr="00C25AC9">
        <w:rPr>
          <w:color w:val="auto"/>
          <w:sz w:val="24"/>
          <w:szCs w:val="24"/>
        </w:rPr>
        <w:t xml:space="preserve">(LEFP); </w:t>
      </w:r>
    </w:p>
    <w:p w14:paraId="6451E482" w14:textId="48C57107" w:rsidR="00D80F07" w:rsidRPr="00C25AC9" w:rsidRDefault="00D80F07" w:rsidP="00D80F07">
      <w:pPr>
        <w:pStyle w:val="ListParagraph"/>
        <w:numPr>
          <w:ilvl w:val="0"/>
          <w:numId w:val="9"/>
        </w:numPr>
        <w:spacing w:line="240" w:lineRule="auto"/>
        <w:rPr>
          <w:color w:val="auto"/>
          <w:sz w:val="24"/>
          <w:szCs w:val="24"/>
        </w:rPr>
      </w:pPr>
      <w:r w:rsidRPr="00C25AC9">
        <w:rPr>
          <w:color w:val="auto"/>
          <w:sz w:val="24"/>
          <w:szCs w:val="24"/>
        </w:rPr>
        <w:t>les conséquences du télétravail sur le recrutement.</w:t>
      </w:r>
    </w:p>
    <w:p w14:paraId="0FAEBA2E" w14:textId="77777777" w:rsidR="00D80F07" w:rsidRPr="00C25AC9" w:rsidRDefault="008C40B6" w:rsidP="008C40B6">
      <w:pPr>
        <w:pStyle w:val="Heading1"/>
      </w:pPr>
      <w:bookmarkStart w:id="2" w:name="_Toc93996145"/>
      <w:r w:rsidRPr="00C25AC9">
        <w:t>C</w:t>
      </w:r>
      <w:r w:rsidR="00D80F07" w:rsidRPr="00C25AC9">
        <w:t>ontexte actuel</w:t>
      </w:r>
      <w:bookmarkEnd w:id="2"/>
    </w:p>
    <w:p w14:paraId="4F4245BF" w14:textId="56FED014" w:rsidR="00266433" w:rsidRPr="00C25AC9" w:rsidRDefault="00266433" w:rsidP="00266433">
      <w:pPr>
        <w:pStyle w:val="NoSpacing"/>
        <w:rPr>
          <w:rFonts w:asciiTheme="minorHAnsi" w:eastAsiaTheme="minorHAnsi" w:hAnsiTheme="minorHAnsi"/>
          <w:sz w:val="24"/>
          <w:szCs w:val="24"/>
          <w:lang w:val="fr-CA"/>
        </w:rPr>
      </w:pPr>
      <w:r w:rsidRPr="00C25AC9">
        <w:rPr>
          <w:rFonts w:asciiTheme="minorHAnsi" w:eastAsiaTheme="minorHAnsi" w:hAnsiTheme="minorHAnsi"/>
          <w:sz w:val="24"/>
          <w:szCs w:val="24"/>
          <w:lang w:val="fr-CA"/>
        </w:rPr>
        <w:t xml:space="preserve">La vision de la CFP est de bâtir une fonction publique moderne, juste et impartiale, et elle a pour mandat de promouvoir et de protéger les nominations fondées sur le mérite et la </w:t>
      </w:r>
      <w:r w:rsidRPr="00C25AC9">
        <w:rPr>
          <w:rFonts w:asciiTheme="minorHAnsi" w:eastAsiaTheme="minorHAnsi" w:hAnsiTheme="minorHAnsi"/>
          <w:sz w:val="24"/>
          <w:szCs w:val="24"/>
          <w:lang w:val="fr-CA"/>
        </w:rPr>
        <w:lastRenderedPageBreak/>
        <w:t>nature non partisane de la fonction publique en collaboration avec d</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autres intervenants. Elle remplit son mandat en fournissant des conseils stratégiques, des services de dotation et d</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évaluation novateurs, de même qu</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 xml:space="preserve">en exerçant une surveillance efficace. </w:t>
      </w:r>
    </w:p>
    <w:p w14:paraId="0BB53C91" w14:textId="7348B87F" w:rsidR="00266433" w:rsidRPr="00C25AC9" w:rsidRDefault="00266433" w:rsidP="00266433">
      <w:pPr>
        <w:pStyle w:val="NoSpacing"/>
        <w:rPr>
          <w:rFonts w:asciiTheme="minorHAnsi" w:eastAsiaTheme="minorHAnsi" w:hAnsiTheme="minorHAnsi"/>
          <w:sz w:val="24"/>
          <w:szCs w:val="24"/>
          <w:lang w:val="fr-CA"/>
        </w:rPr>
      </w:pPr>
      <w:r w:rsidRPr="00C25AC9">
        <w:rPr>
          <w:rFonts w:asciiTheme="minorHAnsi" w:eastAsiaTheme="minorHAnsi" w:hAnsiTheme="minorHAnsi"/>
          <w:sz w:val="24"/>
          <w:szCs w:val="24"/>
          <w:lang w:val="fr-CA"/>
        </w:rPr>
        <w:t>Le plan d</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activités intégré de la CFP définit clairement les priorités de la CFP pour qu</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elle puisse s</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acquitter de ses responsabilités fondamentales. Ces priorités sont les suivantes :</w:t>
      </w:r>
    </w:p>
    <w:p w14:paraId="55F0D6CC" w14:textId="77777777" w:rsidR="00266433" w:rsidRPr="00C25AC9" w:rsidRDefault="00266433" w:rsidP="00266433">
      <w:pPr>
        <w:pStyle w:val="NoSpacing"/>
        <w:rPr>
          <w:rFonts w:asciiTheme="minorHAnsi" w:eastAsiaTheme="minorHAnsi" w:hAnsiTheme="minorHAnsi"/>
          <w:sz w:val="24"/>
          <w:szCs w:val="24"/>
          <w:lang w:val="fr-CA"/>
        </w:rPr>
      </w:pPr>
    </w:p>
    <w:p w14:paraId="7631B912" w14:textId="2FEC1D3D" w:rsidR="00266433" w:rsidRPr="00C25AC9" w:rsidRDefault="00266433" w:rsidP="00266433">
      <w:pPr>
        <w:pStyle w:val="ListParagraph"/>
        <w:keepLines w:val="0"/>
        <w:numPr>
          <w:ilvl w:val="0"/>
          <w:numId w:val="10"/>
        </w:numPr>
        <w:spacing w:after="200" w:line="276" w:lineRule="auto"/>
        <w:rPr>
          <w:color w:val="auto"/>
          <w:sz w:val="24"/>
          <w:szCs w:val="24"/>
        </w:rPr>
      </w:pPr>
      <w:r w:rsidRPr="00C25AC9">
        <w:rPr>
          <w:color w:val="auto"/>
          <w:sz w:val="24"/>
          <w:szCs w:val="24"/>
        </w:rPr>
        <w:t>Assurer un leadership et permettre aux ministères et aux organismes d</w:t>
      </w:r>
      <w:r w:rsidR="00C25AC9" w:rsidRPr="00C25AC9">
        <w:rPr>
          <w:color w:val="auto"/>
          <w:sz w:val="24"/>
          <w:szCs w:val="24"/>
        </w:rPr>
        <w:t>’</w:t>
      </w:r>
      <w:r w:rsidRPr="00C25AC9">
        <w:rPr>
          <w:color w:val="auto"/>
          <w:sz w:val="24"/>
          <w:szCs w:val="24"/>
        </w:rPr>
        <w:t xml:space="preserve">embaucher efficacement un effectif diversifié et compétent. </w:t>
      </w:r>
    </w:p>
    <w:p w14:paraId="6C95D35C" w14:textId="4698EA11" w:rsidR="00266433" w:rsidRPr="00C25AC9" w:rsidRDefault="00266433" w:rsidP="00266433">
      <w:pPr>
        <w:pStyle w:val="ListParagraph"/>
        <w:keepLines w:val="0"/>
        <w:numPr>
          <w:ilvl w:val="0"/>
          <w:numId w:val="10"/>
        </w:numPr>
        <w:spacing w:after="200" w:line="276" w:lineRule="auto"/>
        <w:rPr>
          <w:color w:val="auto"/>
          <w:sz w:val="24"/>
          <w:szCs w:val="24"/>
        </w:rPr>
      </w:pPr>
      <w:r w:rsidRPr="00C25AC9">
        <w:rPr>
          <w:color w:val="auto"/>
          <w:sz w:val="24"/>
          <w:szCs w:val="24"/>
        </w:rPr>
        <w:t>Promouvoir et protéger l</w:t>
      </w:r>
      <w:r w:rsidR="00C25AC9" w:rsidRPr="00C25AC9">
        <w:rPr>
          <w:color w:val="auto"/>
          <w:sz w:val="24"/>
          <w:szCs w:val="24"/>
        </w:rPr>
        <w:t>’</w:t>
      </w:r>
      <w:r w:rsidRPr="00C25AC9">
        <w:rPr>
          <w:color w:val="auto"/>
          <w:sz w:val="24"/>
          <w:szCs w:val="24"/>
        </w:rPr>
        <w:t>intégrité du système de dotation et la nature non partisane de la fonction publique fédérale.</w:t>
      </w:r>
    </w:p>
    <w:p w14:paraId="4ADA58F2" w14:textId="0DAC13B8" w:rsidR="00266433" w:rsidRPr="00C25AC9" w:rsidRDefault="00266433" w:rsidP="00266433">
      <w:pPr>
        <w:pStyle w:val="ListParagraph"/>
        <w:keepLines w:val="0"/>
        <w:numPr>
          <w:ilvl w:val="0"/>
          <w:numId w:val="10"/>
        </w:numPr>
        <w:spacing w:after="200" w:line="276" w:lineRule="auto"/>
        <w:rPr>
          <w:color w:val="auto"/>
          <w:sz w:val="24"/>
          <w:szCs w:val="24"/>
        </w:rPr>
      </w:pPr>
      <w:r w:rsidRPr="00C25AC9">
        <w:rPr>
          <w:color w:val="auto"/>
          <w:sz w:val="24"/>
          <w:szCs w:val="24"/>
        </w:rPr>
        <w:t>Fournir des programmes, des services et des systèmes qui contribuent à l</w:t>
      </w:r>
      <w:r w:rsidR="00C25AC9" w:rsidRPr="00C25AC9">
        <w:rPr>
          <w:color w:val="auto"/>
          <w:sz w:val="24"/>
          <w:szCs w:val="24"/>
        </w:rPr>
        <w:t>’</w:t>
      </w:r>
      <w:r w:rsidRPr="00C25AC9">
        <w:rPr>
          <w:color w:val="auto"/>
          <w:sz w:val="24"/>
          <w:szCs w:val="24"/>
        </w:rPr>
        <w:t>embauche d</w:t>
      </w:r>
      <w:r w:rsidR="00C25AC9" w:rsidRPr="00C25AC9">
        <w:rPr>
          <w:color w:val="auto"/>
          <w:sz w:val="24"/>
          <w:szCs w:val="24"/>
        </w:rPr>
        <w:t>’</w:t>
      </w:r>
      <w:r w:rsidRPr="00C25AC9">
        <w:rPr>
          <w:color w:val="auto"/>
          <w:sz w:val="24"/>
          <w:szCs w:val="24"/>
        </w:rPr>
        <w:t>un effectif compétent, diversifié et professionnel.</w:t>
      </w:r>
    </w:p>
    <w:p w14:paraId="6971FA10" w14:textId="65E47899" w:rsidR="00266433" w:rsidRPr="00C25AC9" w:rsidRDefault="00266433" w:rsidP="00266433">
      <w:pPr>
        <w:pStyle w:val="ListParagraph"/>
        <w:keepLines w:val="0"/>
        <w:numPr>
          <w:ilvl w:val="0"/>
          <w:numId w:val="10"/>
        </w:numPr>
        <w:spacing w:after="200" w:line="276" w:lineRule="auto"/>
        <w:rPr>
          <w:color w:val="auto"/>
          <w:sz w:val="24"/>
          <w:szCs w:val="24"/>
        </w:rPr>
      </w:pPr>
      <w:r w:rsidRPr="00C25AC9">
        <w:rPr>
          <w:color w:val="auto"/>
          <w:sz w:val="24"/>
          <w:szCs w:val="24"/>
        </w:rPr>
        <w:t>Soutenir l</w:t>
      </w:r>
      <w:r w:rsidR="00C25AC9" w:rsidRPr="00C25AC9">
        <w:rPr>
          <w:color w:val="auto"/>
          <w:sz w:val="24"/>
          <w:szCs w:val="24"/>
        </w:rPr>
        <w:t>’</w:t>
      </w:r>
      <w:r w:rsidRPr="00C25AC9">
        <w:rPr>
          <w:color w:val="auto"/>
          <w:sz w:val="24"/>
          <w:szCs w:val="24"/>
        </w:rPr>
        <w:t xml:space="preserve">effectif de la CFP en favorisant un milieu de travail sain, moderne, diversifié et inclusif. </w:t>
      </w:r>
    </w:p>
    <w:p w14:paraId="4E764726" w14:textId="2A7AC4FD" w:rsidR="00266433" w:rsidRPr="00C25AC9" w:rsidRDefault="00266433" w:rsidP="000211B2">
      <w:pPr>
        <w:pStyle w:val="NoSpacing"/>
        <w:rPr>
          <w:rFonts w:asciiTheme="minorHAnsi" w:eastAsiaTheme="minorHAnsi" w:hAnsiTheme="minorHAnsi"/>
          <w:sz w:val="24"/>
          <w:szCs w:val="24"/>
          <w:lang w:val="fr-CA"/>
        </w:rPr>
      </w:pPr>
      <w:r w:rsidRPr="00C25AC9">
        <w:rPr>
          <w:rFonts w:asciiTheme="minorHAnsi" w:eastAsiaTheme="minorHAnsi" w:hAnsiTheme="minorHAnsi"/>
          <w:sz w:val="24"/>
          <w:szCs w:val="24"/>
          <w:lang w:val="fr-CA"/>
        </w:rPr>
        <w:t>En avril 2016, la CFP a instauré une nouvelle structure de nomination. Cette nouvelle orientation en matière de dotation</w:t>
      </w:r>
      <w:r w:rsidR="00BB3B09" w:rsidRPr="00C25AC9">
        <w:rPr>
          <w:rFonts w:asciiTheme="minorHAnsi" w:eastAsiaTheme="minorHAnsi" w:hAnsiTheme="minorHAnsi"/>
          <w:sz w:val="24"/>
          <w:szCs w:val="24"/>
          <w:lang w:val="fr-CA"/>
        </w:rPr>
        <w:t> </w:t>
      </w:r>
      <w:r w:rsidRPr="00C25AC9">
        <w:rPr>
          <w:rFonts w:asciiTheme="minorHAnsi" w:eastAsiaTheme="minorHAnsi" w:hAnsiTheme="minorHAnsi"/>
          <w:sz w:val="24"/>
          <w:szCs w:val="24"/>
          <w:lang w:val="fr-CA"/>
        </w:rPr>
        <w:t>(NOD) reconnaît la nécessité pour les organisations d</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adapter leurs stratégies de dotation à leur environnement opérationnel unique. En passant d</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 xml:space="preserve">un système fondé sur des règles à un système qui encourage la discrétion des gestionnaires, la CFP a simplifié son cadre de nomination et a offert une plus grande latitude aux organisations pour adapter leurs stratégies de ressourcement à leurs besoins organisationnels uniques. </w:t>
      </w:r>
    </w:p>
    <w:p w14:paraId="1631BC1C" w14:textId="77777777" w:rsidR="00266433" w:rsidRPr="00C25AC9" w:rsidRDefault="00266433" w:rsidP="000211B2">
      <w:pPr>
        <w:pStyle w:val="NoSpacing"/>
        <w:rPr>
          <w:rFonts w:asciiTheme="minorHAnsi" w:eastAsiaTheme="minorHAnsi" w:hAnsiTheme="minorHAnsi"/>
          <w:sz w:val="24"/>
          <w:szCs w:val="24"/>
          <w:lang w:val="fr-CA"/>
        </w:rPr>
      </w:pPr>
    </w:p>
    <w:p w14:paraId="694C024E" w14:textId="09951BB6" w:rsidR="00266433" w:rsidRPr="00C25AC9" w:rsidRDefault="00266433" w:rsidP="004B67FC">
      <w:pPr>
        <w:pStyle w:val="NoSpacing"/>
        <w:rPr>
          <w:rFonts w:asciiTheme="minorHAnsi" w:eastAsiaTheme="minorHAnsi" w:hAnsiTheme="minorHAnsi"/>
          <w:sz w:val="24"/>
          <w:szCs w:val="24"/>
          <w:lang w:val="fr-CA"/>
        </w:rPr>
      </w:pPr>
      <w:r w:rsidRPr="00C25AC9">
        <w:rPr>
          <w:rFonts w:asciiTheme="minorHAnsi" w:eastAsiaTheme="minorHAnsi" w:hAnsiTheme="minorHAnsi"/>
          <w:sz w:val="24"/>
          <w:szCs w:val="24"/>
          <w:lang w:val="fr-CA"/>
        </w:rPr>
        <w:t>Le 22</w:t>
      </w:r>
      <w:r w:rsidR="00C25AC9" w:rsidRPr="00C25AC9">
        <w:rPr>
          <w:rFonts w:asciiTheme="minorHAnsi" w:eastAsiaTheme="minorHAnsi" w:hAnsiTheme="minorHAnsi"/>
          <w:sz w:val="24"/>
          <w:szCs w:val="24"/>
          <w:lang w:val="fr-CA"/>
        </w:rPr>
        <w:t> </w:t>
      </w:r>
      <w:r w:rsidRPr="00C25AC9">
        <w:rPr>
          <w:rFonts w:asciiTheme="minorHAnsi" w:eastAsiaTheme="minorHAnsi" w:hAnsiTheme="minorHAnsi"/>
          <w:sz w:val="24"/>
          <w:szCs w:val="24"/>
          <w:lang w:val="fr-CA"/>
        </w:rPr>
        <w:t xml:space="preserve">janvier 2021, le greffier du Conseil privé a lancé un </w:t>
      </w:r>
      <w:hyperlink r:id="rId11" w:history="1">
        <w:r w:rsidRPr="00C25AC9">
          <w:rPr>
            <w:rStyle w:val="Hyperlink"/>
            <w:rFonts w:asciiTheme="minorHAnsi" w:eastAsiaTheme="minorHAnsi" w:hAnsiTheme="minorHAnsi"/>
            <w:b/>
            <w:bCs/>
            <w:color w:val="auto"/>
            <w:sz w:val="24"/>
            <w:szCs w:val="24"/>
            <w:lang w:val="fr-CA"/>
          </w:rPr>
          <w:t>Appel à l</w:t>
        </w:r>
        <w:r w:rsidR="00C25AC9" w:rsidRPr="00C25AC9">
          <w:rPr>
            <w:rStyle w:val="Hyperlink"/>
            <w:rFonts w:asciiTheme="minorHAnsi" w:eastAsiaTheme="minorHAnsi" w:hAnsiTheme="minorHAnsi"/>
            <w:b/>
            <w:bCs/>
            <w:color w:val="auto"/>
            <w:sz w:val="24"/>
            <w:szCs w:val="24"/>
            <w:lang w:val="fr-CA"/>
          </w:rPr>
          <w:t>’</w:t>
        </w:r>
        <w:r w:rsidRPr="00C25AC9">
          <w:rPr>
            <w:rStyle w:val="Hyperlink"/>
            <w:rFonts w:asciiTheme="minorHAnsi" w:eastAsiaTheme="minorHAnsi" w:hAnsiTheme="minorHAnsi"/>
            <w:b/>
            <w:bCs/>
            <w:color w:val="auto"/>
            <w:sz w:val="24"/>
            <w:szCs w:val="24"/>
            <w:lang w:val="fr-CA"/>
          </w:rPr>
          <w:t>action en faveur de la lutte contre le racisme, de l</w:t>
        </w:r>
        <w:r w:rsidR="00C25AC9" w:rsidRPr="00C25AC9">
          <w:rPr>
            <w:rStyle w:val="Hyperlink"/>
            <w:rFonts w:asciiTheme="minorHAnsi" w:eastAsiaTheme="minorHAnsi" w:hAnsiTheme="minorHAnsi"/>
            <w:b/>
            <w:bCs/>
            <w:color w:val="auto"/>
            <w:sz w:val="24"/>
            <w:szCs w:val="24"/>
            <w:lang w:val="fr-CA"/>
          </w:rPr>
          <w:t>’</w:t>
        </w:r>
        <w:r w:rsidRPr="00C25AC9">
          <w:rPr>
            <w:rStyle w:val="Hyperlink"/>
            <w:rFonts w:asciiTheme="minorHAnsi" w:eastAsiaTheme="minorHAnsi" w:hAnsiTheme="minorHAnsi"/>
            <w:b/>
            <w:bCs/>
            <w:color w:val="auto"/>
            <w:sz w:val="24"/>
            <w:szCs w:val="24"/>
            <w:lang w:val="fr-CA"/>
          </w:rPr>
          <w:t>équité et de l</w:t>
        </w:r>
        <w:r w:rsidR="00C25AC9" w:rsidRPr="00C25AC9">
          <w:rPr>
            <w:rStyle w:val="Hyperlink"/>
            <w:rFonts w:asciiTheme="minorHAnsi" w:eastAsiaTheme="minorHAnsi" w:hAnsiTheme="minorHAnsi"/>
            <w:b/>
            <w:bCs/>
            <w:color w:val="auto"/>
            <w:sz w:val="24"/>
            <w:szCs w:val="24"/>
            <w:lang w:val="fr-CA"/>
          </w:rPr>
          <w:t>’</w:t>
        </w:r>
        <w:r w:rsidRPr="00C25AC9">
          <w:rPr>
            <w:rStyle w:val="Hyperlink"/>
            <w:rFonts w:asciiTheme="minorHAnsi" w:eastAsiaTheme="minorHAnsi" w:hAnsiTheme="minorHAnsi"/>
            <w:b/>
            <w:bCs/>
            <w:color w:val="auto"/>
            <w:sz w:val="24"/>
            <w:szCs w:val="24"/>
            <w:lang w:val="fr-CA"/>
          </w:rPr>
          <w:t>inclusion dans la fonction publique fédérale</w:t>
        </w:r>
      </w:hyperlink>
      <w:r w:rsidRPr="00C25AC9">
        <w:rPr>
          <w:rFonts w:asciiTheme="minorHAnsi" w:eastAsiaTheme="minorHAnsi" w:hAnsiTheme="minorHAnsi"/>
          <w:sz w:val="24"/>
          <w:szCs w:val="24"/>
          <w:lang w:val="fr-CA"/>
        </w:rPr>
        <w:t>.</w:t>
      </w:r>
      <w:r w:rsidRPr="00C25AC9">
        <w:rPr>
          <w:lang w:val="fr-CA"/>
        </w:rPr>
        <w:t xml:space="preserve"> </w:t>
      </w:r>
      <w:r w:rsidRPr="00C25AC9">
        <w:rPr>
          <w:rFonts w:asciiTheme="minorHAnsi" w:eastAsiaTheme="minorHAnsi" w:hAnsiTheme="minorHAnsi"/>
          <w:sz w:val="24"/>
          <w:szCs w:val="24"/>
          <w:lang w:val="fr-CA"/>
        </w:rPr>
        <w:t>Cette publication exhorte la fonction publique fédérale à « ... prendre des mesures que nous savons capables d</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amoindrir de façon tangible les obstacles et les désavantages. Un dirigeant, c</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est une personne qui contribue activement à mettre fin à toute forme de discrimination et d</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oppression, en s</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interrogeant consciemment et constamment sur ses propres préjugés et en créant un milieu où les employés se sentent habilités et ne craignent pas de prendre la parole s</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ils sont témoins d</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obstacles à l</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équité et à l</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inclusion. L</w:t>
      </w:r>
      <w:r w:rsidR="00C25AC9" w:rsidRPr="00C25AC9">
        <w:rPr>
          <w:rFonts w:asciiTheme="minorHAnsi" w:eastAsiaTheme="minorHAnsi" w:hAnsiTheme="minorHAnsi"/>
          <w:sz w:val="24"/>
          <w:szCs w:val="24"/>
          <w:lang w:val="fr-CA"/>
        </w:rPr>
        <w:t>’</w:t>
      </w:r>
      <w:r w:rsidRPr="00C25AC9">
        <w:rPr>
          <w:rFonts w:asciiTheme="minorHAnsi" w:eastAsiaTheme="minorHAnsi" w:hAnsiTheme="minorHAnsi"/>
          <w:sz w:val="24"/>
          <w:szCs w:val="24"/>
          <w:lang w:val="fr-CA"/>
        </w:rPr>
        <w:t>inaction est inacceptable</w:t>
      </w:r>
      <w:r w:rsidR="004820CF" w:rsidRPr="00C25AC9">
        <w:rPr>
          <w:rStyle w:val="FootnoteReference"/>
          <w:rFonts w:asciiTheme="minorHAnsi" w:eastAsiaTheme="minorHAnsi" w:hAnsiTheme="minorHAnsi"/>
          <w:sz w:val="24"/>
          <w:szCs w:val="24"/>
          <w:lang w:val="fr-CA"/>
        </w:rPr>
        <w:footnoteReference w:id="2"/>
      </w:r>
      <w:r w:rsidRPr="00C25AC9">
        <w:rPr>
          <w:rFonts w:asciiTheme="minorHAnsi" w:eastAsiaTheme="minorHAnsi" w:hAnsiTheme="minorHAnsi"/>
          <w:sz w:val="24"/>
          <w:szCs w:val="24"/>
          <w:lang w:val="fr-CA"/>
        </w:rPr>
        <w:t> »</w:t>
      </w:r>
      <w:r w:rsidR="004820CF" w:rsidRPr="00C25AC9">
        <w:rPr>
          <w:rFonts w:asciiTheme="minorHAnsi" w:eastAsiaTheme="minorHAnsi" w:hAnsiTheme="minorHAnsi"/>
          <w:sz w:val="24"/>
          <w:szCs w:val="24"/>
          <w:lang w:val="fr-CA"/>
        </w:rPr>
        <w:t>.</w:t>
      </w:r>
    </w:p>
    <w:p w14:paraId="6289C286" w14:textId="77777777" w:rsidR="00266433" w:rsidRPr="00C25AC9" w:rsidRDefault="00266433" w:rsidP="004B67FC">
      <w:pPr>
        <w:pStyle w:val="NoSpacing"/>
        <w:rPr>
          <w:rFonts w:asciiTheme="minorHAnsi" w:eastAsiaTheme="minorHAnsi" w:hAnsiTheme="minorHAnsi"/>
          <w:sz w:val="24"/>
          <w:szCs w:val="24"/>
          <w:lang w:val="fr-CA"/>
        </w:rPr>
      </w:pPr>
    </w:p>
    <w:p w14:paraId="789C61BA" w14:textId="77777777" w:rsidR="003F7C36" w:rsidRPr="00C25AC9" w:rsidRDefault="003F7C36" w:rsidP="008C40B6">
      <w:pPr>
        <w:pStyle w:val="Heading1"/>
      </w:pPr>
      <w:bookmarkStart w:id="3" w:name="_Toc93996146"/>
      <w:r w:rsidRPr="00C25AC9">
        <w:lastRenderedPageBreak/>
        <w:t>Recherche et modèle de surveillance de la CFP</w:t>
      </w:r>
      <w:bookmarkEnd w:id="3"/>
    </w:p>
    <w:p w14:paraId="222D90F1" w14:textId="15B0A3AF" w:rsidR="003F7C36" w:rsidRPr="00C25AC9" w:rsidRDefault="003F7C36" w:rsidP="008C40B6">
      <w:pPr>
        <w:rPr>
          <w:color w:val="auto"/>
          <w:sz w:val="24"/>
          <w:szCs w:val="24"/>
        </w:rPr>
      </w:pPr>
      <w:r w:rsidRPr="00C25AC9">
        <w:rPr>
          <w:color w:val="auto"/>
          <w:sz w:val="24"/>
          <w:szCs w:val="24"/>
        </w:rPr>
        <w:t>La surveillance du modèle de dotation par la CFP se compose de plusieurs activités interdépendantes, notamment la vérification, les enquêtes, la méthodologie d</w:t>
      </w:r>
      <w:r w:rsidR="00C25AC9" w:rsidRPr="00C25AC9">
        <w:rPr>
          <w:color w:val="auto"/>
          <w:sz w:val="24"/>
          <w:szCs w:val="24"/>
        </w:rPr>
        <w:t>’</w:t>
      </w:r>
      <w:r w:rsidRPr="00C25AC9">
        <w:rPr>
          <w:color w:val="auto"/>
          <w:sz w:val="24"/>
          <w:szCs w:val="24"/>
        </w:rPr>
        <w:t>enquête et la recherche. Ce modèle est axé sur trois objectifs fondamentaux, à savoir (voir l</w:t>
      </w:r>
      <w:r w:rsidR="00C25AC9" w:rsidRPr="00C25AC9">
        <w:rPr>
          <w:color w:val="auto"/>
          <w:sz w:val="24"/>
          <w:szCs w:val="24"/>
        </w:rPr>
        <w:t>’</w:t>
      </w:r>
      <w:r w:rsidRPr="00C25AC9">
        <w:rPr>
          <w:color w:val="auto"/>
          <w:sz w:val="24"/>
          <w:szCs w:val="24"/>
        </w:rPr>
        <w:t>annexe</w:t>
      </w:r>
      <w:r w:rsidR="00BB3B09" w:rsidRPr="00C25AC9">
        <w:rPr>
          <w:color w:val="auto"/>
          <w:sz w:val="24"/>
          <w:szCs w:val="24"/>
        </w:rPr>
        <w:t> </w:t>
      </w:r>
      <w:r w:rsidRPr="00C25AC9">
        <w:rPr>
          <w:color w:val="auto"/>
          <w:sz w:val="24"/>
          <w:szCs w:val="24"/>
        </w:rPr>
        <w:t xml:space="preserve">A pour plus de détails) : </w:t>
      </w:r>
    </w:p>
    <w:p w14:paraId="48B77DD6" w14:textId="664922DF" w:rsidR="003F7C36" w:rsidRPr="00C25AC9" w:rsidRDefault="003F7C36" w:rsidP="003F7C36">
      <w:pPr>
        <w:pStyle w:val="ListParagraph"/>
        <w:keepLines w:val="0"/>
        <w:numPr>
          <w:ilvl w:val="0"/>
          <w:numId w:val="11"/>
        </w:numPr>
        <w:spacing w:after="200" w:line="276" w:lineRule="auto"/>
        <w:rPr>
          <w:color w:val="auto"/>
          <w:sz w:val="24"/>
          <w:szCs w:val="24"/>
        </w:rPr>
      </w:pPr>
      <w:r w:rsidRPr="00C25AC9">
        <w:rPr>
          <w:color w:val="auto"/>
          <w:sz w:val="24"/>
          <w:szCs w:val="24"/>
        </w:rPr>
        <w:t>soutenir un système de dotation délégué et simplifié;</w:t>
      </w:r>
    </w:p>
    <w:p w14:paraId="42635076" w14:textId="21D3C394" w:rsidR="003F7C36" w:rsidRPr="00C25AC9" w:rsidRDefault="003F7C36" w:rsidP="003F7C36">
      <w:pPr>
        <w:pStyle w:val="ListParagraph"/>
        <w:keepLines w:val="0"/>
        <w:numPr>
          <w:ilvl w:val="0"/>
          <w:numId w:val="11"/>
        </w:numPr>
        <w:spacing w:after="200" w:line="276" w:lineRule="auto"/>
        <w:rPr>
          <w:color w:val="auto"/>
          <w:sz w:val="24"/>
          <w:szCs w:val="24"/>
        </w:rPr>
      </w:pPr>
      <w:r w:rsidRPr="00C25AC9">
        <w:rPr>
          <w:color w:val="auto"/>
          <w:sz w:val="24"/>
          <w:szCs w:val="24"/>
        </w:rPr>
        <w:t>partager la responsabilité de l</w:t>
      </w:r>
      <w:r w:rsidR="00C25AC9" w:rsidRPr="00C25AC9">
        <w:rPr>
          <w:color w:val="auto"/>
          <w:sz w:val="24"/>
          <w:szCs w:val="24"/>
        </w:rPr>
        <w:t>’</w:t>
      </w:r>
      <w:r w:rsidRPr="00C25AC9">
        <w:rPr>
          <w:color w:val="auto"/>
          <w:sz w:val="24"/>
          <w:szCs w:val="24"/>
        </w:rPr>
        <w:t>intégrité du système de dotation et de l</w:t>
      </w:r>
      <w:r w:rsidR="00C25AC9" w:rsidRPr="00C25AC9">
        <w:rPr>
          <w:color w:val="auto"/>
          <w:sz w:val="24"/>
          <w:szCs w:val="24"/>
        </w:rPr>
        <w:t>’</w:t>
      </w:r>
      <w:r w:rsidRPr="00C25AC9">
        <w:rPr>
          <w:color w:val="auto"/>
          <w:sz w:val="24"/>
          <w:szCs w:val="24"/>
        </w:rPr>
        <w:t xml:space="preserve">impartialité; </w:t>
      </w:r>
    </w:p>
    <w:p w14:paraId="399C0F82" w14:textId="0C0EBE66" w:rsidR="003F7C36" w:rsidRPr="00C25AC9" w:rsidRDefault="003F7C36" w:rsidP="003F7C36">
      <w:pPr>
        <w:pStyle w:val="ListParagraph"/>
        <w:keepLines w:val="0"/>
        <w:numPr>
          <w:ilvl w:val="0"/>
          <w:numId w:val="11"/>
        </w:numPr>
        <w:spacing w:after="200" w:line="276" w:lineRule="auto"/>
        <w:rPr>
          <w:color w:val="auto"/>
          <w:sz w:val="24"/>
          <w:szCs w:val="24"/>
        </w:rPr>
      </w:pPr>
      <w:r w:rsidRPr="00C25AC9">
        <w:rPr>
          <w:color w:val="auto"/>
          <w:sz w:val="24"/>
          <w:szCs w:val="24"/>
        </w:rPr>
        <w:t>apporter rapidement des améliorations à l</w:t>
      </w:r>
      <w:r w:rsidR="00C25AC9" w:rsidRPr="00C25AC9">
        <w:rPr>
          <w:color w:val="auto"/>
          <w:sz w:val="24"/>
          <w:szCs w:val="24"/>
        </w:rPr>
        <w:t>’</w:t>
      </w:r>
      <w:r w:rsidRPr="00C25AC9">
        <w:rPr>
          <w:color w:val="auto"/>
          <w:sz w:val="24"/>
          <w:szCs w:val="24"/>
        </w:rPr>
        <w:t>ensemble du système.</w:t>
      </w:r>
    </w:p>
    <w:p w14:paraId="0E13F586" w14:textId="3947992A" w:rsidR="003F7C36" w:rsidRPr="00C25AC9" w:rsidRDefault="003F7C36" w:rsidP="008C40B6">
      <w:pPr>
        <w:rPr>
          <w:color w:val="auto"/>
          <w:sz w:val="24"/>
          <w:szCs w:val="24"/>
        </w:rPr>
      </w:pPr>
      <w:r w:rsidRPr="00C25AC9">
        <w:rPr>
          <w:color w:val="auto"/>
          <w:sz w:val="24"/>
          <w:szCs w:val="24"/>
        </w:rPr>
        <w:t>Le service de recherche entretient une relation de soutien et de collaboration avec chacun des éléments du modèle de surveillance et les autres secteurs de la CFP en fournissant des données et des renseignements probants sur des sujets d</w:t>
      </w:r>
      <w:r w:rsidR="00C25AC9" w:rsidRPr="00C25AC9">
        <w:rPr>
          <w:color w:val="auto"/>
          <w:sz w:val="24"/>
          <w:szCs w:val="24"/>
        </w:rPr>
        <w:t>’</w:t>
      </w:r>
      <w:r w:rsidRPr="00C25AC9">
        <w:rPr>
          <w:color w:val="auto"/>
          <w:sz w:val="24"/>
          <w:szCs w:val="24"/>
        </w:rPr>
        <w:t xml:space="preserve">intérêt qui aident à orienter et à soutenir le travail. En outre, les travaux et les résultats de la surveillance dans des domaines comme la vérification fournissent également des renseignements sur des sujets de recherche potentiels. </w:t>
      </w:r>
    </w:p>
    <w:p w14:paraId="299FD5B1" w14:textId="77777777" w:rsidR="003F7C36" w:rsidRPr="00C25AC9" w:rsidRDefault="003F7C36" w:rsidP="008C40B6">
      <w:pPr>
        <w:pStyle w:val="Heading1"/>
      </w:pPr>
      <w:bookmarkStart w:id="4" w:name="_Toc93996147"/>
      <w:r w:rsidRPr="00C25AC9">
        <w:t>Capacité de recherche pour 2021-2023</w:t>
      </w:r>
      <w:bookmarkEnd w:id="4"/>
    </w:p>
    <w:p w14:paraId="530A7A78" w14:textId="6330525E" w:rsidR="003F7C36" w:rsidRPr="00C25AC9" w:rsidRDefault="003F7C36" w:rsidP="008C40B6">
      <w:pPr>
        <w:rPr>
          <w:color w:val="auto"/>
          <w:sz w:val="24"/>
          <w:szCs w:val="24"/>
        </w:rPr>
      </w:pPr>
      <w:r w:rsidRPr="00C25AC9">
        <w:rPr>
          <w:color w:val="auto"/>
          <w:sz w:val="24"/>
          <w:szCs w:val="24"/>
        </w:rPr>
        <w:t>Le principal groupe chargé de la recherche au sein du SSE est la Direction des services et de l</w:t>
      </w:r>
      <w:r w:rsidR="00C25AC9" w:rsidRPr="00C25AC9">
        <w:rPr>
          <w:color w:val="auto"/>
          <w:sz w:val="24"/>
          <w:szCs w:val="24"/>
        </w:rPr>
        <w:t>’</w:t>
      </w:r>
      <w:r w:rsidRPr="00C25AC9">
        <w:rPr>
          <w:color w:val="auto"/>
          <w:sz w:val="24"/>
          <w:szCs w:val="24"/>
        </w:rPr>
        <w:t>analyse des données</w:t>
      </w:r>
      <w:r w:rsidR="00BB3B09" w:rsidRPr="00C25AC9">
        <w:rPr>
          <w:color w:val="auto"/>
          <w:sz w:val="24"/>
          <w:szCs w:val="24"/>
        </w:rPr>
        <w:t> </w:t>
      </w:r>
      <w:r w:rsidRPr="00C25AC9">
        <w:rPr>
          <w:color w:val="auto"/>
          <w:sz w:val="24"/>
          <w:szCs w:val="24"/>
        </w:rPr>
        <w:t>(DS</w:t>
      </w:r>
      <w:r w:rsidR="008855E4" w:rsidRPr="00C25AC9">
        <w:rPr>
          <w:color w:val="auto"/>
          <w:sz w:val="24"/>
          <w:szCs w:val="24"/>
        </w:rPr>
        <w:t>DA</w:t>
      </w:r>
      <w:r w:rsidRPr="00C25AC9">
        <w:rPr>
          <w:color w:val="auto"/>
          <w:sz w:val="24"/>
          <w:szCs w:val="24"/>
        </w:rPr>
        <w:t>). Étant donné qu</w:t>
      </w:r>
      <w:r w:rsidR="00C25AC9" w:rsidRPr="00C25AC9">
        <w:rPr>
          <w:color w:val="auto"/>
          <w:sz w:val="24"/>
          <w:szCs w:val="24"/>
        </w:rPr>
        <w:t>’</w:t>
      </w:r>
      <w:r w:rsidRPr="00C25AC9">
        <w:rPr>
          <w:color w:val="auto"/>
          <w:sz w:val="24"/>
          <w:szCs w:val="24"/>
        </w:rPr>
        <w:t>une part importante des ressources de la DSAD est consacrée aux activités quotidiennes (enquêtes, travaux de développement, rapports, gestion de données, demandes ponctuelles d</w:t>
      </w:r>
      <w:r w:rsidR="00C25AC9" w:rsidRPr="00C25AC9">
        <w:rPr>
          <w:color w:val="auto"/>
          <w:sz w:val="24"/>
          <w:szCs w:val="24"/>
        </w:rPr>
        <w:t>’</w:t>
      </w:r>
      <w:r w:rsidRPr="00C25AC9">
        <w:rPr>
          <w:color w:val="auto"/>
          <w:sz w:val="24"/>
          <w:szCs w:val="24"/>
        </w:rPr>
        <w:t>analyse de données et de services liés aux données), le plan de recherche et de développement doit également prévoir des imprévus et faire preuve d</w:t>
      </w:r>
      <w:r w:rsidR="00C25AC9" w:rsidRPr="00C25AC9">
        <w:rPr>
          <w:color w:val="auto"/>
          <w:sz w:val="24"/>
          <w:szCs w:val="24"/>
        </w:rPr>
        <w:t>’</w:t>
      </w:r>
      <w:r w:rsidRPr="00C25AC9">
        <w:rPr>
          <w:color w:val="auto"/>
          <w:sz w:val="24"/>
          <w:szCs w:val="24"/>
        </w:rPr>
        <w:t xml:space="preserve">une certaine souplesse pour répondre aux besoins émergents et aux futurs besoins en analyse. Par conséquent, les engagements en matière de recherche doivent correspondre à la capacité disponible. </w:t>
      </w:r>
    </w:p>
    <w:p w14:paraId="6028BC7F" w14:textId="286C86FA" w:rsidR="003F7C36" w:rsidRPr="00C25AC9" w:rsidRDefault="003F7C36" w:rsidP="008C40B6">
      <w:pPr>
        <w:rPr>
          <w:color w:val="auto"/>
          <w:sz w:val="24"/>
          <w:szCs w:val="24"/>
        </w:rPr>
      </w:pPr>
      <w:r w:rsidRPr="00C25AC9">
        <w:rPr>
          <w:color w:val="auto"/>
          <w:sz w:val="24"/>
          <w:szCs w:val="24"/>
        </w:rPr>
        <w:t>Comme ce fut le cas pour le plan de recherche 2019</w:t>
      </w:r>
      <w:r w:rsidR="00BB3B09" w:rsidRPr="00C25AC9">
        <w:rPr>
          <w:color w:val="auto"/>
          <w:sz w:val="24"/>
          <w:szCs w:val="24"/>
        </w:rPr>
        <w:noBreakHyphen/>
      </w:r>
      <w:r w:rsidRPr="00C25AC9">
        <w:rPr>
          <w:color w:val="auto"/>
          <w:sz w:val="24"/>
          <w:szCs w:val="24"/>
        </w:rPr>
        <w:t>2021, l</w:t>
      </w:r>
      <w:r w:rsidR="00C25AC9" w:rsidRPr="00C25AC9">
        <w:rPr>
          <w:color w:val="auto"/>
          <w:sz w:val="24"/>
          <w:szCs w:val="24"/>
        </w:rPr>
        <w:t>’</w:t>
      </w:r>
      <w:r w:rsidRPr="00C25AC9">
        <w:rPr>
          <w:color w:val="auto"/>
          <w:sz w:val="24"/>
          <w:szCs w:val="24"/>
        </w:rPr>
        <w:t>accent sera mis sur la mobilisation et la consultation des intervenants du début à la fin de chaque projet afin de s</w:t>
      </w:r>
      <w:r w:rsidR="00C25AC9" w:rsidRPr="00C25AC9">
        <w:rPr>
          <w:color w:val="auto"/>
          <w:sz w:val="24"/>
          <w:szCs w:val="24"/>
        </w:rPr>
        <w:t>’</w:t>
      </w:r>
      <w:r w:rsidRPr="00C25AC9">
        <w:rPr>
          <w:color w:val="auto"/>
          <w:sz w:val="24"/>
          <w:szCs w:val="24"/>
        </w:rPr>
        <w:t>assurer que la recherche est alignée sur les priorités de la CFP. Par conséquent, en tenant compte du fait que les projets de recherche s</w:t>
      </w:r>
      <w:r w:rsidR="00C25AC9" w:rsidRPr="00C25AC9">
        <w:rPr>
          <w:color w:val="auto"/>
          <w:sz w:val="24"/>
          <w:szCs w:val="24"/>
        </w:rPr>
        <w:t>’</w:t>
      </w:r>
      <w:r w:rsidRPr="00C25AC9">
        <w:rPr>
          <w:color w:val="auto"/>
          <w:sz w:val="24"/>
          <w:szCs w:val="24"/>
        </w:rPr>
        <w:t>étendent souvent sur plus d</w:t>
      </w:r>
      <w:r w:rsidR="00C25AC9" w:rsidRPr="00C25AC9">
        <w:rPr>
          <w:color w:val="auto"/>
          <w:sz w:val="24"/>
          <w:szCs w:val="24"/>
        </w:rPr>
        <w:t>’</w:t>
      </w:r>
      <w:r w:rsidRPr="00C25AC9">
        <w:rPr>
          <w:color w:val="auto"/>
          <w:sz w:val="24"/>
          <w:szCs w:val="24"/>
        </w:rPr>
        <w:t>un exercice, nous proposons à nouveau un plan biennal couvrant les exercices 2021</w:t>
      </w:r>
      <w:r w:rsidR="00C25AC9" w:rsidRPr="00C25AC9">
        <w:rPr>
          <w:color w:val="auto"/>
          <w:sz w:val="24"/>
          <w:szCs w:val="24"/>
        </w:rPr>
        <w:noBreakHyphen/>
      </w:r>
      <w:r w:rsidRPr="00C25AC9">
        <w:rPr>
          <w:color w:val="auto"/>
          <w:sz w:val="24"/>
          <w:szCs w:val="24"/>
        </w:rPr>
        <w:t>2022 et 2022</w:t>
      </w:r>
      <w:r w:rsidR="00C25AC9" w:rsidRPr="00C25AC9">
        <w:rPr>
          <w:color w:val="auto"/>
          <w:sz w:val="24"/>
          <w:szCs w:val="24"/>
        </w:rPr>
        <w:noBreakHyphen/>
      </w:r>
      <w:r w:rsidRPr="00C25AC9">
        <w:rPr>
          <w:color w:val="auto"/>
          <w:sz w:val="24"/>
          <w:szCs w:val="24"/>
        </w:rPr>
        <w:t>2023. Le plan sera réexaminé et mis à jour l</w:t>
      </w:r>
      <w:r w:rsidR="00C25AC9" w:rsidRPr="00C25AC9">
        <w:rPr>
          <w:color w:val="auto"/>
          <w:sz w:val="24"/>
          <w:szCs w:val="24"/>
        </w:rPr>
        <w:t>’</w:t>
      </w:r>
      <w:r w:rsidRPr="00C25AC9">
        <w:rPr>
          <w:color w:val="auto"/>
          <w:sz w:val="24"/>
          <w:szCs w:val="24"/>
        </w:rPr>
        <w:t>année prochaine.</w:t>
      </w:r>
    </w:p>
    <w:p w14:paraId="65F6B341" w14:textId="219EA8E3" w:rsidR="007B3768" w:rsidRPr="00C25AC9" w:rsidRDefault="007B3768" w:rsidP="007B3768">
      <w:pPr>
        <w:rPr>
          <w:color w:val="auto"/>
          <w:sz w:val="24"/>
          <w:szCs w:val="24"/>
        </w:rPr>
      </w:pPr>
      <w:r w:rsidRPr="00C25AC9">
        <w:rPr>
          <w:color w:val="auto"/>
          <w:sz w:val="24"/>
          <w:szCs w:val="24"/>
        </w:rPr>
        <w:lastRenderedPageBreak/>
        <w:t>Bien qu</w:t>
      </w:r>
      <w:r w:rsidR="00C25AC9" w:rsidRPr="00C25AC9">
        <w:rPr>
          <w:color w:val="auto"/>
          <w:sz w:val="24"/>
          <w:szCs w:val="24"/>
        </w:rPr>
        <w:t>’</w:t>
      </w:r>
      <w:r w:rsidRPr="00C25AC9">
        <w:rPr>
          <w:color w:val="auto"/>
          <w:sz w:val="24"/>
          <w:szCs w:val="24"/>
        </w:rPr>
        <w:t>il soit important de veiller à ce que les projets répondent aux préoccupations des intervenants internes et externes de la CFP en matière de recherche, la DSDA reconnaît que les projets de recherche novateurs peuvent ne pas toujours répondre à des besoins ou à des intérêts préexistants, mais plutôt à des besoins à venir. L</w:t>
      </w:r>
      <w:r w:rsidR="00C25AC9" w:rsidRPr="00C25AC9">
        <w:rPr>
          <w:color w:val="auto"/>
          <w:sz w:val="24"/>
          <w:szCs w:val="24"/>
        </w:rPr>
        <w:t>’</w:t>
      </w:r>
      <w:r w:rsidRPr="00C25AC9">
        <w:rPr>
          <w:color w:val="auto"/>
          <w:sz w:val="24"/>
          <w:szCs w:val="24"/>
        </w:rPr>
        <w:t>innovation peut prendre de nombreuses formes, notamment en offrant de nouveaux outils qui fournissent aux gestionnaires d</w:t>
      </w:r>
      <w:r w:rsidR="00C25AC9" w:rsidRPr="00C25AC9">
        <w:rPr>
          <w:color w:val="auto"/>
          <w:sz w:val="24"/>
          <w:szCs w:val="24"/>
        </w:rPr>
        <w:t>’</w:t>
      </w:r>
      <w:r w:rsidRPr="00C25AC9">
        <w:rPr>
          <w:color w:val="auto"/>
          <w:sz w:val="24"/>
          <w:szCs w:val="24"/>
        </w:rPr>
        <w:t>embauche des renseignements uniques sur la démographie et la diversité. En participant à des recherches novatrices, la DSDA s</w:t>
      </w:r>
      <w:r w:rsidR="00C25AC9" w:rsidRPr="00C25AC9">
        <w:rPr>
          <w:color w:val="auto"/>
          <w:sz w:val="24"/>
          <w:szCs w:val="24"/>
        </w:rPr>
        <w:t>’</w:t>
      </w:r>
      <w:r w:rsidRPr="00C25AC9">
        <w:rPr>
          <w:color w:val="auto"/>
          <w:sz w:val="24"/>
          <w:szCs w:val="24"/>
        </w:rPr>
        <w:t>exposera sans doute davantage au risque, puisque la relation entre l</w:t>
      </w:r>
      <w:r w:rsidR="00C25AC9" w:rsidRPr="00C25AC9">
        <w:rPr>
          <w:color w:val="auto"/>
          <w:sz w:val="24"/>
          <w:szCs w:val="24"/>
        </w:rPr>
        <w:t>’</w:t>
      </w:r>
      <w:r w:rsidRPr="00C25AC9">
        <w:rPr>
          <w:color w:val="auto"/>
          <w:sz w:val="24"/>
          <w:szCs w:val="24"/>
        </w:rPr>
        <w:t>effort déployé et les résultats obtenus est moins prévisible. En gérant les risques identifiés et en se concentrant sur les résultats ainsi que sur l</w:t>
      </w:r>
      <w:r w:rsidR="00C25AC9" w:rsidRPr="00C25AC9">
        <w:rPr>
          <w:color w:val="auto"/>
          <w:sz w:val="24"/>
          <w:szCs w:val="24"/>
        </w:rPr>
        <w:t>’</w:t>
      </w:r>
      <w:r w:rsidRPr="00C25AC9">
        <w:rPr>
          <w:color w:val="auto"/>
          <w:sz w:val="24"/>
          <w:szCs w:val="24"/>
        </w:rPr>
        <w:t>apprentissage, la DSDA sera en mesure de maximiser les avantages découlant de son engagement à l</w:t>
      </w:r>
      <w:r w:rsidR="00C25AC9" w:rsidRPr="00C25AC9">
        <w:rPr>
          <w:color w:val="auto"/>
          <w:sz w:val="24"/>
          <w:szCs w:val="24"/>
        </w:rPr>
        <w:t>’</w:t>
      </w:r>
      <w:r w:rsidRPr="00C25AC9">
        <w:rPr>
          <w:color w:val="auto"/>
          <w:sz w:val="24"/>
          <w:szCs w:val="24"/>
        </w:rPr>
        <w:t>égard de la recherche novatrice.</w:t>
      </w:r>
    </w:p>
    <w:p w14:paraId="4D699A3F" w14:textId="5BB8FD62" w:rsidR="008C40B6" w:rsidRPr="00C25AC9" w:rsidRDefault="001B1702" w:rsidP="008C40B6">
      <w:pPr>
        <w:pStyle w:val="Heading1"/>
      </w:pPr>
      <w:bookmarkStart w:id="5" w:name="_Toc93996148"/>
      <w:r w:rsidRPr="00C25AC9">
        <w:t>Consultations et gouvernance</w:t>
      </w:r>
      <w:bookmarkEnd w:id="5"/>
    </w:p>
    <w:p w14:paraId="69A2B0AB" w14:textId="2183FF66" w:rsidR="001B1702" w:rsidRPr="00C25AC9" w:rsidRDefault="001B1702" w:rsidP="001B1702">
      <w:pPr>
        <w:rPr>
          <w:color w:val="auto"/>
          <w:sz w:val="24"/>
          <w:szCs w:val="24"/>
        </w:rPr>
      </w:pPr>
      <w:r w:rsidRPr="00C25AC9">
        <w:rPr>
          <w:color w:val="auto"/>
          <w:sz w:val="24"/>
          <w:szCs w:val="24"/>
        </w:rPr>
        <w:t>La mise en place d</w:t>
      </w:r>
      <w:r w:rsidR="00C25AC9" w:rsidRPr="00C25AC9">
        <w:rPr>
          <w:color w:val="auto"/>
          <w:sz w:val="24"/>
          <w:szCs w:val="24"/>
        </w:rPr>
        <w:t>’</w:t>
      </w:r>
      <w:r w:rsidRPr="00C25AC9">
        <w:rPr>
          <w:color w:val="auto"/>
          <w:sz w:val="24"/>
          <w:szCs w:val="24"/>
        </w:rPr>
        <w:t>un programme de recherche et la promotion d</w:t>
      </w:r>
      <w:r w:rsidR="00C25AC9" w:rsidRPr="00C25AC9">
        <w:rPr>
          <w:color w:val="auto"/>
          <w:sz w:val="24"/>
          <w:szCs w:val="24"/>
        </w:rPr>
        <w:t>’</w:t>
      </w:r>
      <w:r w:rsidRPr="00C25AC9">
        <w:rPr>
          <w:color w:val="auto"/>
          <w:sz w:val="24"/>
          <w:szCs w:val="24"/>
        </w:rPr>
        <w:t>une culture fondée sur des données probantes à la CFP sont le résultat d</w:t>
      </w:r>
      <w:r w:rsidR="00C25AC9" w:rsidRPr="00C25AC9">
        <w:rPr>
          <w:color w:val="auto"/>
          <w:sz w:val="24"/>
          <w:szCs w:val="24"/>
        </w:rPr>
        <w:t>’</w:t>
      </w:r>
      <w:r w:rsidRPr="00C25AC9">
        <w:rPr>
          <w:color w:val="auto"/>
          <w:sz w:val="24"/>
          <w:szCs w:val="24"/>
        </w:rPr>
        <w:t>un dialogue productif avec les différents secteurs. Afin de déterminer les th</w:t>
      </w:r>
      <w:r w:rsidR="00D159D3" w:rsidRPr="00C25AC9">
        <w:rPr>
          <w:color w:val="auto"/>
          <w:sz w:val="24"/>
          <w:szCs w:val="24"/>
        </w:rPr>
        <w:t xml:space="preserve">èmes </w:t>
      </w:r>
      <w:r w:rsidRPr="00C25AC9">
        <w:rPr>
          <w:color w:val="auto"/>
          <w:sz w:val="24"/>
          <w:szCs w:val="24"/>
        </w:rPr>
        <w:t>qui seront proposés et de mieux cerner les intérêts et les priorités de la CFP au chapitre de la recherche, la DSDA a mené des consultations auprès des employés de la CFP en diffusant un message dans Le Point et en organisant des séances individuelles avec les principaux intervenants à l</w:t>
      </w:r>
      <w:r w:rsidR="00C25AC9" w:rsidRPr="00C25AC9">
        <w:rPr>
          <w:color w:val="auto"/>
          <w:sz w:val="24"/>
          <w:szCs w:val="24"/>
        </w:rPr>
        <w:t>’</w:t>
      </w:r>
      <w:r w:rsidRPr="00C25AC9">
        <w:rPr>
          <w:color w:val="auto"/>
          <w:sz w:val="24"/>
          <w:szCs w:val="24"/>
        </w:rPr>
        <w:t>interne. Des intervenants de l</w:t>
      </w:r>
      <w:r w:rsidR="00C25AC9" w:rsidRPr="00C25AC9">
        <w:rPr>
          <w:color w:val="auto"/>
          <w:sz w:val="24"/>
          <w:szCs w:val="24"/>
        </w:rPr>
        <w:t>’</w:t>
      </w:r>
      <w:r w:rsidRPr="00C25AC9">
        <w:rPr>
          <w:color w:val="auto"/>
          <w:sz w:val="24"/>
          <w:szCs w:val="24"/>
        </w:rPr>
        <w:t>extérieur ont également été consultés dans le cadre de l</w:t>
      </w:r>
      <w:r w:rsidR="00C25AC9" w:rsidRPr="00C25AC9">
        <w:rPr>
          <w:color w:val="auto"/>
          <w:sz w:val="24"/>
          <w:szCs w:val="24"/>
        </w:rPr>
        <w:t>’</w:t>
      </w:r>
      <w:r w:rsidRPr="00C25AC9">
        <w:rPr>
          <w:color w:val="auto"/>
          <w:sz w:val="24"/>
          <w:szCs w:val="24"/>
        </w:rPr>
        <w:t>élaboration du plan de recherche et de développement 2021</w:t>
      </w:r>
      <w:r w:rsidR="00BB3B09" w:rsidRPr="00C25AC9">
        <w:rPr>
          <w:color w:val="auto"/>
          <w:sz w:val="24"/>
          <w:szCs w:val="24"/>
        </w:rPr>
        <w:noBreakHyphen/>
      </w:r>
      <w:r w:rsidRPr="00C25AC9">
        <w:rPr>
          <w:color w:val="auto"/>
          <w:sz w:val="24"/>
          <w:szCs w:val="24"/>
        </w:rPr>
        <w:t>2023 de la CFP, notamment le Bureau du dirigeant principal des ressources humaines</w:t>
      </w:r>
      <w:r w:rsidR="00BB3B09" w:rsidRPr="00C25AC9">
        <w:rPr>
          <w:color w:val="auto"/>
          <w:sz w:val="24"/>
          <w:szCs w:val="24"/>
        </w:rPr>
        <w:t> </w:t>
      </w:r>
      <w:r w:rsidRPr="00C25AC9">
        <w:rPr>
          <w:color w:val="auto"/>
          <w:sz w:val="24"/>
          <w:szCs w:val="24"/>
        </w:rPr>
        <w:t>(BDPRH) et le Groupe de travail sur l</w:t>
      </w:r>
      <w:r w:rsidR="00C25AC9" w:rsidRPr="00C25AC9">
        <w:rPr>
          <w:color w:val="auto"/>
          <w:sz w:val="24"/>
          <w:szCs w:val="24"/>
        </w:rPr>
        <w:t>’</w:t>
      </w:r>
      <w:r w:rsidRPr="00C25AC9">
        <w:rPr>
          <w:color w:val="auto"/>
          <w:sz w:val="24"/>
          <w:szCs w:val="24"/>
        </w:rPr>
        <w:t>équité en matière d</w:t>
      </w:r>
      <w:r w:rsidR="00C25AC9" w:rsidRPr="00C25AC9">
        <w:rPr>
          <w:color w:val="auto"/>
          <w:sz w:val="24"/>
          <w:szCs w:val="24"/>
        </w:rPr>
        <w:t>’</w:t>
      </w:r>
      <w:r w:rsidRPr="00C25AC9">
        <w:rPr>
          <w:color w:val="auto"/>
          <w:sz w:val="24"/>
          <w:szCs w:val="24"/>
        </w:rPr>
        <w:t>emploi de la CFP dont les membres proviennent de groupes d</w:t>
      </w:r>
      <w:r w:rsidR="00C25AC9" w:rsidRPr="00C25AC9">
        <w:rPr>
          <w:color w:val="auto"/>
          <w:sz w:val="24"/>
          <w:szCs w:val="24"/>
        </w:rPr>
        <w:t>’</w:t>
      </w:r>
      <w:r w:rsidRPr="00C25AC9">
        <w:rPr>
          <w:color w:val="auto"/>
          <w:sz w:val="24"/>
          <w:szCs w:val="24"/>
        </w:rPr>
        <w:t>employés, de syndicats et de nombreux ministères du fédéral. Ces consultations ont aidé la DSDA à déterminer les domaines de recherche et à aligner ses travaux et ses analyses aux besoins de ses clients à l</w:t>
      </w:r>
      <w:r w:rsidR="00C25AC9" w:rsidRPr="00C25AC9">
        <w:rPr>
          <w:color w:val="auto"/>
          <w:sz w:val="24"/>
          <w:szCs w:val="24"/>
        </w:rPr>
        <w:t>’</w:t>
      </w:r>
      <w:r w:rsidRPr="00C25AC9">
        <w:rPr>
          <w:color w:val="auto"/>
          <w:sz w:val="24"/>
          <w:szCs w:val="24"/>
        </w:rPr>
        <w:t>interne et des intervenants de l</w:t>
      </w:r>
      <w:r w:rsidR="00C25AC9" w:rsidRPr="00C25AC9">
        <w:rPr>
          <w:color w:val="auto"/>
          <w:sz w:val="24"/>
          <w:szCs w:val="24"/>
        </w:rPr>
        <w:t>’</w:t>
      </w:r>
      <w:r w:rsidRPr="00C25AC9">
        <w:rPr>
          <w:color w:val="auto"/>
          <w:sz w:val="24"/>
          <w:szCs w:val="24"/>
        </w:rPr>
        <w:t>extérieur (voir l</w:t>
      </w:r>
      <w:r w:rsidR="00C25AC9" w:rsidRPr="00C25AC9">
        <w:rPr>
          <w:color w:val="auto"/>
          <w:sz w:val="24"/>
          <w:szCs w:val="24"/>
        </w:rPr>
        <w:t>’</w:t>
      </w:r>
      <w:r w:rsidRPr="00C25AC9">
        <w:rPr>
          <w:color w:val="auto"/>
          <w:sz w:val="24"/>
          <w:szCs w:val="24"/>
        </w:rPr>
        <w:t>annexe</w:t>
      </w:r>
      <w:r w:rsidR="00BB3B09" w:rsidRPr="00C25AC9">
        <w:rPr>
          <w:color w:val="auto"/>
          <w:sz w:val="24"/>
          <w:szCs w:val="24"/>
        </w:rPr>
        <w:t> </w:t>
      </w:r>
      <w:r w:rsidRPr="00C25AC9">
        <w:rPr>
          <w:color w:val="auto"/>
          <w:sz w:val="24"/>
          <w:szCs w:val="24"/>
        </w:rPr>
        <w:t xml:space="preserve">B pour les sujets de recherche proposés lors des consultations). </w:t>
      </w:r>
    </w:p>
    <w:p w14:paraId="518F19AB" w14:textId="699F23DD" w:rsidR="00791725" w:rsidRPr="00C25AC9" w:rsidRDefault="00791725" w:rsidP="00791725">
      <w:pPr>
        <w:rPr>
          <w:color w:val="auto"/>
          <w:sz w:val="24"/>
          <w:szCs w:val="24"/>
        </w:rPr>
      </w:pPr>
      <w:r w:rsidRPr="00C25AC9">
        <w:rPr>
          <w:color w:val="auto"/>
          <w:sz w:val="24"/>
          <w:szCs w:val="24"/>
        </w:rPr>
        <w:t>En établissant des liens avec les différents comités de la haute direction de la CFP, le SIO veille à ce que la recherche entreprise soit rigoureuse, bien intégrée et conforme au mandat de la CFP et aux priorités de la fonction publique fédérale. Le plan de recherche et de développement du BSI pour la période 2021</w:t>
      </w:r>
      <w:r w:rsidR="008A14FE" w:rsidRPr="00C25AC9">
        <w:rPr>
          <w:color w:val="auto"/>
          <w:sz w:val="24"/>
          <w:szCs w:val="24"/>
        </w:rPr>
        <w:noBreakHyphen/>
      </w:r>
      <w:r w:rsidRPr="00C25AC9">
        <w:rPr>
          <w:color w:val="auto"/>
          <w:sz w:val="24"/>
          <w:szCs w:val="24"/>
        </w:rPr>
        <w:t>2023 sera examiné et discuté à grande échelle par le Comité exécutif de gestion</w:t>
      </w:r>
      <w:r w:rsidR="008A14FE" w:rsidRPr="00C25AC9">
        <w:rPr>
          <w:color w:val="auto"/>
          <w:sz w:val="24"/>
          <w:szCs w:val="24"/>
        </w:rPr>
        <w:t> </w:t>
      </w:r>
      <w:r w:rsidRPr="00C25AC9">
        <w:rPr>
          <w:color w:val="auto"/>
          <w:sz w:val="24"/>
          <w:szCs w:val="24"/>
        </w:rPr>
        <w:t xml:space="preserve">(CEG). </w:t>
      </w:r>
    </w:p>
    <w:p w14:paraId="63E24305" w14:textId="73E630F0" w:rsidR="00791725" w:rsidRPr="00C25AC9" w:rsidRDefault="00791725" w:rsidP="008C40B6">
      <w:pPr>
        <w:rPr>
          <w:color w:val="auto"/>
          <w:sz w:val="24"/>
          <w:szCs w:val="24"/>
        </w:rPr>
      </w:pPr>
      <w:r w:rsidRPr="00C25AC9">
        <w:rPr>
          <w:color w:val="auto"/>
          <w:sz w:val="24"/>
          <w:szCs w:val="24"/>
        </w:rPr>
        <w:lastRenderedPageBreak/>
        <w:t>Une fois approuvé, le plan sera communiqué aux principaux intervenants externes, y compris, mais sans s</w:t>
      </w:r>
      <w:r w:rsidR="00C25AC9" w:rsidRPr="00C25AC9">
        <w:rPr>
          <w:color w:val="auto"/>
          <w:sz w:val="24"/>
          <w:szCs w:val="24"/>
        </w:rPr>
        <w:t>’</w:t>
      </w:r>
      <w:r w:rsidRPr="00C25AC9">
        <w:rPr>
          <w:color w:val="auto"/>
          <w:sz w:val="24"/>
          <w:szCs w:val="24"/>
        </w:rPr>
        <w:t>y limiter, le Bureau du dirigeant principal des ressources humaines</w:t>
      </w:r>
      <w:r w:rsidR="008A14FE" w:rsidRPr="00C25AC9">
        <w:rPr>
          <w:color w:val="auto"/>
          <w:sz w:val="24"/>
          <w:szCs w:val="24"/>
        </w:rPr>
        <w:t> </w:t>
      </w:r>
      <w:r w:rsidRPr="00C25AC9">
        <w:rPr>
          <w:color w:val="auto"/>
          <w:sz w:val="24"/>
          <w:szCs w:val="24"/>
        </w:rPr>
        <w:t>(BDPRH). L</w:t>
      </w:r>
      <w:r w:rsidR="00C25AC9" w:rsidRPr="00C25AC9">
        <w:rPr>
          <w:color w:val="auto"/>
          <w:sz w:val="24"/>
          <w:szCs w:val="24"/>
        </w:rPr>
        <w:t>’</w:t>
      </w:r>
      <w:r w:rsidRPr="00C25AC9">
        <w:rPr>
          <w:color w:val="auto"/>
          <w:sz w:val="24"/>
          <w:szCs w:val="24"/>
        </w:rPr>
        <w:t>objectif sera double : donner un aperçu du programme de recherche de la CFP et chercher des partenaires pour certains de ces projets. Les partenariats pourront inclure différentes activités allant du partage de données (lorsque l</w:t>
      </w:r>
      <w:r w:rsidR="00C25AC9" w:rsidRPr="00C25AC9">
        <w:rPr>
          <w:color w:val="auto"/>
          <w:sz w:val="24"/>
          <w:szCs w:val="24"/>
        </w:rPr>
        <w:t>’</w:t>
      </w:r>
      <w:r w:rsidRPr="00C25AC9">
        <w:rPr>
          <w:color w:val="auto"/>
          <w:sz w:val="24"/>
          <w:szCs w:val="24"/>
        </w:rPr>
        <w:t>évaluation de</w:t>
      </w:r>
      <w:r w:rsidR="00E2092D" w:rsidRPr="00C25AC9">
        <w:rPr>
          <w:color w:val="auto"/>
          <w:sz w:val="24"/>
          <w:szCs w:val="24"/>
        </w:rPr>
        <w:t xml:space="preserve"> l</w:t>
      </w:r>
      <w:r w:rsidR="00C25AC9" w:rsidRPr="00C25AC9">
        <w:rPr>
          <w:color w:val="auto"/>
          <w:sz w:val="24"/>
          <w:szCs w:val="24"/>
        </w:rPr>
        <w:t>’</w:t>
      </w:r>
      <w:r w:rsidR="0032302D" w:rsidRPr="00C25AC9">
        <w:rPr>
          <w:color w:val="auto"/>
          <w:sz w:val="24"/>
          <w:szCs w:val="24"/>
        </w:rPr>
        <w:t>incidence</w:t>
      </w:r>
      <w:r w:rsidR="00E2092D" w:rsidRPr="00C25AC9">
        <w:rPr>
          <w:color w:val="auto"/>
          <w:sz w:val="24"/>
          <w:szCs w:val="24"/>
        </w:rPr>
        <w:t xml:space="preserve"> sur</w:t>
      </w:r>
      <w:r w:rsidR="00BD3CBE" w:rsidRPr="00C25AC9">
        <w:rPr>
          <w:color w:val="auto"/>
          <w:sz w:val="24"/>
          <w:szCs w:val="24"/>
        </w:rPr>
        <w:t xml:space="preserve"> </w:t>
      </w:r>
      <w:r w:rsidRPr="00C25AC9">
        <w:rPr>
          <w:color w:val="auto"/>
          <w:sz w:val="24"/>
          <w:szCs w:val="24"/>
        </w:rPr>
        <w:t>la vie privée le permet) à la réalisation de recherches conjointes.</w:t>
      </w:r>
    </w:p>
    <w:p w14:paraId="61A64355" w14:textId="49C82F36" w:rsidR="00A4631E" w:rsidRPr="00C25AC9" w:rsidRDefault="00791725" w:rsidP="00B130AB">
      <w:pPr>
        <w:spacing w:line="240" w:lineRule="auto"/>
        <w:rPr>
          <w:color w:val="auto"/>
          <w:sz w:val="24"/>
          <w:szCs w:val="24"/>
        </w:rPr>
      </w:pPr>
      <w:r w:rsidRPr="00C25AC9">
        <w:rPr>
          <w:color w:val="auto"/>
          <w:sz w:val="24"/>
          <w:szCs w:val="24"/>
        </w:rPr>
        <w:t>Le plan de recherche et de développement 2021</w:t>
      </w:r>
      <w:r w:rsidR="008A14FE" w:rsidRPr="00C25AC9">
        <w:rPr>
          <w:color w:val="auto"/>
          <w:sz w:val="24"/>
          <w:szCs w:val="24"/>
        </w:rPr>
        <w:noBreakHyphen/>
      </w:r>
      <w:r w:rsidRPr="00C25AC9">
        <w:rPr>
          <w:color w:val="auto"/>
          <w:sz w:val="24"/>
          <w:szCs w:val="24"/>
        </w:rPr>
        <w:t>2023 est un document évolutif qui peut être modifié en cours de route et les intervenants seront consultés au fur et à mesure des modifications. De cette façon, le plan de recherche est suffisamment souple pour s</w:t>
      </w:r>
      <w:r w:rsidR="00C25AC9" w:rsidRPr="00C25AC9">
        <w:rPr>
          <w:color w:val="auto"/>
          <w:sz w:val="24"/>
          <w:szCs w:val="24"/>
        </w:rPr>
        <w:t>’</w:t>
      </w:r>
      <w:r w:rsidRPr="00C25AC9">
        <w:rPr>
          <w:color w:val="auto"/>
          <w:sz w:val="24"/>
          <w:szCs w:val="24"/>
        </w:rPr>
        <w:t>adapter aux besoins émergents et aux exigences d</w:t>
      </w:r>
      <w:r w:rsidR="00C25AC9" w:rsidRPr="00C25AC9">
        <w:rPr>
          <w:color w:val="auto"/>
          <w:sz w:val="24"/>
          <w:szCs w:val="24"/>
        </w:rPr>
        <w:t>’</w:t>
      </w:r>
      <w:r w:rsidRPr="00C25AC9">
        <w:rPr>
          <w:color w:val="auto"/>
          <w:sz w:val="24"/>
          <w:szCs w:val="24"/>
        </w:rPr>
        <w:t>analyse futures.</w:t>
      </w:r>
    </w:p>
    <w:p w14:paraId="6E4AC982" w14:textId="55578595" w:rsidR="00304075" w:rsidRPr="00C25AC9" w:rsidRDefault="008C40B6" w:rsidP="008C40B6">
      <w:pPr>
        <w:pStyle w:val="Heading1"/>
      </w:pPr>
      <w:bookmarkStart w:id="6" w:name="_Toc93996149"/>
      <w:r w:rsidRPr="00C25AC9">
        <w:lastRenderedPageBreak/>
        <w:t>Annexe A</w:t>
      </w:r>
      <w:r w:rsidR="00304075" w:rsidRPr="00C25AC9">
        <w:t xml:space="preserve"> </w:t>
      </w:r>
      <w:r w:rsidRPr="00C25AC9">
        <w:t xml:space="preserve">: </w:t>
      </w:r>
      <w:r w:rsidR="00304075" w:rsidRPr="00C25AC9">
        <w:t>Modèle de surveillance à l</w:t>
      </w:r>
      <w:r w:rsidR="00C25AC9" w:rsidRPr="00C25AC9">
        <w:t>’</w:t>
      </w:r>
      <w:r w:rsidR="00304075" w:rsidRPr="00C25AC9">
        <w:t xml:space="preserve">échelle </w:t>
      </w:r>
      <w:r w:rsidR="00A4631E" w:rsidRPr="00C25AC9">
        <w:t>de la CFP</w:t>
      </w:r>
      <w:bookmarkEnd w:id="6"/>
    </w:p>
    <w:p w14:paraId="4185DCB0" w14:textId="6FBCD4E3" w:rsidR="008C40B6" w:rsidRPr="00C25AC9" w:rsidRDefault="00F41B7E" w:rsidP="008C40B6">
      <w:r>
        <w:rPr>
          <w:noProof/>
        </w:rPr>
        <w:drawing>
          <wp:inline distT="0" distB="0" distL="0" distR="0" wp14:anchorId="3A3FFE2E" wp14:editId="3D8581D8">
            <wp:extent cx="5943600" cy="6788785"/>
            <wp:effectExtent l="0" t="0" r="0" b="0"/>
            <wp:docPr id="1" name="Picture 1" descr="Modèle de surveillance à l'échelle du système de la CFP: &#10;&#10;- Les principes de surveillance: Soutenir un système de dotation délégué et déréglementé&#10;- Reconnaître la coresponsabilité à l'égard de l'intégrité du système de dotation.&#10;- Apporter des améliorations opportunes à l'échelle du système&#10;&#10;2) L’univers de surveillance&#10;a) Conformité aux exigences de base&#10;- Vérifications à l'échelle du système&#10;- Vérifications axées sur le risque&#10;- Évaluations des services de dotation&#10;Enquêtes&#10;- Évaluation des mises en candidature aux élections&#10;&#10;b) Environnement de dotation&#10;- Sondages sur la dotation et l'impartialité politique&#10;- Enquêtes ciblées fondées sur les processus&#10;- Questionnaires de vérification&#10;- Recensement et données sur le marché du travail&#10;&#10;c) Résultats escomptés de la LEFP&#10;- Recherches et études&#10;- Sondage sur la dotation et l'impartialité politique&#10;- Efficacité et efficience des projets&#10;Sensibilisation – Activités politiques&#10;&#10;Les objectives de surveillance: &#10;Approche préventive fondée sur l'identification précoce des risques menant à des interventions opportunes dans le système de dotation.&#10;&#10;(p. ex. modifications apportées aux politiques et à l'Instrument de la délégation et de la responsabilisation en matière de nomination (IDRN), amélioration de la prestation des programmes, communications opportunes avec les intervena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dèle de surveillance à l'échelle du système de la CFP: &#10;&#10;- Les principes de surveillance: Soutenir un système de dotation délégué et déréglementé&#10;- Reconnaître la coresponsabilité à l'égard de l'intégrité du système de dotation.&#10;- Apporter des améliorations opportunes à l'échelle du système&#10;&#10;2) L’univers de surveillance&#10;a) Conformité aux exigences de base&#10;- Vérifications à l'échelle du système&#10;- Vérifications axées sur le risque&#10;- Évaluations des services de dotation&#10;Enquêtes&#10;- Évaluation des mises en candidature aux élections&#10;&#10;b) Environnement de dotation&#10;- Sondages sur la dotation et l'impartialité politique&#10;- Enquêtes ciblées fondées sur les processus&#10;- Questionnaires de vérification&#10;- Recensement et données sur le marché du travail&#10;&#10;c) Résultats escomptés de la LEFP&#10;- Recherches et études&#10;- Sondage sur la dotation et l'impartialité politique&#10;- Efficacité et efficience des projets&#10;Sensibilisation – Activités politiques&#10;&#10;Les objectives de surveillance: &#10;Approche préventive fondée sur l'identification précoce des risques menant à des interventions opportunes dans le système de dotation.&#10;&#10;(p. ex. modifications apportées aux politiques et à l'Instrument de la délégation et de la responsabilisation en matière de nomination (IDRN), amélioration de la prestation des programmes, communications opportunes avec les intervenants).&#10;&#10;"/>
                    <pic:cNvPicPr/>
                  </pic:nvPicPr>
                  <pic:blipFill>
                    <a:blip r:embed="rId12"/>
                    <a:stretch>
                      <a:fillRect/>
                    </a:stretch>
                  </pic:blipFill>
                  <pic:spPr>
                    <a:xfrm>
                      <a:off x="0" y="0"/>
                      <a:ext cx="5943600" cy="6788785"/>
                    </a:xfrm>
                    <a:prstGeom prst="rect">
                      <a:avLst/>
                    </a:prstGeom>
                  </pic:spPr>
                </pic:pic>
              </a:graphicData>
            </a:graphic>
          </wp:inline>
        </w:drawing>
      </w:r>
    </w:p>
    <w:p w14:paraId="1DE43DCB" w14:textId="58234F57" w:rsidR="008C40B6" w:rsidRPr="00C25AC9" w:rsidRDefault="008C40B6" w:rsidP="008C40B6"/>
    <w:p w14:paraId="06317024" w14:textId="77777777" w:rsidR="007516B7" w:rsidRPr="00C25AC9" w:rsidRDefault="007516B7" w:rsidP="00214354">
      <w:pPr>
        <w:keepLines w:val="0"/>
        <w:sectPr w:rsidR="007516B7" w:rsidRPr="00C25AC9" w:rsidSect="00941B2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pPr>
    </w:p>
    <w:p w14:paraId="4E9D791E" w14:textId="7B0AD723" w:rsidR="008C40B6" w:rsidRPr="00C25AC9" w:rsidRDefault="008C40B6" w:rsidP="008C40B6">
      <w:pPr>
        <w:pStyle w:val="Heading1"/>
      </w:pPr>
      <w:bookmarkStart w:id="7" w:name="_Toc93996150"/>
      <w:r w:rsidRPr="00C25AC9">
        <w:lastRenderedPageBreak/>
        <w:t>Annexe B</w:t>
      </w:r>
      <w:r w:rsidR="00304075" w:rsidRPr="00C25AC9">
        <w:t xml:space="preserve"> </w:t>
      </w:r>
      <w:r w:rsidRPr="00C25AC9">
        <w:t xml:space="preserve">: </w:t>
      </w:r>
      <w:r w:rsidR="00304075" w:rsidRPr="00C25AC9">
        <w:t>Projets de recherche</w:t>
      </w:r>
      <w:bookmarkEnd w:id="7"/>
    </w:p>
    <w:p w14:paraId="25AFBC79" w14:textId="10812220" w:rsidR="007516B7" w:rsidRPr="00C25AC9" w:rsidRDefault="007516B7" w:rsidP="007516B7"/>
    <w:p w14:paraId="0B88D78A" w14:textId="73DB847F" w:rsidR="00D715D7" w:rsidRPr="00C25AC9" w:rsidRDefault="00194008" w:rsidP="00D715D7">
      <w:pPr>
        <w:pStyle w:val="Heading2"/>
      </w:pPr>
      <w:bookmarkStart w:id="8" w:name="_Toc93996151"/>
      <w:r w:rsidRPr="00C25AC9">
        <w:t>Autres é</w:t>
      </w:r>
      <w:r w:rsidR="006B3AF0" w:rsidRPr="00C25AC9">
        <w:t xml:space="preserve">léments </w:t>
      </w:r>
      <w:r w:rsidR="00B31831" w:rsidRPr="00C25AC9">
        <w:t>du plan de 2019-2020</w:t>
      </w:r>
      <w:bookmarkEnd w:id="8"/>
    </w:p>
    <w:tbl>
      <w:tblPr>
        <w:tblStyle w:val="TableGrid"/>
        <w:tblW w:w="17431" w:type="dxa"/>
        <w:tblLayout w:type="fixed"/>
        <w:tblLook w:val="04A0" w:firstRow="1" w:lastRow="0" w:firstColumn="1" w:lastColumn="0" w:noHBand="0" w:noVBand="1"/>
        <w:tblCaption w:val="Remaining Items on 2019-2021 Research Plan"/>
        <w:tblDescription w:val="Listing of projects from the 2019-2021 research plan which will be adressed as part of the 2021-2023 plan."/>
      </w:tblPr>
      <w:tblGrid>
        <w:gridCol w:w="562"/>
        <w:gridCol w:w="3544"/>
        <w:gridCol w:w="6662"/>
        <w:gridCol w:w="2694"/>
        <w:gridCol w:w="3969"/>
      </w:tblGrid>
      <w:tr w:rsidR="00D715D7" w:rsidRPr="00C25AC9" w14:paraId="4AA9A19A" w14:textId="77777777" w:rsidTr="00AB489B">
        <w:tc>
          <w:tcPr>
            <w:tcW w:w="562" w:type="dxa"/>
          </w:tcPr>
          <w:p w14:paraId="1BC177AA" w14:textId="77777777" w:rsidR="00D715D7" w:rsidRPr="00C25AC9" w:rsidRDefault="00D715D7" w:rsidP="00AB489B">
            <w:pPr>
              <w:rPr>
                <w:rFonts w:cs="Arial"/>
                <w:b/>
                <w:sz w:val="24"/>
                <w:szCs w:val="24"/>
              </w:rPr>
            </w:pPr>
            <w:bookmarkStart w:id="9" w:name="_Hlk80275490"/>
            <w:r w:rsidRPr="00C25AC9">
              <w:rPr>
                <w:rFonts w:cs="Arial"/>
                <w:b/>
                <w:sz w:val="24"/>
                <w:szCs w:val="24"/>
              </w:rPr>
              <w:t>#</w:t>
            </w:r>
          </w:p>
        </w:tc>
        <w:tc>
          <w:tcPr>
            <w:tcW w:w="3544" w:type="dxa"/>
          </w:tcPr>
          <w:p w14:paraId="681886E1" w14:textId="4E9A3CE5" w:rsidR="00D715D7" w:rsidRPr="00C25AC9" w:rsidRDefault="00F73115" w:rsidP="00194008">
            <w:pPr>
              <w:rPr>
                <w:rFonts w:cs="Arial"/>
                <w:b/>
                <w:strike/>
                <w:sz w:val="24"/>
                <w:szCs w:val="24"/>
              </w:rPr>
            </w:pPr>
            <w:r w:rsidRPr="00C25AC9">
              <w:rPr>
                <w:rFonts w:cs="Arial"/>
                <w:b/>
                <w:sz w:val="24"/>
                <w:szCs w:val="24"/>
              </w:rPr>
              <w:t>Th</w:t>
            </w:r>
            <w:r w:rsidR="00D159D3" w:rsidRPr="00C25AC9">
              <w:rPr>
                <w:rFonts w:cs="Arial"/>
                <w:b/>
                <w:sz w:val="24"/>
                <w:szCs w:val="24"/>
              </w:rPr>
              <w:t xml:space="preserve">èmes </w:t>
            </w:r>
            <w:r w:rsidRPr="00C25AC9">
              <w:rPr>
                <w:rFonts w:cs="Arial"/>
                <w:b/>
                <w:sz w:val="24"/>
                <w:szCs w:val="24"/>
              </w:rPr>
              <w:t xml:space="preserve">proposés </w:t>
            </w:r>
          </w:p>
        </w:tc>
        <w:tc>
          <w:tcPr>
            <w:tcW w:w="6662" w:type="dxa"/>
          </w:tcPr>
          <w:p w14:paraId="0FFB4294" w14:textId="1580D2DF" w:rsidR="00D715D7" w:rsidRPr="00C25AC9" w:rsidRDefault="00D715D7" w:rsidP="0032302D">
            <w:pPr>
              <w:rPr>
                <w:rFonts w:cs="Arial"/>
                <w:b/>
                <w:sz w:val="24"/>
                <w:szCs w:val="24"/>
              </w:rPr>
            </w:pPr>
            <w:r w:rsidRPr="00C25AC9">
              <w:rPr>
                <w:rFonts w:cs="Arial"/>
                <w:b/>
                <w:sz w:val="24"/>
                <w:szCs w:val="24"/>
              </w:rPr>
              <w:t>Description/</w:t>
            </w:r>
            <w:r w:rsidR="002C65FB" w:rsidRPr="00C25AC9">
              <w:rPr>
                <w:rFonts w:cs="Arial"/>
                <w:b/>
                <w:sz w:val="24"/>
                <w:szCs w:val="24"/>
              </w:rPr>
              <w:t>Q</w:t>
            </w:r>
            <w:r w:rsidR="00011BE1" w:rsidRPr="00C25AC9">
              <w:rPr>
                <w:rFonts w:cs="Arial"/>
                <w:b/>
                <w:sz w:val="24"/>
                <w:szCs w:val="24"/>
              </w:rPr>
              <w:t>uestion(s) de recherche</w:t>
            </w:r>
          </w:p>
        </w:tc>
        <w:tc>
          <w:tcPr>
            <w:tcW w:w="2694" w:type="dxa"/>
          </w:tcPr>
          <w:p w14:paraId="3535DD44" w14:textId="138519B4" w:rsidR="00D715D7" w:rsidRPr="00C25AC9" w:rsidRDefault="00E2092D" w:rsidP="00AB489B">
            <w:pPr>
              <w:rPr>
                <w:rFonts w:cs="Arial"/>
                <w:b/>
                <w:sz w:val="24"/>
                <w:szCs w:val="24"/>
              </w:rPr>
            </w:pPr>
            <w:r w:rsidRPr="00C25AC9">
              <w:rPr>
                <w:rFonts w:cs="Arial"/>
                <w:b/>
                <w:sz w:val="24"/>
                <w:szCs w:val="24"/>
              </w:rPr>
              <w:t>Résultats/</w:t>
            </w:r>
            <w:r w:rsidR="000C2185" w:rsidRPr="00C25AC9">
              <w:rPr>
                <w:rFonts w:cs="Arial"/>
                <w:b/>
                <w:sz w:val="24"/>
                <w:szCs w:val="24"/>
              </w:rPr>
              <w:t>Incidence</w:t>
            </w:r>
          </w:p>
        </w:tc>
        <w:tc>
          <w:tcPr>
            <w:tcW w:w="3969" w:type="dxa"/>
          </w:tcPr>
          <w:p w14:paraId="6E7647B3" w14:textId="4C35B312" w:rsidR="00D715D7" w:rsidRPr="00C25AC9" w:rsidRDefault="00D715D7" w:rsidP="00151C28">
            <w:pPr>
              <w:rPr>
                <w:rFonts w:cs="Arial"/>
                <w:sz w:val="24"/>
                <w:szCs w:val="24"/>
              </w:rPr>
            </w:pPr>
            <w:r w:rsidRPr="00C25AC9">
              <w:rPr>
                <w:rFonts w:cs="Arial"/>
                <w:b/>
                <w:sz w:val="24"/>
                <w:szCs w:val="24"/>
              </w:rPr>
              <w:t>Res</w:t>
            </w:r>
            <w:r w:rsidR="00E2092D" w:rsidRPr="00C25AC9">
              <w:rPr>
                <w:rFonts w:cs="Arial"/>
                <w:b/>
                <w:sz w:val="24"/>
                <w:szCs w:val="24"/>
              </w:rPr>
              <w:t>s</w:t>
            </w:r>
            <w:r w:rsidRPr="00C25AC9">
              <w:rPr>
                <w:rFonts w:cs="Arial"/>
                <w:b/>
                <w:sz w:val="24"/>
                <w:szCs w:val="24"/>
              </w:rPr>
              <w:t>ources*/</w:t>
            </w:r>
            <w:r w:rsidR="000C2185" w:rsidRPr="00C25AC9">
              <w:rPr>
                <w:rFonts w:cs="Arial"/>
                <w:b/>
                <w:sz w:val="24"/>
                <w:szCs w:val="24"/>
              </w:rPr>
              <w:t>C</w:t>
            </w:r>
            <w:r w:rsidR="00E2092D" w:rsidRPr="00C25AC9">
              <w:rPr>
                <w:rFonts w:cs="Arial"/>
                <w:b/>
                <w:sz w:val="24"/>
                <w:szCs w:val="24"/>
              </w:rPr>
              <w:t>alendriers</w:t>
            </w:r>
          </w:p>
        </w:tc>
      </w:tr>
      <w:tr w:rsidR="00D715D7" w:rsidRPr="00C25AC9" w14:paraId="0175D764" w14:textId="77777777" w:rsidTr="00AB489B">
        <w:tc>
          <w:tcPr>
            <w:tcW w:w="562" w:type="dxa"/>
          </w:tcPr>
          <w:p w14:paraId="68A96949" w14:textId="77777777" w:rsidR="00D715D7" w:rsidRPr="00C25AC9" w:rsidRDefault="00D715D7" w:rsidP="00AB489B">
            <w:pPr>
              <w:rPr>
                <w:rFonts w:cs="Arial"/>
                <w:sz w:val="20"/>
                <w:szCs w:val="20"/>
              </w:rPr>
            </w:pPr>
            <w:bookmarkStart w:id="10" w:name="_Hlk80275452"/>
            <w:r w:rsidRPr="00C25AC9">
              <w:rPr>
                <w:rFonts w:cs="Arial"/>
                <w:sz w:val="20"/>
                <w:szCs w:val="20"/>
              </w:rPr>
              <w:t>1</w:t>
            </w:r>
          </w:p>
        </w:tc>
        <w:tc>
          <w:tcPr>
            <w:tcW w:w="3544" w:type="dxa"/>
          </w:tcPr>
          <w:p w14:paraId="615F2771" w14:textId="7382AC4F" w:rsidR="00011BE1" w:rsidRPr="00C25AC9" w:rsidRDefault="000C2185" w:rsidP="00AB489B">
            <w:pPr>
              <w:rPr>
                <w:rFonts w:cs="Arial"/>
                <w:b/>
                <w:sz w:val="20"/>
                <w:szCs w:val="20"/>
                <w:u w:val="single"/>
              </w:rPr>
            </w:pPr>
            <w:r w:rsidRPr="00C25AC9">
              <w:rPr>
                <w:rFonts w:cs="Arial"/>
                <w:b/>
                <w:sz w:val="20"/>
                <w:szCs w:val="20"/>
                <w:u w:val="single"/>
              </w:rPr>
              <w:t xml:space="preserve">Analyse des </w:t>
            </w:r>
            <w:r w:rsidR="00011BE1" w:rsidRPr="00C25AC9">
              <w:rPr>
                <w:rFonts w:cs="Arial"/>
                <w:b/>
                <w:sz w:val="20"/>
                <w:szCs w:val="20"/>
                <w:u w:val="single"/>
              </w:rPr>
              <w:t>taux de promotion : approche logistique</w:t>
            </w:r>
          </w:p>
          <w:p w14:paraId="4638F547" w14:textId="77195A8B" w:rsidR="00D715D7" w:rsidRPr="00C25AC9" w:rsidRDefault="00D715D7" w:rsidP="00AB489B">
            <w:pPr>
              <w:rPr>
                <w:rFonts w:ascii="Calibri" w:eastAsia="Calibri" w:hAnsi="Calibri" w:cs="Calibri"/>
              </w:rPr>
            </w:pPr>
          </w:p>
        </w:tc>
        <w:tc>
          <w:tcPr>
            <w:tcW w:w="6662" w:type="dxa"/>
          </w:tcPr>
          <w:p w14:paraId="6A9E1578" w14:textId="4C98C5F3" w:rsidR="00D715D7" w:rsidRPr="00C25AC9" w:rsidRDefault="008231B8" w:rsidP="000C2185">
            <w:pPr>
              <w:rPr>
                <w:sz w:val="20"/>
                <w:szCs w:val="20"/>
                <w:lang w:eastAsia="en-CA"/>
              </w:rPr>
            </w:pPr>
            <w:r w:rsidRPr="00C25AC9">
              <w:rPr>
                <w:sz w:val="20"/>
                <w:szCs w:val="20"/>
                <w:lang w:eastAsia="en-CA"/>
              </w:rPr>
              <w:t>À la suite de la récente étude sur le taux de promotion de l</w:t>
            </w:r>
            <w:r w:rsidR="00C25AC9" w:rsidRPr="00C25AC9">
              <w:rPr>
                <w:sz w:val="20"/>
                <w:szCs w:val="20"/>
                <w:lang w:eastAsia="en-CA"/>
              </w:rPr>
              <w:t>’</w:t>
            </w:r>
            <w:r w:rsidRPr="00C25AC9">
              <w:rPr>
                <w:sz w:val="20"/>
                <w:szCs w:val="20"/>
                <w:lang w:eastAsia="en-CA"/>
              </w:rPr>
              <w:t>EE pour les sous-groupes de minorités visibles, nous avons constaté la nécessité de développer une approche permettant à la CFP de produire des résultats sur les tendances récentes en matière de promotion. La méthode actuelle fait appel à une analyse de survie qui exige de remonter plusieurs années dans le temps. Une approche logistique permettra</w:t>
            </w:r>
            <w:r w:rsidR="004A451D" w:rsidRPr="00C25AC9">
              <w:rPr>
                <w:sz w:val="20"/>
                <w:szCs w:val="20"/>
                <w:lang w:eastAsia="en-CA"/>
              </w:rPr>
              <w:t xml:space="preserve"> de faire des comparaisons d</w:t>
            </w:r>
            <w:r w:rsidR="00C25AC9" w:rsidRPr="00C25AC9">
              <w:rPr>
                <w:sz w:val="20"/>
                <w:szCs w:val="20"/>
                <w:lang w:eastAsia="en-CA"/>
              </w:rPr>
              <w:t>’</w:t>
            </w:r>
            <w:r w:rsidR="004A451D" w:rsidRPr="00C25AC9">
              <w:rPr>
                <w:sz w:val="20"/>
                <w:szCs w:val="20"/>
                <w:lang w:eastAsia="en-CA"/>
              </w:rPr>
              <w:t>année en année</w:t>
            </w:r>
            <w:r w:rsidRPr="00C25AC9">
              <w:rPr>
                <w:sz w:val="20"/>
                <w:szCs w:val="20"/>
                <w:lang w:eastAsia="en-CA"/>
              </w:rPr>
              <w:t>.</w:t>
            </w:r>
            <w:r w:rsidR="00D715D7" w:rsidRPr="00C25AC9">
              <w:rPr>
                <w:sz w:val="20"/>
                <w:szCs w:val="20"/>
                <w:lang w:eastAsia="en-CA"/>
              </w:rPr>
              <w:t xml:space="preserve">   </w:t>
            </w:r>
          </w:p>
        </w:tc>
        <w:tc>
          <w:tcPr>
            <w:tcW w:w="2694" w:type="dxa"/>
          </w:tcPr>
          <w:p w14:paraId="4DAA886A" w14:textId="168285D1" w:rsidR="00D715D7" w:rsidRPr="00C25AC9" w:rsidRDefault="008231B8" w:rsidP="0024142C">
            <w:pPr>
              <w:rPr>
                <w:rFonts w:cs="Arial"/>
                <w:sz w:val="20"/>
                <w:szCs w:val="20"/>
              </w:rPr>
            </w:pPr>
            <w:r w:rsidRPr="00C25AC9">
              <w:rPr>
                <w:rFonts w:cs="Arial"/>
                <w:sz w:val="20"/>
                <w:szCs w:val="20"/>
              </w:rPr>
              <w:t xml:space="preserve">Fournir une comparaison </w:t>
            </w:r>
            <w:r w:rsidR="004A451D" w:rsidRPr="00C25AC9">
              <w:rPr>
                <w:rFonts w:cs="Arial"/>
                <w:sz w:val="20"/>
                <w:szCs w:val="20"/>
              </w:rPr>
              <w:t>d</w:t>
            </w:r>
            <w:r w:rsidR="00C25AC9" w:rsidRPr="00C25AC9">
              <w:rPr>
                <w:rFonts w:cs="Arial"/>
                <w:sz w:val="20"/>
                <w:szCs w:val="20"/>
              </w:rPr>
              <w:t>’</w:t>
            </w:r>
            <w:r w:rsidRPr="00C25AC9">
              <w:rPr>
                <w:rFonts w:cs="Arial"/>
                <w:sz w:val="20"/>
                <w:szCs w:val="20"/>
              </w:rPr>
              <w:t xml:space="preserve">année </w:t>
            </w:r>
            <w:r w:rsidR="004A451D" w:rsidRPr="00C25AC9">
              <w:rPr>
                <w:rFonts w:cs="Arial"/>
                <w:sz w:val="20"/>
                <w:szCs w:val="20"/>
              </w:rPr>
              <w:t xml:space="preserve">en année </w:t>
            </w:r>
            <w:r w:rsidRPr="00C25AC9">
              <w:rPr>
                <w:rFonts w:cs="Arial"/>
                <w:sz w:val="20"/>
                <w:szCs w:val="20"/>
              </w:rPr>
              <w:t xml:space="preserve">des taux de promotion des membres des groupes et des sous-groupes désignés </w:t>
            </w:r>
            <w:r w:rsidR="0024142C" w:rsidRPr="00C25AC9">
              <w:rPr>
                <w:rFonts w:cs="Arial"/>
                <w:sz w:val="20"/>
                <w:szCs w:val="20"/>
              </w:rPr>
              <w:t>par l</w:t>
            </w:r>
            <w:r w:rsidR="00C25AC9" w:rsidRPr="00C25AC9">
              <w:rPr>
                <w:rFonts w:cs="Arial"/>
                <w:sz w:val="20"/>
                <w:szCs w:val="20"/>
              </w:rPr>
              <w:t>’</w:t>
            </w:r>
            <w:r w:rsidR="0024142C" w:rsidRPr="00C25AC9">
              <w:rPr>
                <w:rFonts w:cs="Arial"/>
                <w:sz w:val="20"/>
                <w:szCs w:val="20"/>
              </w:rPr>
              <w:t>EE</w:t>
            </w:r>
            <w:r w:rsidRPr="00C25AC9">
              <w:rPr>
                <w:rFonts w:cs="Arial"/>
                <w:sz w:val="20"/>
                <w:szCs w:val="20"/>
              </w:rPr>
              <w:t>.</w:t>
            </w:r>
          </w:p>
        </w:tc>
        <w:tc>
          <w:tcPr>
            <w:tcW w:w="3969" w:type="dxa"/>
          </w:tcPr>
          <w:p w14:paraId="55468693" w14:textId="7A8F6982" w:rsidR="005E53CA" w:rsidRPr="00C25AC9" w:rsidRDefault="005E53CA" w:rsidP="00AB489B">
            <w:pPr>
              <w:rPr>
                <w:rFonts w:cs="Arial"/>
                <w:sz w:val="20"/>
                <w:szCs w:val="20"/>
                <w:u w:val="single"/>
              </w:rPr>
            </w:pPr>
            <w:r w:rsidRPr="00C25AC9">
              <w:rPr>
                <w:rFonts w:cs="Arial"/>
                <w:sz w:val="20"/>
                <w:szCs w:val="20"/>
                <w:u w:val="single"/>
              </w:rPr>
              <w:t>ETP</w:t>
            </w:r>
            <w:r w:rsidRPr="00C25AC9">
              <w:rPr>
                <w:rFonts w:cs="Arial"/>
                <w:sz w:val="20"/>
                <w:szCs w:val="20"/>
              </w:rPr>
              <w:t xml:space="preserve"> : ½</w:t>
            </w:r>
          </w:p>
          <w:p w14:paraId="241BC7B2" w14:textId="77777777" w:rsidR="005E53CA" w:rsidRPr="00C25AC9" w:rsidRDefault="005E53CA" w:rsidP="00AB489B">
            <w:pPr>
              <w:rPr>
                <w:rFonts w:cs="Arial"/>
                <w:sz w:val="20"/>
                <w:szCs w:val="20"/>
                <w:u w:val="single"/>
              </w:rPr>
            </w:pPr>
          </w:p>
          <w:p w14:paraId="305F4B76" w14:textId="10A447C0" w:rsidR="008231B8" w:rsidRPr="00C25AC9" w:rsidRDefault="005E53CA" w:rsidP="00AB489B">
            <w:pPr>
              <w:rPr>
                <w:rFonts w:cs="Arial"/>
                <w:sz w:val="20"/>
                <w:szCs w:val="20"/>
                <w:u w:val="single"/>
              </w:rPr>
            </w:pPr>
            <w:r w:rsidRPr="00C25AC9">
              <w:rPr>
                <w:rFonts w:cs="Arial"/>
                <w:sz w:val="20"/>
                <w:szCs w:val="20"/>
                <w:u w:val="single"/>
              </w:rPr>
              <w:t>Données</w:t>
            </w:r>
            <w:r w:rsidRPr="00C25AC9">
              <w:rPr>
                <w:rFonts w:cs="Arial"/>
                <w:sz w:val="20"/>
                <w:szCs w:val="20"/>
              </w:rPr>
              <w:t xml:space="preserve"> : </w:t>
            </w:r>
            <w:r w:rsidR="008231B8" w:rsidRPr="00C25AC9">
              <w:rPr>
                <w:rFonts w:cs="Arial"/>
                <w:sz w:val="20"/>
                <w:szCs w:val="20"/>
              </w:rPr>
              <w:t>Données administratives et données qualitatives provenant des participants.</w:t>
            </w:r>
          </w:p>
          <w:p w14:paraId="424F90E1" w14:textId="77777777" w:rsidR="00D715D7" w:rsidRPr="00C25AC9" w:rsidRDefault="00D715D7" w:rsidP="0024142C">
            <w:pPr>
              <w:rPr>
                <w:rFonts w:cs="Arial"/>
                <w:sz w:val="20"/>
                <w:szCs w:val="20"/>
              </w:rPr>
            </w:pPr>
          </w:p>
        </w:tc>
      </w:tr>
      <w:bookmarkEnd w:id="9"/>
      <w:bookmarkEnd w:id="10"/>
      <w:tr w:rsidR="00D715D7" w:rsidRPr="00C25AC9" w14:paraId="10BE51D2" w14:textId="77777777" w:rsidTr="00AB489B">
        <w:tc>
          <w:tcPr>
            <w:tcW w:w="562" w:type="dxa"/>
          </w:tcPr>
          <w:p w14:paraId="20D4CE07" w14:textId="77777777" w:rsidR="00D715D7" w:rsidRPr="00C25AC9" w:rsidRDefault="00D715D7" w:rsidP="00AB489B">
            <w:pPr>
              <w:rPr>
                <w:rFonts w:cs="Arial"/>
                <w:sz w:val="20"/>
                <w:szCs w:val="20"/>
              </w:rPr>
            </w:pPr>
            <w:r w:rsidRPr="00C25AC9">
              <w:rPr>
                <w:rFonts w:cs="Arial"/>
                <w:sz w:val="20"/>
                <w:szCs w:val="20"/>
              </w:rPr>
              <w:t>2</w:t>
            </w:r>
          </w:p>
        </w:tc>
        <w:tc>
          <w:tcPr>
            <w:tcW w:w="3544" w:type="dxa"/>
          </w:tcPr>
          <w:p w14:paraId="3CCAFF37" w14:textId="02F669CA" w:rsidR="00C90A85" w:rsidRPr="00C25AC9" w:rsidRDefault="00C90A85" w:rsidP="00AB489B">
            <w:pPr>
              <w:rPr>
                <w:rFonts w:cs="Arial"/>
                <w:b/>
                <w:sz w:val="20"/>
                <w:szCs w:val="20"/>
                <w:u w:val="single"/>
              </w:rPr>
            </w:pPr>
            <w:r w:rsidRPr="00C25AC9">
              <w:rPr>
                <w:rFonts w:cs="Arial"/>
                <w:b/>
                <w:sz w:val="20"/>
                <w:szCs w:val="20"/>
                <w:u w:val="single"/>
              </w:rPr>
              <w:t>Analyse du sondage sur la dotation et l</w:t>
            </w:r>
            <w:r w:rsidR="00C25AC9" w:rsidRPr="00C25AC9">
              <w:rPr>
                <w:rFonts w:cs="Arial"/>
                <w:b/>
                <w:sz w:val="20"/>
                <w:szCs w:val="20"/>
                <w:u w:val="single"/>
              </w:rPr>
              <w:t>’</w:t>
            </w:r>
            <w:r w:rsidRPr="00C25AC9">
              <w:rPr>
                <w:rFonts w:cs="Arial"/>
                <w:b/>
                <w:sz w:val="20"/>
                <w:szCs w:val="20"/>
                <w:u w:val="single"/>
              </w:rPr>
              <w:t>impartialité politique (SDIP)</w:t>
            </w:r>
          </w:p>
          <w:p w14:paraId="1EF0ACF3" w14:textId="096159CF" w:rsidR="00D715D7" w:rsidRPr="00C25AC9" w:rsidRDefault="00D715D7" w:rsidP="00AB489B">
            <w:pPr>
              <w:rPr>
                <w:rFonts w:cs="Arial"/>
                <w:b/>
                <w:sz w:val="20"/>
                <w:szCs w:val="20"/>
                <w:u w:val="single"/>
              </w:rPr>
            </w:pPr>
          </w:p>
        </w:tc>
        <w:tc>
          <w:tcPr>
            <w:tcW w:w="6662" w:type="dxa"/>
          </w:tcPr>
          <w:p w14:paraId="1227B36B" w14:textId="6E278EA8" w:rsidR="00D715D7" w:rsidRPr="00C25AC9" w:rsidRDefault="00B22142" w:rsidP="00AB489B">
            <w:pPr>
              <w:rPr>
                <w:sz w:val="20"/>
                <w:szCs w:val="20"/>
                <w:lang w:eastAsia="en-CA"/>
              </w:rPr>
            </w:pPr>
            <w:r w:rsidRPr="00C25AC9">
              <w:rPr>
                <w:sz w:val="20"/>
                <w:szCs w:val="20"/>
                <w:lang w:eastAsia="en-CA"/>
              </w:rPr>
              <w:t>Le deuxième cycle du SDIP a été lancé en mars 2021, avec un questionnaire actualisé. Un plan d</w:t>
            </w:r>
            <w:r w:rsidR="00C25AC9" w:rsidRPr="00C25AC9">
              <w:rPr>
                <w:sz w:val="20"/>
                <w:szCs w:val="20"/>
                <w:lang w:eastAsia="en-CA"/>
              </w:rPr>
              <w:t>’</w:t>
            </w:r>
            <w:r w:rsidRPr="00C25AC9">
              <w:rPr>
                <w:sz w:val="20"/>
                <w:szCs w:val="20"/>
                <w:lang w:eastAsia="en-CA"/>
              </w:rPr>
              <w:t xml:space="preserve">analyse officiel sera rédigé séparément. </w:t>
            </w:r>
          </w:p>
        </w:tc>
        <w:tc>
          <w:tcPr>
            <w:tcW w:w="2694" w:type="dxa"/>
          </w:tcPr>
          <w:p w14:paraId="181AD67E" w14:textId="2C091B35" w:rsidR="00D715D7" w:rsidRPr="00C25AC9" w:rsidRDefault="00B22142" w:rsidP="0024142C">
            <w:pPr>
              <w:rPr>
                <w:rFonts w:cs="Arial"/>
                <w:sz w:val="20"/>
                <w:szCs w:val="20"/>
              </w:rPr>
            </w:pPr>
            <w:r w:rsidRPr="00C25AC9">
              <w:rPr>
                <w:rFonts w:cs="Arial"/>
                <w:sz w:val="20"/>
                <w:szCs w:val="20"/>
              </w:rPr>
              <w:t xml:space="preserve">Une analyse exhaustive des réponses </w:t>
            </w:r>
            <w:r w:rsidR="00050718" w:rsidRPr="00C25AC9">
              <w:rPr>
                <w:rFonts w:cs="Arial"/>
                <w:sz w:val="20"/>
                <w:szCs w:val="20"/>
              </w:rPr>
              <w:t xml:space="preserve">du </w:t>
            </w:r>
            <w:r w:rsidRPr="00C25AC9">
              <w:rPr>
                <w:rFonts w:cs="Arial"/>
                <w:sz w:val="20"/>
                <w:szCs w:val="20"/>
              </w:rPr>
              <w:t>SDIP et une stratégie transparente de diffusion des données.</w:t>
            </w:r>
            <w:r w:rsidRPr="00C25AC9">
              <w:rPr>
                <w:rFonts w:cs="Arial"/>
                <w:sz w:val="20"/>
                <w:szCs w:val="20"/>
              </w:rPr>
              <w:tab/>
              <w:t xml:space="preserve"> </w:t>
            </w:r>
          </w:p>
        </w:tc>
        <w:tc>
          <w:tcPr>
            <w:tcW w:w="3969" w:type="dxa"/>
          </w:tcPr>
          <w:p w14:paraId="41221B6D" w14:textId="40F4BA06" w:rsidR="00B22142" w:rsidRPr="00C25AC9" w:rsidRDefault="00B22142" w:rsidP="00AB489B">
            <w:pPr>
              <w:rPr>
                <w:rFonts w:cs="Arial"/>
                <w:sz w:val="20"/>
                <w:szCs w:val="20"/>
                <w:u w:val="single"/>
              </w:rPr>
            </w:pPr>
            <w:r w:rsidRPr="00C25AC9">
              <w:rPr>
                <w:rFonts w:cs="Arial"/>
                <w:sz w:val="20"/>
                <w:szCs w:val="20"/>
                <w:u w:val="single"/>
              </w:rPr>
              <w:t>ETP</w:t>
            </w:r>
            <w:r w:rsidRPr="00C25AC9">
              <w:rPr>
                <w:rFonts w:cs="Arial"/>
                <w:sz w:val="20"/>
                <w:szCs w:val="20"/>
              </w:rPr>
              <w:t xml:space="preserve"> : 2</w:t>
            </w:r>
          </w:p>
          <w:p w14:paraId="58A36DF6" w14:textId="74658230" w:rsidR="00D715D7" w:rsidRPr="00C25AC9" w:rsidRDefault="00D715D7" w:rsidP="00AB489B">
            <w:pPr>
              <w:rPr>
                <w:rFonts w:cs="Arial"/>
                <w:sz w:val="20"/>
                <w:szCs w:val="20"/>
                <w:u w:val="single"/>
              </w:rPr>
            </w:pPr>
          </w:p>
        </w:tc>
      </w:tr>
      <w:tr w:rsidR="00D715D7" w:rsidRPr="00C25AC9" w14:paraId="38E24C21" w14:textId="77777777" w:rsidTr="00AB489B">
        <w:tc>
          <w:tcPr>
            <w:tcW w:w="562" w:type="dxa"/>
          </w:tcPr>
          <w:p w14:paraId="7055A02E" w14:textId="77777777" w:rsidR="00D715D7" w:rsidRPr="00C25AC9" w:rsidRDefault="00D715D7" w:rsidP="00AB489B">
            <w:pPr>
              <w:rPr>
                <w:rFonts w:cs="Arial"/>
                <w:sz w:val="20"/>
                <w:szCs w:val="20"/>
              </w:rPr>
            </w:pPr>
            <w:r w:rsidRPr="00C25AC9">
              <w:rPr>
                <w:rFonts w:cs="Arial"/>
                <w:sz w:val="20"/>
                <w:szCs w:val="20"/>
              </w:rPr>
              <w:t>3</w:t>
            </w:r>
          </w:p>
        </w:tc>
        <w:tc>
          <w:tcPr>
            <w:tcW w:w="3544" w:type="dxa"/>
          </w:tcPr>
          <w:p w14:paraId="547FA5ED" w14:textId="44F12D45" w:rsidR="00F14BAE" w:rsidRPr="00C25AC9" w:rsidRDefault="00F14BAE" w:rsidP="00AB489B">
            <w:pPr>
              <w:rPr>
                <w:rFonts w:cs="Arial"/>
                <w:b/>
                <w:sz w:val="20"/>
                <w:szCs w:val="20"/>
                <w:u w:val="single"/>
              </w:rPr>
            </w:pPr>
            <w:r w:rsidRPr="00C25AC9">
              <w:rPr>
                <w:rFonts w:cs="Arial"/>
                <w:b/>
                <w:sz w:val="20"/>
                <w:szCs w:val="20"/>
                <w:u w:val="single"/>
              </w:rPr>
              <w:t>Mise à jour d</w:t>
            </w:r>
            <w:r w:rsidR="006B1270" w:rsidRPr="00C25AC9">
              <w:rPr>
                <w:rFonts w:cs="Arial"/>
                <w:b/>
                <w:sz w:val="20"/>
                <w:szCs w:val="20"/>
                <w:u w:val="single"/>
              </w:rPr>
              <w:t xml:space="preserve">e la trousse </w:t>
            </w:r>
            <w:r w:rsidRPr="00C25AC9">
              <w:rPr>
                <w:rFonts w:cs="Arial"/>
                <w:b/>
                <w:sz w:val="20"/>
                <w:szCs w:val="20"/>
                <w:u w:val="single"/>
              </w:rPr>
              <w:t>sur la diversité et l</w:t>
            </w:r>
            <w:r w:rsidR="00C25AC9" w:rsidRPr="00C25AC9">
              <w:rPr>
                <w:rFonts w:cs="Arial"/>
                <w:b/>
                <w:sz w:val="20"/>
                <w:szCs w:val="20"/>
                <w:u w:val="single"/>
              </w:rPr>
              <w:t>’</w:t>
            </w:r>
            <w:r w:rsidRPr="00C25AC9">
              <w:rPr>
                <w:rFonts w:cs="Arial"/>
                <w:b/>
                <w:sz w:val="20"/>
                <w:szCs w:val="20"/>
                <w:u w:val="single"/>
              </w:rPr>
              <w:t xml:space="preserve">inclusion </w:t>
            </w:r>
          </w:p>
          <w:p w14:paraId="1FEEFC13" w14:textId="754065A5" w:rsidR="00D715D7" w:rsidRPr="00C25AC9" w:rsidRDefault="00D715D7" w:rsidP="00AB489B">
            <w:pPr>
              <w:rPr>
                <w:rFonts w:cs="Arial"/>
                <w:b/>
                <w:sz w:val="20"/>
                <w:szCs w:val="20"/>
                <w:u w:val="single"/>
              </w:rPr>
            </w:pPr>
          </w:p>
        </w:tc>
        <w:tc>
          <w:tcPr>
            <w:tcW w:w="6662" w:type="dxa"/>
          </w:tcPr>
          <w:p w14:paraId="2288878D" w14:textId="041E13BC" w:rsidR="00F14BAE" w:rsidRPr="00C25AC9" w:rsidRDefault="00F14BAE" w:rsidP="00AB489B">
            <w:pPr>
              <w:rPr>
                <w:sz w:val="20"/>
                <w:szCs w:val="20"/>
                <w:lang w:eastAsia="en-CA"/>
              </w:rPr>
            </w:pPr>
            <w:r w:rsidRPr="00C25AC9">
              <w:rPr>
                <w:sz w:val="20"/>
                <w:szCs w:val="20"/>
                <w:lang w:eastAsia="en-CA"/>
              </w:rPr>
              <w:t>Une série d</w:t>
            </w:r>
            <w:r w:rsidR="00C25AC9" w:rsidRPr="00C25AC9">
              <w:rPr>
                <w:sz w:val="20"/>
                <w:szCs w:val="20"/>
                <w:lang w:eastAsia="en-CA"/>
              </w:rPr>
              <w:t>’</w:t>
            </w:r>
            <w:r w:rsidRPr="00C25AC9">
              <w:rPr>
                <w:sz w:val="20"/>
                <w:szCs w:val="20"/>
                <w:lang w:eastAsia="en-CA"/>
              </w:rPr>
              <w:t>analyses sur le thème de la diversité et de l</w:t>
            </w:r>
            <w:r w:rsidR="00C25AC9" w:rsidRPr="00C25AC9">
              <w:rPr>
                <w:sz w:val="20"/>
                <w:szCs w:val="20"/>
                <w:lang w:eastAsia="en-CA"/>
              </w:rPr>
              <w:t>’</w:t>
            </w:r>
            <w:r w:rsidRPr="00C25AC9">
              <w:rPr>
                <w:sz w:val="20"/>
                <w:szCs w:val="20"/>
                <w:lang w:eastAsia="en-CA"/>
              </w:rPr>
              <w:t xml:space="preserve">inclusion a été élaborée pour examiner les points suivants : </w:t>
            </w:r>
          </w:p>
          <w:p w14:paraId="00E2FEB8" w14:textId="259C38CB" w:rsidR="00A11E48" w:rsidRPr="00C25AC9" w:rsidRDefault="00A11E48" w:rsidP="00A11E48">
            <w:pPr>
              <w:pStyle w:val="ListParagraph"/>
              <w:keepLines w:val="0"/>
              <w:numPr>
                <w:ilvl w:val="0"/>
                <w:numId w:val="15"/>
              </w:numPr>
              <w:spacing w:after="0"/>
              <w:rPr>
                <w:sz w:val="20"/>
                <w:szCs w:val="20"/>
                <w:lang w:eastAsia="en-CA"/>
              </w:rPr>
            </w:pPr>
            <w:r w:rsidRPr="00C25AC9">
              <w:rPr>
                <w:sz w:val="20"/>
                <w:szCs w:val="20"/>
                <w:lang w:eastAsia="en-CA"/>
              </w:rPr>
              <w:t xml:space="preserve">Tendances en matière de départ pour les groupes désignés </w:t>
            </w:r>
            <w:r w:rsidR="0024142C" w:rsidRPr="00C25AC9">
              <w:rPr>
                <w:sz w:val="20"/>
                <w:szCs w:val="20"/>
                <w:lang w:eastAsia="en-CA"/>
              </w:rPr>
              <w:t>par l</w:t>
            </w:r>
            <w:r w:rsidR="00C25AC9" w:rsidRPr="00C25AC9">
              <w:rPr>
                <w:sz w:val="20"/>
                <w:szCs w:val="20"/>
                <w:lang w:eastAsia="en-CA"/>
              </w:rPr>
              <w:t>’</w:t>
            </w:r>
            <w:r w:rsidR="0024142C" w:rsidRPr="00C25AC9">
              <w:rPr>
                <w:sz w:val="20"/>
                <w:szCs w:val="20"/>
                <w:lang w:eastAsia="en-CA"/>
              </w:rPr>
              <w:t>EE.</w:t>
            </w:r>
          </w:p>
          <w:p w14:paraId="1F528D85" w14:textId="73D1DF25" w:rsidR="00A11E48" w:rsidRPr="00C25AC9" w:rsidRDefault="00A11E48" w:rsidP="00A11E48">
            <w:pPr>
              <w:pStyle w:val="ListParagraph"/>
              <w:keepLines w:val="0"/>
              <w:numPr>
                <w:ilvl w:val="0"/>
                <w:numId w:val="15"/>
              </w:numPr>
              <w:spacing w:after="0"/>
              <w:rPr>
                <w:sz w:val="20"/>
                <w:szCs w:val="20"/>
                <w:lang w:eastAsia="en-CA"/>
              </w:rPr>
            </w:pPr>
            <w:r w:rsidRPr="00C25AC9">
              <w:rPr>
                <w:sz w:val="20"/>
                <w:szCs w:val="20"/>
                <w:lang w:eastAsia="en-CA"/>
              </w:rPr>
              <w:t>Répercussions de la candidature des fonctionnaires actuels sur les processus externes.</w:t>
            </w:r>
          </w:p>
          <w:p w14:paraId="3D0BF565" w14:textId="0AC8D8CA" w:rsidR="00A11E48" w:rsidRPr="00C25AC9" w:rsidRDefault="00A11E48" w:rsidP="00A11E48">
            <w:pPr>
              <w:pStyle w:val="ListParagraph"/>
              <w:keepLines w:val="0"/>
              <w:numPr>
                <w:ilvl w:val="0"/>
                <w:numId w:val="15"/>
              </w:numPr>
              <w:spacing w:after="0"/>
              <w:rPr>
                <w:sz w:val="20"/>
                <w:szCs w:val="20"/>
                <w:lang w:eastAsia="en-CA"/>
              </w:rPr>
            </w:pPr>
            <w:r w:rsidRPr="00C25AC9">
              <w:rPr>
                <w:sz w:val="20"/>
                <w:szCs w:val="20"/>
                <w:lang w:eastAsia="en-CA"/>
              </w:rPr>
              <w:t xml:space="preserve">Répercussions des nominations non annoncées sur les groupes désignés </w:t>
            </w:r>
            <w:r w:rsidR="00E20EE7" w:rsidRPr="00C25AC9">
              <w:rPr>
                <w:sz w:val="20"/>
                <w:szCs w:val="20"/>
                <w:lang w:eastAsia="en-CA"/>
              </w:rPr>
              <w:t>par l</w:t>
            </w:r>
            <w:r w:rsidR="00C25AC9" w:rsidRPr="00C25AC9">
              <w:rPr>
                <w:sz w:val="20"/>
                <w:szCs w:val="20"/>
                <w:lang w:eastAsia="en-CA"/>
              </w:rPr>
              <w:t>’</w:t>
            </w:r>
            <w:r w:rsidRPr="00C25AC9">
              <w:rPr>
                <w:sz w:val="20"/>
                <w:szCs w:val="20"/>
                <w:lang w:eastAsia="en-CA"/>
              </w:rPr>
              <w:t>EE.</w:t>
            </w:r>
          </w:p>
          <w:p w14:paraId="0ED1ED03" w14:textId="6CB809B2" w:rsidR="00A11E48" w:rsidRPr="00C25AC9" w:rsidRDefault="00A11E48" w:rsidP="00A11E48">
            <w:pPr>
              <w:pStyle w:val="ListParagraph"/>
              <w:keepLines w:val="0"/>
              <w:numPr>
                <w:ilvl w:val="0"/>
                <w:numId w:val="15"/>
              </w:numPr>
              <w:spacing w:after="0"/>
              <w:rPr>
                <w:sz w:val="20"/>
                <w:szCs w:val="20"/>
                <w:lang w:eastAsia="en-CA"/>
              </w:rPr>
            </w:pPr>
            <w:r w:rsidRPr="00C25AC9">
              <w:rPr>
                <w:sz w:val="20"/>
                <w:szCs w:val="20"/>
                <w:lang w:eastAsia="en-CA"/>
              </w:rPr>
              <w:t>Analyse de la citoyenneté</w:t>
            </w:r>
            <w:r w:rsidR="0024142C" w:rsidRPr="00C25AC9">
              <w:rPr>
                <w:sz w:val="20"/>
                <w:szCs w:val="20"/>
                <w:lang w:eastAsia="en-CA"/>
              </w:rPr>
              <w:t>.</w:t>
            </w:r>
          </w:p>
          <w:p w14:paraId="77E2A9F7" w14:textId="41C37998" w:rsidR="00A11E48" w:rsidRPr="00C25AC9" w:rsidRDefault="0024142C" w:rsidP="00DA68D8">
            <w:pPr>
              <w:pStyle w:val="ListParagraph"/>
              <w:keepLines w:val="0"/>
              <w:numPr>
                <w:ilvl w:val="0"/>
                <w:numId w:val="15"/>
              </w:numPr>
              <w:spacing w:after="0"/>
              <w:rPr>
                <w:sz w:val="20"/>
                <w:szCs w:val="20"/>
                <w:lang w:eastAsia="en-CA"/>
              </w:rPr>
            </w:pPr>
            <w:r w:rsidRPr="00C25AC9">
              <w:rPr>
                <w:sz w:val="20"/>
                <w:szCs w:val="20"/>
                <w:lang w:eastAsia="en-CA"/>
              </w:rPr>
              <w:t>A</w:t>
            </w:r>
            <w:r w:rsidR="00A11E48" w:rsidRPr="00C25AC9">
              <w:rPr>
                <w:sz w:val="20"/>
                <w:szCs w:val="20"/>
                <w:lang w:eastAsia="en-CA"/>
              </w:rPr>
              <w:t>nalyse de la promotion de l</w:t>
            </w:r>
            <w:r w:rsidR="00C25AC9" w:rsidRPr="00C25AC9">
              <w:rPr>
                <w:sz w:val="20"/>
                <w:szCs w:val="20"/>
                <w:lang w:eastAsia="en-CA"/>
              </w:rPr>
              <w:t>’</w:t>
            </w:r>
            <w:r w:rsidR="00A11E48" w:rsidRPr="00C25AC9">
              <w:rPr>
                <w:sz w:val="20"/>
                <w:szCs w:val="20"/>
                <w:lang w:eastAsia="en-CA"/>
              </w:rPr>
              <w:t xml:space="preserve">EE pour les sous-groupes de minorités visibles. </w:t>
            </w:r>
          </w:p>
          <w:p w14:paraId="6D5EC347" w14:textId="6CB36F7F" w:rsidR="00A11E48" w:rsidRPr="00C25AC9" w:rsidRDefault="00A11E48" w:rsidP="00AB489B">
            <w:pPr>
              <w:rPr>
                <w:sz w:val="20"/>
                <w:szCs w:val="20"/>
                <w:lang w:eastAsia="en-CA"/>
              </w:rPr>
            </w:pPr>
            <w:r w:rsidRPr="00C25AC9">
              <w:rPr>
                <w:sz w:val="20"/>
                <w:szCs w:val="20"/>
                <w:lang w:eastAsia="en-CA"/>
              </w:rPr>
              <w:t xml:space="preserve">Ce projet suppose la mise à jour des études existantes et leur diffusion sur le Portail du </w:t>
            </w:r>
            <w:r w:rsidR="00A04F49" w:rsidRPr="00C25AC9">
              <w:rPr>
                <w:sz w:val="20"/>
                <w:szCs w:val="20"/>
                <w:lang w:eastAsia="en-CA"/>
              </w:rPr>
              <w:t>g</w:t>
            </w:r>
            <w:r w:rsidRPr="00C25AC9">
              <w:rPr>
                <w:sz w:val="20"/>
                <w:szCs w:val="20"/>
                <w:lang w:eastAsia="en-CA"/>
              </w:rPr>
              <w:t xml:space="preserve">ouvernement </w:t>
            </w:r>
            <w:r w:rsidR="00A04F49" w:rsidRPr="00C25AC9">
              <w:rPr>
                <w:sz w:val="20"/>
                <w:szCs w:val="20"/>
                <w:lang w:eastAsia="en-CA"/>
              </w:rPr>
              <w:t>o</w:t>
            </w:r>
            <w:r w:rsidRPr="00C25AC9">
              <w:rPr>
                <w:sz w:val="20"/>
                <w:szCs w:val="20"/>
                <w:lang w:eastAsia="en-CA"/>
              </w:rPr>
              <w:t xml:space="preserve">uvert. </w:t>
            </w:r>
          </w:p>
          <w:p w14:paraId="109053C8" w14:textId="5F35DDFF" w:rsidR="00D715D7" w:rsidRPr="00C25AC9" w:rsidRDefault="00D715D7" w:rsidP="00AB489B">
            <w:pPr>
              <w:rPr>
                <w:sz w:val="20"/>
                <w:szCs w:val="20"/>
                <w:lang w:eastAsia="en-CA"/>
              </w:rPr>
            </w:pPr>
          </w:p>
        </w:tc>
        <w:tc>
          <w:tcPr>
            <w:tcW w:w="2694" w:type="dxa"/>
          </w:tcPr>
          <w:p w14:paraId="2368CC81" w14:textId="7AA44FE5" w:rsidR="00A11E48" w:rsidRPr="00C25AC9" w:rsidRDefault="00A11E48" w:rsidP="00AB489B">
            <w:pPr>
              <w:rPr>
                <w:rFonts w:cs="Arial"/>
                <w:sz w:val="20"/>
                <w:szCs w:val="20"/>
              </w:rPr>
            </w:pPr>
            <w:r w:rsidRPr="00C25AC9">
              <w:rPr>
                <w:rFonts w:cs="Arial"/>
                <w:sz w:val="20"/>
                <w:szCs w:val="20"/>
              </w:rPr>
              <w:t>Une trousse informant les intervenants internes et externes des analyses clés menées par la CFP sur le thème de la diversité et de l</w:t>
            </w:r>
            <w:r w:rsidR="00C25AC9" w:rsidRPr="00C25AC9">
              <w:rPr>
                <w:rFonts w:cs="Arial"/>
                <w:sz w:val="20"/>
                <w:szCs w:val="20"/>
              </w:rPr>
              <w:t>’</w:t>
            </w:r>
            <w:r w:rsidRPr="00C25AC9">
              <w:rPr>
                <w:rFonts w:cs="Arial"/>
                <w:sz w:val="20"/>
                <w:szCs w:val="20"/>
              </w:rPr>
              <w:t xml:space="preserve">inclusion. </w:t>
            </w:r>
          </w:p>
          <w:p w14:paraId="170A6CB2" w14:textId="77777777" w:rsidR="00A11E48" w:rsidRPr="00C25AC9" w:rsidRDefault="00A11E48" w:rsidP="00AB489B">
            <w:pPr>
              <w:rPr>
                <w:rFonts w:cs="Arial"/>
                <w:sz w:val="20"/>
                <w:szCs w:val="20"/>
              </w:rPr>
            </w:pPr>
          </w:p>
          <w:p w14:paraId="0BEAD5D5" w14:textId="3AC955DF" w:rsidR="00D715D7" w:rsidRPr="00C25AC9" w:rsidRDefault="00D715D7" w:rsidP="00AB489B">
            <w:pPr>
              <w:rPr>
                <w:rFonts w:cs="Arial"/>
                <w:sz w:val="20"/>
                <w:szCs w:val="20"/>
              </w:rPr>
            </w:pPr>
          </w:p>
        </w:tc>
        <w:tc>
          <w:tcPr>
            <w:tcW w:w="3969" w:type="dxa"/>
          </w:tcPr>
          <w:p w14:paraId="4B1A0C5E" w14:textId="7E92DA56" w:rsidR="00D715D7" w:rsidRPr="00C25AC9" w:rsidRDefault="00A11E48" w:rsidP="00AB489B">
            <w:pPr>
              <w:rPr>
                <w:rFonts w:cs="Arial"/>
                <w:sz w:val="20"/>
                <w:szCs w:val="20"/>
              </w:rPr>
            </w:pPr>
            <w:r w:rsidRPr="00C25AC9">
              <w:rPr>
                <w:rFonts w:cs="Arial"/>
                <w:sz w:val="20"/>
                <w:szCs w:val="20"/>
                <w:u w:val="single"/>
              </w:rPr>
              <w:t>ETP</w:t>
            </w:r>
            <w:r w:rsidRPr="00C25AC9">
              <w:rPr>
                <w:rFonts w:cs="Arial"/>
                <w:sz w:val="20"/>
                <w:szCs w:val="20"/>
              </w:rPr>
              <w:t> </w:t>
            </w:r>
            <w:r w:rsidR="00D715D7" w:rsidRPr="00C25AC9">
              <w:rPr>
                <w:rFonts w:cs="Arial"/>
                <w:sz w:val="20"/>
                <w:szCs w:val="20"/>
              </w:rPr>
              <w:t xml:space="preserve">: ¼ </w:t>
            </w:r>
          </w:p>
          <w:p w14:paraId="415950A2" w14:textId="77777777" w:rsidR="00D715D7" w:rsidRPr="00C25AC9" w:rsidRDefault="00D715D7" w:rsidP="00AB489B">
            <w:pPr>
              <w:rPr>
                <w:rFonts w:cs="Arial"/>
                <w:sz w:val="20"/>
                <w:szCs w:val="20"/>
              </w:rPr>
            </w:pPr>
          </w:p>
          <w:p w14:paraId="1A773291" w14:textId="3AF5E43A" w:rsidR="00D715D7" w:rsidRPr="00C25AC9" w:rsidRDefault="00D715D7" w:rsidP="00AB489B">
            <w:pPr>
              <w:rPr>
                <w:rFonts w:cs="Arial"/>
                <w:sz w:val="20"/>
                <w:szCs w:val="20"/>
              </w:rPr>
            </w:pPr>
            <w:r w:rsidRPr="00C25AC9">
              <w:rPr>
                <w:rFonts w:cs="Arial"/>
                <w:sz w:val="20"/>
                <w:szCs w:val="20"/>
                <w:u w:val="single"/>
              </w:rPr>
              <w:t>D</w:t>
            </w:r>
            <w:r w:rsidR="00A11E48" w:rsidRPr="00C25AC9">
              <w:rPr>
                <w:rFonts w:cs="Arial"/>
                <w:sz w:val="20"/>
                <w:szCs w:val="20"/>
                <w:u w:val="single"/>
              </w:rPr>
              <w:t>onnées</w:t>
            </w:r>
            <w:r w:rsidR="00E119EF" w:rsidRPr="00C25AC9">
              <w:rPr>
                <w:rFonts w:cs="Arial"/>
                <w:sz w:val="20"/>
                <w:szCs w:val="20"/>
              </w:rPr>
              <w:t xml:space="preserve"> </w:t>
            </w:r>
            <w:r w:rsidRPr="00C25AC9">
              <w:rPr>
                <w:rFonts w:cs="Arial"/>
                <w:sz w:val="20"/>
                <w:szCs w:val="20"/>
              </w:rPr>
              <w:t xml:space="preserve">: </w:t>
            </w:r>
            <w:r w:rsidR="00A11E48" w:rsidRPr="00C25AC9">
              <w:rPr>
                <w:rFonts w:cs="Arial"/>
                <w:sz w:val="20"/>
                <w:szCs w:val="20"/>
              </w:rPr>
              <w:t>Sources administratives</w:t>
            </w:r>
          </w:p>
          <w:p w14:paraId="69DBA4BD" w14:textId="77777777" w:rsidR="00D715D7" w:rsidRPr="00C25AC9" w:rsidRDefault="00D715D7" w:rsidP="00AB489B">
            <w:pPr>
              <w:rPr>
                <w:rFonts w:cs="Arial"/>
                <w:sz w:val="20"/>
                <w:szCs w:val="20"/>
              </w:rPr>
            </w:pPr>
          </w:p>
          <w:p w14:paraId="33AC8886" w14:textId="50566123" w:rsidR="00925B1D" w:rsidRPr="00C25AC9" w:rsidRDefault="00D715D7" w:rsidP="00AB489B">
            <w:pPr>
              <w:rPr>
                <w:rFonts w:cs="Arial"/>
                <w:sz w:val="20"/>
                <w:szCs w:val="20"/>
                <w:u w:val="single"/>
              </w:rPr>
            </w:pPr>
            <w:r w:rsidRPr="00C25AC9">
              <w:rPr>
                <w:rFonts w:cs="Arial"/>
                <w:sz w:val="20"/>
                <w:szCs w:val="20"/>
                <w:u w:val="single"/>
              </w:rPr>
              <w:t>S</w:t>
            </w:r>
            <w:r w:rsidR="00925B1D" w:rsidRPr="00C25AC9">
              <w:rPr>
                <w:rFonts w:cs="Arial"/>
                <w:sz w:val="20"/>
                <w:szCs w:val="20"/>
                <w:u w:val="single"/>
              </w:rPr>
              <w:t>ituation en novembre 2021</w:t>
            </w:r>
            <w:r w:rsidR="00925B1D" w:rsidRPr="00C25AC9">
              <w:rPr>
                <w:rFonts w:cs="Arial"/>
                <w:sz w:val="20"/>
                <w:szCs w:val="20"/>
              </w:rPr>
              <w:t xml:space="preserve"> : la trousse sera publiée en novembre 2022</w:t>
            </w:r>
          </w:p>
          <w:p w14:paraId="433BCA25" w14:textId="77777777" w:rsidR="00925B1D" w:rsidRPr="00C25AC9" w:rsidRDefault="00925B1D" w:rsidP="00AB489B">
            <w:pPr>
              <w:rPr>
                <w:rFonts w:cs="Arial"/>
                <w:sz w:val="20"/>
                <w:szCs w:val="20"/>
                <w:u w:val="single"/>
              </w:rPr>
            </w:pPr>
          </w:p>
          <w:p w14:paraId="2A4BCC1D" w14:textId="58F013DE" w:rsidR="00D715D7" w:rsidRPr="00C25AC9" w:rsidRDefault="00D715D7" w:rsidP="00AB489B">
            <w:pPr>
              <w:rPr>
                <w:rFonts w:cs="Arial"/>
                <w:sz w:val="20"/>
                <w:szCs w:val="20"/>
              </w:rPr>
            </w:pPr>
          </w:p>
        </w:tc>
      </w:tr>
    </w:tbl>
    <w:p w14:paraId="5C8F4E6D" w14:textId="542DC5D3" w:rsidR="00D715D7" w:rsidRPr="00C25AC9" w:rsidRDefault="00D715D7" w:rsidP="00D715D7"/>
    <w:p w14:paraId="7B0B02AB" w14:textId="70726436" w:rsidR="003C2DA8" w:rsidRPr="00C25AC9" w:rsidRDefault="003C2DA8" w:rsidP="00D715D7"/>
    <w:p w14:paraId="6F7B62D3" w14:textId="6B8B388D" w:rsidR="003C2DA8" w:rsidRPr="00C25AC9" w:rsidRDefault="003C2DA8" w:rsidP="00D715D7"/>
    <w:p w14:paraId="57057BD2" w14:textId="77777777" w:rsidR="003C2DA8" w:rsidRPr="00C25AC9" w:rsidRDefault="003C2DA8" w:rsidP="00D715D7"/>
    <w:p w14:paraId="360DC63A" w14:textId="66662D6D" w:rsidR="007516B7" w:rsidRPr="00C25AC9" w:rsidRDefault="00275F3E" w:rsidP="00D715D7">
      <w:pPr>
        <w:pStyle w:val="Heading2"/>
      </w:pPr>
      <w:bookmarkStart w:id="11" w:name="_Toc93996152"/>
      <w:r w:rsidRPr="00C25AC9">
        <w:t>Nouveaux éléments du plan 2021-2023</w:t>
      </w:r>
      <w:bookmarkEnd w:id="11"/>
    </w:p>
    <w:tbl>
      <w:tblPr>
        <w:tblStyle w:val="TableGrid"/>
        <w:tblW w:w="17431" w:type="dxa"/>
        <w:tblLayout w:type="fixed"/>
        <w:tblLook w:val="04A0" w:firstRow="1" w:lastRow="0" w:firstColumn="1" w:lastColumn="0" w:noHBand="0" w:noVBand="1"/>
        <w:tblCaption w:val="New items on 2021-2023 plan"/>
        <w:tblDescription w:val="List of new items on the 2021-2023 research plan."/>
      </w:tblPr>
      <w:tblGrid>
        <w:gridCol w:w="562"/>
        <w:gridCol w:w="3544"/>
        <w:gridCol w:w="6662"/>
        <w:gridCol w:w="2694"/>
        <w:gridCol w:w="3969"/>
      </w:tblGrid>
      <w:tr w:rsidR="007516B7" w:rsidRPr="00C25AC9" w14:paraId="74221AE5" w14:textId="77777777" w:rsidTr="00101877">
        <w:tc>
          <w:tcPr>
            <w:tcW w:w="562" w:type="dxa"/>
          </w:tcPr>
          <w:p w14:paraId="497A6640" w14:textId="1A8D12FF" w:rsidR="007516B7" w:rsidRPr="00C25AC9" w:rsidRDefault="00101877" w:rsidP="00AB489B">
            <w:pPr>
              <w:rPr>
                <w:rFonts w:cs="Arial"/>
                <w:b/>
                <w:sz w:val="24"/>
                <w:szCs w:val="24"/>
              </w:rPr>
            </w:pPr>
            <w:r w:rsidRPr="00C25AC9">
              <w:rPr>
                <w:rFonts w:cs="Arial"/>
                <w:b/>
                <w:sz w:val="24"/>
                <w:szCs w:val="24"/>
              </w:rPr>
              <w:t>#</w:t>
            </w:r>
          </w:p>
        </w:tc>
        <w:tc>
          <w:tcPr>
            <w:tcW w:w="3544" w:type="dxa"/>
          </w:tcPr>
          <w:p w14:paraId="52D89DA9" w14:textId="4F515477" w:rsidR="007516B7" w:rsidRPr="00C25AC9" w:rsidRDefault="00275F3E" w:rsidP="00A04F49">
            <w:pPr>
              <w:rPr>
                <w:rFonts w:cs="Arial"/>
                <w:b/>
                <w:strike/>
                <w:sz w:val="24"/>
                <w:szCs w:val="24"/>
              </w:rPr>
            </w:pPr>
            <w:r w:rsidRPr="00C25AC9">
              <w:rPr>
                <w:rFonts w:cs="Arial"/>
                <w:b/>
                <w:sz w:val="24"/>
                <w:szCs w:val="24"/>
              </w:rPr>
              <w:t xml:space="preserve">Thèmes proposés </w:t>
            </w:r>
          </w:p>
        </w:tc>
        <w:tc>
          <w:tcPr>
            <w:tcW w:w="6662" w:type="dxa"/>
          </w:tcPr>
          <w:p w14:paraId="4072CCE1" w14:textId="7C7909BF" w:rsidR="007516B7" w:rsidRPr="00C25AC9" w:rsidRDefault="007516B7" w:rsidP="00A04F49">
            <w:pPr>
              <w:rPr>
                <w:rFonts w:cs="Arial"/>
                <w:b/>
                <w:sz w:val="24"/>
                <w:szCs w:val="24"/>
              </w:rPr>
            </w:pPr>
            <w:r w:rsidRPr="00C25AC9">
              <w:rPr>
                <w:rFonts w:cs="Arial"/>
                <w:b/>
                <w:sz w:val="24"/>
                <w:szCs w:val="24"/>
              </w:rPr>
              <w:t>Description/</w:t>
            </w:r>
            <w:r w:rsidR="00FC2B00" w:rsidRPr="00C25AC9">
              <w:rPr>
                <w:rFonts w:cs="Arial"/>
                <w:b/>
                <w:sz w:val="24"/>
                <w:szCs w:val="24"/>
              </w:rPr>
              <w:t>Q</w:t>
            </w:r>
            <w:r w:rsidR="00D159D3" w:rsidRPr="00C25AC9">
              <w:rPr>
                <w:rFonts w:cs="Arial"/>
                <w:b/>
                <w:sz w:val="24"/>
                <w:szCs w:val="24"/>
              </w:rPr>
              <w:t>uestion(s) de recherche</w:t>
            </w:r>
          </w:p>
        </w:tc>
        <w:tc>
          <w:tcPr>
            <w:tcW w:w="2694" w:type="dxa"/>
          </w:tcPr>
          <w:p w14:paraId="72D91DDE" w14:textId="7BD135BB" w:rsidR="007516B7" w:rsidRPr="00C25AC9" w:rsidRDefault="00E2092D" w:rsidP="00AB489B">
            <w:pPr>
              <w:rPr>
                <w:rFonts w:cs="Arial"/>
                <w:b/>
                <w:sz w:val="24"/>
                <w:szCs w:val="24"/>
              </w:rPr>
            </w:pPr>
            <w:r w:rsidRPr="00C25AC9">
              <w:rPr>
                <w:rFonts w:cs="Arial"/>
                <w:b/>
                <w:sz w:val="24"/>
                <w:szCs w:val="24"/>
              </w:rPr>
              <w:t>Résultats/</w:t>
            </w:r>
            <w:r w:rsidR="0032302D" w:rsidRPr="00C25AC9">
              <w:rPr>
                <w:rFonts w:cs="Arial"/>
                <w:b/>
                <w:sz w:val="24"/>
                <w:szCs w:val="24"/>
              </w:rPr>
              <w:t>Incidence</w:t>
            </w:r>
          </w:p>
        </w:tc>
        <w:tc>
          <w:tcPr>
            <w:tcW w:w="3969" w:type="dxa"/>
          </w:tcPr>
          <w:p w14:paraId="7015170C" w14:textId="7507C0E9" w:rsidR="007516B7" w:rsidRPr="00C25AC9" w:rsidRDefault="007516B7" w:rsidP="00AB489B">
            <w:pPr>
              <w:rPr>
                <w:rFonts w:cs="Arial"/>
                <w:b/>
                <w:sz w:val="24"/>
                <w:szCs w:val="24"/>
              </w:rPr>
            </w:pPr>
            <w:r w:rsidRPr="00C25AC9">
              <w:rPr>
                <w:rFonts w:cs="Arial"/>
                <w:b/>
                <w:sz w:val="24"/>
                <w:szCs w:val="24"/>
              </w:rPr>
              <w:t>Re</w:t>
            </w:r>
            <w:r w:rsidR="00E2092D" w:rsidRPr="00C25AC9">
              <w:rPr>
                <w:rFonts w:cs="Arial"/>
                <w:b/>
                <w:sz w:val="24"/>
                <w:szCs w:val="24"/>
              </w:rPr>
              <w:t>s</w:t>
            </w:r>
            <w:r w:rsidRPr="00C25AC9">
              <w:rPr>
                <w:rFonts w:cs="Arial"/>
                <w:b/>
                <w:sz w:val="24"/>
                <w:szCs w:val="24"/>
              </w:rPr>
              <w:t>sources*/</w:t>
            </w:r>
            <w:r w:rsidR="00FC2B00" w:rsidRPr="00C25AC9">
              <w:rPr>
                <w:rFonts w:cs="Arial"/>
                <w:b/>
                <w:sz w:val="24"/>
                <w:szCs w:val="24"/>
              </w:rPr>
              <w:t>C</w:t>
            </w:r>
            <w:r w:rsidR="00E2092D" w:rsidRPr="00C25AC9">
              <w:rPr>
                <w:rFonts w:cs="Arial"/>
                <w:b/>
                <w:sz w:val="24"/>
                <w:szCs w:val="24"/>
              </w:rPr>
              <w:t>alendriers</w:t>
            </w:r>
          </w:p>
        </w:tc>
      </w:tr>
      <w:tr w:rsidR="007516B7" w:rsidRPr="00C25AC9" w14:paraId="09CE63EB" w14:textId="77777777" w:rsidTr="00101877">
        <w:tc>
          <w:tcPr>
            <w:tcW w:w="562" w:type="dxa"/>
          </w:tcPr>
          <w:p w14:paraId="5B6EC6FD" w14:textId="77777777" w:rsidR="007516B7" w:rsidRPr="00C25AC9" w:rsidRDefault="007516B7" w:rsidP="00AB489B">
            <w:pPr>
              <w:rPr>
                <w:rFonts w:cs="Arial"/>
                <w:sz w:val="20"/>
                <w:szCs w:val="20"/>
              </w:rPr>
            </w:pPr>
            <w:r w:rsidRPr="00C25AC9">
              <w:rPr>
                <w:rFonts w:cs="Arial"/>
                <w:sz w:val="20"/>
                <w:szCs w:val="20"/>
              </w:rPr>
              <w:t>1</w:t>
            </w:r>
          </w:p>
        </w:tc>
        <w:tc>
          <w:tcPr>
            <w:tcW w:w="3544" w:type="dxa"/>
          </w:tcPr>
          <w:p w14:paraId="69894869" w14:textId="098B17AF" w:rsidR="00BA2395" w:rsidRPr="00C25AC9" w:rsidRDefault="007516B7" w:rsidP="00AB489B">
            <w:pPr>
              <w:rPr>
                <w:rFonts w:cs="Arial"/>
                <w:b/>
                <w:sz w:val="20"/>
                <w:szCs w:val="20"/>
                <w:u w:val="single"/>
              </w:rPr>
            </w:pPr>
            <w:r w:rsidRPr="00C25AC9">
              <w:rPr>
                <w:rFonts w:cs="Arial"/>
                <w:b/>
                <w:sz w:val="20"/>
                <w:szCs w:val="20"/>
                <w:u w:val="single"/>
              </w:rPr>
              <w:t>I</w:t>
            </w:r>
            <w:r w:rsidR="00FC2B00" w:rsidRPr="00C25AC9">
              <w:rPr>
                <w:rFonts w:cs="Arial"/>
                <w:b/>
                <w:sz w:val="20"/>
                <w:szCs w:val="20"/>
                <w:u w:val="single"/>
              </w:rPr>
              <w:t xml:space="preserve">ncidence </w:t>
            </w:r>
            <w:r w:rsidR="00BA2395" w:rsidRPr="00C25AC9">
              <w:rPr>
                <w:rFonts w:cs="Arial"/>
                <w:b/>
                <w:sz w:val="20"/>
                <w:szCs w:val="20"/>
                <w:u w:val="single"/>
              </w:rPr>
              <w:t>des langues officielles sur les groupes visés par l</w:t>
            </w:r>
            <w:r w:rsidR="00C25AC9" w:rsidRPr="00C25AC9">
              <w:rPr>
                <w:rFonts w:cs="Arial"/>
                <w:b/>
                <w:sz w:val="20"/>
                <w:szCs w:val="20"/>
                <w:u w:val="single"/>
              </w:rPr>
              <w:t>’</w:t>
            </w:r>
            <w:r w:rsidR="00BA2395" w:rsidRPr="00C25AC9">
              <w:rPr>
                <w:rFonts w:cs="Arial"/>
                <w:b/>
                <w:sz w:val="20"/>
                <w:szCs w:val="20"/>
                <w:u w:val="single"/>
              </w:rPr>
              <w:t>EE</w:t>
            </w:r>
          </w:p>
          <w:p w14:paraId="549F42CC" w14:textId="77777777" w:rsidR="007516B7" w:rsidRPr="00C25AC9" w:rsidRDefault="007516B7" w:rsidP="00AB489B">
            <w:pPr>
              <w:rPr>
                <w:rFonts w:cs="Arial"/>
                <w:b/>
                <w:sz w:val="20"/>
                <w:szCs w:val="20"/>
                <w:u w:val="single"/>
              </w:rPr>
            </w:pPr>
          </w:p>
          <w:p w14:paraId="12A5653B" w14:textId="16434FE4" w:rsidR="00BA2395" w:rsidRPr="00C25AC9" w:rsidRDefault="007516B7" w:rsidP="00AB489B">
            <w:pPr>
              <w:rPr>
                <w:rFonts w:cs="Arial"/>
                <w:b/>
                <w:sz w:val="20"/>
                <w:szCs w:val="20"/>
                <w:u w:val="single"/>
              </w:rPr>
            </w:pPr>
            <w:r w:rsidRPr="00C25AC9">
              <w:rPr>
                <w:rFonts w:cs="Arial"/>
                <w:b/>
                <w:sz w:val="20"/>
                <w:szCs w:val="20"/>
                <w:u w:val="single"/>
              </w:rPr>
              <w:t>Source</w:t>
            </w:r>
            <w:r w:rsidR="00BA2395" w:rsidRPr="00C25AC9">
              <w:rPr>
                <w:rFonts w:cs="Arial"/>
                <w:b/>
                <w:sz w:val="20"/>
                <w:szCs w:val="20"/>
                <w:u w:val="single"/>
              </w:rPr>
              <w:t xml:space="preserve"> </w:t>
            </w:r>
            <w:r w:rsidRPr="00C25AC9">
              <w:rPr>
                <w:rFonts w:cs="Arial"/>
                <w:b/>
                <w:sz w:val="20"/>
                <w:szCs w:val="20"/>
                <w:u w:val="single"/>
              </w:rPr>
              <w:t xml:space="preserve">: </w:t>
            </w:r>
            <w:r w:rsidR="00BA2395" w:rsidRPr="00C25AC9">
              <w:rPr>
                <w:rFonts w:cs="Arial"/>
                <w:b/>
                <w:sz w:val="20"/>
                <w:szCs w:val="20"/>
                <w:u w:val="single"/>
              </w:rPr>
              <w:t>Groupe de travail sur l</w:t>
            </w:r>
            <w:r w:rsidR="00C25AC9" w:rsidRPr="00C25AC9">
              <w:rPr>
                <w:rFonts w:cs="Arial"/>
                <w:b/>
                <w:sz w:val="20"/>
                <w:szCs w:val="20"/>
                <w:u w:val="single"/>
              </w:rPr>
              <w:t>’</w:t>
            </w:r>
            <w:r w:rsidR="00A046B3" w:rsidRPr="00C25AC9">
              <w:rPr>
                <w:rFonts w:cs="Arial"/>
                <w:b/>
                <w:sz w:val="20"/>
                <w:szCs w:val="20"/>
                <w:u w:val="single"/>
              </w:rPr>
              <w:t xml:space="preserve">EE </w:t>
            </w:r>
            <w:r w:rsidR="00BA2395" w:rsidRPr="00C25AC9">
              <w:rPr>
                <w:rFonts w:cs="Arial"/>
                <w:b/>
                <w:sz w:val="20"/>
                <w:szCs w:val="20"/>
                <w:u w:val="single"/>
              </w:rPr>
              <w:t xml:space="preserve">de la CFP </w:t>
            </w:r>
          </w:p>
          <w:p w14:paraId="3FE08053" w14:textId="77777777" w:rsidR="00BA2395" w:rsidRPr="00C25AC9" w:rsidRDefault="00BA2395" w:rsidP="00AB489B">
            <w:pPr>
              <w:rPr>
                <w:rFonts w:cs="Arial"/>
                <w:b/>
                <w:sz w:val="20"/>
                <w:szCs w:val="20"/>
                <w:u w:val="single"/>
              </w:rPr>
            </w:pPr>
          </w:p>
          <w:p w14:paraId="2EF42912" w14:textId="77777777" w:rsidR="007516B7" w:rsidRPr="00C25AC9" w:rsidRDefault="007516B7" w:rsidP="00AB489B">
            <w:pPr>
              <w:rPr>
                <w:rFonts w:cs="Arial"/>
                <w:b/>
                <w:bCs/>
                <w:sz w:val="20"/>
                <w:szCs w:val="20"/>
                <w:u w:val="single"/>
              </w:rPr>
            </w:pPr>
          </w:p>
          <w:p w14:paraId="67D86862" w14:textId="0637B558" w:rsidR="007516B7" w:rsidRPr="00C25AC9" w:rsidRDefault="007516B7" w:rsidP="00AB489B">
            <w:pPr>
              <w:rPr>
                <w:rFonts w:ascii="Calibri" w:eastAsia="Calibri" w:hAnsi="Calibri" w:cs="Calibri"/>
              </w:rPr>
            </w:pPr>
          </w:p>
        </w:tc>
        <w:tc>
          <w:tcPr>
            <w:tcW w:w="6662" w:type="dxa"/>
          </w:tcPr>
          <w:p w14:paraId="529035B9" w14:textId="5F8110A9" w:rsidR="00BA2395" w:rsidRPr="00C25AC9" w:rsidRDefault="00BA2395" w:rsidP="00AB489B">
            <w:pPr>
              <w:rPr>
                <w:sz w:val="20"/>
                <w:szCs w:val="20"/>
                <w:lang w:eastAsia="en-CA"/>
              </w:rPr>
            </w:pPr>
            <w:r w:rsidRPr="00C25AC9">
              <w:rPr>
                <w:sz w:val="20"/>
                <w:szCs w:val="20"/>
                <w:lang w:eastAsia="en-CA"/>
              </w:rPr>
              <w:t>Divers groupes visés par l</w:t>
            </w:r>
            <w:r w:rsidR="00C25AC9" w:rsidRPr="00C25AC9">
              <w:rPr>
                <w:sz w:val="20"/>
                <w:szCs w:val="20"/>
                <w:lang w:eastAsia="en-CA"/>
              </w:rPr>
              <w:t>’</w:t>
            </w:r>
            <w:r w:rsidRPr="00C25AC9">
              <w:rPr>
                <w:sz w:val="20"/>
                <w:szCs w:val="20"/>
                <w:lang w:eastAsia="en-CA"/>
              </w:rPr>
              <w:t>EE ont déterminé que les langues officielles constituaient un obstacle à leur avancement professionnel. L</w:t>
            </w:r>
            <w:r w:rsidR="00C25AC9" w:rsidRPr="00C25AC9">
              <w:rPr>
                <w:sz w:val="20"/>
                <w:szCs w:val="20"/>
                <w:lang w:eastAsia="en-CA"/>
              </w:rPr>
              <w:t>’</w:t>
            </w:r>
            <w:r w:rsidRPr="00C25AC9">
              <w:rPr>
                <w:sz w:val="20"/>
                <w:szCs w:val="20"/>
                <w:lang w:eastAsia="en-CA"/>
              </w:rPr>
              <w:t>analyse portera sur de nombreuses questions de recherche grâce à l</w:t>
            </w:r>
            <w:r w:rsidR="00C25AC9" w:rsidRPr="00C25AC9">
              <w:rPr>
                <w:sz w:val="20"/>
                <w:szCs w:val="20"/>
                <w:lang w:eastAsia="en-CA"/>
              </w:rPr>
              <w:t>’</w:t>
            </w:r>
            <w:r w:rsidRPr="00C25AC9">
              <w:rPr>
                <w:sz w:val="20"/>
                <w:szCs w:val="20"/>
                <w:lang w:eastAsia="en-CA"/>
              </w:rPr>
              <w:t>établissement d</w:t>
            </w:r>
            <w:r w:rsidR="00C25AC9" w:rsidRPr="00C25AC9">
              <w:rPr>
                <w:sz w:val="20"/>
                <w:szCs w:val="20"/>
                <w:lang w:eastAsia="en-CA"/>
              </w:rPr>
              <w:t>’</w:t>
            </w:r>
            <w:r w:rsidRPr="00C25AC9">
              <w:rPr>
                <w:sz w:val="20"/>
                <w:szCs w:val="20"/>
                <w:lang w:eastAsia="en-CA"/>
              </w:rPr>
              <w:t>un sous-groupe de travail relevant du Groupe de travail sur l</w:t>
            </w:r>
            <w:r w:rsidR="00C25AC9" w:rsidRPr="00C25AC9">
              <w:rPr>
                <w:sz w:val="20"/>
                <w:szCs w:val="20"/>
                <w:lang w:eastAsia="en-CA"/>
              </w:rPr>
              <w:t>’</w:t>
            </w:r>
            <w:r w:rsidR="00163B83" w:rsidRPr="00C25AC9">
              <w:rPr>
                <w:sz w:val="20"/>
                <w:szCs w:val="20"/>
                <w:lang w:eastAsia="en-CA"/>
              </w:rPr>
              <w:t>EE</w:t>
            </w:r>
            <w:r w:rsidRPr="00C25AC9">
              <w:rPr>
                <w:sz w:val="20"/>
                <w:szCs w:val="20"/>
                <w:lang w:eastAsia="en-CA"/>
              </w:rPr>
              <w:t xml:space="preserve"> de la CFP. </w:t>
            </w:r>
          </w:p>
          <w:p w14:paraId="55C1AD78" w14:textId="77777777" w:rsidR="00BA2395" w:rsidRPr="00C25AC9" w:rsidRDefault="00BA2395" w:rsidP="00AB489B">
            <w:pPr>
              <w:rPr>
                <w:sz w:val="20"/>
                <w:szCs w:val="20"/>
                <w:lang w:eastAsia="en-CA"/>
              </w:rPr>
            </w:pPr>
          </w:p>
          <w:p w14:paraId="361EC660" w14:textId="5C76628A" w:rsidR="00BA2395" w:rsidRPr="00C25AC9" w:rsidRDefault="00BA2395" w:rsidP="00BA2395">
            <w:pPr>
              <w:rPr>
                <w:sz w:val="20"/>
                <w:szCs w:val="20"/>
                <w:lang w:eastAsia="en-CA"/>
              </w:rPr>
            </w:pPr>
            <w:r w:rsidRPr="00C25AC9">
              <w:rPr>
                <w:sz w:val="20"/>
                <w:szCs w:val="20"/>
                <w:lang w:eastAsia="en-CA"/>
              </w:rPr>
              <w:t>Q : Les membres des groupes visés par l</w:t>
            </w:r>
            <w:r w:rsidR="00C25AC9" w:rsidRPr="00C25AC9">
              <w:rPr>
                <w:sz w:val="20"/>
                <w:szCs w:val="20"/>
                <w:lang w:eastAsia="en-CA"/>
              </w:rPr>
              <w:t>’</w:t>
            </w:r>
            <w:r w:rsidRPr="00C25AC9">
              <w:rPr>
                <w:sz w:val="20"/>
                <w:szCs w:val="20"/>
                <w:lang w:eastAsia="en-CA"/>
              </w:rPr>
              <w:t xml:space="preserve">EE se présentent-ils comme candidats à des postes bilingues dans la même mesure que leurs homologues? </w:t>
            </w:r>
          </w:p>
          <w:p w14:paraId="4E05FBE9" w14:textId="0ED69233" w:rsidR="00BA2395" w:rsidRPr="00C25AC9" w:rsidRDefault="00BA2395" w:rsidP="00BA2395">
            <w:pPr>
              <w:rPr>
                <w:sz w:val="20"/>
                <w:szCs w:val="20"/>
                <w:lang w:eastAsia="en-CA"/>
              </w:rPr>
            </w:pPr>
            <w:r w:rsidRPr="00C25AC9">
              <w:rPr>
                <w:sz w:val="20"/>
                <w:szCs w:val="20"/>
                <w:lang w:eastAsia="en-CA"/>
              </w:rPr>
              <w:t>Q : Y a-t-il des facteurs qui influent différemment sur la capacité des membres des groupes visés par l</w:t>
            </w:r>
            <w:r w:rsidR="00C25AC9" w:rsidRPr="00C25AC9">
              <w:rPr>
                <w:sz w:val="20"/>
                <w:szCs w:val="20"/>
                <w:lang w:eastAsia="en-CA"/>
              </w:rPr>
              <w:t>’</w:t>
            </w:r>
            <w:r w:rsidR="005D634D" w:rsidRPr="00C25AC9">
              <w:rPr>
                <w:sz w:val="20"/>
                <w:szCs w:val="20"/>
                <w:lang w:eastAsia="en-CA"/>
              </w:rPr>
              <w:t>EE</w:t>
            </w:r>
            <w:r w:rsidRPr="00C25AC9">
              <w:rPr>
                <w:sz w:val="20"/>
                <w:szCs w:val="20"/>
                <w:lang w:eastAsia="en-CA"/>
              </w:rPr>
              <w:t xml:space="preserve"> de satisfaire aux exigences en matière de langues officielles?</w:t>
            </w:r>
          </w:p>
          <w:p w14:paraId="60F4AF2A" w14:textId="28A1673F" w:rsidR="00BA2395" w:rsidRPr="00C25AC9" w:rsidRDefault="00BA2395" w:rsidP="00BA2395">
            <w:pPr>
              <w:rPr>
                <w:sz w:val="20"/>
                <w:szCs w:val="20"/>
                <w:lang w:eastAsia="en-CA"/>
              </w:rPr>
            </w:pPr>
            <w:r w:rsidRPr="00C25AC9">
              <w:rPr>
                <w:sz w:val="20"/>
                <w:szCs w:val="20"/>
                <w:lang w:eastAsia="en-CA"/>
              </w:rPr>
              <w:t>Q : Y a-t-il des difficultés d</w:t>
            </w:r>
            <w:r w:rsidR="00C25AC9" w:rsidRPr="00C25AC9">
              <w:rPr>
                <w:sz w:val="20"/>
                <w:szCs w:val="20"/>
                <w:lang w:eastAsia="en-CA"/>
              </w:rPr>
              <w:t>’</w:t>
            </w:r>
            <w:r w:rsidRPr="00C25AC9">
              <w:rPr>
                <w:sz w:val="20"/>
                <w:szCs w:val="20"/>
                <w:lang w:eastAsia="en-CA"/>
              </w:rPr>
              <w:t>accès à la formation en langue seconde pour les membres visés par l</w:t>
            </w:r>
            <w:r w:rsidR="00C25AC9" w:rsidRPr="00C25AC9">
              <w:rPr>
                <w:sz w:val="20"/>
                <w:szCs w:val="20"/>
                <w:lang w:eastAsia="en-CA"/>
              </w:rPr>
              <w:t>’</w:t>
            </w:r>
            <w:r w:rsidRPr="00C25AC9">
              <w:rPr>
                <w:sz w:val="20"/>
                <w:szCs w:val="20"/>
                <w:lang w:eastAsia="en-CA"/>
              </w:rPr>
              <w:t>EE par rapport à leurs homologues?</w:t>
            </w:r>
            <w:r w:rsidRPr="00C25AC9">
              <w:rPr>
                <w:sz w:val="20"/>
                <w:szCs w:val="20"/>
                <w:lang w:eastAsia="en-CA"/>
              </w:rPr>
              <w:tab/>
            </w:r>
          </w:p>
          <w:p w14:paraId="1F9F7F93" w14:textId="77777777" w:rsidR="00BA2395" w:rsidRPr="00C25AC9" w:rsidRDefault="00BA2395" w:rsidP="00BA2395">
            <w:pPr>
              <w:rPr>
                <w:sz w:val="20"/>
                <w:szCs w:val="20"/>
                <w:lang w:eastAsia="en-CA"/>
              </w:rPr>
            </w:pPr>
          </w:p>
          <w:p w14:paraId="234814CC" w14:textId="5C63B416" w:rsidR="007516B7" w:rsidRPr="00C25AC9" w:rsidRDefault="007516B7" w:rsidP="00AB489B">
            <w:pPr>
              <w:rPr>
                <w:sz w:val="20"/>
                <w:szCs w:val="20"/>
                <w:lang w:eastAsia="en-CA"/>
              </w:rPr>
            </w:pPr>
          </w:p>
        </w:tc>
        <w:tc>
          <w:tcPr>
            <w:tcW w:w="2694" w:type="dxa"/>
          </w:tcPr>
          <w:p w14:paraId="0900BD58" w14:textId="25AFC409" w:rsidR="00BA2395" w:rsidRPr="00C25AC9" w:rsidRDefault="00BA2395" w:rsidP="00AB489B">
            <w:pPr>
              <w:rPr>
                <w:rFonts w:cs="Arial"/>
                <w:sz w:val="20"/>
                <w:szCs w:val="20"/>
              </w:rPr>
            </w:pPr>
            <w:r w:rsidRPr="00C25AC9">
              <w:rPr>
                <w:rFonts w:cs="Arial"/>
                <w:sz w:val="20"/>
                <w:szCs w:val="20"/>
              </w:rPr>
              <w:t xml:space="preserve">Fournir des </w:t>
            </w:r>
            <w:r w:rsidR="0032302D" w:rsidRPr="00C25AC9">
              <w:rPr>
                <w:rFonts w:cs="Arial"/>
                <w:sz w:val="20"/>
                <w:szCs w:val="20"/>
              </w:rPr>
              <w:t xml:space="preserve">éléments justificatifs qui éclaireront les </w:t>
            </w:r>
            <w:r w:rsidRPr="00C25AC9">
              <w:rPr>
                <w:rFonts w:cs="Arial"/>
                <w:sz w:val="20"/>
                <w:szCs w:val="20"/>
              </w:rPr>
              <w:t>discussions stratégiques sur le statut bilingue des postes et leur i</w:t>
            </w:r>
            <w:r w:rsidR="0032302D" w:rsidRPr="00C25AC9">
              <w:rPr>
                <w:rFonts w:cs="Arial"/>
                <w:sz w:val="20"/>
                <w:szCs w:val="20"/>
              </w:rPr>
              <w:t xml:space="preserve">ncidence </w:t>
            </w:r>
            <w:r w:rsidRPr="00C25AC9">
              <w:rPr>
                <w:rFonts w:cs="Arial"/>
                <w:sz w:val="20"/>
                <w:szCs w:val="20"/>
              </w:rPr>
              <w:t>sur la diversité et l</w:t>
            </w:r>
            <w:r w:rsidR="00C25AC9" w:rsidRPr="00C25AC9">
              <w:rPr>
                <w:rFonts w:cs="Arial"/>
                <w:sz w:val="20"/>
                <w:szCs w:val="20"/>
              </w:rPr>
              <w:t>’</w:t>
            </w:r>
            <w:r w:rsidRPr="00C25AC9">
              <w:rPr>
                <w:rFonts w:cs="Arial"/>
                <w:sz w:val="20"/>
                <w:szCs w:val="20"/>
              </w:rPr>
              <w:t xml:space="preserve">inclusion dans le milieu de travail. </w:t>
            </w:r>
          </w:p>
          <w:p w14:paraId="6AA28B1A" w14:textId="77777777" w:rsidR="00BA2395" w:rsidRPr="00C25AC9" w:rsidRDefault="00BA2395" w:rsidP="00AB489B">
            <w:pPr>
              <w:rPr>
                <w:rFonts w:cs="Arial"/>
                <w:sz w:val="20"/>
                <w:szCs w:val="20"/>
              </w:rPr>
            </w:pPr>
          </w:p>
          <w:p w14:paraId="2C9AC6F2" w14:textId="10F42B39" w:rsidR="00BA2395" w:rsidRPr="00C25AC9" w:rsidRDefault="00BA2395" w:rsidP="00AB489B">
            <w:pPr>
              <w:rPr>
                <w:rFonts w:cs="Arial"/>
                <w:sz w:val="20"/>
                <w:szCs w:val="20"/>
              </w:rPr>
            </w:pPr>
            <w:r w:rsidRPr="00C25AC9">
              <w:rPr>
                <w:rFonts w:cs="Arial"/>
                <w:sz w:val="20"/>
                <w:szCs w:val="20"/>
              </w:rPr>
              <w:t>Ce projet permettra également de cerner les obstacles à l</w:t>
            </w:r>
            <w:r w:rsidR="00C25AC9" w:rsidRPr="00C25AC9">
              <w:rPr>
                <w:rFonts w:cs="Arial"/>
                <w:sz w:val="20"/>
                <w:szCs w:val="20"/>
              </w:rPr>
              <w:t>’</w:t>
            </w:r>
            <w:r w:rsidRPr="00C25AC9">
              <w:rPr>
                <w:rFonts w:cs="Arial"/>
                <w:sz w:val="20"/>
                <w:szCs w:val="20"/>
              </w:rPr>
              <w:t>avancement professionnel des groupes visés par l</w:t>
            </w:r>
            <w:r w:rsidR="00C25AC9" w:rsidRPr="00C25AC9">
              <w:rPr>
                <w:rFonts w:cs="Arial"/>
                <w:sz w:val="20"/>
                <w:szCs w:val="20"/>
              </w:rPr>
              <w:t>’</w:t>
            </w:r>
            <w:r w:rsidRPr="00C25AC9">
              <w:rPr>
                <w:rFonts w:cs="Arial"/>
                <w:sz w:val="20"/>
                <w:szCs w:val="20"/>
              </w:rPr>
              <w:t xml:space="preserve">EE. </w:t>
            </w:r>
          </w:p>
          <w:p w14:paraId="49CC1F3E" w14:textId="77777777" w:rsidR="00BA2395" w:rsidRPr="00C25AC9" w:rsidRDefault="00BA2395" w:rsidP="00AB489B">
            <w:pPr>
              <w:rPr>
                <w:rFonts w:cs="Arial"/>
                <w:sz w:val="20"/>
                <w:szCs w:val="20"/>
              </w:rPr>
            </w:pPr>
          </w:p>
          <w:p w14:paraId="6A084CF6" w14:textId="7800AAB9" w:rsidR="007516B7" w:rsidRPr="00C25AC9" w:rsidRDefault="007516B7" w:rsidP="00AB489B">
            <w:pPr>
              <w:rPr>
                <w:rFonts w:cs="Arial"/>
                <w:sz w:val="20"/>
                <w:szCs w:val="20"/>
              </w:rPr>
            </w:pPr>
          </w:p>
        </w:tc>
        <w:tc>
          <w:tcPr>
            <w:tcW w:w="3969" w:type="dxa"/>
          </w:tcPr>
          <w:p w14:paraId="43F27C5B" w14:textId="26D28575" w:rsidR="00BA2395" w:rsidRPr="00C25AC9" w:rsidRDefault="00BA2395" w:rsidP="00AB489B">
            <w:pPr>
              <w:rPr>
                <w:rFonts w:cs="Arial"/>
                <w:sz w:val="20"/>
                <w:szCs w:val="20"/>
                <w:u w:val="single"/>
              </w:rPr>
            </w:pPr>
            <w:r w:rsidRPr="00C25AC9">
              <w:rPr>
                <w:rFonts w:cs="Arial"/>
                <w:sz w:val="20"/>
                <w:szCs w:val="20"/>
                <w:u w:val="single"/>
              </w:rPr>
              <w:t>ETP</w:t>
            </w:r>
            <w:r w:rsidRPr="00C25AC9">
              <w:rPr>
                <w:rFonts w:cs="Arial"/>
                <w:sz w:val="20"/>
                <w:szCs w:val="20"/>
              </w:rPr>
              <w:t xml:space="preserve"> : ½</w:t>
            </w:r>
            <w:r w:rsidRPr="00C25AC9">
              <w:rPr>
                <w:rFonts w:cs="Arial"/>
                <w:sz w:val="20"/>
                <w:szCs w:val="20"/>
                <w:u w:val="single"/>
              </w:rPr>
              <w:t xml:space="preserve"> </w:t>
            </w:r>
          </w:p>
          <w:p w14:paraId="450052E8" w14:textId="77777777" w:rsidR="00BA2395" w:rsidRPr="00C25AC9" w:rsidRDefault="00BA2395" w:rsidP="00AB489B">
            <w:pPr>
              <w:rPr>
                <w:rFonts w:cs="Arial"/>
                <w:sz w:val="20"/>
                <w:szCs w:val="20"/>
                <w:u w:val="single"/>
              </w:rPr>
            </w:pPr>
          </w:p>
          <w:p w14:paraId="5C0B644A" w14:textId="69471477" w:rsidR="00E57BDE" w:rsidRPr="00C25AC9" w:rsidRDefault="00E57BDE" w:rsidP="00AB489B">
            <w:pPr>
              <w:rPr>
                <w:rFonts w:cs="Arial"/>
                <w:sz w:val="20"/>
                <w:szCs w:val="20"/>
                <w:u w:val="single"/>
              </w:rPr>
            </w:pPr>
            <w:r w:rsidRPr="00C25AC9">
              <w:rPr>
                <w:rFonts w:cs="Arial"/>
                <w:sz w:val="20"/>
                <w:szCs w:val="20"/>
                <w:u w:val="single"/>
              </w:rPr>
              <w:t>Données</w:t>
            </w:r>
            <w:r w:rsidRPr="00C25AC9">
              <w:rPr>
                <w:rFonts w:cs="Arial"/>
                <w:sz w:val="20"/>
                <w:szCs w:val="20"/>
              </w:rPr>
              <w:t xml:space="preserve"> : Données administratives provenant des fonds de données de la CFP, analyses documentaires, données d</w:t>
            </w:r>
            <w:r w:rsidR="00C25AC9" w:rsidRPr="00C25AC9">
              <w:rPr>
                <w:rFonts w:cs="Arial"/>
                <w:sz w:val="20"/>
                <w:szCs w:val="20"/>
              </w:rPr>
              <w:t>’</w:t>
            </w:r>
            <w:r w:rsidRPr="00C25AC9">
              <w:rPr>
                <w:rFonts w:cs="Arial"/>
                <w:sz w:val="20"/>
                <w:szCs w:val="20"/>
              </w:rPr>
              <w:t>enquête et, dans la mesure du possible, données qualitatives fournies par les participants aux sous-groupes de travail sur l</w:t>
            </w:r>
            <w:r w:rsidR="00C25AC9" w:rsidRPr="00C25AC9">
              <w:rPr>
                <w:rFonts w:cs="Arial"/>
                <w:sz w:val="20"/>
                <w:szCs w:val="20"/>
              </w:rPr>
              <w:t>’</w:t>
            </w:r>
            <w:r w:rsidR="00CE14AA" w:rsidRPr="00C25AC9">
              <w:rPr>
                <w:rFonts w:cs="Arial"/>
                <w:sz w:val="20"/>
                <w:szCs w:val="20"/>
              </w:rPr>
              <w:t xml:space="preserve">EE </w:t>
            </w:r>
            <w:r w:rsidRPr="00C25AC9">
              <w:rPr>
                <w:rFonts w:cs="Arial"/>
                <w:sz w:val="20"/>
                <w:szCs w:val="20"/>
              </w:rPr>
              <w:t>de la CFP.</w:t>
            </w:r>
            <w:r w:rsidRPr="00C25AC9">
              <w:rPr>
                <w:rFonts w:cs="Arial"/>
                <w:sz w:val="20"/>
                <w:szCs w:val="20"/>
                <w:u w:val="single"/>
              </w:rPr>
              <w:t xml:space="preserve"> </w:t>
            </w:r>
          </w:p>
          <w:p w14:paraId="4A659D33" w14:textId="77777777" w:rsidR="00E57BDE" w:rsidRPr="00C25AC9" w:rsidRDefault="00E57BDE" w:rsidP="00AB489B">
            <w:pPr>
              <w:rPr>
                <w:rFonts w:cs="Arial"/>
                <w:sz w:val="20"/>
                <w:szCs w:val="20"/>
                <w:u w:val="single"/>
              </w:rPr>
            </w:pPr>
          </w:p>
          <w:p w14:paraId="384ADB88" w14:textId="07903B24" w:rsidR="007516B7" w:rsidRPr="00C25AC9" w:rsidRDefault="00E57BDE" w:rsidP="00AB489B">
            <w:pPr>
              <w:rPr>
                <w:rFonts w:cs="Arial"/>
                <w:sz w:val="20"/>
                <w:szCs w:val="20"/>
                <w:u w:val="single"/>
              </w:rPr>
            </w:pPr>
            <w:r w:rsidRPr="00C25AC9">
              <w:rPr>
                <w:rFonts w:cs="Arial"/>
                <w:sz w:val="20"/>
                <w:szCs w:val="20"/>
                <w:u w:val="single"/>
              </w:rPr>
              <w:t>Été 2021</w:t>
            </w:r>
          </w:p>
          <w:p w14:paraId="2E6B669E" w14:textId="138DB686" w:rsidR="00CE14AA" w:rsidRPr="00C25AC9" w:rsidRDefault="00CE14AA" w:rsidP="00AB489B">
            <w:pPr>
              <w:rPr>
                <w:rFonts w:cs="Arial"/>
                <w:sz w:val="20"/>
                <w:szCs w:val="20"/>
              </w:rPr>
            </w:pPr>
            <w:r w:rsidRPr="00C25AC9">
              <w:rPr>
                <w:rFonts w:cs="Arial"/>
                <w:sz w:val="20"/>
                <w:szCs w:val="20"/>
              </w:rPr>
              <w:t>Création d</w:t>
            </w:r>
            <w:r w:rsidR="00C25AC9" w:rsidRPr="00C25AC9">
              <w:rPr>
                <w:rFonts w:cs="Arial"/>
                <w:sz w:val="20"/>
                <w:szCs w:val="20"/>
              </w:rPr>
              <w:t>’</w:t>
            </w:r>
            <w:r w:rsidRPr="00C25AC9">
              <w:rPr>
                <w:rFonts w:cs="Arial"/>
                <w:sz w:val="20"/>
                <w:szCs w:val="20"/>
              </w:rPr>
              <w:t xml:space="preserve">un sous-groupe de travail, rôles et responsabilités et portée. </w:t>
            </w:r>
          </w:p>
          <w:p w14:paraId="374BA1C3" w14:textId="77777777" w:rsidR="00CE14AA" w:rsidRPr="00C25AC9" w:rsidRDefault="00CE14AA" w:rsidP="00AB489B">
            <w:pPr>
              <w:rPr>
                <w:rFonts w:cs="Arial"/>
                <w:sz w:val="20"/>
                <w:szCs w:val="20"/>
              </w:rPr>
            </w:pPr>
          </w:p>
          <w:p w14:paraId="49AD1ECF" w14:textId="660834E4" w:rsidR="007516B7" w:rsidRPr="00C25AC9" w:rsidRDefault="00CE14AA" w:rsidP="00AB489B">
            <w:pPr>
              <w:rPr>
                <w:rFonts w:cs="Arial"/>
                <w:sz w:val="20"/>
                <w:szCs w:val="20"/>
                <w:u w:val="single"/>
              </w:rPr>
            </w:pPr>
            <w:r w:rsidRPr="00C25AC9">
              <w:rPr>
                <w:rFonts w:cs="Arial"/>
                <w:sz w:val="20"/>
                <w:szCs w:val="20"/>
                <w:u w:val="single"/>
              </w:rPr>
              <w:t xml:space="preserve">Automne </w:t>
            </w:r>
            <w:r w:rsidR="007516B7" w:rsidRPr="00C25AC9">
              <w:rPr>
                <w:rFonts w:cs="Arial"/>
                <w:sz w:val="20"/>
                <w:szCs w:val="20"/>
                <w:u w:val="single"/>
              </w:rPr>
              <w:t>2021</w:t>
            </w:r>
          </w:p>
          <w:p w14:paraId="5057ED86" w14:textId="16282B66" w:rsidR="00CE14AA" w:rsidRPr="00C25AC9" w:rsidRDefault="00CE14AA" w:rsidP="00AB489B">
            <w:pPr>
              <w:rPr>
                <w:rFonts w:cs="Arial"/>
                <w:sz w:val="20"/>
                <w:szCs w:val="20"/>
              </w:rPr>
            </w:pPr>
            <w:r w:rsidRPr="00C25AC9">
              <w:rPr>
                <w:rFonts w:cs="Arial"/>
                <w:sz w:val="20"/>
                <w:szCs w:val="20"/>
              </w:rPr>
              <w:t>Travaux à entreprendre à la suite des commentaires du groupe de travail principal sur l</w:t>
            </w:r>
            <w:r w:rsidR="00C25AC9" w:rsidRPr="00C25AC9">
              <w:rPr>
                <w:rFonts w:cs="Arial"/>
                <w:sz w:val="20"/>
                <w:szCs w:val="20"/>
              </w:rPr>
              <w:t>’</w:t>
            </w:r>
            <w:r w:rsidRPr="00C25AC9">
              <w:rPr>
                <w:rFonts w:cs="Arial"/>
                <w:sz w:val="20"/>
                <w:szCs w:val="20"/>
              </w:rPr>
              <w:t>EE de la CFP</w:t>
            </w:r>
            <w:r w:rsidR="00FC2B00" w:rsidRPr="00C25AC9">
              <w:rPr>
                <w:rFonts w:cs="Arial"/>
                <w:sz w:val="20"/>
                <w:szCs w:val="20"/>
              </w:rPr>
              <w:t>.</w:t>
            </w:r>
            <w:r w:rsidRPr="00C25AC9">
              <w:rPr>
                <w:rFonts w:cs="Arial"/>
                <w:sz w:val="20"/>
                <w:szCs w:val="20"/>
              </w:rPr>
              <w:t xml:space="preserve"> </w:t>
            </w:r>
          </w:p>
          <w:p w14:paraId="2B33CD94" w14:textId="77777777" w:rsidR="00CE14AA" w:rsidRPr="00C25AC9" w:rsidRDefault="00CE14AA" w:rsidP="00AB489B">
            <w:pPr>
              <w:rPr>
                <w:rFonts w:cs="Arial"/>
                <w:sz w:val="20"/>
                <w:szCs w:val="20"/>
              </w:rPr>
            </w:pPr>
          </w:p>
          <w:p w14:paraId="1183D6A6" w14:textId="4CA26947" w:rsidR="007516B7" w:rsidRPr="00C25AC9" w:rsidRDefault="007516B7" w:rsidP="00AB489B">
            <w:pPr>
              <w:rPr>
                <w:rFonts w:cs="Arial"/>
                <w:sz w:val="20"/>
                <w:szCs w:val="20"/>
              </w:rPr>
            </w:pPr>
          </w:p>
        </w:tc>
      </w:tr>
      <w:tr w:rsidR="007516B7" w:rsidRPr="00C25AC9" w14:paraId="105987E5" w14:textId="77777777" w:rsidTr="00101877">
        <w:tc>
          <w:tcPr>
            <w:tcW w:w="562" w:type="dxa"/>
          </w:tcPr>
          <w:p w14:paraId="4DDBD808" w14:textId="77777777" w:rsidR="007516B7" w:rsidRPr="00C25AC9" w:rsidRDefault="007516B7" w:rsidP="00AB489B">
            <w:pPr>
              <w:rPr>
                <w:rFonts w:cs="Arial"/>
                <w:sz w:val="20"/>
                <w:szCs w:val="20"/>
              </w:rPr>
            </w:pPr>
            <w:r w:rsidRPr="00C25AC9">
              <w:rPr>
                <w:rFonts w:cs="Arial"/>
                <w:sz w:val="20"/>
                <w:szCs w:val="20"/>
              </w:rPr>
              <w:lastRenderedPageBreak/>
              <w:t>2</w:t>
            </w:r>
          </w:p>
        </w:tc>
        <w:tc>
          <w:tcPr>
            <w:tcW w:w="3544" w:type="dxa"/>
          </w:tcPr>
          <w:p w14:paraId="3968D685" w14:textId="3DAC05B3" w:rsidR="005F6440" w:rsidRPr="00C25AC9" w:rsidRDefault="005F6440" w:rsidP="00AB489B">
            <w:pPr>
              <w:rPr>
                <w:rFonts w:cs="Arial"/>
                <w:b/>
                <w:sz w:val="20"/>
                <w:szCs w:val="20"/>
                <w:u w:val="single"/>
              </w:rPr>
            </w:pPr>
            <w:bookmarkStart w:id="12" w:name="_Hlk80687433"/>
            <w:r w:rsidRPr="00C25AC9">
              <w:rPr>
                <w:rFonts w:cs="Arial"/>
                <w:b/>
                <w:sz w:val="20"/>
                <w:szCs w:val="20"/>
                <w:u w:val="single"/>
              </w:rPr>
              <w:t>Fiche sur la diversité et l</w:t>
            </w:r>
            <w:r w:rsidR="00C25AC9" w:rsidRPr="00C25AC9">
              <w:rPr>
                <w:rFonts w:cs="Arial"/>
                <w:b/>
                <w:sz w:val="20"/>
                <w:szCs w:val="20"/>
                <w:u w:val="single"/>
              </w:rPr>
              <w:t>’</w:t>
            </w:r>
            <w:r w:rsidRPr="00C25AC9">
              <w:rPr>
                <w:rFonts w:cs="Arial"/>
                <w:b/>
                <w:sz w:val="20"/>
                <w:szCs w:val="20"/>
                <w:u w:val="single"/>
              </w:rPr>
              <w:t>inclusion</w:t>
            </w:r>
          </w:p>
          <w:bookmarkEnd w:id="12"/>
          <w:p w14:paraId="1D14E594" w14:textId="77777777" w:rsidR="007516B7" w:rsidRPr="00C25AC9" w:rsidRDefault="007516B7" w:rsidP="00AB489B">
            <w:pPr>
              <w:rPr>
                <w:rFonts w:cs="Arial"/>
                <w:b/>
                <w:sz w:val="20"/>
                <w:szCs w:val="20"/>
                <w:u w:val="single"/>
              </w:rPr>
            </w:pPr>
          </w:p>
          <w:p w14:paraId="0FB19275" w14:textId="531CFCC8" w:rsidR="005F6440" w:rsidRPr="00C25AC9" w:rsidRDefault="007516B7" w:rsidP="00AB489B">
            <w:pPr>
              <w:rPr>
                <w:rFonts w:cs="Arial"/>
                <w:b/>
                <w:sz w:val="20"/>
                <w:szCs w:val="20"/>
                <w:u w:val="single"/>
              </w:rPr>
            </w:pPr>
            <w:r w:rsidRPr="00C25AC9">
              <w:rPr>
                <w:rFonts w:cs="Arial"/>
                <w:b/>
                <w:sz w:val="20"/>
                <w:szCs w:val="20"/>
                <w:u w:val="single"/>
              </w:rPr>
              <w:t>Source</w:t>
            </w:r>
            <w:r w:rsidR="005F6440" w:rsidRPr="00C25AC9">
              <w:rPr>
                <w:rFonts w:cs="Arial"/>
                <w:b/>
                <w:sz w:val="20"/>
                <w:szCs w:val="20"/>
                <w:u w:val="single"/>
              </w:rPr>
              <w:t> </w:t>
            </w:r>
            <w:r w:rsidRPr="00C25AC9">
              <w:rPr>
                <w:rFonts w:cs="Arial"/>
                <w:b/>
                <w:sz w:val="20"/>
                <w:szCs w:val="20"/>
                <w:u w:val="single"/>
              </w:rPr>
              <w:t xml:space="preserve">: </w:t>
            </w:r>
            <w:r w:rsidR="005F6440" w:rsidRPr="00C25AC9">
              <w:rPr>
                <w:rFonts w:cs="Arial"/>
                <w:b/>
                <w:sz w:val="20"/>
                <w:szCs w:val="20"/>
                <w:u w:val="single"/>
              </w:rPr>
              <w:t>Secteur des politiques et des communications (</w:t>
            </w:r>
            <w:r w:rsidR="00FC2B00" w:rsidRPr="00C25AC9">
              <w:rPr>
                <w:rFonts w:cs="Arial"/>
                <w:b/>
                <w:sz w:val="20"/>
                <w:szCs w:val="20"/>
                <w:u w:val="single"/>
              </w:rPr>
              <w:t>SPC</w:t>
            </w:r>
            <w:r w:rsidR="005F6440" w:rsidRPr="00C25AC9">
              <w:rPr>
                <w:rFonts w:cs="Arial"/>
                <w:b/>
                <w:sz w:val="20"/>
                <w:szCs w:val="20"/>
                <w:u w:val="single"/>
              </w:rPr>
              <w:t>)</w:t>
            </w:r>
          </w:p>
          <w:p w14:paraId="4407CA85" w14:textId="77777777" w:rsidR="007516B7" w:rsidRPr="00C25AC9" w:rsidRDefault="007516B7" w:rsidP="00AB489B">
            <w:pPr>
              <w:rPr>
                <w:rFonts w:cs="Arial"/>
                <w:b/>
                <w:sz w:val="20"/>
                <w:szCs w:val="20"/>
                <w:u w:val="single"/>
              </w:rPr>
            </w:pPr>
          </w:p>
          <w:p w14:paraId="58246A24" w14:textId="70AFFE13" w:rsidR="005F6440" w:rsidRPr="00C25AC9" w:rsidRDefault="007516B7" w:rsidP="00AB489B">
            <w:pPr>
              <w:rPr>
                <w:rFonts w:cs="Arial"/>
                <w:b/>
                <w:bCs/>
                <w:sz w:val="20"/>
                <w:szCs w:val="20"/>
              </w:rPr>
            </w:pPr>
            <w:r w:rsidRPr="00C25AC9">
              <w:rPr>
                <w:rFonts w:cs="Arial"/>
                <w:b/>
                <w:bCs/>
                <w:sz w:val="20"/>
                <w:szCs w:val="20"/>
                <w:u w:val="single"/>
              </w:rPr>
              <w:t>Client</w:t>
            </w:r>
            <w:r w:rsidR="005F6440" w:rsidRPr="00C25AC9">
              <w:rPr>
                <w:rFonts w:cs="Arial"/>
                <w:b/>
                <w:bCs/>
                <w:sz w:val="20"/>
                <w:szCs w:val="20"/>
                <w:u w:val="single"/>
              </w:rPr>
              <w:t> </w:t>
            </w:r>
            <w:r w:rsidRPr="00C25AC9">
              <w:rPr>
                <w:rFonts w:cs="Arial"/>
                <w:b/>
                <w:bCs/>
                <w:sz w:val="20"/>
                <w:szCs w:val="20"/>
                <w:u w:val="single"/>
              </w:rPr>
              <w:t>:</w:t>
            </w:r>
            <w:r w:rsidRPr="00C25AC9">
              <w:rPr>
                <w:rFonts w:cs="Arial"/>
                <w:b/>
                <w:bCs/>
                <w:sz w:val="20"/>
                <w:szCs w:val="20"/>
              </w:rPr>
              <w:t xml:space="preserve"> </w:t>
            </w:r>
            <w:r w:rsidR="005F6440" w:rsidRPr="00C25AC9">
              <w:rPr>
                <w:rFonts w:cs="Arial"/>
                <w:b/>
                <w:bCs/>
                <w:sz w:val="20"/>
                <w:szCs w:val="20"/>
              </w:rPr>
              <w:t>Secteur des politiques et des communications, Secteur des affaires ministérielles</w:t>
            </w:r>
          </w:p>
          <w:p w14:paraId="79F12A27" w14:textId="1B7E9F13" w:rsidR="007516B7" w:rsidRPr="00C25AC9" w:rsidRDefault="007516B7" w:rsidP="00AB489B">
            <w:pPr>
              <w:rPr>
                <w:rFonts w:cs="Arial"/>
                <w:b/>
                <w:sz w:val="20"/>
                <w:szCs w:val="20"/>
                <w:u w:val="single"/>
              </w:rPr>
            </w:pPr>
          </w:p>
        </w:tc>
        <w:tc>
          <w:tcPr>
            <w:tcW w:w="6662" w:type="dxa"/>
          </w:tcPr>
          <w:p w14:paraId="2FA0525E" w14:textId="3000E9A7" w:rsidR="00163B83" w:rsidRPr="00C25AC9" w:rsidRDefault="00163B83" w:rsidP="00AB489B">
            <w:pPr>
              <w:rPr>
                <w:sz w:val="20"/>
                <w:szCs w:val="20"/>
                <w:lang w:eastAsia="en-CA"/>
              </w:rPr>
            </w:pPr>
            <w:bookmarkStart w:id="13" w:name="_Hlk81906011"/>
            <w:r w:rsidRPr="00C25AC9">
              <w:rPr>
                <w:sz w:val="20"/>
                <w:szCs w:val="20"/>
                <w:lang w:eastAsia="en-CA"/>
              </w:rPr>
              <w:t>La fonction publique a pris des engagements clairs pour accroître la diversité et l</w:t>
            </w:r>
            <w:r w:rsidR="00C25AC9" w:rsidRPr="00C25AC9">
              <w:rPr>
                <w:sz w:val="20"/>
                <w:szCs w:val="20"/>
                <w:lang w:eastAsia="en-CA"/>
              </w:rPr>
              <w:t>’</w:t>
            </w:r>
            <w:r w:rsidRPr="00C25AC9">
              <w:rPr>
                <w:sz w:val="20"/>
                <w:szCs w:val="20"/>
                <w:lang w:eastAsia="en-CA"/>
              </w:rPr>
              <w:t>inclusion dans la fonction publique fédérale. Il faut surveiller les progrès en matière de diversité et d</w:t>
            </w:r>
            <w:r w:rsidR="00C25AC9" w:rsidRPr="00C25AC9">
              <w:rPr>
                <w:sz w:val="20"/>
                <w:szCs w:val="20"/>
                <w:lang w:eastAsia="en-CA"/>
              </w:rPr>
              <w:t>’</w:t>
            </w:r>
            <w:r w:rsidRPr="00C25AC9">
              <w:rPr>
                <w:sz w:val="20"/>
                <w:szCs w:val="20"/>
                <w:lang w:eastAsia="en-CA"/>
              </w:rPr>
              <w:t>inclusion en milieu de travail en analysant l</w:t>
            </w:r>
            <w:r w:rsidR="00C25AC9" w:rsidRPr="00C25AC9">
              <w:rPr>
                <w:sz w:val="20"/>
                <w:szCs w:val="20"/>
                <w:lang w:eastAsia="en-CA"/>
              </w:rPr>
              <w:t>’</w:t>
            </w:r>
            <w:r w:rsidRPr="00C25AC9">
              <w:rPr>
                <w:sz w:val="20"/>
                <w:szCs w:val="20"/>
                <w:lang w:eastAsia="en-CA"/>
              </w:rPr>
              <w:t>avancement professionnel des candidats, des employés nommés pour une période indéterminée et des employés qui quittent la fonction publique en comparant les tendances annuelles des variables démographiques connexes.</w:t>
            </w:r>
          </w:p>
          <w:p w14:paraId="60A9AA0F" w14:textId="77777777" w:rsidR="00163B83" w:rsidRPr="00C25AC9" w:rsidRDefault="00163B83" w:rsidP="00AB489B">
            <w:pPr>
              <w:rPr>
                <w:sz w:val="20"/>
                <w:szCs w:val="20"/>
                <w:lang w:eastAsia="en-CA"/>
              </w:rPr>
            </w:pPr>
          </w:p>
          <w:p w14:paraId="59D6038E" w14:textId="2D5C5617" w:rsidR="00163B83" w:rsidRPr="00C25AC9" w:rsidRDefault="00163B83" w:rsidP="00AB489B">
            <w:pPr>
              <w:rPr>
                <w:sz w:val="20"/>
                <w:szCs w:val="20"/>
                <w:lang w:eastAsia="en-CA"/>
              </w:rPr>
            </w:pPr>
            <w:r w:rsidRPr="00C25AC9">
              <w:rPr>
                <w:sz w:val="20"/>
                <w:szCs w:val="20"/>
                <w:lang w:eastAsia="en-CA"/>
              </w:rPr>
              <w:t>Q : Quels sont les indicateurs clés qui nous renseignent sur l</w:t>
            </w:r>
            <w:r w:rsidR="00C25AC9" w:rsidRPr="00C25AC9">
              <w:rPr>
                <w:sz w:val="20"/>
                <w:szCs w:val="20"/>
                <w:lang w:eastAsia="en-CA"/>
              </w:rPr>
              <w:t>’</w:t>
            </w:r>
            <w:r w:rsidRPr="00C25AC9">
              <w:rPr>
                <w:sz w:val="20"/>
                <w:szCs w:val="20"/>
                <w:lang w:eastAsia="en-CA"/>
              </w:rPr>
              <w:t>incidence des efforts déployés pour accroître la diversité et l</w:t>
            </w:r>
            <w:r w:rsidR="00C25AC9" w:rsidRPr="00C25AC9">
              <w:rPr>
                <w:sz w:val="20"/>
                <w:szCs w:val="20"/>
                <w:lang w:eastAsia="en-CA"/>
              </w:rPr>
              <w:t>’</w:t>
            </w:r>
            <w:r w:rsidRPr="00C25AC9">
              <w:rPr>
                <w:sz w:val="20"/>
                <w:szCs w:val="20"/>
                <w:lang w:eastAsia="en-CA"/>
              </w:rPr>
              <w:t>inclusion dans les organisations assujetties à la LEFP?</w:t>
            </w:r>
          </w:p>
          <w:p w14:paraId="29614970" w14:textId="4BF26C9B" w:rsidR="00163B83" w:rsidRPr="00C25AC9" w:rsidRDefault="00163B83" w:rsidP="00163B83">
            <w:pPr>
              <w:pStyle w:val="ListParagraph"/>
              <w:numPr>
                <w:ilvl w:val="0"/>
                <w:numId w:val="16"/>
              </w:numPr>
              <w:spacing w:after="0"/>
              <w:rPr>
                <w:sz w:val="20"/>
                <w:szCs w:val="20"/>
                <w:lang w:eastAsia="en-CA"/>
              </w:rPr>
            </w:pPr>
            <w:r w:rsidRPr="00C25AC9">
              <w:rPr>
                <w:sz w:val="20"/>
                <w:szCs w:val="20"/>
                <w:lang w:eastAsia="en-CA"/>
              </w:rPr>
              <w:t xml:space="preserve">Part des groupes/sous-groupes </w:t>
            </w:r>
            <w:r w:rsidR="0051074F" w:rsidRPr="00C25AC9">
              <w:rPr>
                <w:sz w:val="20"/>
                <w:szCs w:val="20"/>
                <w:lang w:eastAsia="en-CA"/>
              </w:rPr>
              <w:t xml:space="preserve">de travail </w:t>
            </w:r>
            <w:r w:rsidR="00806D8C" w:rsidRPr="00C25AC9">
              <w:rPr>
                <w:sz w:val="20"/>
                <w:szCs w:val="20"/>
                <w:lang w:eastAsia="en-CA"/>
              </w:rPr>
              <w:t>visés par l</w:t>
            </w:r>
            <w:r w:rsidR="00C25AC9" w:rsidRPr="00C25AC9">
              <w:rPr>
                <w:sz w:val="20"/>
                <w:szCs w:val="20"/>
                <w:lang w:eastAsia="en-CA"/>
              </w:rPr>
              <w:t>’</w:t>
            </w:r>
            <w:r w:rsidR="00806D8C" w:rsidRPr="00C25AC9">
              <w:rPr>
                <w:sz w:val="20"/>
                <w:szCs w:val="20"/>
                <w:lang w:eastAsia="en-CA"/>
              </w:rPr>
              <w:t xml:space="preserve">EE </w:t>
            </w:r>
            <w:r w:rsidRPr="00C25AC9">
              <w:rPr>
                <w:sz w:val="20"/>
                <w:szCs w:val="20"/>
                <w:lang w:eastAsia="en-CA"/>
              </w:rPr>
              <w:t>parmi les candidats.</w:t>
            </w:r>
          </w:p>
          <w:p w14:paraId="144B16D2" w14:textId="0283249C" w:rsidR="00163B83" w:rsidRPr="00C25AC9" w:rsidRDefault="00806D8C" w:rsidP="00163B83">
            <w:pPr>
              <w:pStyle w:val="ListParagraph"/>
              <w:numPr>
                <w:ilvl w:val="0"/>
                <w:numId w:val="16"/>
              </w:numPr>
              <w:spacing w:after="0"/>
              <w:rPr>
                <w:sz w:val="20"/>
                <w:szCs w:val="20"/>
                <w:lang w:eastAsia="en-CA"/>
              </w:rPr>
            </w:pPr>
            <w:r w:rsidRPr="00C25AC9">
              <w:rPr>
                <w:sz w:val="20"/>
                <w:szCs w:val="20"/>
                <w:lang w:eastAsia="en-CA"/>
              </w:rPr>
              <w:t>P</w:t>
            </w:r>
            <w:r w:rsidR="00163B83" w:rsidRPr="00C25AC9">
              <w:rPr>
                <w:sz w:val="20"/>
                <w:szCs w:val="20"/>
                <w:lang w:eastAsia="en-CA"/>
              </w:rPr>
              <w:t>art de</w:t>
            </w:r>
            <w:r w:rsidRPr="00C25AC9">
              <w:rPr>
                <w:sz w:val="20"/>
                <w:szCs w:val="20"/>
                <w:lang w:eastAsia="en-CA"/>
              </w:rPr>
              <w:t>s nominations visées par l</w:t>
            </w:r>
            <w:r w:rsidR="00C25AC9" w:rsidRPr="00C25AC9">
              <w:rPr>
                <w:sz w:val="20"/>
                <w:szCs w:val="20"/>
                <w:lang w:eastAsia="en-CA"/>
              </w:rPr>
              <w:t>’</w:t>
            </w:r>
            <w:r w:rsidR="00163B83" w:rsidRPr="00C25AC9">
              <w:rPr>
                <w:sz w:val="20"/>
                <w:szCs w:val="20"/>
                <w:lang w:eastAsia="en-CA"/>
              </w:rPr>
              <w:t>EE (p. ex. promotion, recrutement, intérim)</w:t>
            </w:r>
            <w:r w:rsidRPr="00C25AC9">
              <w:rPr>
                <w:sz w:val="20"/>
                <w:szCs w:val="20"/>
                <w:lang w:eastAsia="en-CA"/>
              </w:rPr>
              <w:t>.</w:t>
            </w:r>
          </w:p>
          <w:p w14:paraId="1FB7348F" w14:textId="769783A9" w:rsidR="00163B83" w:rsidRPr="00C25AC9" w:rsidRDefault="00163B83" w:rsidP="00163B83">
            <w:pPr>
              <w:pStyle w:val="ListParagraph"/>
              <w:numPr>
                <w:ilvl w:val="0"/>
                <w:numId w:val="16"/>
              </w:numPr>
              <w:spacing w:after="0"/>
              <w:rPr>
                <w:sz w:val="20"/>
                <w:szCs w:val="20"/>
                <w:lang w:eastAsia="en-CA"/>
              </w:rPr>
            </w:pPr>
            <w:r w:rsidRPr="00C25AC9">
              <w:rPr>
                <w:sz w:val="20"/>
                <w:szCs w:val="20"/>
                <w:lang w:eastAsia="en-CA"/>
              </w:rPr>
              <w:t>Représentation de</w:t>
            </w:r>
            <w:r w:rsidR="00806D8C" w:rsidRPr="00C25AC9">
              <w:rPr>
                <w:sz w:val="20"/>
                <w:szCs w:val="20"/>
                <w:lang w:eastAsia="en-CA"/>
              </w:rPr>
              <w:t>s nominations visées par</w:t>
            </w:r>
            <w:r w:rsidRPr="00C25AC9">
              <w:rPr>
                <w:sz w:val="20"/>
                <w:szCs w:val="20"/>
                <w:lang w:eastAsia="en-CA"/>
              </w:rPr>
              <w:t xml:space="preserve"> l</w:t>
            </w:r>
            <w:r w:rsidR="00C25AC9" w:rsidRPr="00C25AC9">
              <w:rPr>
                <w:sz w:val="20"/>
                <w:szCs w:val="20"/>
                <w:lang w:eastAsia="en-CA"/>
              </w:rPr>
              <w:t>’</w:t>
            </w:r>
            <w:r w:rsidRPr="00C25AC9">
              <w:rPr>
                <w:sz w:val="20"/>
                <w:szCs w:val="20"/>
                <w:lang w:eastAsia="en-CA"/>
              </w:rPr>
              <w:t>EE dans la fonction publique fédérale</w:t>
            </w:r>
            <w:r w:rsidR="00806D8C" w:rsidRPr="00C25AC9">
              <w:rPr>
                <w:sz w:val="20"/>
                <w:szCs w:val="20"/>
                <w:lang w:eastAsia="en-CA"/>
              </w:rPr>
              <w:t>.</w:t>
            </w:r>
          </w:p>
          <w:p w14:paraId="52680340" w14:textId="5C3196CC" w:rsidR="00163B83" w:rsidRPr="00C25AC9" w:rsidRDefault="00163B83" w:rsidP="00163B83">
            <w:pPr>
              <w:pStyle w:val="ListParagraph"/>
              <w:numPr>
                <w:ilvl w:val="0"/>
                <w:numId w:val="16"/>
              </w:numPr>
              <w:spacing w:after="0"/>
              <w:rPr>
                <w:sz w:val="20"/>
                <w:szCs w:val="20"/>
                <w:lang w:eastAsia="en-CA"/>
              </w:rPr>
            </w:pPr>
            <w:r w:rsidRPr="00C25AC9">
              <w:rPr>
                <w:sz w:val="20"/>
                <w:szCs w:val="20"/>
                <w:lang w:eastAsia="en-CA"/>
              </w:rPr>
              <w:t>Utilisation de</w:t>
            </w:r>
            <w:r w:rsidR="00806D8C" w:rsidRPr="00C25AC9">
              <w:rPr>
                <w:sz w:val="20"/>
                <w:szCs w:val="20"/>
                <w:lang w:eastAsia="en-CA"/>
              </w:rPr>
              <w:t>s</w:t>
            </w:r>
            <w:r w:rsidRPr="00C25AC9">
              <w:rPr>
                <w:sz w:val="20"/>
                <w:szCs w:val="20"/>
                <w:lang w:eastAsia="en-CA"/>
              </w:rPr>
              <w:t xml:space="preserve"> processus de sélection restreints en </w:t>
            </w:r>
            <w:r w:rsidR="00806D8C" w:rsidRPr="00C25AC9">
              <w:rPr>
                <w:sz w:val="20"/>
                <w:szCs w:val="20"/>
                <w:lang w:eastAsia="en-CA"/>
              </w:rPr>
              <w:t>lien avec l</w:t>
            </w:r>
            <w:r w:rsidR="00C25AC9" w:rsidRPr="00C25AC9">
              <w:rPr>
                <w:sz w:val="20"/>
                <w:szCs w:val="20"/>
                <w:lang w:eastAsia="en-CA"/>
              </w:rPr>
              <w:t>’</w:t>
            </w:r>
            <w:r w:rsidR="00806D8C" w:rsidRPr="00C25AC9">
              <w:rPr>
                <w:sz w:val="20"/>
                <w:szCs w:val="20"/>
                <w:lang w:eastAsia="en-CA"/>
              </w:rPr>
              <w:t xml:space="preserve">EE ou avec les besoins </w:t>
            </w:r>
            <w:r w:rsidRPr="00C25AC9">
              <w:rPr>
                <w:sz w:val="20"/>
                <w:szCs w:val="20"/>
                <w:lang w:eastAsia="en-CA"/>
              </w:rPr>
              <w:t>organisationnels</w:t>
            </w:r>
            <w:r w:rsidR="00806D8C" w:rsidRPr="00C25AC9">
              <w:rPr>
                <w:sz w:val="20"/>
                <w:szCs w:val="20"/>
                <w:lang w:eastAsia="en-CA"/>
              </w:rPr>
              <w:t>.</w:t>
            </w:r>
          </w:p>
          <w:p w14:paraId="3FD00E20" w14:textId="5488C0D2" w:rsidR="00647807" w:rsidRPr="00C25AC9" w:rsidRDefault="00163B83" w:rsidP="00B17DEC">
            <w:pPr>
              <w:pStyle w:val="ListParagraph"/>
              <w:numPr>
                <w:ilvl w:val="0"/>
                <w:numId w:val="16"/>
              </w:numPr>
              <w:spacing w:after="0"/>
              <w:rPr>
                <w:lang w:eastAsia="en-CA"/>
              </w:rPr>
            </w:pPr>
            <w:r w:rsidRPr="00C25AC9">
              <w:rPr>
                <w:sz w:val="20"/>
                <w:szCs w:val="20"/>
                <w:lang w:eastAsia="en-CA"/>
              </w:rPr>
              <w:t xml:space="preserve">Ventilation, </w:t>
            </w:r>
            <w:r w:rsidR="00806D8C" w:rsidRPr="00C25AC9">
              <w:rPr>
                <w:sz w:val="20"/>
                <w:szCs w:val="20"/>
                <w:lang w:eastAsia="en-CA"/>
              </w:rPr>
              <w:t>s</w:t>
            </w:r>
            <w:r w:rsidR="00C25AC9" w:rsidRPr="00C25AC9">
              <w:rPr>
                <w:sz w:val="20"/>
                <w:szCs w:val="20"/>
                <w:lang w:eastAsia="en-CA"/>
              </w:rPr>
              <w:t>’</w:t>
            </w:r>
            <w:r w:rsidR="00806D8C" w:rsidRPr="00C25AC9">
              <w:rPr>
                <w:sz w:val="20"/>
                <w:szCs w:val="20"/>
                <w:lang w:eastAsia="en-CA"/>
              </w:rPr>
              <w:t xml:space="preserve">il y a lieu, </w:t>
            </w:r>
            <w:r w:rsidRPr="00C25AC9">
              <w:rPr>
                <w:sz w:val="20"/>
                <w:szCs w:val="20"/>
                <w:lang w:eastAsia="en-CA"/>
              </w:rPr>
              <w:t xml:space="preserve">par programme, </w:t>
            </w:r>
            <w:r w:rsidR="00B17DEC" w:rsidRPr="00C25AC9">
              <w:rPr>
                <w:sz w:val="20"/>
                <w:szCs w:val="20"/>
                <w:lang w:eastAsia="en-CA"/>
              </w:rPr>
              <w:t xml:space="preserve">par </w:t>
            </w:r>
            <w:r w:rsidRPr="00C25AC9">
              <w:rPr>
                <w:sz w:val="20"/>
                <w:szCs w:val="20"/>
                <w:lang w:eastAsia="en-CA"/>
              </w:rPr>
              <w:t>ministère, etc.</w:t>
            </w:r>
            <w:bookmarkEnd w:id="13"/>
          </w:p>
        </w:tc>
        <w:tc>
          <w:tcPr>
            <w:tcW w:w="2694" w:type="dxa"/>
          </w:tcPr>
          <w:p w14:paraId="2BBAA523" w14:textId="62A9085E" w:rsidR="007516B7" w:rsidRPr="00C25AC9" w:rsidRDefault="007B330C" w:rsidP="00B17DEC">
            <w:pPr>
              <w:rPr>
                <w:rFonts w:cs="Arial"/>
                <w:sz w:val="20"/>
                <w:szCs w:val="20"/>
              </w:rPr>
            </w:pPr>
            <w:r w:rsidRPr="00C25AC9">
              <w:rPr>
                <w:rFonts w:cs="Arial"/>
                <w:sz w:val="20"/>
                <w:szCs w:val="20"/>
              </w:rPr>
              <w:t>Fournir des preuves en temps opportun des progrès réalisés dans le cadre des diverses initiatives axées sur la diversité et l</w:t>
            </w:r>
            <w:r w:rsidR="00C25AC9" w:rsidRPr="00C25AC9">
              <w:rPr>
                <w:rFonts w:cs="Arial"/>
                <w:sz w:val="20"/>
                <w:szCs w:val="20"/>
              </w:rPr>
              <w:t>’</w:t>
            </w:r>
            <w:r w:rsidRPr="00C25AC9">
              <w:rPr>
                <w:rFonts w:cs="Arial"/>
                <w:sz w:val="20"/>
                <w:szCs w:val="20"/>
              </w:rPr>
              <w:t>inclusion qui ont été mises en œuvre dans la fonction publique. Le fait de combiner les renseignements sur la représentation et la mobilité dans la fonction publique en un seul indicateur donnera une idée générale des progrès réalisés et de l</w:t>
            </w:r>
            <w:r w:rsidR="00C25AC9" w:rsidRPr="00C25AC9">
              <w:rPr>
                <w:rFonts w:cs="Arial"/>
                <w:sz w:val="20"/>
                <w:szCs w:val="20"/>
              </w:rPr>
              <w:t>’</w:t>
            </w:r>
            <w:r w:rsidRPr="00C25AC9">
              <w:rPr>
                <w:rFonts w:cs="Arial"/>
                <w:sz w:val="20"/>
                <w:szCs w:val="20"/>
              </w:rPr>
              <w:t>incidence des politiques et des initiatives d</w:t>
            </w:r>
            <w:r w:rsidR="00C25AC9" w:rsidRPr="00C25AC9">
              <w:rPr>
                <w:rFonts w:cs="Arial"/>
                <w:sz w:val="20"/>
                <w:szCs w:val="20"/>
              </w:rPr>
              <w:t>’</w:t>
            </w:r>
            <w:r w:rsidRPr="00C25AC9">
              <w:rPr>
                <w:rFonts w:cs="Arial"/>
                <w:sz w:val="20"/>
                <w:szCs w:val="20"/>
              </w:rPr>
              <w:t>une année à l</w:t>
            </w:r>
            <w:r w:rsidR="00C25AC9" w:rsidRPr="00C25AC9">
              <w:rPr>
                <w:rFonts w:cs="Arial"/>
                <w:sz w:val="20"/>
                <w:szCs w:val="20"/>
              </w:rPr>
              <w:t>’</w:t>
            </w:r>
            <w:r w:rsidRPr="00C25AC9">
              <w:rPr>
                <w:rFonts w:cs="Arial"/>
                <w:sz w:val="20"/>
                <w:szCs w:val="20"/>
              </w:rPr>
              <w:t>autre. Ainsi, on pourra orienter stratégiquement les discussions et cerner les meilleures pratiques.</w:t>
            </w:r>
          </w:p>
        </w:tc>
        <w:tc>
          <w:tcPr>
            <w:tcW w:w="3969" w:type="dxa"/>
          </w:tcPr>
          <w:p w14:paraId="325DFC71" w14:textId="6E875C15" w:rsidR="007516B7" w:rsidRPr="00C25AC9" w:rsidRDefault="00006F53" w:rsidP="00AB489B">
            <w:pPr>
              <w:rPr>
                <w:rFonts w:cs="Arial"/>
                <w:sz w:val="20"/>
                <w:szCs w:val="20"/>
              </w:rPr>
            </w:pPr>
            <w:r w:rsidRPr="00C25AC9">
              <w:rPr>
                <w:rFonts w:cs="Arial"/>
                <w:sz w:val="20"/>
                <w:szCs w:val="20"/>
                <w:u w:val="single"/>
              </w:rPr>
              <w:t>ETP</w:t>
            </w:r>
            <w:r w:rsidRPr="00C25AC9">
              <w:rPr>
                <w:rFonts w:cs="Arial"/>
                <w:sz w:val="20"/>
                <w:szCs w:val="20"/>
              </w:rPr>
              <w:t> :</w:t>
            </w:r>
            <w:r w:rsidR="007516B7" w:rsidRPr="00C25AC9">
              <w:rPr>
                <w:rFonts w:cs="Arial"/>
                <w:sz w:val="20"/>
                <w:szCs w:val="20"/>
              </w:rPr>
              <w:t xml:space="preserve"> ¼</w:t>
            </w:r>
          </w:p>
          <w:p w14:paraId="5AAA54E3" w14:textId="77777777" w:rsidR="007516B7" w:rsidRPr="00C25AC9" w:rsidRDefault="007516B7" w:rsidP="00AB489B">
            <w:pPr>
              <w:rPr>
                <w:rFonts w:cs="Arial"/>
                <w:sz w:val="20"/>
                <w:szCs w:val="20"/>
              </w:rPr>
            </w:pPr>
          </w:p>
          <w:p w14:paraId="1CE625A5" w14:textId="054BA3BE" w:rsidR="007B330C" w:rsidRPr="00C25AC9" w:rsidRDefault="007B330C" w:rsidP="00AB489B">
            <w:pPr>
              <w:rPr>
                <w:rFonts w:cs="Arial"/>
                <w:sz w:val="20"/>
                <w:szCs w:val="20"/>
              </w:rPr>
            </w:pPr>
            <w:r w:rsidRPr="00C25AC9">
              <w:rPr>
                <w:rFonts w:cs="Arial"/>
                <w:sz w:val="20"/>
                <w:szCs w:val="20"/>
                <w:u w:val="single"/>
              </w:rPr>
              <w:t>Données</w:t>
            </w:r>
            <w:r w:rsidRPr="00C25AC9">
              <w:rPr>
                <w:rFonts w:cs="Arial"/>
                <w:sz w:val="20"/>
                <w:szCs w:val="20"/>
              </w:rPr>
              <w:t xml:space="preserve"> : Des sources administratives, y compris les données de déclaration volontaire des candidats, les renseignements sur la diversité et l</w:t>
            </w:r>
            <w:r w:rsidR="00C25AC9" w:rsidRPr="00C25AC9">
              <w:rPr>
                <w:rFonts w:cs="Arial"/>
                <w:sz w:val="20"/>
                <w:szCs w:val="20"/>
              </w:rPr>
              <w:t>’</w:t>
            </w:r>
            <w:r w:rsidRPr="00C25AC9">
              <w:rPr>
                <w:rFonts w:cs="Arial"/>
                <w:sz w:val="20"/>
                <w:szCs w:val="20"/>
              </w:rPr>
              <w:t>inclusion provenant des fonds de données de la CFP et les données d</w:t>
            </w:r>
            <w:r w:rsidR="00C25AC9" w:rsidRPr="00C25AC9">
              <w:rPr>
                <w:rFonts w:cs="Arial"/>
                <w:sz w:val="20"/>
                <w:szCs w:val="20"/>
              </w:rPr>
              <w:t>’</w:t>
            </w:r>
            <w:r w:rsidRPr="00C25AC9">
              <w:rPr>
                <w:rFonts w:cs="Arial"/>
                <w:sz w:val="20"/>
                <w:szCs w:val="20"/>
              </w:rPr>
              <w:t>auto-identification provenant de la Banque de données sur l</w:t>
            </w:r>
            <w:r w:rsidR="00C25AC9" w:rsidRPr="00C25AC9">
              <w:rPr>
                <w:rFonts w:cs="Arial"/>
                <w:sz w:val="20"/>
                <w:szCs w:val="20"/>
              </w:rPr>
              <w:t>’</w:t>
            </w:r>
            <w:r w:rsidR="00B23E47" w:rsidRPr="00C25AC9">
              <w:rPr>
                <w:rFonts w:cs="Arial"/>
                <w:sz w:val="20"/>
                <w:szCs w:val="20"/>
              </w:rPr>
              <w:t>EE</w:t>
            </w:r>
            <w:r w:rsidRPr="00C25AC9">
              <w:rPr>
                <w:rFonts w:cs="Arial"/>
                <w:sz w:val="20"/>
                <w:szCs w:val="20"/>
              </w:rPr>
              <w:t>, selon les renseignements disponibles les plus récents.</w:t>
            </w:r>
          </w:p>
          <w:p w14:paraId="3C79EE70" w14:textId="77777777" w:rsidR="007B330C" w:rsidRPr="00C25AC9" w:rsidRDefault="007B330C" w:rsidP="00AB489B">
            <w:pPr>
              <w:rPr>
                <w:rFonts w:cs="Arial"/>
                <w:sz w:val="20"/>
                <w:szCs w:val="20"/>
                <w:u w:val="single"/>
              </w:rPr>
            </w:pPr>
          </w:p>
          <w:p w14:paraId="53878080" w14:textId="503A6D2B" w:rsidR="007516B7" w:rsidRPr="00C25AC9" w:rsidRDefault="007516B7" w:rsidP="00AB489B">
            <w:pPr>
              <w:rPr>
                <w:rFonts w:cs="Arial"/>
                <w:sz w:val="20"/>
                <w:szCs w:val="20"/>
                <w:u w:val="single"/>
              </w:rPr>
            </w:pPr>
          </w:p>
        </w:tc>
      </w:tr>
      <w:tr w:rsidR="007516B7" w:rsidRPr="00C25AC9" w14:paraId="7ADA1885" w14:textId="77777777" w:rsidTr="00101877">
        <w:tc>
          <w:tcPr>
            <w:tcW w:w="562" w:type="dxa"/>
          </w:tcPr>
          <w:p w14:paraId="55BF040D" w14:textId="77777777" w:rsidR="007516B7" w:rsidRPr="00C25AC9" w:rsidRDefault="007516B7" w:rsidP="00AB489B">
            <w:pPr>
              <w:rPr>
                <w:rFonts w:cs="Arial"/>
                <w:sz w:val="20"/>
                <w:szCs w:val="20"/>
              </w:rPr>
            </w:pPr>
            <w:r w:rsidRPr="00C25AC9">
              <w:rPr>
                <w:rFonts w:cs="Arial"/>
                <w:sz w:val="20"/>
                <w:szCs w:val="20"/>
              </w:rPr>
              <w:t>3</w:t>
            </w:r>
          </w:p>
        </w:tc>
        <w:tc>
          <w:tcPr>
            <w:tcW w:w="3544" w:type="dxa"/>
          </w:tcPr>
          <w:p w14:paraId="2FC74CF6" w14:textId="0BE03430" w:rsidR="005F6440" w:rsidRPr="00C25AC9" w:rsidRDefault="005F6440" w:rsidP="00AB489B">
            <w:pPr>
              <w:rPr>
                <w:rFonts w:cs="Arial"/>
                <w:b/>
                <w:sz w:val="20"/>
                <w:szCs w:val="20"/>
                <w:u w:val="single"/>
              </w:rPr>
            </w:pPr>
            <w:r w:rsidRPr="00C25AC9">
              <w:rPr>
                <w:rFonts w:cs="Arial"/>
                <w:b/>
                <w:sz w:val="20"/>
                <w:szCs w:val="20"/>
                <w:u w:val="single"/>
              </w:rPr>
              <w:t>Analyse des affiches</w:t>
            </w:r>
          </w:p>
          <w:p w14:paraId="7A5BFC14" w14:textId="77777777" w:rsidR="007516B7" w:rsidRPr="00C25AC9" w:rsidRDefault="007516B7" w:rsidP="00AB489B">
            <w:pPr>
              <w:rPr>
                <w:rFonts w:cs="Arial"/>
                <w:b/>
                <w:bCs/>
                <w:sz w:val="20"/>
                <w:szCs w:val="20"/>
                <w:u w:val="single"/>
              </w:rPr>
            </w:pPr>
          </w:p>
          <w:p w14:paraId="21B64A40" w14:textId="77777777" w:rsidR="00D937A9" w:rsidRPr="00C25AC9" w:rsidRDefault="007516B7" w:rsidP="00AB489B">
            <w:pPr>
              <w:rPr>
                <w:rFonts w:cs="Arial"/>
                <w:b/>
                <w:bCs/>
                <w:sz w:val="20"/>
                <w:szCs w:val="20"/>
                <w:u w:val="single"/>
              </w:rPr>
            </w:pPr>
            <w:r w:rsidRPr="00C25AC9">
              <w:rPr>
                <w:rFonts w:cs="Arial"/>
                <w:b/>
                <w:bCs/>
                <w:sz w:val="20"/>
                <w:szCs w:val="20"/>
                <w:u w:val="single"/>
              </w:rPr>
              <w:t>Source</w:t>
            </w:r>
            <w:r w:rsidR="00D937A9" w:rsidRPr="00C25AC9">
              <w:rPr>
                <w:rFonts w:cs="Arial"/>
                <w:b/>
                <w:bCs/>
                <w:sz w:val="20"/>
                <w:szCs w:val="20"/>
                <w:u w:val="single"/>
              </w:rPr>
              <w:t> : DSDA</w:t>
            </w:r>
          </w:p>
          <w:p w14:paraId="501B802F" w14:textId="77777777" w:rsidR="007516B7" w:rsidRPr="00C25AC9" w:rsidRDefault="007516B7" w:rsidP="00AB489B">
            <w:pPr>
              <w:rPr>
                <w:rFonts w:cs="Arial"/>
                <w:b/>
                <w:bCs/>
                <w:sz w:val="20"/>
                <w:szCs w:val="20"/>
                <w:u w:val="single"/>
              </w:rPr>
            </w:pPr>
          </w:p>
          <w:p w14:paraId="46429144" w14:textId="06650736" w:rsidR="00D937A9" w:rsidRPr="00C25AC9" w:rsidRDefault="007516B7" w:rsidP="00AB489B">
            <w:pPr>
              <w:rPr>
                <w:rFonts w:cs="Arial"/>
                <w:b/>
                <w:bCs/>
                <w:sz w:val="20"/>
                <w:szCs w:val="20"/>
                <w:u w:val="single"/>
              </w:rPr>
            </w:pPr>
            <w:r w:rsidRPr="00C25AC9">
              <w:rPr>
                <w:rFonts w:cs="Arial"/>
                <w:b/>
                <w:bCs/>
                <w:sz w:val="20"/>
                <w:szCs w:val="20"/>
                <w:u w:val="single"/>
              </w:rPr>
              <w:t>Clien</w:t>
            </w:r>
            <w:r w:rsidR="00D937A9" w:rsidRPr="00C25AC9">
              <w:rPr>
                <w:rFonts w:cs="Arial"/>
                <w:b/>
                <w:bCs/>
                <w:sz w:val="20"/>
                <w:szCs w:val="20"/>
                <w:u w:val="single"/>
              </w:rPr>
              <w:t>t : Secteur des politiques et des communications</w:t>
            </w:r>
            <w:r w:rsidR="0078165C" w:rsidRPr="00C25AC9">
              <w:rPr>
                <w:rFonts w:cs="Arial"/>
                <w:b/>
                <w:bCs/>
                <w:sz w:val="20"/>
                <w:szCs w:val="20"/>
                <w:u w:val="single"/>
              </w:rPr>
              <w:t xml:space="preserve"> (SPC)</w:t>
            </w:r>
            <w:r w:rsidR="00D937A9" w:rsidRPr="00C25AC9">
              <w:rPr>
                <w:rFonts w:cs="Arial"/>
                <w:b/>
                <w:bCs/>
                <w:sz w:val="20"/>
                <w:szCs w:val="20"/>
                <w:u w:val="single"/>
              </w:rPr>
              <w:t>, SSDA</w:t>
            </w:r>
          </w:p>
          <w:p w14:paraId="4A1167AF" w14:textId="6C7AEEDF" w:rsidR="007516B7" w:rsidRPr="00C25AC9" w:rsidRDefault="007516B7" w:rsidP="00AB489B">
            <w:pPr>
              <w:rPr>
                <w:rFonts w:cs="Arial"/>
                <w:sz w:val="20"/>
                <w:szCs w:val="20"/>
              </w:rPr>
            </w:pPr>
          </w:p>
        </w:tc>
        <w:tc>
          <w:tcPr>
            <w:tcW w:w="6662" w:type="dxa"/>
          </w:tcPr>
          <w:p w14:paraId="0CBD5CE5" w14:textId="215E7B7E" w:rsidR="007C3721" w:rsidRPr="00C25AC9" w:rsidRDefault="007C3721" w:rsidP="00AB489B">
            <w:pPr>
              <w:rPr>
                <w:sz w:val="20"/>
                <w:szCs w:val="20"/>
                <w:lang w:eastAsia="en-CA"/>
              </w:rPr>
            </w:pPr>
            <w:r w:rsidRPr="00C25AC9">
              <w:rPr>
                <w:sz w:val="20"/>
                <w:szCs w:val="20"/>
                <w:lang w:eastAsia="en-CA"/>
              </w:rPr>
              <w:t>L</w:t>
            </w:r>
            <w:r w:rsidR="00C25AC9" w:rsidRPr="00C25AC9">
              <w:rPr>
                <w:sz w:val="20"/>
                <w:szCs w:val="20"/>
                <w:lang w:eastAsia="en-CA"/>
              </w:rPr>
              <w:t>’</w:t>
            </w:r>
            <w:r w:rsidRPr="00C25AC9">
              <w:rPr>
                <w:sz w:val="20"/>
                <w:szCs w:val="20"/>
                <w:lang w:eastAsia="en-CA"/>
              </w:rPr>
              <w:t>étape de l</w:t>
            </w:r>
            <w:r w:rsidR="00C25AC9" w:rsidRPr="00C25AC9">
              <w:rPr>
                <w:sz w:val="20"/>
                <w:szCs w:val="20"/>
                <w:lang w:eastAsia="en-CA"/>
              </w:rPr>
              <w:t>’</w:t>
            </w:r>
            <w:r w:rsidRPr="00C25AC9">
              <w:rPr>
                <w:sz w:val="20"/>
                <w:szCs w:val="20"/>
                <w:lang w:eastAsia="en-CA"/>
              </w:rPr>
              <w:t>affichage d</w:t>
            </w:r>
            <w:r w:rsidR="00C25AC9" w:rsidRPr="00C25AC9">
              <w:rPr>
                <w:sz w:val="20"/>
                <w:szCs w:val="20"/>
                <w:lang w:eastAsia="en-CA"/>
              </w:rPr>
              <w:t>’</w:t>
            </w:r>
            <w:r w:rsidRPr="00C25AC9">
              <w:rPr>
                <w:sz w:val="20"/>
                <w:szCs w:val="20"/>
                <w:lang w:eastAsia="en-CA"/>
              </w:rPr>
              <w:t>un poste peut être une source d</w:t>
            </w:r>
            <w:r w:rsidR="00C25AC9" w:rsidRPr="00C25AC9">
              <w:rPr>
                <w:sz w:val="20"/>
                <w:szCs w:val="20"/>
                <w:lang w:eastAsia="en-CA"/>
              </w:rPr>
              <w:t>’</w:t>
            </w:r>
            <w:r w:rsidRPr="00C25AC9">
              <w:rPr>
                <w:sz w:val="20"/>
                <w:szCs w:val="20"/>
                <w:lang w:eastAsia="en-CA"/>
              </w:rPr>
              <w:t>obstacles pour les candidats de divers horizons. Nous proposons d</w:t>
            </w:r>
            <w:r w:rsidR="00C25AC9" w:rsidRPr="00C25AC9">
              <w:rPr>
                <w:sz w:val="20"/>
                <w:szCs w:val="20"/>
                <w:lang w:eastAsia="en-CA"/>
              </w:rPr>
              <w:t>’</w:t>
            </w:r>
            <w:r w:rsidRPr="00C25AC9">
              <w:rPr>
                <w:sz w:val="20"/>
                <w:szCs w:val="20"/>
                <w:lang w:eastAsia="en-CA"/>
              </w:rPr>
              <w:t>étudier les caractéristiques des affiches qui favorisent une plus grande diversité de candidats.</w:t>
            </w:r>
          </w:p>
          <w:p w14:paraId="672FC482" w14:textId="77777777" w:rsidR="007C3721" w:rsidRPr="00C25AC9" w:rsidRDefault="007C3721" w:rsidP="00AB489B">
            <w:pPr>
              <w:rPr>
                <w:sz w:val="20"/>
                <w:szCs w:val="20"/>
                <w:lang w:eastAsia="en-CA"/>
              </w:rPr>
            </w:pPr>
          </w:p>
          <w:p w14:paraId="22770E37" w14:textId="77777777" w:rsidR="007C3721" w:rsidRPr="00C25AC9" w:rsidRDefault="007C3721" w:rsidP="007C3721">
            <w:pPr>
              <w:rPr>
                <w:sz w:val="20"/>
                <w:szCs w:val="20"/>
                <w:lang w:eastAsia="en-CA"/>
              </w:rPr>
            </w:pPr>
            <w:r w:rsidRPr="00C25AC9">
              <w:rPr>
                <w:sz w:val="20"/>
                <w:szCs w:val="20"/>
                <w:lang w:eastAsia="en-CA"/>
              </w:rPr>
              <w:t xml:space="preserve">Q : Quelles sont les caractéristiques des affiches qui favorisent une plus grande diversité de candidats? </w:t>
            </w:r>
          </w:p>
          <w:p w14:paraId="0FA0F865" w14:textId="619C3B09" w:rsidR="007516B7" w:rsidRPr="00C25AC9" w:rsidRDefault="007C3721" w:rsidP="00B17DEC">
            <w:pPr>
              <w:rPr>
                <w:sz w:val="20"/>
                <w:szCs w:val="20"/>
                <w:lang w:eastAsia="en-CA"/>
              </w:rPr>
            </w:pPr>
            <w:r w:rsidRPr="00C25AC9">
              <w:rPr>
                <w:sz w:val="20"/>
                <w:szCs w:val="20"/>
                <w:lang w:eastAsia="en-CA"/>
              </w:rPr>
              <w:t>Q : En quoi les exigences en matière d</w:t>
            </w:r>
            <w:r w:rsidR="00C25AC9" w:rsidRPr="00C25AC9">
              <w:rPr>
                <w:sz w:val="20"/>
                <w:szCs w:val="20"/>
                <w:lang w:eastAsia="en-CA"/>
              </w:rPr>
              <w:t>’</w:t>
            </w:r>
            <w:r w:rsidRPr="00C25AC9">
              <w:rPr>
                <w:sz w:val="20"/>
                <w:szCs w:val="20"/>
                <w:lang w:eastAsia="en-CA"/>
              </w:rPr>
              <w:t xml:space="preserve">éducation ont-elles une incidence sur la diversité des candidats? </w:t>
            </w:r>
            <w:r w:rsidR="007516B7" w:rsidRPr="00C25AC9">
              <w:rPr>
                <w:sz w:val="20"/>
                <w:szCs w:val="20"/>
                <w:lang w:eastAsia="en-CA"/>
              </w:rPr>
              <w:t xml:space="preserve"> </w:t>
            </w:r>
          </w:p>
        </w:tc>
        <w:tc>
          <w:tcPr>
            <w:tcW w:w="2694" w:type="dxa"/>
          </w:tcPr>
          <w:p w14:paraId="4E50F666" w14:textId="7BD48081" w:rsidR="00B17DEC" w:rsidRPr="00C25AC9" w:rsidRDefault="00C4176B" w:rsidP="00B17DEC">
            <w:pPr>
              <w:rPr>
                <w:rFonts w:cs="Arial"/>
                <w:sz w:val="20"/>
                <w:szCs w:val="20"/>
              </w:rPr>
            </w:pPr>
            <w:r w:rsidRPr="00C25AC9">
              <w:rPr>
                <w:rFonts w:cs="Arial"/>
                <w:sz w:val="20"/>
                <w:szCs w:val="20"/>
              </w:rPr>
              <w:t>Déterminer</w:t>
            </w:r>
            <w:r w:rsidR="007B330C" w:rsidRPr="00C25AC9">
              <w:rPr>
                <w:rFonts w:cs="Arial"/>
                <w:sz w:val="20"/>
                <w:szCs w:val="20"/>
              </w:rPr>
              <w:t xml:space="preserve"> les meilleures pratiques afin d</w:t>
            </w:r>
            <w:r w:rsidR="00C25AC9" w:rsidRPr="00C25AC9">
              <w:rPr>
                <w:rFonts w:cs="Arial"/>
                <w:sz w:val="20"/>
                <w:szCs w:val="20"/>
              </w:rPr>
              <w:t>’</w:t>
            </w:r>
            <w:r w:rsidR="007B330C" w:rsidRPr="00C25AC9">
              <w:rPr>
                <w:rFonts w:cs="Arial"/>
                <w:sz w:val="20"/>
                <w:szCs w:val="20"/>
              </w:rPr>
              <w:t>attirer un bassin diversifié de candidats et de cerner les obstacles pendant l</w:t>
            </w:r>
            <w:r w:rsidR="00C25AC9" w:rsidRPr="00C25AC9">
              <w:rPr>
                <w:rFonts w:cs="Arial"/>
                <w:sz w:val="20"/>
                <w:szCs w:val="20"/>
              </w:rPr>
              <w:t>’</w:t>
            </w:r>
            <w:r w:rsidR="007B330C" w:rsidRPr="00C25AC9">
              <w:rPr>
                <w:rFonts w:cs="Arial"/>
                <w:sz w:val="20"/>
                <w:szCs w:val="20"/>
              </w:rPr>
              <w:t>étape de l</w:t>
            </w:r>
            <w:r w:rsidR="00C25AC9" w:rsidRPr="00C25AC9">
              <w:rPr>
                <w:rFonts w:cs="Arial"/>
                <w:sz w:val="20"/>
                <w:szCs w:val="20"/>
              </w:rPr>
              <w:t>’</w:t>
            </w:r>
            <w:r w:rsidR="007B330C" w:rsidRPr="00C25AC9">
              <w:rPr>
                <w:rFonts w:cs="Arial"/>
                <w:sz w:val="20"/>
                <w:szCs w:val="20"/>
              </w:rPr>
              <w:t>affichage.</w:t>
            </w:r>
          </w:p>
          <w:p w14:paraId="2D65E52D" w14:textId="5F428A66" w:rsidR="007516B7" w:rsidRPr="00C25AC9" w:rsidRDefault="007516B7" w:rsidP="00AB489B">
            <w:pPr>
              <w:rPr>
                <w:rFonts w:cs="Arial"/>
                <w:sz w:val="20"/>
                <w:szCs w:val="20"/>
              </w:rPr>
            </w:pPr>
          </w:p>
        </w:tc>
        <w:tc>
          <w:tcPr>
            <w:tcW w:w="3969" w:type="dxa"/>
          </w:tcPr>
          <w:p w14:paraId="3915C8D0" w14:textId="7C58EF58" w:rsidR="007516B7" w:rsidRPr="00C25AC9" w:rsidRDefault="00006F53" w:rsidP="00AB489B">
            <w:pPr>
              <w:rPr>
                <w:rFonts w:cs="Arial"/>
                <w:sz w:val="20"/>
                <w:szCs w:val="20"/>
              </w:rPr>
            </w:pPr>
            <w:r w:rsidRPr="00C25AC9">
              <w:rPr>
                <w:rFonts w:cs="Arial"/>
                <w:sz w:val="20"/>
                <w:szCs w:val="20"/>
                <w:u w:val="single"/>
              </w:rPr>
              <w:t>ETP</w:t>
            </w:r>
            <w:r w:rsidRPr="00C25AC9">
              <w:rPr>
                <w:rFonts w:cs="Arial"/>
                <w:sz w:val="20"/>
                <w:szCs w:val="20"/>
              </w:rPr>
              <w:t> :</w:t>
            </w:r>
            <w:r w:rsidR="007516B7" w:rsidRPr="00C25AC9">
              <w:rPr>
                <w:rFonts w:cs="Arial"/>
                <w:sz w:val="20"/>
                <w:szCs w:val="20"/>
              </w:rPr>
              <w:t xml:space="preserve"> ½</w:t>
            </w:r>
          </w:p>
          <w:p w14:paraId="13C5A8C2" w14:textId="77777777" w:rsidR="007516B7" w:rsidRPr="00C25AC9" w:rsidRDefault="007516B7" w:rsidP="00AB489B">
            <w:pPr>
              <w:rPr>
                <w:rFonts w:cs="Arial"/>
                <w:sz w:val="20"/>
                <w:szCs w:val="20"/>
                <w:u w:val="single"/>
              </w:rPr>
            </w:pPr>
          </w:p>
          <w:p w14:paraId="1186893A" w14:textId="5AA1A764" w:rsidR="007B330C" w:rsidRPr="00C25AC9" w:rsidRDefault="007B330C" w:rsidP="00AB489B">
            <w:pPr>
              <w:rPr>
                <w:rFonts w:cs="Arial"/>
                <w:sz w:val="20"/>
                <w:szCs w:val="20"/>
                <w:u w:val="single"/>
              </w:rPr>
            </w:pPr>
            <w:r w:rsidRPr="00C25AC9">
              <w:rPr>
                <w:rFonts w:cs="Arial"/>
                <w:sz w:val="20"/>
                <w:szCs w:val="20"/>
                <w:u w:val="single"/>
              </w:rPr>
              <w:t>Données</w:t>
            </w:r>
            <w:r w:rsidRPr="00C25AC9">
              <w:rPr>
                <w:rFonts w:cs="Arial"/>
                <w:sz w:val="20"/>
                <w:szCs w:val="20"/>
              </w:rPr>
              <w:t xml:space="preserve"> : Sources administratives (Système de ressourcement de la fonction publique [SRFP])</w:t>
            </w:r>
          </w:p>
          <w:p w14:paraId="20E7E21C" w14:textId="0C20EDFC" w:rsidR="007516B7" w:rsidRPr="00C25AC9" w:rsidRDefault="007516B7" w:rsidP="00AB489B">
            <w:pPr>
              <w:rPr>
                <w:rFonts w:cs="Arial"/>
                <w:sz w:val="20"/>
                <w:szCs w:val="20"/>
                <w:u w:val="single"/>
              </w:rPr>
            </w:pPr>
          </w:p>
        </w:tc>
      </w:tr>
      <w:tr w:rsidR="007516B7" w:rsidRPr="00C25AC9" w14:paraId="78EBDD2A" w14:textId="77777777" w:rsidTr="00101877">
        <w:tc>
          <w:tcPr>
            <w:tcW w:w="562" w:type="dxa"/>
          </w:tcPr>
          <w:p w14:paraId="1BEBAA0B" w14:textId="77777777" w:rsidR="007516B7" w:rsidRPr="00C25AC9" w:rsidRDefault="007516B7" w:rsidP="00AB489B">
            <w:pPr>
              <w:rPr>
                <w:rFonts w:cs="Arial"/>
                <w:sz w:val="20"/>
                <w:szCs w:val="20"/>
              </w:rPr>
            </w:pPr>
            <w:r w:rsidRPr="00C25AC9">
              <w:rPr>
                <w:rFonts w:cs="Arial"/>
                <w:sz w:val="20"/>
                <w:szCs w:val="20"/>
              </w:rPr>
              <w:lastRenderedPageBreak/>
              <w:t>4</w:t>
            </w:r>
          </w:p>
        </w:tc>
        <w:tc>
          <w:tcPr>
            <w:tcW w:w="3544" w:type="dxa"/>
          </w:tcPr>
          <w:p w14:paraId="26409FCF" w14:textId="605CEC8E" w:rsidR="0078165C" w:rsidRPr="00C25AC9" w:rsidRDefault="0078165C" w:rsidP="00AB489B">
            <w:pPr>
              <w:rPr>
                <w:rFonts w:cs="Arial"/>
                <w:b/>
                <w:sz w:val="20"/>
                <w:szCs w:val="20"/>
                <w:u w:val="single"/>
              </w:rPr>
            </w:pPr>
            <w:bookmarkStart w:id="14" w:name="_Hlk80687513"/>
            <w:r w:rsidRPr="00C25AC9">
              <w:rPr>
                <w:rFonts w:cs="Arial"/>
                <w:b/>
                <w:sz w:val="20"/>
                <w:szCs w:val="20"/>
                <w:u w:val="single"/>
              </w:rPr>
              <w:t>Obstacles à l</w:t>
            </w:r>
            <w:r w:rsidR="00C25AC9" w:rsidRPr="00C25AC9">
              <w:rPr>
                <w:rFonts w:cs="Arial"/>
                <w:b/>
                <w:sz w:val="20"/>
                <w:szCs w:val="20"/>
                <w:u w:val="single"/>
              </w:rPr>
              <w:t>’</w:t>
            </w:r>
            <w:r w:rsidRPr="00C25AC9">
              <w:rPr>
                <w:rFonts w:cs="Arial"/>
                <w:b/>
                <w:sz w:val="20"/>
                <w:szCs w:val="20"/>
                <w:u w:val="single"/>
              </w:rPr>
              <w:t>EE dans les groupes EX</w:t>
            </w:r>
          </w:p>
          <w:bookmarkEnd w:id="14"/>
          <w:p w14:paraId="50F8ACE7" w14:textId="77777777" w:rsidR="007516B7" w:rsidRPr="00C25AC9" w:rsidRDefault="007516B7" w:rsidP="00AB489B">
            <w:pPr>
              <w:rPr>
                <w:rFonts w:cs="Arial"/>
                <w:b/>
                <w:sz w:val="20"/>
                <w:szCs w:val="20"/>
                <w:u w:val="single"/>
              </w:rPr>
            </w:pPr>
          </w:p>
          <w:p w14:paraId="6E1579D2" w14:textId="76CD27E6" w:rsidR="0078165C" w:rsidRPr="00C25AC9" w:rsidRDefault="007516B7" w:rsidP="00AB489B">
            <w:pPr>
              <w:rPr>
                <w:rFonts w:cs="Arial"/>
                <w:b/>
                <w:sz w:val="20"/>
                <w:szCs w:val="20"/>
                <w:u w:val="single"/>
              </w:rPr>
            </w:pPr>
            <w:r w:rsidRPr="00C25AC9">
              <w:rPr>
                <w:rFonts w:cs="Arial"/>
                <w:b/>
                <w:sz w:val="20"/>
                <w:szCs w:val="20"/>
                <w:u w:val="single"/>
              </w:rPr>
              <w:t>Source</w:t>
            </w:r>
            <w:r w:rsidR="0078165C" w:rsidRPr="00C25AC9">
              <w:rPr>
                <w:rFonts w:cs="Arial"/>
                <w:b/>
                <w:sz w:val="20"/>
                <w:szCs w:val="20"/>
                <w:u w:val="single"/>
              </w:rPr>
              <w:t xml:space="preserve"> : DSDA, G</w:t>
            </w:r>
            <w:r w:rsidR="00A046B3" w:rsidRPr="00C25AC9">
              <w:rPr>
                <w:rFonts w:cs="Arial"/>
                <w:b/>
                <w:sz w:val="20"/>
                <w:szCs w:val="20"/>
                <w:u w:val="single"/>
              </w:rPr>
              <w:t>T sur l</w:t>
            </w:r>
            <w:r w:rsidR="00C25AC9" w:rsidRPr="00C25AC9">
              <w:rPr>
                <w:rFonts w:cs="Arial"/>
                <w:b/>
                <w:sz w:val="20"/>
                <w:szCs w:val="20"/>
                <w:u w:val="single"/>
              </w:rPr>
              <w:t>’</w:t>
            </w:r>
            <w:r w:rsidR="00A046B3" w:rsidRPr="00C25AC9">
              <w:rPr>
                <w:rFonts w:cs="Arial"/>
                <w:b/>
                <w:sz w:val="20"/>
                <w:szCs w:val="20"/>
                <w:u w:val="single"/>
              </w:rPr>
              <w:t>EE de la CFP</w:t>
            </w:r>
            <w:r w:rsidR="0078165C" w:rsidRPr="00C25AC9">
              <w:rPr>
                <w:rFonts w:cs="Arial"/>
                <w:b/>
                <w:sz w:val="20"/>
                <w:szCs w:val="20"/>
                <w:u w:val="single"/>
              </w:rPr>
              <w:t xml:space="preserve"> </w:t>
            </w:r>
          </w:p>
          <w:p w14:paraId="04F6EF08" w14:textId="77777777" w:rsidR="007516B7" w:rsidRPr="00C25AC9" w:rsidRDefault="007516B7" w:rsidP="00AB489B">
            <w:pPr>
              <w:rPr>
                <w:rFonts w:cs="Arial"/>
                <w:b/>
                <w:sz w:val="20"/>
                <w:szCs w:val="20"/>
                <w:u w:val="single"/>
              </w:rPr>
            </w:pPr>
          </w:p>
          <w:p w14:paraId="0B9AC819" w14:textId="77777777" w:rsidR="00A046B3" w:rsidRPr="00C25AC9" w:rsidRDefault="00A046B3" w:rsidP="00AB489B">
            <w:pPr>
              <w:rPr>
                <w:rFonts w:cs="Arial"/>
                <w:b/>
                <w:sz w:val="20"/>
                <w:szCs w:val="20"/>
                <w:u w:val="single"/>
              </w:rPr>
            </w:pPr>
            <w:r w:rsidRPr="00C25AC9">
              <w:rPr>
                <w:rFonts w:cs="Arial"/>
                <w:b/>
                <w:sz w:val="20"/>
                <w:szCs w:val="20"/>
                <w:u w:val="single"/>
              </w:rPr>
              <w:t>Client : Secteur des politiques et des communications (SPC)</w:t>
            </w:r>
          </w:p>
          <w:p w14:paraId="79DDC123" w14:textId="77777777" w:rsidR="00A046B3" w:rsidRPr="00C25AC9" w:rsidRDefault="00A046B3" w:rsidP="00AB489B">
            <w:pPr>
              <w:rPr>
                <w:rFonts w:cs="Arial"/>
                <w:b/>
                <w:sz w:val="20"/>
                <w:szCs w:val="20"/>
                <w:u w:val="single"/>
              </w:rPr>
            </w:pPr>
          </w:p>
          <w:p w14:paraId="103CC17A" w14:textId="66569604" w:rsidR="007516B7" w:rsidRPr="00C25AC9" w:rsidRDefault="007516B7" w:rsidP="00AB489B">
            <w:pPr>
              <w:rPr>
                <w:rFonts w:cs="Arial"/>
                <w:b/>
                <w:sz w:val="20"/>
                <w:szCs w:val="20"/>
                <w:u w:val="single"/>
              </w:rPr>
            </w:pPr>
          </w:p>
        </w:tc>
        <w:tc>
          <w:tcPr>
            <w:tcW w:w="6662" w:type="dxa"/>
          </w:tcPr>
          <w:p w14:paraId="5DF77AEA" w14:textId="5679C7B4" w:rsidR="007C3721" w:rsidRPr="00C25AC9" w:rsidRDefault="007C3721" w:rsidP="00AB489B">
            <w:pPr>
              <w:rPr>
                <w:sz w:val="20"/>
                <w:szCs w:val="20"/>
                <w:lang w:eastAsia="en-CA"/>
              </w:rPr>
            </w:pPr>
            <w:r w:rsidRPr="00C25AC9">
              <w:rPr>
                <w:sz w:val="20"/>
                <w:szCs w:val="20"/>
                <w:lang w:eastAsia="en-CA"/>
              </w:rPr>
              <w:t>Une étude récente sur le taux de promotion de l</w:t>
            </w:r>
            <w:r w:rsidR="00C25AC9" w:rsidRPr="00C25AC9">
              <w:rPr>
                <w:sz w:val="20"/>
                <w:szCs w:val="20"/>
                <w:lang w:eastAsia="en-CA"/>
              </w:rPr>
              <w:t>’</w:t>
            </w:r>
            <w:r w:rsidRPr="00C25AC9">
              <w:rPr>
                <w:sz w:val="20"/>
                <w:szCs w:val="20"/>
                <w:lang w:eastAsia="en-CA"/>
              </w:rPr>
              <w:t>EE a montré que les membres des sous-groupes de minorités visibles ont des taux de promotion inférieurs à ceux de leurs homologues faisant partie des groupes de relève EX dans les catégories EX. La nécessité de mener d</w:t>
            </w:r>
            <w:r w:rsidR="00C25AC9" w:rsidRPr="00C25AC9">
              <w:rPr>
                <w:sz w:val="20"/>
                <w:szCs w:val="20"/>
                <w:lang w:eastAsia="en-CA"/>
              </w:rPr>
              <w:t>’</w:t>
            </w:r>
            <w:r w:rsidRPr="00C25AC9">
              <w:rPr>
                <w:sz w:val="20"/>
                <w:szCs w:val="20"/>
                <w:lang w:eastAsia="en-CA"/>
              </w:rPr>
              <w:t>autres recherches plus approfondies sur cette question a été identifiée comme une prochaine étape à entreprendre par la CFP.</w:t>
            </w:r>
          </w:p>
          <w:p w14:paraId="1EA0353E" w14:textId="77777777" w:rsidR="007C3721" w:rsidRPr="00C25AC9" w:rsidRDefault="007C3721" w:rsidP="00AB489B">
            <w:pPr>
              <w:rPr>
                <w:sz w:val="20"/>
                <w:szCs w:val="20"/>
                <w:lang w:eastAsia="en-CA"/>
              </w:rPr>
            </w:pPr>
          </w:p>
          <w:p w14:paraId="53070783" w14:textId="75FF428B" w:rsidR="007C3721" w:rsidRPr="00C25AC9" w:rsidRDefault="007C3721" w:rsidP="007C3721">
            <w:pPr>
              <w:rPr>
                <w:sz w:val="20"/>
                <w:szCs w:val="20"/>
                <w:lang w:eastAsia="en-CA"/>
              </w:rPr>
            </w:pPr>
            <w:r w:rsidRPr="00C25AC9">
              <w:rPr>
                <w:sz w:val="20"/>
                <w:szCs w:val="20"/>
                <w:lang w:eastAsia="en-CA"/>
              </w:rPr>
              <w:t>Q : Quels sont les obstacles auxquels se heurtent les membres des groupes visés par l</w:t>
            </w:r>
            <w:r w:rsidR="00C25AC9" w:rsidRPr="00C25AC9">
              <w:rPr>
                <w:sz w:val="20"/>
                <w:szCs w:val="20"/>
                <w:lang w:eastAsia="en-CA"/>
              </w:rPr>
              <w:t>’</w:t>
            </w:r>
            <w:r w:rsidRPr="00C25AC9">
              <w:rPr>
                <w:sz w:val="20"/>
                <w:szCs w:val="20"/>
                <w:lang w:eastAsia="en-CA"/>
              </w:rPr>
              <w:t>EE lorsqu</w:t>
            </w:r>
            <w:r w:rsidR="00C25AC9" w:rsidRPr="00C25AC9">
              <w:rPr>
                <w:sz w:val="20"/>
                <w:szCs w:val="20"/>
                <w:lang w:eastAsia="en-CA"/>
              </w:rPr>
              <w:t>’</w:t>
            </w:r>
            <w:r w:rsidRPr="00C25AC9">
              <w:rPr>
                <w:sz w:val="20"/>
                <w:szCs w:val="20"/>
                <w:lang w:eastAsia="en-CA"/>
              </w:rPr>
              <w:t>ils tentent d</w:t>
            </w:r>
            <w:r w:rsidR="00C25AC9" w:rsidRPr="00C25AC9">
              <w:rPr>
                <w:sz w:val="20"/>
                <w:szCs w:val="20"/>
                <w:lang w:eastAsia="en-CA"/>
              </w:rPr>
              <w:t>’</w:t>
            </w:r>
            <w:r w:rsidRPr="00C25AC9">
              <w:rPr>
                <w:sz w:val="20"/>
                <w:szCs w:val="20"/>
                <w:lang w:eastAsia="en-CA"/>
              </w:rPr>
              <w:t xml:space="preserve">atteindre les résultats du groupe EX? </w:t>
            </w:r>
          </w:p>
          <w:p w14:paraId="4FB7FEA3" w14:textId="4F5CC566" w:rsidR="007C3721" w:rsidRPr="00C25AC9" w:rsidRDefault="007C3721" w:rsidP="007C3721">
            <w:pPr>
              <w:rPr>
                <w:sz w:val="20"/>
                <w:szCs w:val="20"/>
                <w:lang w:eastAsia="en-CA"/>
              </w:rPr>
            </w:pPr>
            <w:r w:rsidRPr="00C25AC9">
              <w:rPr>
                <w:sz w:val="20"/>
                <w:szCs w:val="20"/>
                <w:lang w:eastAsia="en-CA"/>
              </w:rPr>
              <w:t>Q : Les groupes en quête d</w:t>
            </w:r>
            <w:r w:rsidR="00C25AC9" w:rsidRPr="00C25AC9">
              <w:rPr>
                <w:sz w:val="20"/>
                <w:szCs w:val="20"/>
                <w:lang w:eastAsia="en-CA"/>
              </w:rPr>
              <w:t>’</w:t>
            </w:r>
            <w:r w:rsidRPr="00C25AC9">
              <w:rPr>
                <w:sz w:val="20"/>
                <w:szCs w:val="20"/>
                <w:lang w:eastAsia="en-CA"/>
              </w:rPr>
              <w:t>équité sont-ils également représentés dans les groupes de relève EX?</w:t>
            </w:r>
          </w:p>
          <w:p w14:paraId="60294069" w14:textId="67F7DE2A" w:rsidR="00266ABE" w:rsidRPr="00C25AC9" w:rsidRDefault="007C3721" w:rsidP="00B17DEC">
            <w:pPr>
              <w:rPr>
                <w:sz w:val="20"/>
                <w:szCs w:val="20"/>
                <w:lang w:eastAsia="en-CA"/>
              </w:rPr>
            </w:pPr>
            <w:r w:rsidRPr="00C25AC9">
              <w:rPr>
                <w:sz w:val="20"/>
                <w:szCs w:val="20"/>
                <w:lang w:eastAsia="en-CA"/>
              </w:rPr>
              <w:t>Q : Les membres visés par l</w:t>
            </w:r>
            <w:r w:rsidR="00C25AC9" w:rsidRPr="00C25AC9">
              <w:rPr>
                <w:sz w:val="20"/>
                <w:szCs w:val="20"/>
                <w:lang w:eastAsia="en-CA"/>
              </w:rPr>
              <w:t>’</w:t>
            </w:r>
            <w:r w:rsidRPr="00C25AC9">
              <w:rPr>
                <w:sz w:val="20"/>
                <w:szCs w:val="20"/>
                <w:lang w:eastAsia="en-CA"/>
              </w:rPr>
              <w:t>EE participent-ils aux processus de promotion?</w:t>
            </w:r>
            <w:r w:rsidR="00266ABE" w:rsidRPr="00C25AC9">
              <w:rPr>
                <w:sz w:val="20"/>
                <w:szCs w:val="20"/>
                <w:lang w:eastAsia="en-CA"/>
              </w:rPr>
              <w:t xml:space="preserve"> </w:t>
            </w:r>
          </w:p>
        </w:tc>
        <w:tc>
          <w:tcPr>
            <w:tcW w:w="2694" w:type="dxa"/>
          </w:tcPr>
          <w:p w14:paraId="5F0F20D4" w14:textId="05768D45" w:rsidR="007B330C" w:rsidRPr="00C25AC9" w:rsidRDefault="007B330C" w:rsidP="00AB489B">
            <w:pPr>
              <w:rPr>
                <w:rFonts w:cs="Arial"/>
                <w:sz w:val="20"/>
                <w:szCs w:val="20"/>
              </w:rPr>
            </w:pPr>
            <w:r w:rsidRPr="00C25AC9">
              <w:rPr>
                <w:rFonts w:cs="Arial"/>
                <w:sz w:val="20"/>
                <w:szCs w:val="20"/>
              </w:rPr>
              <w:t>Fournir des données probantes pour éclairer les discussions stratégiques sur les obstacles auxquels font face les groupes désignés</w:t>
            </w:r>
            <w:r w:rsidR="0024142C" w:rsidRPr="00C25AC9">
              <w:rPr>
                <w:rFonts w:cs="Arial"/>
                <w:sz w:val="20"/>
                <w:szCs w:val="20"/>
              </w:rPr>
              <w:t xml:space="preserve"> par l</w:t>
            </w:r>
            <w:r w:rsidR="00C25AC9" w:rsidRPr="00C25AC9">
              <w:rPr>
                <w:rFonts w:cs="Arial"/>
                <w:sz w:val="20"/>
                <w:szCs w:val="20"/>
              </w:rPr>
              <w:t>’</w:t>
            </w:r>
            <w:r w:rsidR="0024142C" w:rsidRPr="00C25AC9">
              <w:rPr>
                <w:rFonts w:cs="Arial"/>
                <w:sz w:val="20"/>
                <w:szCs w:val="20"/>
              </w:rPr>
              <w:t>EE</w:t>
            </w:r>
            <w:r w:rsidRPr="00C25AC9">
              <w:rPr>
                <w:rFonts w:cs="Arial"/>
                <w:sz w:val="20"/>
                <w:szCs w:val="20"/>
              </w:rPr>
              <w:t xml:space="preserve"> lorsqu</w:t>
            </w:r>
            <w:r w:rsidR="00C25AC9" w:rsidRPr="00C25AC9">
              <w:rPr>
                <w:rFonts w:cs="Arial"/>
                <w:sz w:val="20"/>
                <w:szCs w:val="20"/>
              </w:rPr>
              <w:t>’</w:t>
            </w:r>
            <w:r w:rsidRPr="00C25AC9">
              <w:rPr>
                <w:rFonts w:cs="Arial"/>
                <w:sz w:val="20"/>
                <w:szCs w:val="20"/>
              </w:rPr>
              <w:t>ils essaient d</w:t>
            </w:r>
            <w:r w:rsidR="00C25AC9" w:rsidRPr="00C25AC9">
              <w:rPr>
                <w:rFonts w:cs="Arial"/>
                <w:sz w:val="20"/>
                <w:szCs w:val="20"/>
              </w:rPr>
              <w:t>’</w:t>
            </w:r>
            <w:r w:rsidR="00F46F3D" w:rsidRPr="00C25AC9">
              <w:rPr>
                <w:rFonts w:cs="Arial"/>
                <w:sz w:val="20"/>
                <w:szCs w:val="20"/>
              </w:rPr>
              <w:t xml:space="preserve">obtenir un poste de cadre supérieur. </w:t>
            </w:r>
            <w:r w:rsidRPr="00C25AC9">
              <w:rPr>
                <w:rFonts w:cs="Arial"/>
                <w:sz w:val="20"/>
                <w:szCs w:val="20"/>
              </w:rPr>
              <w:t xml:space="preserve"> </w:t>
            </w:r>
          </w:p>
          <w:p w14:paraId="4AA44335" w14:textId="77777777" w:rsidR="007B330C" w:rsidRPr="00C25AC9" w:rsidRDefault="007B330C" w:rsidP="00AB489B">
            <w:pPr>
              <w:rPr>
                <w:rFonts w:cs="Arial"/>
                <w:sz w:val="20"/>
                <w:szCs w:val="20"/>
              </w:rPr>
            </w:pPr>
          </w:p>
          <w:p w14:paraId="5DAAA591" w14:textId="77777777" w:rsidR="00B5416B" w:rsidRPr="00C25AC9" w:rsidRDefault="00B5416B" w:rsidP="00AB489B">
            <w:pPr>
              <w:rPr>
                <w:rFonts w:cs="Arial"/>
                <w:sz w:val="20"/>
                <w:szCs w:val="20"/>
              </w:rPr>
            </w:pPr>
          </w:p>
          <w:p w14:paraId="2998F18F" w14:textId="374498E7" w:rsidR="00B5416B" w:rsidRPr="00C25AC9" w:rsidRDefault="00B5416B" w:rsidP="00AB489B">
            <w:pPr>
              <w:rPr>
                <w:rFonts w:cs="Arial"/>
                <w:sz w:val="20"/>
                <w:szCs w:val="20"/>
              </w:rPr>
            </w:pPr>
          </w:p>
        </w:tc>
        <w:tc>
          <w:tcPr>
            <w:tcW w:w="3969" w:type="dxa"/>
          </w:tcPr>
          <w:p w14:paraId="6B77C6A0" w14:textId="50EE944F" w:rsidR="007516B7" w:rsidRPr="00C25AC9" w:rsidRDefault="00006F53" w:rsidP="00AB489B">
            <w:pPr>
              <w:rPr>
                <w:rFonts w:cs="Arial"/>
                <w:sz w:val="20"/>
                <w:szCs w:val="20"/>
              </w:rPr>
            </w:pPr>
            <w:r w:rsidRPr="00C25AC9">
              <w:rPr>
                <w:rFonts w:cs="Arial"/>
                <w:sz w:val="20"/>
                <w:szCs w:val="20"/>
                <w:u w:val="single"/>
              </w:rPr>
              <w:t>ETP</w:t>
            </w:r>
            <w:r w:rsidRPr="00C25AC9">
              <w:rPr>
                <w:rFonts w:cs="Arial"/>
                <w:sz w:val="20"/>
                <w:szCs w:val="20"/>
              </w:rPr>
              <w:t xml:space="preserve"> :</w:t>
            </w:r>
            <w:r w:rsidR="007516B7" w:rsidRPr="00C25AC9">
              <w:rPr>
                <w:rFonts w:cs="Arial"/>
                <w:sz w:val="20"/>
                <w:szCs w:val="20"/>
              </w:rPr>
              <w:t xml:space="preserve"> ½</w:t>
            </w:r>
          </w:p>
          <w:p w14:paraId="6D0BD37F" w14:textId="77777777" w:rsidR="007516B7" w:rsidRPr="00C25AC9" w:rsidRDefault="007516B7" w:rsidP="00AB489B">
            <w:pPr>
              <w:rPr>
                <w:rFonts w:cs="Arial"/>
                <w:sz w:val="20"/>
                <w:szCs w:val="20"/>
                <w:u w:val="single"/>
              </w:rPr>
            </w:pPr>
          </w:p>
          <w:p w14:paraId="5A9DA473" w14:textId="5267DA31" w:rsidR="00B5416B" w:rsidRPr="00C25AC9" w:rsidRDefault="007516B7" w:rsidP="00AB489B">
            <w:pPr>
              <w:rPr>
                <w:rFonts w:cs="Arial"/>
                <w:sz w:val="20"/>
                <w:szCs w:val="20"/>
              </w:rPr>
            </w:pPr>
            <w:r w:rsidRPr="00C25AC9">
              <w:rPr>
                <w:rFonts w:cs="Arial"/>
                <w:sz w:val="20"/>
                <w:szCs w:val="20"/>
                <w:u w:val="single"/>
              </w:rPr>
              <w:t>D</w:t>
            </w:r>
            <w:r w:rsidR="00E119EF" w:rsidRPr="00C25AC9">
              <w:rPr>
                <w:rFonts w:cs="Arial"/>
                <w:sz w:val="20"/>
                <w:szCs w:val="20"/>
                <w:u w:val="single"/>
              </w:rPr>
              <w:t>onnées</w:t>
            </w:r>
            <w:r w:rsidR="00E119EF" w:rsidRPr="00C25AC9">
              <w:rPr>
                <w:rFonts w:cs="Arial"/>
                <w:sz w:val="20"/>
                <w:szCs w:val="20"/>
              </w:rPr>
              <w:t xml:space="preserve"> : Sources administratives</w:t>
            </w:r>
            <w:r w:rsidR="00BD3CBE" w:rsidRPr="00C25AC9">
              <w:rPr>
                <w:rFonts w:cs="Arial"/>
                <w:sz w:val="20"/>
                <w:szCs w:val="20"/>
              </w:rPr>
              <w:t xml:space="preserve">, </w:t>
            </w:r>
            <w:r w:rsidR="00B5416B" w:rsidRPr="00C25AC9">
              <w:rPr>
                <w:rFonts w:cs="Arial"/>
                <w:sz w:val="20"/>
                <w:szCs w:val="20"/>
              </w:rPr>
              <w:t>analyses documentaires, données de sondage (p. ex. SDIP)</w:t>
            </w:r>
            <w:r w:rsidR="00B17DEC" w:rsidRPr="00C25AC9">
              <w:rPr>
                <w:rFonts w:cs="Arial"/>
                <w:sz w:val="20"/>
                <w:szCs w:val="20"/>
              </w:rPr>
              <w:t>.</w:t>
            </w:r>
            <w:r w:rsidR="00B5416B" w:rsidRPr="00C25AC9">
              <w:rPr>
                <w:rFonts w:cs="Arial"/>
                <w:sz w:val="20"/>
                <w:szCs w:val="20"/>
              </w:rPr>
              <w:t xml:space="preserve">   </w:t>
            </w:r>
          </w:p>
          <w:p w14:paraId="4F660B71" w14:textId="77777777" w:rsidR="00B5416B" w:rsidRPr="00C25AC9" w:rsidRDefault="00B5416B" w:rsidP="00AB489B">
            <w:pPr>
              <w:rPr>
                <w:rFonts w:cs="Arial"/>
                <w:sz w:val="20"/>
                <w:szCs w:val="20"/>
              </w:rPr>
            </w:pPr>
          </w:p>
          <w:p w14:paraId="79BD9436" w14:textId="5649BF5E" w:rsidR="007516B7" w:rsidRPr="00C25AC9" w:rsidRDefault="007516B7" w:rsidP="00B17DEC">
            <w:pPr>
              <w:rPr>
                <w:rFonts w:cs="Arial"/>
                <w:sz w:val="20"/>
                <w:szCs w:val="20"/>
                <w:u w:val="single"/>
              </w:rPr>
            </w:pPr>
          </w:p>
        </w:tc>
      </w:tr>
      <w:tr w:rsidR="007516B7" w:rsidRPr="00C25AC9" w14:paraId="367D4BD8" w14:textId="77777777" w:rsidTr="00101877">
        <w:tc>
          <w:tcPr>
            <w:tcW w:w="562" w:type="dxa"/>
          </w:tcPr>
          <w:p w14:paraId="0B9096B6" w14:textId="77777777" w:rsidR="007516B7" w:rsidRPr="00C25AC9" w:rsidRDefault="007516B7" w:rsidP="00AB489B">
            <w:pPr>
              <w:rPr>
                <w:rFonts w:cs="Arial"/>
                <w:sz w:val="20"/>
                <w:szCs w:val="20"/>
              </w:rPr>
            </w:pPr>
            <w:r w:rsidRPr="00C25AC9">
              <w:rPr>
                <w:rFonts w:cs="Arial"/>
                <w:sz w:val="20"/>
                <w:szCs w:val="20"/>
              </w:rPr>
              <w:t>5</w:t>
            </w:r>
          </w:p>
        </w:tc>
        <w:tc>
          <w:tcPr>
            <w:tcW w:w="3544" w:type="dxa"/>
          </w:tcPr>
          <w:p w14:paraId="281FDCF5" w14:textId="5E6C9CB9" w:rsidR="00FD4C98" w:rsidRPr="00C25AC9" w:rsidRDefault="00FD4C98" w:rsidP="00AB489B">
            <w:pPr>
              <w:rPr>
                <w:rFonts w:cs="Arial"/>
                <w:b/>
                <w:sz w:val="20"/>
                <w:szCs w:val="20"/>
                <w:u w:val="single"/>
              </w:rPr>
            </w:pPr>
            <w:r w:rsidRPr="00C25AC9">
              <w:rPr>
                <w:rFonts w:cs="Arial"/>
                <w:b/>
                <w:sz w:val="20"/>
                <w:szCs w:val="20"/>
                <w:u w:val="single"/>
              </w:rPr>
              <w:t>Analyse des étudiants embauchés à titre occasionnel avec le prisme de l</w:t>
            </w:r>
            <w:r w:rsidR="00C25AC9" w:rsidRPr="00C25AC9">
              <w:rPr>
                <w:rFonts w:cs="Arial"/>
                <w:b/>
                <w:sz w:val="20"/>
                <w:szCs w:val="20"/>
                <w:u w:val="single"/>
              </w:rPr>
              <w:t>’</w:t>
            </w:r>
            <w:r w:rsidRPr="00C25AC9">
              <w:rPr>
                <w:rFonts w:cs="Arial"/>
                <w:b/>
                <w:sz w:val="20"/>
                <w:szCs w:val="20"/>
                <w:u w:val="single"/>
              </w:rPr>
              <w:t>ACS</w:t>
            </w:r>
            <w:r w:rsidR="00DE30E3" w:rsidRPr="00C25AC9">
              <w:rPr>
                <w:rFonts w:cs="Arial"/>
                <w:b/>
                <w:sz w:val="20"/>
                <w:szCs w:val="20"/>
                <w:u w:val="single"/>
              </w:rPr>
              <w:t>+</w:t>
            </w:r>
          </w:p>
          <w:p w14:paraId="7DC84CA2" w14:textId="77777777" w:rsidR="00FD4C98" w:rsidRPr="00C25AC9" w:rsidRDefault="00FD4C98" w:rsidP="00AB489B">
            <w:pPr>
              <w:rPr>
                <w:rFonts w:cs="Arial"/>
                <w:b/>
                <w:sz w:val="20"/>
                <w:szCs w:val="20"/>
                <w:u w:val="single"/>
              </w:rPr>
            </w:pPr>
          </w:p>
          <w:p w14:paraId="3213D00F" w14:textId="3635B3D7" w:rsidR="00FD4C98" w:rsidRPr="00C25AC9" w:rsidRDefault="00FD4C98" w:rsidP="00AB489B">
            <w:pPr>
              <w:rPr>
                <w:rFonts w:cs="Arial"/>
                <w:b/>
                <w:sz w:val="20"/>
                <w:szCs w:val="20"/>
              </w:rPr>
            </w:pPr>
            <w:r w:rsidRPr="00C25AC9">
              <w:rPr>
                <w:rFonts w:cs="Arial"/>
                <w:b/>
                <w:sz w:val="20"/>
                <w:szCs w:val="20"/>
                <w:u w:val="single"/>
              </w:rPr>
              <w:t>Source :</w:t>
            </w:r>
            <w:r w:rsidR="00DE30E3" w:rsidRPr="00C25AC9">
              <w:rPr>
                <w:rFonts w:cs="Arial"/>
                <w:b/>
                <w:sz w:val="20"/>
                <w:szCs w:val="20"/>
              </w:rPr>
              <w:t xml:space="preserve"> Comité d</w:t>
            </w:r>
            <w:r w:rsidR="00C25AC9" w:rsidRPr="00C25AC9">
              <w:rPr>
                <w:rFonts w:cs="Arial"/>
                <w:b/>
                <w:sz w:val="20"/>
                <w:szCs w:val="20"/>
              </w:rPr>
              <w:t>’</w:t>
            </w:r>
            <w:r w:rsidR="00DE30E3" w:rsidRPr="00C25AC9">
              <w:rPr>
                <w:rFonts w:cs="Arial"/>
                <w:b/>
                <w:sz w:val="20"/>
                <w:szCs w:val="20"/>
              </w:rPr>
              <w:t xml:space="preserve">intégration, Énoncé élargi des critères de mérite </w:t>
            </w:r>
            <w:r w:rsidR="00E442AD" w:rsidRPr="00C25AC9">
              <w:rPr>
                <w:rFonts w:cs="Arial"/>
                <w:b/>
                <w:sz w:val="20"/>
                <w:szCs w:val="20"/>
              </w:rPr>
              <w:t xml:space="preserve">du </w:t>
            </w:r>
            <w:r w:rsidR="00DE30E3" w:rsidRPr="00C25AC9">
              <w:rPr>
                <w:rFonts w:cs="Arial"/>
                <w:b/>
                <w:sz w:val="20"/>
                <w:szCs w:val="20"/>
              </w:rPr>
              <w:t xml:space="preserve">SSE </w:t>
            </w:r>
          </w:p>
          <w:p w14:paraId="4DEFBE7F" w14:textId="77777777" w:rsidR="00FD4C98" w:rsidRPr="00C25AC9" w:rsidRDefault="00FD4C98" w:rsidP="00AB489B">
            <w:pPr>
              <w:rPr>
                <w:rFonts w:cs="Arial"/>
                <w:b/>
                <w:sz w:val="20"/>
                <w:szCs w:val="20"/>
                <w:u w:val="single"/>
              </w:rPr>
            </w:pPr>
          </w:p>
          <w:p w14:paraId="2CF554DE" w14:textId="0C163270" w:rsidR="00DE30E3" w:rsidRPr="00C25AC9" w:rsidRDefault="00DE30E3" w:rsidP="00AB489B">
            <w:pPr>
              <w:rPr>
                <w:rFonts w:cs="Arial"/>
                <w:b/>
                <w:sz w:val="20"/>
                <w:szCs w:val="20"/>
                <w:u w:val="single"/>
              </w:rPr>
            </w:pPr>
            <w:r w:rsidRPr="00C25AC9">
              <w:rPr>
                <w:rFonts w:cs="Arial"/>
                <w:b/>
                <w:sz w:val="20"/>
                <w:szCs w:val="20"/>
                <w:u w:val="single"/>
              </w:rPr>
              <w:t>Client : Secteur des affaires ministérielles (équipe</w:t>
            </w:r>
            <w:r w:rsidR="00606ABD" w:rsidRPr="00C25AC9">
              <w:rPr>
                <w:rFonts w:cs="Arial"/>
                <w:b/>
                <w:sz w:val="20"/>
                <w:szCs w:val="20"/>
                <w:u w:val="single"/>
              </w:rPr>
              <w:t xml:space="preserve"> ACS+)</w:t>
            </w:r>
            <w:r w:rsidRPr="00C25AC9">
              <w:rPr>
                <w:rFonts w:cs="Arial"/>
                <w:b/>
                <w:sz w:val="20"/>
                <w:szCs w:val="20"/>
                <w:u w:val="single"/>
              </w:rPr>
              <w:t xml:space="preserve"> </w:t>
            </w:r>
          </w:p>
          <w:p w14:paraId="6A2E3022" w14:textId="77777777" w:rsidR="00DE30E3" w:rsidRPr="00C25AC9" w:rsidRDefault="00DE30E3" w:rsidP="00AB489B">
            <w:pPr>
              <w:rPr>
                <w:rFonts w:cs="Arial"/>
                <w:b/>
                <w:sz w:val="20"/>
                <w:szCs w:val="20"/>
                <w:u w:val="single"/>
              </w:rPr>
            </w:pPr>
          </w:p>
          <w:p w14:paraId="200CBCD0" w14:textId="374C9B26" w:rsidR="007516B7" w:rsidRPr="00C25AC9" w:rsidRDefault="007516B7" w:rsidP="00AB489B">
            <w:pPr>
              <w:rPr>
                <w:rFonts w:cs="Arial"/>
                <w:b/>
                <w:sz w:val="20"/>
                <w:szCs w:val="20"/>
                <w:u w:val="single"/>
              </w:rPr>
            </w:pPr>
          </w:p>
        </w:tc>
        <w:tc>
          <w:tcPr>
            <w:tcW w:w="6662" w:type="dxa"/>
          </w:tcPr>
          <w:p w14:paraId="6668CD1D" w14:textId="7E4D8051" w:rsidR="007C3721" w:rsidRPr="00C25AC9" w:rsidRDefault="007C3721" w:rsidP="00AB489B">
            <w:pPr>
              <w:rPr>
                <w:sz w:val="20"/>
                <w:szCs w:val="20"/>
                <w:lang w:eastAsia="en-CA"/>
              </w:rPr>
            </w:pPr>
            <w:r w:rsidRPr="00C25AC9">
              <w:rPr>
                <w:sz w:val="20"/>
                <w:szCs w:val="20"/>
                <w:lang w:eastAsia="en-CA"/>
              </w:rPr>
              <w:t>Des mises à jour de l</w:t>
            </w:r>
            <w:r w:rsidR="00C25AC9" w:rsidRPr="00C25AC9">
              <w:rPr>
                <w:sz w:val="20"/>
                <w:szCs w:val="20"/>
                <w:lang w:eastAsia="en-CA"/>
              </w:rPr>
              <w:t>’</w:t>
            </w:r>
            <w:r w:rsidRPr="00C25AC9">
              <w:rPr>
                <w:sz w:val="20"/>
                <w:szCs w:val="20"/>
                <w:lang w:eastAsia="en-CA"/>
              </w:rPr>
              <w:t>analyse des étudiants embauchés comme occasionnels sont effectuées depuis plusieurs années. Lors de notre dernière présentation au</w:t>
            </w:r>
            <w:r w:rsidR="008A14FE" w:rsidRPr="00C25AC9">
              <w:rPr>
                <w:sz w:val="20"/>
                <w:szCs w:val="20"/>
                <w:lang w:eastAsia="en-CA"/>
              </w:rPr>
              <w:t xml:space="preserve"> Comité d</w:t>
            </w:r>
            <w:r w:rsidR="00C25AC9" w:rsidRPr="00C25AC9">
              <w:rPr>
                <w:sz w:val="20"/>
                <w:szCs w:val="20"/>
                <w:lang w:eastAsia="en-CA"/>
              </w:rPr>
              <w:t>’</w:t>
            </w:r>
            <w:r w:rsidR="008A14FE" w:rsidRPr="00C25AC9">
              <w:rPr>
                <w:sz w:val="20"/>
                <w:szCs w:val="20"/>
                <w:lang w:eastAsia="en-CA"/>
              </w:rPr>
              <w:t>intégration</w:t>
            </w:r>
            <w:r w:rsidR="00151C28" w:rsidRPr="00C25AC9">
              <w:rPr>
                <w:sz w:val="20"/>
                <w:szCs w:val="20"/>
                <w:lang w:eastAsia="en-CA"/>
              </w:rPr>
              <w:t>,</w:t>
            </w:r>
            <w:r w:rsidRPr="00C25AC9">
              <w:rPr>
                <w:sz w:val="20"/>
                <w:szCs w:val="20"/>
                <w:lang w:eastAsia="en-CA"/>
              </w:rPr>
              <w:t xml:space="preserve"> on nous a demandé d</w:t>
            </w:r>
            <w:r w:rsidR="00C25AC9" w:rsidRPr="00C25AC9">
              <w:rPr>
                <w:sz w:val="20"/>
                <w:szCs w:val="20"/>
                <w:lang w:eastAsia="en-CA"/>
              </w:rPr>
              <w:t>’</w:t>
            </w:r>
            <w:r w:rsidRPr="00C25AC9">
              <w:rPr>
                <w:sz w:val="20"/>
                <w:szCs w:val="20"/>
                <w:lang w:eastAsia="en-CA"/>
              </w:rPr>
              <w:t>examiner les données sous l</w:t>
            </w:r>
            <w:r w:rsidR="00C25AC9" w:rsidRPr="00C25AC9">
              <w:rPr>
                <w:sz w:val="20"/>
                <w:szCs w:val="20"/>
                <w:lang w:eastAsia="en-CA"/>
              </w:rPr>
              <w:t>’</w:t>
            </w:r>
            <w:r w:rsidRPr="00C25AC9">
              <w:rPr>
                <w:sz w:val="20"/>
                <w:szCs w:val="20"/>
                <w:lang w:eastAsia="en-CA"/>
              </w:rPr>
              <w:t>angle de l</w:t>
            </w:r>
            <w:r w:rsidR="00C25AC9" w:rsidRPr="00C25AC9">
              <w:rPr>
                <w:sz w:val="20"/>
                <w:szCs w:val="20"/>
                <w:lang w:eastAsia="en-CA"/>
              </w:rPr>
              <w:t>’</w:t>
            </w:r>
            <w:r w:rsidRPr="00C25AC9">
              <w:rPr>
                <w:sz w:val="20"/>
                <w:szCs w:val="20"/>
                <w:lang w:eastAsia="en-CA"/>
              </w:rPr>
              <w:t xml:space="preserve">ACS+, afin de déterminer si les étudiants qui se sont déclarés membres de groupes désignés </w:t>
            </w:r>
            <w:r w:rsidR="0024142C" w:rsidRPr="00C25AC9">
              <w:rPr>
                <w:sz w:val="20"/>
                <w:szCs w:val="20"/>
                <w:lang w:eastAsia="en-CA"/>
              </w:rPr>
              <w:t>par l</w:t>
            </w:r>
            <w:r w:rsidR="00C25AC9" w:rsidRPr="00C25AC9">
              <w:rPr>
                <w:sz w:val="20"/>
                <w:szCs w:val="20"/>
                <w:lang w:eastAsia="en-CA"/>
              </w:rPr>
              <w:t>’</w:t>
            </w:r>
            <w:r w:rsidRPr="00C25AC9">
              <w:rPr>
                <w:sz w:val="20"/>
                <w:szCs w:val="20"/>
                <w:lang w:eastAsia="en-CA"/>
              </w:rPr>
              <w:t>EE subissaient les effets négatifs de cette pratique. Nous savons, d</w:t>
            </w:r>
            <w:r w:rsidR="00C25AC9" w:rsidRPr="00C25AC9">
              <w:rPr>
                <w:sz w:val="20"/>
                <w:szCs w:val="20"/>
                <w:lang w:eastAsia="en-CA"/>
              </w:rPr>
              <w:t>’</w:t>
            </w:r>
            <w:r w:rsidRPr="00C25AC9">
              <w:rPr>
                <w:sz w:val="20"/>
                <w:szCs w:val="20"/>
                <w:lang w:eastAsia="en-CA"/>
              </w:rPr>
              <w:t>après des analyses antérieures, que les emplois occasionnels sont souvent une porte d</w:t>
            </w:r>
            <w:r w:rsidR="00C25AC9" w:rsidRPr="00C25AC9">
              <w:rPr>
                <w:sz w:val="20"/>
                <w:szCs w:val="20"/>
                <w:lang w:eastAsia="en-CA"/>
              </w:rPr>
              <w:t>’</w:t>
            </w:r>
            <w:r w:rsidRPr="00C25AC9">
              <w:rPr>
                <w:sz w:val="20"/>
                <w:szCs w:val="20"/>
                <w:lang w:eastAsia="en-CA"/>
              </w:rPr>
              <w:t>entrée vers des postes à durée déterminée ou indéterminée et qu</w:t>
            </w:r>
            <w:r w:rsidR="00C25AC9" w:rsidRPr="00C25AC9">
              <w:rPr>
                <w:sz w:val="20"/>
                <w:szCs w:val="20"/>
                <w:lang w:eastAsia="en-CA"/>
              </w:rPr>
              <w:t>’</w:t>
            </w:r>
            <w:r w:rsidRPr="00C25AC9">
              <w:rPr>
                <w:sz w:val="20"/>
                <w:szCs w:val="20"/>
                <w:lang w:eastAsia="en-CA"/>
              </w:rPr>
              <w:t>ils peuvent donc constituer un avantage par rapport à d</w:t>
            </w:r>
            <w:r w:rsidR="00C25AC9" w:rsidRPr="00C25AC9">
              <w:rPr>
                <w:sz w:val="20"/>
                <w:szCs w:val="20"/>
                <w:lang w:eastAsia="en-CA"/>
              </w:rPr>
              <w:t>’</w:t>
            </w:r>
            <w:r w:rsidRPr="00C25AC9">
              <w:rPr>
                <w:sz w:val="20"/>
                <w:szCs w:val="20"/>
                <w:lang w:eastAsia="en-CA"/>
              </w:rPr>
              <w:t xml:space="preserve">autres candidats lorsque de nouvelles possibilités se présentent.  </w:t>
            </w:r>
          </w:p>
          <w:p w14:paraId="3C5C2606" w14:textId="77777777" w:rsidR="007C3721" w:rsidRPr="00C25AC9" w:rsidRDefault="007C3721" w:rsidP="00AB489B">
            <w:pPr>
              <w:rPr>
                <w:sz w:val="20"/>
                <w:szCs w:val="20"/>
                <w:lang w:eastAsia="en-CA"/>
              </w:rPr>
            </w:pPr>
          </w:p>
          <w:p w14:paraId="4AA91760" w14:textId="1230D976" w:rsidR="007C3721" w:rsidRPr="00C25AC9" w:rsidRDefault="007C3721" w:rsidP="007C3721">
            <w:pPr>
              <w:rPr>
                <w:sz w:val="20"/>
                <w:szCs w:val="20"/>
                <w:lang w:eastAsia="en-CA"/>
              </w:rPr>
            </w:pPr>
            <w:r w:rsidRPr="00C25AC9">
              <w:rPr>
                <w:sz w:val="20"/>
                <w:szCs w:val="20"/>
                <w:lang w:eastAsia="en-CA"/>
              </w:rPr>
              <w:t>Q : Dans quelle mesure les étudiants qui se déclarent membres de groupes visés par l</w:t>
            </w:r>
            <w:r w:rsidR="00C25AC9" w:rsidRPr="00C25AC9">
              <w:rPr>
                <w:sz w:val="20"/>
                <w:szCs w:val="20"/>
                <w:lang w:eastAsia="en-CA"/>
              </w:rPr>
              <w:t>’</w:t>
            </w:r>
            <w:r w:rsidRPr="00C25AC9">
              <w:rPr>
                <w:sz w:val="20"/>
                <w:szCs w:val="20"/>
                <w:lang w:eastAsia="en-CA"/>
              </w:rPr>
              <w:t>EE bénéficient-ils de postes occasionnels?</w:t>
            </w:r>
          </w:p>
          <w:p w14:paraId="53F287FA" w14:textId="77777777" w:rsidR="007C3721" w:rsidRPr="00C25AC9" w:rsidRDefault="007C3721" w:rsidP="007C3721">
            <w:pPr>
              <w:rPr>
                <w:sz w:val="20"/>
                <w:szCs w:val="20"/>
                <w:lang w:eastAsia="en-CA"/>
              </w:rPr>
            </w:pPr>
            <w:r w:rsidRPr="00C25AC9">
              <w:rPr>
                <w:sz w:val="20"/>
                <w:szCs w:val="20"/>
                <w:lang w:eastAsia="en-CA"/>
              </w:rPr>
              <w:t xml:space="preserve">Q : Dans quelle mesure les étudiants inscrits au Programme fédéral </w:t>
            </w:r>
          </w:p>
          <w:p w14:paraId="1A577450" w14:textId="4A2FB44B" w:rsidR="007C3721" w:rsidRPr="00C25AC9" w:rsidRDefault="007C3721" w:rsidP="007C3721">
            <w:pPr>
              <w:rPr>
                <w:sz w:val="20"/>
                <w:szCs w:val="20"/>
                <w:lang w:eastAsia="en-CA"/>
              </w:rPr>
            </w:pPr>
            <w:r w:rsidRPr="00C25AC9">
              <w:rPr>
                <w:sz w:val="20"/>
                <w:szCs w:val="20"/>
                <w:lang w:eastAsia="en-CA"/>
              </w:rPr>
              <w:t xml:space="preserve"> Programme des adjoints de recherche (PAR) sont-ils embauchés à titre d</w:t>
            </w:r>
            <w:r w:rsidR="00C25AC9" w:rsidRPr="00C25AC9">
              <w:rPr>
                <w:sz w:val="20"/>
                <w:szCs w:val="20"/>
                <w:lang w:eastAsia="en-CA"/>
              </w:rPr>
              <w:t>’</w:t>
            </w:r>
            <w:r w:rsidRPr="00C25AC9">
              <w:rPr>
                <w:sz w:val="20"/>
                <w:szCs w:val="20"/>
                <w:lang w:eastAsia="en-CA"/>
              </w:rPr>
              <w:t>employés occasionnels plutôt qu</w:t>
            </w:r>
            <w:r w:rsidR="00C25AC9" w:rsidRPr="00C25AC9">
              <w:rPr>
                <w:sz w:val="20"/>
                <w:szCs w:val="20"/>
                <w:lang w:eastAsia="en-CA"/>
              </w:rPr>
              <w:t>’</w:t>
            </w:r>
            <w:r w:rsidRPr="00C25AC9">
              <w:rPr>
                <w:sz w:val="20"/>
                <w:szCs w:val="20"/>
                <w:lang w:eastAsia="en-CA"/>
              </w:rPr>
              <w:t>à titre d</w:t>
            </w:r>
            <w:r w:rsidR="00C25AC9" w:rsidRPr="00C25AC9">
              <w:rPr>
                <w:sz w:val="20"/>
                <w:szCs w:val="20"/>
                <w:lang w:eastAsia="en-CA"/>
              </w:rPr>
              <w:t>’</w:t>
            </w:r>
            <w:r w:rsidRPr="00C25AC9">
              <w:rPr>
                <w:sz w:val="20"/>
                <w:szCs w:val="20"/>
                <w:lang w:eastAsia="en-CA"/>
              </w:rPr>
              <w:t>étudiants?</w:t>
            </w:r>
          </w:p>
          <w:p w14:paraId="3E344D7E" w14:textId="4F8527EE" w:rsidR="0097276F" w:rsidRPr="00C25AC9" w:rsidRDefault="007C3721" w:rsidP="00B17DEC">
            <w:pPr>
              <w:rPr>
                <w:sz w:val="20"/>
                <w:szCs w:val="20"/>
                <w:lang w:eastAsia="en-CA"/>
              </w:rPr>
            </w:pPr>
            <w:r w:rsidRPr="00C25AC9">
              <w:rPr>
                <w:sz w:val="20"/>
                <w:szCs w:val="20"/>
                <w:lang w:eastAsia="en-CA"/>
              </w:rPr>
              <w:t>Q : Parmi les personnes nommées à titre occasionnel, combien sont susceptibles d</w:t>
            </w:r>
            <w:r w:rsidR="00C25AC9" w:rsidRPr="00C25AC9">
              <w:rPr>
                <w:sz w:val="20"/>
                <w:szCs w:val="20"/>
                <w:lang w:eastAsia="en-CA"/>
              </w:rPr>
              <w:t>’</w:t>
            </w:r>
            <w:r w:rsidRPr="00C25AC9">
              <w:rPr>
                <w:sz w:val="20"/>
                <w:szCs w:val="20"/>
                <w:lang w:eastAsia="en-CA"/>
              </w:rPr>
              <w:t>avoir terminé leurs études et combien sont en transition vers d</w:t>
            </w:r>
            <w:r w:rsidR="00C25AC9" w:rsidRPr="00C25AC9">
              <w:rPr>
                <w:sz w:val="20"/>
                <w:szCs w:val="20"/>
                <w:lang w:eastAsia="en-CA"/>
              </w:rPr>
              <w:t>’</w:t>
            </w:r>
            <w:r w:rsidRPr="00C25AC9">
              <w:rPr>
                <w:sz w:val="20"/>
                <w:szCs w:val="20"/>
                <w:lang w:eastAsia="en-CA"/>
              </w:rPr>
              <w:t>autres formes d</w:t>
            </w:r>
            <w:r w:rsidR="00C25AC9" w:rsidRPr="00C25AC9">
              <w:rPr>
                <w:sz w:val="20"/>
                <w:szCs w:val="20"/>
                <w:lang w:eastAsia="en-CA"/>
              </w:rPr>
              <w:t>’</w:t>
            </w:r>
            <w:r w:rsidRPr="00C25AC9">
              <w:rPr>
                <w:sz w:val="20"/>
                <w:szCs w:val="20"/>
                <w:lang w:eastAsia="en-CA"/>
              </w:rPr>
              <w:t>emploi dans la fonction publique?</w:t>
            </w:r>
          </w:p>
        </w:tc>
        <w:tc>
          <w:tcPr>
            <w:tcW w:w="2694" w:type="dxa"/>
          </w:tcPr>
          <w:p w14:paraId="778DBE5A" w14:textId="47E4DD66" w:rsidR="007516B7" w:rsidRPr="00C25AC9" w:rsidRDefault="00F46F3D" w:rsidP="00B17DEC">
            <w:pPr>
              <w:rPr>
                <w:rFonts w:cs="Arial"/>
                <w:sz w:val="20"/>
                <w:szCs w:val="20"/>
              </w:rPr>
            </w:pPr>
            <w:r w:rsidRPr="00C25AC9">
              <w:rPr>
                <w:rFonts w:cs="Arial"/>
                <w:sz w:val="20"/>
                <w:szCs w:val="20"/>
              </w:rPr>
              <w:t>Présenter des données probantes qui éclaireront les discussions stratégiques sur la question de savoir si les étudiants membres de groupes désignés sont désavantagés par cette pratique.</w:t>
            </w:r>
          </w:p>
        </w:tc>
        <w:tc>
          <w:tcPr>
            <w:tcW w:w="3969" w:type="dxa"/>
          </w:tcPr>
          <w:p w14:paraId="13CC6BE6" w14:textId="2A6F59DB" w:rsidR="007516B7" w:rsidRPr="00C25AC9" w:rsidRDefault="00006F53" w:rsidP="00AB489B">
            <w:pPr>
              <w:rPr>
                <w:rFonts w:cs="Arial"/>
                <w:sz w:val="20"/>
                <w:szCs w:val="20"/>
              </w:rPr>
            </w:pPr>
            <w:r w:rsidRPr="00C25AC9">
              <w:rPr>
                <w:rFonts w:cs="Arial"/>
                <w:sz w:val="20"/>
                <w:szCs w:val="20"/>
                <w:u w:val="single"/>
              </w:rPr>
              <w:t>ETP</w:t>
            </w:r>
            <w:r w:rsidRPr="00C25AC9">
              <w:rPr>
                <w:rFonts w:cs="Arial"/>
                <w:sz w:val="20"/>
                <w:szCs w:val="20"/>
              </w:rPr>
              <w:t xml:space="preserve"> :</w:t>
            </w:r>
            <w:r w:rsidR="007516B7" w:rsidRPr="00C25AC9">
              <w:rPr>
                <w:rFonts w:cs="Arial"/>
                <w:sz w:val="20"/>
                <w:szCs w:val="20"/>
              </w:rPr>
              <w:t xml:space="preserve"> ¼ </w:t>
            </w:r>
          </w:p>
          <w:p w14:paraId="24540AEE" w14:textId="77777777" w:rsidR="007516B7" w:rsidRPr="00C25AC9" w:rsidRDefault="007516B7" w:rsidP="00AB489B">
            <w:pPr>
              <w:rPr>
                <w:rFonts w:cs="Arial"/>
                <w:sz w:val="20"/>
                <w:szCs w:val="20"/>
                <w:u w:val="single"/>
              </w:rPr>
            </w:pPr>
          </w:p>
          <w:p w14:paraId="47342507" w14:textId="576E7C4D" w:rsidR="007516B7" w:rsidRPr="00C25AC9" w:rsidRDefault="00E119EF" w:rsidP="00B17DEC">
            <w:pPr>
              <w:rPr>
                <w:rFonts w:cs="Arial"/>
                <w:sz w:val="20"/>
                <w:szCs w:val="20"/>
                <w:u w:val="single"/>
              </w:rPr>
            </w:pPr>
            <w:r w:rsidRPr="00C25AC9">
              <w:rPr>
                <w:rFonts w:cs="Arial"/>
                <w:sz w:val="20"/>
                <w:szCs w:val="20"/>
                <w:u w:val="single"/>
              </w:rPr>
              <w:t>Données</w:t>
            </w:r>
            <w:r w:rsidR="00050718" w:rsidRPr="00C25AC9">
              <w:rPr>
                <w:rFonts w:cs="Arial"/>
                <w:sz w:val="20"/>
                <w:szCs w:val="20"/>
              </w:rPr>
              <w:t xml:space="preserve"> : </w:t>
            </w:r>
            <w:r w:rsidR="00B5416B" w:rsidRPr="00C25AC9">
              <w:rPr>
                <w:rFonts w:cs="Arial"/>
                <w:sz w:val="20"/>
                <w:szCs w:val="20"/>
              </w:rPr>
              <w:t xml:space="preserve">Dossiers </w:t>
            </w:r>
            <w:r w:rsidR="00CA1A22" w:rsidRPr="00C25AC9">
              <w:rPr>
                <w:rFonts w:cs="Arial"/>
                <w:sz w:val="20"/>
                <w:szCs w:val="20"/>
              </w:rPr>
              <w:t xml:space="preserve">du </w:t>
            </w:r>
            <w:r w:rsidR="00B5416B" w:rsidRPr="00C25AC9">
              <w:rPr>
                <w:rFonts w:cs="Arial"/>
                <w:sz w:val="20"/>
                <w:szCs w:val="20"/>
              </w:rPr>
              <w:t>SRFP</w:t>
            </w:r>
            <w:r w:rsidR="00CA1A22" w:rsidRPr="00C25AC9">
              <w:rPr>
                <w:rFonts w:cs="Arial"/>
                <w:sz w:val="20"/>
                <w:szCs w:val="20"/>
              </w:rPr>
              <w:t xml:space="preserve"> sur les annonces et les demandes et ensembles de données sur la dotation de la CFP.</w:t>
            </w:r>
          </w:p>
        </w:tc>
      </w:tr>
      <w:tr w:rsidR="007516B7" w:rsidRPr="00C25AC9" w14:paraId="68C72635" w14:textId="77777777" w:rsidTr="00101877">
        <w:tc>
          <w:tcPr>
            <w:tcW w:w="562" w:type="dxa"/>
          </w:tcPr>
          <w:p w14:paraId="7FD37030" w14:textId="77777777" w:rsidR="007516B7" w:rsidRPr="00C25AC9" w:rsidRDefault="007516B7" w:rsidP="00AB489B">
            <w:pPr>
              <w:rPr>
                <w:rFonts w:cs="Arial"/>
                <w:sz w:val="20"/>
                <w:szCs w:val="20"/>
              </w:rPr>
            </w:pPr>
            <w:r w:rsidRPr="00C25AC9">
              <w:rPr>
                <w:rFonts w:cs="Arial"/>
                <w:sz w:val="20"/>
                <w:szCs w:val="20"/>
              </w:rPr>
              <w:lastRenderedPageBreak/>
              <w:t>6</w:t>
            </w:r>
          </w:p>
        </w:tc>
        <w:tc>
          <w:tcPr>
            <w:tcW w:w="3544" w:type="dxa"/>
          </w:tcPr>
          <w:p w14:paraId="272A0BF4" w14:textId="084A7042" w:rsidR="00606ABD" w:rsidRPr="00C25AC9" w:rsidRDefault="00606ABD" w:rsidP="00AB489B">
            <w:pPr>
              <w:rPr>
                <w:rFonts w:cs="Arial"/>
                <w:b/>
                <w:sz w:val="20"/>
                <w:szCs w:val="20"/>
                <w:u w:val="single"/>
              </w:rPr>
            </w:pPr>
            <w:r w:rsidRPr="00C25AC9">
              <w:rPr>
                <w:rFonts w:cs="Arial"/>
                <w:b/>
                <w:sz w:val="20"/>
                <w:szCs w:val="20"/>
                <w:u w:val="single"/>
              </w:rPr>
              <w:t>Intégration et r</w:t>
            </w:r>
            <w:r w:rsidR="00151C28" w:rsidRPr="00C25AC9">
              <w:rPr>
                <w:rFonts w:cs="Arial"/>
                <w:b/>
                <w:sz w:val="20"/>
                <w:szCs w:val="20"/>
                <w:u w:val="single"/>
              </w:rPr>
              <w:t>é</w:t>
            </w:r>
            <w:r w:rsidRPr="00C25AC9">
              <w:rPr>
                <w:rFonts w:cs="Arial"/>
                <w:b/>
                <w:sz w:val="20"/>
                <w:szCs w:val="20"/>
                <w:u w:val="single"/>
              </w:rPr>
              <w:t>tention des étudiants visés par l</w:t>
            </w:r>
            <w:r w:rsidR="00C25AC9" w:rsidRPr="00C25AC9">
              <w:rPr>
                <w:rFonts w:cs="Arial"/>
                <w:b/>
                <w:sz w:val="20"/>
                <w:szCs w:val="20"/>
                <w:u w:val="single"/>
              </w:rPr>
              <w:t>’</w:t>
            </w:r>
            <w:r w:rsidRPr="00C25AC9">
              <w:rPr>
                <w:rFonts w:cs="Arial"/>
                <w:b/>
                <w:sz w:val="20"/>
                <w:szCs w:val="20"/>
                <w:u w:val="single"/>
              </w:rPr>
              <w:t>EE</w:t>
            </w:r>
          </w:p>
          <w:p w14:paraId="4E24A58F" w14:textId="77777777" w:rsidR="00606ABD" w:rsidRPr="00C25AC9" w:rsidRDefault="00606ABD" w:rsidP="00AB489B">
            <w:pPr>
              <w:rPr>
                <w:rFonts w:cs="Arial"/>
                <w:b/>
                <w:sz w:val="20"/>
                <w:szCs w:val="20"/>
                <w:u w:val="single"/>
              </w:rPr>
            </w:pPr>
          </w:p>
          <w:p w14:paraId="74C2415C" w14:textId="77777777" w:rsidR="007516B7" w:rsidRPr="00C25AC9" w:rsidRDefault="007516B7" w:rsidP="00AB489B">
            <w:pPr>
              <w:rPr>
                <w:rFonts w:cs="Arial"/>
                <w:b/>
                <w:bCs/>
                <w:sz w:val="20"/>
                <w:szCs w:val="20"/>
                <w:u w:val="single"/>
              </w:rPr>
            </w:pPr>
          </w:p>
          <w:p w14:paraId="2A6C7DF8" w14:textId="77777777" w:rsidR="00606ABD" w:rsidRPr="00C25AC9" w:rsidRDefault="007516B7" w:rsidP="00AB489B">
            <w:pPr>
              <w:rPr>
                <w:rFonts w:cs="Arial"/>
                <w:b/>
                <w:bCs/>
                <w:sz w:val="20"/>
                <w:szCs w:val="20"/>
                <w:u w:val="single"/>
              </w:rPr>
            </w:pPr>
            <w:r w:rsidRPr="00C25AC9">
              <w:rPr>
                <w:rFonts w:cs="Arial"/>
                <w:b/>
                <w:bCs/>
                <w:sz w:val="20"/>
                <w:szCs w:val="20"/>
                <w:u w:val="single"/>
              </w:rPr>
              <w:t>Source</w:t>
            </w:r>
            <w:r w:rsidR="00606ABD" w:rsidRPr="00C25AC9">
              <w:rPr>
                <w:rFonts w:cs="Arial"/>
                <w:b/>
                <w:bCs/>
                <w:sz w:val="20"/>
                <w:szCs w:val="20"/>
                <w:u w:val="single"/>
              </w:rPr>
              <w:t> </w:t>
            </w:r>
            <w:r w:rsidRPr="00C25AC9">
              <w:rPr>
                <w:rFonts w:cs="Arial"/>
                <w:b/>
                <w:bCs/>
                <w:sz w:val="20"/>
                <w:szCs w:val="20"/>
                <w:u w:val="single"/>
              </w:rPr>
              <w:t xml:space="preserve">: </w:t>
            </w:r>
            <w:r w:rsidR="00606ABD" w:rsidRPr="00C25AC9">
              <w:rPr>
                <w:rFonts w:cs="Arial"/>
                <w:b/>
                <w:bCs/>
                <w:sz w:val="20"/>
                <w:szCs w:val="20"/>
                <w:u w:val="single"/>
              </w:rPr>
              <w:t>SSDA</w:t>
            </w:r>
          </w:p>
          <w:p w14:paraId="02F2DCFB" w14:textId="77777777" w:rsidR="007516B7" w:rsidRPr="00C25AC9" w:rsidRDefault="007516B7" w:rsidP="00AB489B">
            <w:pPr>
              <w:rPr>
                <w:rFonts w:cs="Arial"/>
                <w:b/>
                <w:bCs/>
                <w:sz w:val="20"/>
                <w:szCs w:val="20"/>
                <w:u w:val="single"/>
              </w:rPr>
            </w:pPr>
          </w:p>
          <w:p w14:paraId="338AAFD5" w14:textId="77777777" w:rsidR="00606ABD" w:rsidRPr="00C25AC9" w:rsidRDefault="007516B7" w:rsidP="00AB489B">
            <w:pPr>
              <w:rPr>
                <w:rFonts w:cs="Arial"/>
                <w:b/>
                <w:bCs/>
                <w:sz w:val="20"/>
                <w:szCs w:val="20"/>
                <w:u w:val="single"/>
              </w:rPr>
            </w:pPr>
            <w:r w:rsidRPr="00C25AC9">
              <w:rPr>
                <w:rFonts w:cs="Arial"/>
                <w:b/>
                <w:bCs/>
                <w:sz w:val="20"/>
                <w:szCs w:val="20"/>
                <w:u w:val="single"/>
              </w:rPr>
              <w:t>Client</w:t>
            </w:r>
            <w:r w:rsidR="00606ABD" w:rsidRPr="00C25AC9">
              <w:rPr>
                <w:rFonts w:cs="Arial"/>
                <w:b/>
                <w:bCs/>
                <w:sz w:val="20"/>
                <w:szCs w:val="20"/>
                <w:u w:val="single"/>
              </w:rPr>
              <w:t xml:space="preserve"> </w:t>
            </w:r>
            <w:r w:rsidRPr="00C25AC9">
              <w:rPr>
                <w:rFonts w:cs="Arial"/>
                <w:b/>
                <w:bCs/>
                <w:sz w:val="20"/>
                <w:szCs w:val="20"/>
                <w:u w:val="single"/>
              </w:rPr>
              <w:t xml:space="preserve">: </w:t>
            </w:r>
            <w:r w:rsidR="00606ABD" w:rsidRPr="00C25AC9">
              <w:rPr>
                <w:rFonts w:cs="Arial"/>
                <w:b/>
                <w:bCs/>
                <w:sz w:val="20"/>
                <w:szCs w:val="20"/>
                <w:u w:val="single"/>
              </w:rPr>
              <w:t>SSDA</w:t>
            </w:r>
          </w:p>
          <w:p w14:paraId="3A1432FF" w14:textId="320E6B38" w:rsidR="007516B7" w:rsidRPr="00C25AC9" w:rsidRDefault="007516B7" w:rsidP="00AB489B">
            <w:pPr>
              <w:rPr>
                <w:rFonts w:cs="Arial"/>
                <w:sz w:val="20"/>
                <w:szCs w:val="20"/>
              </w:rPr>
            </w:pPr>
          </w:p>
        </w:tc>
        <w:tc>
          <w:tcPr>
            <w:tcW w:w="6662" w:type="dxa"/>
          </w:tcPr>
          <w:p w14:paraId="4FB2C0AA" w14:textId="5055364D" w:rsidR="00916128" w:rsidRPr="00C25AC9" w:rsidRDefault="00916128" w:rsidP="00AB489B">
            <w:pPr>
              <w:rPr>
                <w:sz w:val="20"/>
                <w:szCs w:val="20"/>
                <w:lang w:eastAsia="en-CA"/>
              </w:rPr>
            </w:pPr>
            <w:r w:rsidRPr="00C25AC9">
              <w:rPr>
                <w:sz w:val="20"/>
                <w:szCs w:val="20"/>
                <w:lang w:eastAsia="en-CA"/>
              </w:rPr>
              <w:t>La CFP a mis en place plusieurs initiatives pour attirer des étudiants d</w:t>
            </w:r>
            <w:r w:rsidR="00C25AC9" w:rsidRPr="00C25AC9">
              <w:rPr>
                <w:sz w:val="20"/>
                <w:szCs w:val="20"/>
                <w:lang w:eastAsia="en-CA"/>
              </w:rPr>
              <w:t>’</w:t>
            </w:r>
            <w:r w:rsidRPr="00C25AC9">
              <w:rPr>
                <w:sz w:val="20"/>
                <w:szCs w:val="20"/>
                <w:lang w:eastAsia="en-CA"/>
              </w:rPr>
              <w:t>origines diverses. Toutefois, nous ne disposons d</w:t>
            </w:r>
            <w:r w:rsidR="00C25AC9" w:rsidRPr="00C25AC9">
              <w:rPr>
                <w:sz w:val="20"/>
                <w:szCs w:val="20"/>
                <w:lang w:eastAsia="en-CA"/>
              </w:rPr>
              <w:t>’</w:t>
            </w:r>
            <w:r w:rsidRPr="00C25AC9">
              <w:rPr>
                <w:sz w:val="20"/>
                <w:szCs w:val="20"/>
                <w:lang w:eastAsia="en-CA"/>
              </w:rPr>
              <w:t>aucune information sur les résultats à long terme de ces programmes (c.-à-d. le réemploi des étudiants, les transitions, passerelles, les carrières occasionnelles/à durée déterminée/indéterminée).</w:t>
            </w:r>
          </w:p>
          <w:p w14:paraId="71FC5774" w14:textId="77777777" w:rsidR="00916128" w:rsidRPr="00C25AC9" w:rsidRDefault="00916128" w:rsidP="00AB489B">
            <w:pPr>
              <w:rPr>
                <w:sz w:val="20"/>
                <w:szCs w:val="20"/>
                <w:lang w:eastAsia="en-CA"/>
              </w:rPr>
            </w:pPr>
          </w:p>
          <w:p w14:paraId="0D3F810B" w14:textId="65D538DD" w:rsidR="007516B7" w:rsidRPr="00C25AC9" w:rsidRDefault="00916128" w:rsidP="00FF1FDE">
            <w:pPr>
              <w:rPr>
                <w:sz w:val="20"/>
                <w:szCs w:val="20"/>
                <w:lang w:eastAsia="en-CA"/>
              </w:rPr>
            </w:pPr>
            <w:r w:rsidRPr="00C25AC9">
              <w:rPr>
                <w:sz w:val="20"/>
                <w:szCs w:val="20"/>
                <w:lang w:eastAsia="en-CA"/>
              </w:rPr>
              <w:t>Q : Dans quelle mesure les étudiants qui se déclarent membres de groupes visés par l</w:t>
            </w:r>
            <w:r w:rsidR="00C25AC9" w:rsidRPr="00C25AC9">
              <w:rPr>
                <w:sz w:val="20"/>
                <w:szCs w:val="20"/>
                <w:lang w:eastAsia="en-CA"/>
              </w:rPr>
              <w:t>’</w:t>
            </w:r>
            <w:r w:rsidRPr="00C25AC9">
              <w:rPr>
                <w:sz w:val="20"/>
                <w:szCs w:val="20"/>
                <w:lang w:eastAsia="en-CA"/>
              </w:rPr>
              <w:t>EE sont-ils maintenus et intégrés dans l</w:t>
            </w:r>
            <w:r w:rsidR="00C25AC9" w:rsidRPr="00C25AC9">
              <w:rPr>
                <w:sz w:val="20"/>
                <w:szCs w:val="20"/>
                <w:lang w:eastAsia="en-CA"/>
              </w:rPr>
              <w:t>’</w:t>
            </w:r>
            <w:r w:rsidRPr="00C25AC9">
              <w:rPr>
                <w:sz w:val="20"/>
                <w:szCs w:val="20"/>
                <w:lang w:eastAsia="en-CA"/>
              </w:rPr>
              <w:t>effectif de la fonction publique fédérale?</w:t>
            </w:r>
          </w:p>
        </w:tc>
        <w:tc>
          <w:tcPr>
            <w:tcW w:w="2694" w:type="dxa"/>
          </w:tcPr>
          <w:p w14:paraId="58464981" w14:textId="6D6CCD85" w:rsidR="007516B7" w:rsidRPr="00C25AC9" w:rsidRDefault="00F46F3D" w:rsidP="00B246BE">
            <w:pPr>
              <w:rPr>
                <w:rFonts w:cs="Arial"/>
                <w:sz w:val="20"/>
                <w:szCs w:val="20"/>
              </w:rPr>
            </w:pPr>
            <w:r w:rsidRPr="00C25AC9">
              <w:rPr>
                <w:rFonts w:cs="Arial"/>
                <w:sz w:val="20"/>
                <w:szCs w:val="20"/>
              </w:rPr>
              <w:t xml:space="preserve">Fournir des renseignements sur les résultats à moyen et à long terme des programmes étudiants </w:t>
            </w:r>
            <w:r w:rsidR="00B246BE">
              <w:rPr>
                <w:rFonts w:cs="Arial"/>
                <w:sz w:val="20"/>
                <w:szCs w:val="20"/>
              </w:rPr>
              <w:t>visés par l</w:t>
            </w:r>
            <w:r w:rsidR="00C25AC9" w:rsidRPr="00C25AC9">
              <w:rPr>
                <w:rFonts w:cs="Arial"/>
                <w:sz w:val="20"/>
                <w:szCs w:val="20"/>
              </w:rPr>
              <w:t>’</w:t>
            </w:r>
            <w:r w:rsidRPr="00C25AC9">
              <w:rPr>
                <w:rFonts w:cs="Arial"/>
                <w:sz w:val="20"/>
                <w:szCs w:val="20"/>
              </w:rPr>
              <w:t>EE. Fournir des données probantes sur les problèmes ou obstacles auxquels les participants aux programmes sont confrontés.</w:t>
            </w:r>
          </w:p>
        </w:tc>
        <w:tc>
          <w:tcPr>
            <w:tcW w:w="3969" w:type="dxa"/>
          </w:tcPr>
          <w:p w14:paraId="1B7EB0C8" w14:textId="5E9F1990" w:rsidR="007516B7" w:rsidRPr="00C25AC9" w:rsidRDefault="00006F53" w:rsidP="00AB489B">
            <w:pPr>
              <w:rPr>
                <w:rFonts w:cs="Arial"/>
                <w:sz w:val="20"/>
                <w:szCs w:val="20"/>
              </w:rPr>
            </w:pPr>
            <w:r w:rsidRPr="00C25AC9">
              <w:rPr>
                <w:rFonts w:cs="Arial"/>
                <w:sz w:val="20"/>
                <w:szCs w:val="20"/>
                <w:u w:val="single"/>
              </w:rPr>
              <w:t>ETP</w:t>
            </w:r>
            <w:r w:rsidRPr="00C25AC9">
              <w:rPr>
                <w:rFonts w:cs="Arial"/>
                <w:sz w:val="20"/>
                <w:szCs w:val="20"/>
              </w:rPr>
              <w:t xml:space="preserve"> : </w:t>
            </w:r>
            <w:r w:rsidR="007516B7" w:rsidRPr="00C25AC9">
              <w:rPr>
                <w:rFonts w:cs="Arial"/>
                <w:sz w:val="20"/>
                <w:szCs w:val="20"/>
              </w:rPr>
              <w:t xml:space="preserve">¼ </w:t>
            </w:r>
          </w:p>
          <w:p w14:paraId="6650B71B" w14:textId="77777777" w:rsidR="007516B7" w:rsidRPr="00C25AC9" w:rsidRDefault="007516B7" w:rsidP="00AB489B">
            <w:pPr>
              <w:rPr>
                <w:rFonts w:cs="Arial"/>
                <w:sz w:val="20"/>
                <w:szCs w:val="20"/>
                <w:u w:val="single"/>
              </w:rPr>
            </w:pPr>
          </w:p>
          <w:p w14:paraId="6CB4281B" w14:textId="218609F1" w:rsidR="00FF1FDE" w:rsidRPr="00C25AC9" w:rsidRDefault="00E119EF" w:rsidP="00FF1FDE">
            <w:pPr>
              <w:rPr>
                <w:rFonts w:cs="Arial"/>
                <w:sz w:val="20"/>
                <w:szCs w:val="20"/>
                <w:u w:val="single"/>
              </w:rPr>
            </w:pPr>
            <w:r w:rsidRPr="00C25AC9">
              <w:rPr>
                <w:rFonts w:cs="Arial"/>
                <w:sz w:val="20"/>
                <w:szCs w:val="20"/>
                <w:u w:val="single"/>
              </w:rPr>
              <w:t>Données</w:t>
            </w:r>
            <w:r w:rsidR="00CA1A22" w:rsidRPr="00C25AC9">
              <w:rPr>
                <w:rFonts w:cs="Arial"/>
                <w:sz w:val="20"/>
                <w:szCs w:val="20"/>
              </w:rPr>
              <w:t xml:space="preserve"> : Sources administratives </w:t>
            </w:r>
            <w:r w:rsidR="001E6F24" w:rsidRPr="00C25AC9">
              <w:rPr>
                <w:rFonts w:cs="Arial"/>
                <w:sz w:val="20"/>
                <w:szCs w:val="20"/>
              </w:rPr>
              <w:t>(autodéclaration dans le SRFP et auto-identification dans la Banque de données sur l</w:t>
            </w:r>
            <w:r w:rsidR="00C25AC9" w:rsidRPr="00C25AC9">
              <w:rPr>
                <w:rFonts w:cs="Arial"/>
                <w:sz w:val="20"/>
                <w:szCs w:val="20"/>
              </w:rPr>
              <w:t>’</w:t>
            </w:r>
            <w:r w:rsidR="001E6F24" w:rsidRPr="00C25AC9">
              <w:rPr>
                <w:rFonts w:cs="Arial"/>
                <w:sz w:val="20"/>
                <w:szCs w:val="20"/>
              </w:rPr>
              <w:t>équité en emploi</w:t>
            </w:r>
            <w:r w:rsidR="00151C28" w:rsidRPr="00C25AC9">
              <w:rPr>
                <w:rFonts w:cs="Arial"/>
                <w:sz w:val="20"/>
                <w:szCs w:val="20"/>
              </w:rPr>
              <w:t> </w:t>
            </w:r>
            <w:r w:rsidR="001E6F24" w:rsidRPr="00C25AC9">
              <w:rPr>
                <w:rFonts w:cs="Arial"/>
                <w:sz w:val="20"/>
                <w:szCs w:val="20"/>
              </w:rPr>
              <w:t>(BDEE)</w:t>
            </w:r>
            <w:r w:rsidR="00FF1FDE" w:rsidRPr="00C25AC9">
              <w:rPr>
                <w:rFonts w:cs="Arial"/>
                <w:sz w:val="20"/>
                <w:szCs w:val="20"/>
              </w:rPr>
              <w:t>.</w:t>
            </w:r>
          </w:p>
          <w:p w14:paraId="418D6777" w14:textId="20D06D40" w:rsidR="007516B7" w:rsidRPr="00C25AC9" w:rsidRDefault="007516B7" w:rsidP="00AB489B">
            <w:pPr>
              <w:rPr>
                <w:rFonts w:cs="Arial"/>
                <w:sz w:val="20"/>
                <w:szCs w:val="20"/>
                <w:u w:val="single"/>
              </w:rPr>
            </w:pPr>
          </w:p>
        </w:tc>
      </w:tr>
      <w:tr w:rsidR="007516B7" w:rsidRPr="00C25AC9" w14:paraId="2024F395" w14:textId="77777777" w:rsidTr="00101877">
        <w:tc>
          <w:tcPr>
            <w:tcW w:w="562" w:type="dxa"/>
          </w:tcPr>
          <w:p w14:paraId="334D0D3C" w14:textId="6548BB01" w:rsidR="007516B7" w:rsidRPr="00C25AC9" w:rsidRDefault="00AA1A4E" w:rsidP="00AB489B">
            <w:pPr>
              <w:rPr>
                <w:rFonts w:cs="Arial"/>
                <w:sz w:val="20"/>
                <w:szCs w:val="20"/>
              </w:rPr>
            </w:pPr>
            <w:r w:rsidRPr="00C25AC9">
              <w:rPr>
                <w:rFonts w:cs="Arial"/>
                <w:sz w:val="20"/>
                <w:szCs w:val="20"/>
              </w:rPr>
              <w:t>7</w:t>
            </w:r>
          </w:p>
        </w:tc>
        <w:tc>
          <w:tcPr>
            <w:tcW w:w="3544" w:type="dxa"/>
          </w:tcPr>
          <w:p w14:paraId="43107865" w14:textId="0E1E5B7D" w:rsidR="00606ABD" w:rsidRPr="00C25AC9" w:rsidRDefault="00606ABD" w:rsidP="00AB489B">
            <w:pPr>
              <w:rPr>
                <w:rFonts w:cs="Arial"/>
                <w:b/>
                <w:sz w:val="20"/>
                <w:szCs w:val="20"/>
                <w:u w:val="single"/>
              </w:rPr>
            </w:pPr>
            <w:bookmarkStart w:id="15" w:name="_Hlk80688100"/>
            <w:r w:rsidRPr="00C25AC9">
              <w:rPr>
                <w:rFonts w:cs="Arial"/>
                <w:b/>
                <w:sz w:val="20"/>
                <w:szCs w:val="20"/>
                <w:u w:val="single"/>
              </w:rPr>
              <w:t>I</w:t>
            </w:r>
            <w:r w:rsidR="00FF1FDE" w:rsidRPr="00C25AC9">
              <w:rPr>
                <w:rFonts w:cs="Arial"/>
                <w:b/>
                <w:sz w:val="20"/>
                <w:szCs w:val="20"/>
                <w:u w:val="single"/>
              </w:rPr>
              <w:t xml:space="preserve">ncidence </w:t>
            </w:r>
            <w:r w:rsidRPr="00C25AC9">
              <w:rPr>
                <w:rFonts w:cs="Arial"/>
                <w:b/>
                <w:sz w:val="20"/>
                <w:szCs w:val="20"/>
                <w:u w:val="single"/>
              </w:rPr>
              <w:t>des nominations non annoncées</w:t>
            </w:r>
          </w:p>
          <w:p w14:paraId="71C19387" w14:textId="77777777" w:rsidR="00606ABD" w:rsidRPr="00C25AC9" w:rsidRDefault="00606ABD" w:rsidP="00AB489B">
            <w:pPr>
              <w:rPr>
                <w:rFonts w:cs="Arial"/>
                <w:b/>
                <w:sz w:val="20"/>
                <w:szCs w:val="20"/>
                <w:u w:val="single"/>
              </w:rPr>
            </w:pPr>
          </w:p>
          <w:bookmarkEnd w:id="15"/>
          <w:p w14:paraId="202FD455" w14:textId="27B80E99" w:rsidR="00606ABD" w:rsidRPr="00C25AC9" w:rsidRDefault="00606ABD" w:rsidP="00AB489B">
            <w:pPr>
              <w:rPr>
                <w:rFonts w:cs="Arial"/>
                <w:b/>
                <w:bCs/>
                <w:sz w:val="20"/>
                <w:szCs w:val="20"/>
                <w:u w:val="single"/>
              </w:rPr>
            </w:pPr>
            <w:r w:rsidRPr="00C25AC9">
              <w:rPr>
                <w:rFonts w:cs="Arial"/>
                <w:b/>
                <w:bCs/>
                <w:sz w:val="20"/>
                <w:szCs w:val="20"/>
                <w:u w:val="single"/>
              </w:rPr>
              <w:t xml:space="preserve">Source : Secteur des politiques et des communications (SPC) / </w:t>
            </w:r>
            <w:r w:rsidR="00122801" w:rsidRPr="00C25AC9">
              <w:rPr>
                <w:rFonts w:cs="Arial"/>
                <w:b/>
                <w:bCs/>
                <w:sz w:val="20"/>
                <w:szCs w:val="20"/>
                <w:u w:val="single"/>
              </w:rPr>
              <w:t>SSAD???</w:t>
            </w:r>
          </w:p>
          <w:p w14:paraId="7CC164F1" w14:textId="77777777" w:rsidR="00606ABD" w:rsidRPr="00C25AC9" w:rsidRDefault="00606ABD" w:rsidP="00AB489B">
            <w:pPr>
              <w:rPr>
                <w:rFonts w:cs="Arial"/>
                <w:b/>
                <w:bCs/>
                <w:sz w:val="20"/>
                <w:szCs w:val="20"/>
                <w:u w:val="single"/>
              </w:rPr>
            </w:pPr>
          </w:p>
          <w:p w14:paraId="76783717" w14:textId="576D805E" w:rsidR="00116287" w:rsidRPr="00C25AC9" w:rsidRDefault="007516B7" w:rsidP="00AB489B">
            <w:pPr>
              <w:rPr>
                <w:rFonts w:cs="Arial"/>
                <w:b/>
                <w:bCs/>
                <w:sz w:val="20"/>
                <w:szCs w:val="20"/>
              </w:rPr>
            </w:pPr>
            <w:r w:rsidRPr="00C25AC9">
              <w:rPr>
                <w:rFonts w:cs="Arial"/>
                <w:b/>
                <w:bCs/>
                <w:sz w:val="20"/>
                <w:szCs w:val="20"/>
              </w:rPr>
              <w:t>Client</w:t>
            </w:r>
            <w:r w:rsidR="00116287" w:rsidRPr="00C25AC9">
              <w:rPr>
                <w:rFonts w:cs="Arial"/>
                <w:b/>
                <w:bCs/>
                <w:sz w:val="20"/>
                <w:szCs w:val="20"/>
                <w:u w:val="single"/>
              </w:rPr>
              <w:t> </w:t>
            </w:r>
            <w:r w:rsidRPr="00C25AC9">
              <w:rPr>
                <w:rFonts w:cs="Arial"/>
                <w:b/>
                <w:bCs/>
                <w:sz w:val="20"/>
                <w:szCs w:val="20"/>
                <w:u w:val="single"/>
              </w:rPr>
              <w:t>:</w:t>
            </w:r>
            <w:r w:rsidRPr="00C25AC9">
              <w:rPr>
                <w:rFonts w:cs="Arial"/>
                <w:b/>
                <w:bCs/>
                <w:sz w:val="20"/>
                <w:szCs w:val="20"/>
              </w:rPr>
              <w:t xml:space="preserve"> SSAD</w:t>
            </w:r>
            <w:r w:rsidR="00116287" w:rsidRPr="00C25AC9">
              <w:rPr>
                <w:rFonts w:cs="Arial"/>
                <w:b/>
                <w:bCs/>
                <w:sz w:val="20"/>
                <w:szCs w:val="20"/>
              </w:rPr>
              <w:t>???</w:t>
            </w:r>
            <w:r w:rsidR="0071595A" w:rsidRPr="00C25AC9">
              <w:rPr>
                <w:rFonts w:cs="Arial"/>
                <w:b/>
                <w:bCs/>
                <w:sz w:val="20"/>
                <w:szCs w:val="20"/>
              </w:rPr>
              <w:t xml:space="preserve">, </w:t>
            </w:r>
            <w:r w:rsidR="00FF1FDE" w:rsidRPr="00C25AC9">
              <w:rPr>
                <w:rFonts w:cs="Arial"/>
                <w:b/>
                <w:bCs/>
                <w:sz w:val="20"/>
                <w:szCs w:val="20"/>
              </w:rPr>
              <w:t>v</w:t>
            </w:r>
            <w:r w:rsidR="00116287" w:rsidRPr="00C25AC9">
              <w:rPr>
                <w:rFonts w:cs="Arial"/>
                <w:b/>
                <w:bCs/>
                <w:sz w:val="20"/>
                <w:szCs w:val="20"/>
              </w:rPr>
              <w:t xml:space="preserve">érification </w:t>
            </w:r>
            <w:r w:rsidR="00FF1FDE" w:rsidRPr="00C25AC9">
              <w:rPr>
                <w:rFonts w:cs="Arial"/>
                <w:b/>
                <w:bCs/>
                <w:sz w:val="20"/>
                <w:szCs w:val="20"/>
              </w:rPr>
              <w:t xml:space="preserve">du </w:t>
            </w:r>
            <w:r w:rsidR="00116287" w:rsidRPr="00C25AC9">
              <w:rPr>
                <w:rFonts w:cs="Arial"/>
                <w:b/>
                <w:bCs/>
                <w:sz w:val="20"/>
                <w:szCs w:val="20"/>
              </w:rPr>
              <w:t>SSE</w:t>
            </w:r>
          </w:p>
          <w:p w14:paraId="7C9CF4C8" w14:textId="332B1A8B" w:rsidR="007516B7" w:rsidRPr="00C25AC9" w:rsidRDefault="007516B7" w:rsidP="00AB489B">
            <w:pPr>
              <w:rPr>
                <w:rFonts w:cs="Arial"/>
                <w:sz w:val="20"/>
                <w:szCs w:val="20"/>
              </w:rPr>
            </w:pPr>
          </w:p>
        </w:tc>
        <w:tc>
          <w:tcPr>
            <w:tcW w:w="6662" w:type="dxa"/>
          </w:tcPr>
          <w:p w14:paraId="69813204" w14:textId="3DEA8014" w:rsidR="005556E1" w:rsidRPr="00C25AC9" w:rsidRDefault="005556E1" w:rsidP="00AB489B">
            <w:pPr>
              <w:rPr>
                <w:sz w:val="20"/>
                <w:szCs w:val="20"/>
                <w:lang w:eastAsia="en-CA"/>
              </w:rPr>
            </w:pPr>
            <w:r w:rsidRPr="00C25AC9">
              <w:rPr>
                <w:sz w:val="20"/>
                <w:szCs w:val="20"/>
                <w:lang w:eastAsia="en-CA"/>
              </w:rPr>
              <w:t>Depuis la mise en œuvre de la Nouvelle orientation en matière de dotation (NOD), nous avons constaté une augmentation constante de la proportion de nominations non annoncées. Bien que les nominations non annoncées offrent une certaine souplesse aux gestionnaires d</w:t>
            </w:r>
            <w:r w:rsidR="00C25AC9" w:rsidRPr="00C25AC9">
              <w:rPr>
                <w:sz w:val="20"/>
                <w:szCs w:val="20"/>
                <w:lang w:eastAsia="en-CA"/>
              </w:rPr>
              <w:t>’</w:t>
            </w:r>
            <w:r w:rsidRPr="00C25AC9">
              <w:rPr>
                <w:sz w:val="20"/>
                <w:szCs w:val="20"/>
                <w:lang w:eastAsia="en-CA"/>
              </w:rPr>
              <w:t>embauche, le mérite doit toujours être respecté.</w:t>
            </w:r>
          </w:p>
          <w:p w14:paraId="774416F0" w14:textId="77777777" w:rsidR="005556E1" w:rsidRPr="00C25AC9" w:rsidRDefault="005556E1" w:rsidP="00AB489B">
            <w:pPr>
              <w:rPr>
                <w:sz w:val="20"/>
                <w:szCs w:val="20"/>
                <w:lang w:eastAsia="en-CA"/>
              </w:rPr>
            </w:pPr>
          </w:p>
          <w:p w14:paraId="40657907" w14:textId="11ED1D40" w:rsidR="005556E1" w:rsidRPr="00C25AC9" w:rsidRDefault="005556E1" w:rsidP="00AB489B">
            <w:pPr>
              <w:rPr>
                <w:sz w:val="20"/>
                <w:szCs w:val="20"/>
                <w:lang w:eastAsia="en-CA"/>
              </w:rPr>
            </w:pPr>
            <w:r w:rsidRPr="00C25AC9">
              <w:rPr>
                <w:sz w:val="20"/>
                <w:szCs w:val="20"/>
                <w:lang w:eastAsia="en-CA"/>
              </w:rPr>
              <w:t xml:space="preserve">Q : Quelles sont les principales raisons </w:t>
            </w:r>
            <w:r w:rsidR="00841E25" w:rsidRPr="00C25AC9">
              <w:rPr>
                <w:sz w:val="20"/>
                <w:szCs w:val="20"/>
                <w:lang w:eastAsia="en-CA"/>
              </w:rPr>
              <w:t>é</w:t>
            </w:r>
            <w:r w:rsidRPr="00C25AC9">
              <w:rPr>
                <w:sz w:val="20"/>
                <w:szCs w:val="20"/>
                <w:lang w:eastAsia="en-CA"/>
              </w:rPr>
              <w:t>voquées pour procéder à des nominations non annoncées?</w:t>
            </w:r>
          </w:p>
          <w:p w14:paraId="7DFE8856" w14:textId="326470D7" w:rsidR="005556E1" w:rsidRPr="00C25AC9" w:rsidRDefault="005556E1" w:rsidP="005556E1">
            <w:pPr>
              <w:rPr>
                <w:sz w:val="20"/>
                <w:szCs w:val="20"/>
                <w:lang w:eastAsia="en-CA"/>
              </w:rPr>
            </w:pPr>
            <w:r w:rsidRPr="00C25AC9">
              <w:rPr>
                <w:sz w:val="20"/>
                <w:szCs w:val="20"/>
                <w:lang w:eastAsia="en-CA"/>
              </w:rPr>
              <w:t xml:space="preserve">Q : Quelles sont les principales raisons </w:t>
            </w:r>
            <w:r w:rsidR="00841E25" w:rsidRPr="00C25AC9">
              <w:rPr>
                <w:sz w:val="20"/>
                <w:szCs w:val="20"/>
                <w:lang w:eastAsia="en-CA"/>
              </w:rPr>
              <w:t>é</w:t>
            </w:r>
            <w:r w:rsidRPr="00C25AC9">
              <w:rPr>
                <w:sz w:val="20"/>
                <w:szCs w:val="20"/>
                <w:lang w:eastAsia="en-CA"/>
              </w:rPr>
              <w:t>voquées pour procéder à des nominations non annoncées?</w:t>
            </w:r>
          </w:p>
          <w:p w14:paraId="28C15928" w14:textId="77777777" w:rsidR="005556E1" w:rsidRPr="00C25AC9" w:rsidRDefault="005556E1" w:rsidP="005556E1">
            <w:pPr>
              <w:rPr>
                <w:sz w:val="20"/>
                <w:szCs w:val="20"/>
                <w:lang w:eastAsia="en-CA"/>
              </w:rPr>
            </w:pPr>
            <w:r w:rsidRPr="00C25AC9">
              <w:rPr>
                <w:sz w:val="20"/>
                <w:szCs w:val="20"/>
                <w:lang w:eastAsia="en-CA"/>
              </w:rPr>
              <w:t>Q : Les nominations intérimaires non annoncées mènent-elles à des promotions non annoncées? Cette propension est-elle différente pour les nominations intérimaires et les promotions annoncées ?</w:t>
            </w:r>
          </w:p>
          <w:p w14:paraId="3BA03980" w14:textId="18F704FC" w:rsidR="005E18CC" w:rsidRPr="00C25AC9" w:rsidRDefault="005556E1" w:rsidP="00841E25">
            <w:pPr>
              <w:rPr>
                <w:sz w:val="20"/>
                <w:szCs w:val="20"/>
                <w:lang w:eastAsia="en-CA"/>
              </w:rPr>
            </w:pPr>
            <w:r w:rsidRPr="00C25AC9">
              <w:rPr>
                <w:sz w:val="20"/>
                <w:szCs w:val="20"/>
                <w:lang w:eastAsia="en-CA"/>
              </w:rPr>
              <w:t>Q : Les nominations non annoncées ont-elles une incidence sur l</w:t>
            </w:r>
            <w:r w:rsidR="00C25AC9" w:rsidRPr="00C25AC9">
              <w:rPr>
                <w:sz w:val="20"/>
                <w:szCs w:val="20"/>
                <w:lang w:eastAsia="en-CA"/>
              </w:rPr>
              <w:t>’</w:t>
            </w:r>
            <w:r w:rsidRPr="00C25AC9">
              <w:rPr>
                <w:sz w:val="20"/>
                <w:szCs w:val="20"/>
                <w:lang w:eastAsia="en-CA"/>
              </w:rPr>
              <w:t>embauche de membres visés par l</w:t>
            </w:r>
            <w:r w:rsidR="00C25AC9" w:rsidRPr="00C25AC9">
              <w:rPr>
                <w:sz w:val="20"/>
                <w:szCs w:val="20"/>
                <w:lang w:eastAsia="en-CA"/>
              </w:rPr>
              <w:t>’</w:t>
            </w:r>
            <w:r w:rsidRPr="00C25AC9">
              <w:rPr>
                <w:sz w:val="20"/>
                <w:szCs w:val="20"/>
                <w:lang w:eastAsia="en-CA"/>
              </w:rPr>
              <w:t>EE dans la fonction publique?</w:t>
            </w:r>
          </w:p>
        </w:tc>
        <w:tc>
          <w:tcPr>
            <w:tcW w:w="2694" w:type="dxa"/>
          </w:tcPr>
          <w:p w14:paraId="591D7271" w14:textId="3560A729" w:rsidR="00F46F3D" w:rsidRPr="00C25AC9" w:rsidRDefault="00F46F3D" w:rsidP="00AB489B">
            <w:pPr>
              <w:rPr>
                <w:rFonts w:cs="Arial"/>
                <w:sz w:val="20"/>
                <w:szCs w:val="20"/>
              </w:rPr>
            </w:pPr>
            <w:r w:rsidRPr="00C25AC9">
              <w:rPr>
                <w:rFonts w:cs="Arial"/>
                <w:sz w:val="20"/>
                <w:szCs w:val="20"/>
              </w:rPr>
              <w:t>Fournir des données probantes qui alimenteront les discussions stratégiques en ce qui touche le recours à la dotation non annoncée. Déterminer l</w:t>
            </w:r>
            <w:r w:rsidR="00C25AC9" w:rsidRPr="00C25AC9">
              <w:rPr>
                <w:rFonts w:cs="Arial"/>
                <w:sz w:val="20"/>
                <w:szCs w:val="20"/>
              </w:rPr>
              <w:t>’</w:t>
            </w:r>
            <w:r w:rsidRPr="00C25AC9">
              <w:rPr>
                <w:rFonts w:cs="Arial"/>
                <w:sz w:val="20"/>
                <w:szCs w:val="20"/>
              </w:rPr>
              <w:t>incidence des nominations intérimaires non annoncées sur le cheminement de carrière. Le travail sera effectué en collaboration avec l</w:t>
            </w:r>
            <w:r w:rsidR="00C25AC9" w:rsidRPr="00C25AC9">
              <w:rPr>
                <w:rFonts w:cs="Arial"/>
                <w:sz w:val="20"/>
                <w:szCs w:val="20"/>
              </w:rPr>
              <w:t>’</w:t>
            </w:r>
            <w:r w:rsidRPr="00C25AC9">
              <w:rPr>
                <w:rFonts w:cs="Arial"/>
                <w:sz w:val="20"/>
                <w:szCs w:val="20"/>
              </w:rPr>
              <w:t>équipe de vérification des processus de nomination non annoncés.</w:t>
            </w:r>
          </w:p>
          <w:p w14:paraId="5A9A6F95" w14:textId="77777777" w:rsidR="007516B7" w:rsidRPr="00C25AC9" w:rsidRDefault="007516B7" w:rsidP="00841E25">
            <w:pPr>
              <w:rPr>
                <w:rFonts w:cs="Arial"/>
                <w:sz w:val="20"/>
                <w:szCs w:val="20"/>
              </w:rPr>
            </w:pPr>
          </w:p>
        </w:tc>
        <w:tc>
          <w:tcPr>
            <w:tcW w:w="3969" w:type="dxa"/>
          </w:tcPr>
          <w:p w14:paraId="71B79FB0" w14:textId="5BF7EF27" w:rsidR="007516B7" w:rsidRPr="00C25AC9" w:rsidRDefault="00006F53" w:rsidP="00AB489B">
            <w:pPr>
              <w:rPr>
                <w:rFonts w:cs="Arial"/>
                <w:sz w:val="20"/>
                <w:szCs w:val="20"/>
              </w:rPr>
            </w:pPr>
            <w:r w:rsidRPr="00C25AC9">
              <w:rPr>
                <w:rFonts w:cs="Arial"/>
                <w:sz w:val="20"/>
                <w:szCs w:val="20"/>
                <w:u w:val="single"/>
              </w:rPr>
              <w:t>ETP</w:t>
            </w:r>
            <w:r w:rsidRPr="00C25AC9">
              <w:rPr>
                <w:rFonts w:cs="Arial"/>
                <w:sz w:val="20"/>
                <w:szCs w:val="20"/>
              </w:rPr>
              <w:t xml:space="preserve"> : </w:t>
            </w:r>
            <w:r w:rsidR="00886606" w:rsidRPr="00C25AC9">
              <w:rPr>
                <w:rFonts w:cs="Arial"/>
                <w:sz w:val="20"/>
                <w:szCs w:val="20"/>
              </w:rPr>
              <w:t xml:space="preserve">¼ </w:t>
            </w:r>
          </w:p>
          <w:p w14:paraId="2C7606BE" w14:textId="77777777" w:rsidR="007516B7" w:rsidRPr="00C25AC9" w:rsidRDefault="007516B7" w:rsidP="00AB489B">
            <w:pPr>
              <w:rPr>
                <w:rFonts w:cs="Arial"/>
                <w:sz w:val="20"/>
                <w:szCs w:val="20"/>
                <w:u w:val="single"/>
              </w:rPr>
            </w:pPr>
          </w:p>
          <w:p w14:paraId="7FB2DB40" w14:textId="02E73032" w:rsidR="001E6F24" w:rsidRPr="00C25AC9" w:rsidRDefault="00E119EF" w:rsidP="00AB489B">
            <w:pPr>
              <w:rPr>
                <w:rFonts w:cs="Arial"/>
                <w:sz w:val="20"/>
                <w:szCs w:val="20"/>
              </w:rPr>
            </w:pPr>
            <w:r w:rsidRPr="00C25AC9">
              <w:rPr>
                <w:rFonts w:cs="Arial"/>
                <w:sz w:val="20"/>
                <w:szCs w:val="20"/>
                <w:u w:val="single"/>
              </w:rPr>
              <w:t>Données</w:t>
            </w:r>
            <w:r w:rsidR="00841E25" w:rsidRPr="00C25AC9">
              <w:rPr>
                <w:rFonts w:cs="Arial"/>
                <w:sz w:val="20"/>
                <w:szCs w:val="20"/>
              </w:rPr>
              <w:t> :</w:t>
            </w:r>
            <w:r w:rsidR="007516B7" w:rsidRPr="00C25AC9">
              <w:rPr>
                <w:rFonts w:cs="Arial"/>
                <w:sz w:val="20"/>
                <w:szCs w:val="20"/>
              </w:rPr>
              <w:t xml:space="preserve"> </w:t>
            </w:r>
            <w:r w:rsidR="001E6F24" w:rsidRPr="00C25AC9">
              <w:rPr>
                <w:rFonts w:cs="Arial"/>
                <w:sz w:val="20"/>
                <w:szCs w:val="20"/>
              </w:rPr>
              <w:t>Sources administratives (p. ex. SDIP)</w:t>
            </w:r>
          </w:p>
          <w:p w14:paraId="00CBA29D" w14:textId="77777777" w:rsidR="001E6F24" w:rsidRPr="00C25AC9" w:rsidRDefault="001E6F24" w:rsidP="00AB489B">
            <w:pPr>
              <w:rPr>
                <w:rFonts w:cs="Arial"/>
                <w:sz w:val="20"/>
                <w:szCs w:val="20"/>
              </w:rPr>
            </w:pPr>
          </w:p>
          <w:p w14:paraId="46ED7EC4" w14:textId="047A224F" w:rsidR="007516B7" w:rsidRPr="00C25AC9" w:rsidRDefault="007516B7" w:rsidP="00AB489B">
            <w:pPr>
              <w:rPr>
                <w:rFonts w:cs="Arial"/>
                <w:sz w:val="20"/>
                <w:szCs w:val="20"/>
                <w:u w:val="single"/>
              </w:rPr>
            </w:pPr>
          </w:p>
        </w:tc>
      </w:tr>
      <w:tr w:rsidR="007516B7" w:rsidRPr="00C25AC9" w14:paraId="05311E3C" w14:textId="77777777" w:rsidTr="00101877">
        <w:tc>
          <w:tcPr>
            <w:tcW w:w="562" w:type="dxa"/>
          </w:tcPr>
          <w:p w14:paraId="44A14E74" w14:textId="3F67A1D7" w:rsidR="007516B7" w:rsidRPr="00C25AC9" w:rsidRDefault="00AA1A4E" w:rsidP="00AB489B">
            <w:pPr>
              <w:rPr>
                <w:rFonts w:cs="Arial"/>
                <w:sz w:val="20"/>
                <w:szCs w:val="20"/>
              </w:rPr>
            </w:pPr>
            <w:r w:rsidRPr="00C25AC9">
              <w:rPr>
                <w:rFonts w:cs="Arial"/>
                <w:sz w:val="20"/>
                <w:szCs w:val="20"/>
              </w:rPr>
              <w:t>8</w:t>
            </w:r>
          </w:p>
        </w:tc>
        <w:tc>
          <w:tcPr>
            <w:tcW w:w="3544" w:type="dxa"/>
          </w:tcPr>
          <w:p w14:paraId="016F0709" w14:textId="1F2B0BE5" w:rsidR="004108D1" w:rsidRPr="00C25AC9" w:rsidRDefault="00ED4B1D" w:rsidP="00AB489B">
            <w:pPr>
              <w:rPr>
                <w:rFonts w:cs="Arial"/>
                <w:b/>
                <w:sz w:val="20"/>
                <w:szCs w:val="20"/>
                <w:u w:val="single"/>
              </w:rPr>
            </w:pPr>
            <w:bookmarkStart w:id="16" w:name="_Hlk80688218"/>
            <w:r w:rsidRPr="00C25AC9">
              <w:rPr>
                <w:rFonts w:cs="Arial"/>
                <w:b/>
                <w:sz w:val="20"/>
                <w:szCs w:val="20"/>
                <w:u w:val="single"/>
              </w:rPr>
              <w:t xml:space="preserve">Incidence de </w:t>
            </w:r>
            <w:r w:rsidR="004108D1" w:rsidRPr="00C25AC9">
              <w:rPr>
                <w:rFonts w:cs="Arial"/>
                <w:b/>
                <w:sz w:val="20"/>
                <w:szCs w:val="20"/>
                <w:u w:val="single"/>
              </w:rPr>
              <w:t xml:space="preserve">la </w:t>
            </w:r>
            <w:r w:rsidR="004108D1" w:rsidRPr="00C25AC9">
              <w:rPr>
                <w:rFonts w:cs="Arial"/>
                <w:b/>
                <w:i/>
                <w:iCs/>
                <w:sz w:val="20"/>
                <w:szCs w:val="20"/>
                <w:u w:val="single"/>
              </w:rPr>
              <w:t>Loi d</w:t>
            </w:r>
            <w:r w:rsidR="00C25AC9" w:rsidRPr="00C25AC9">
              <w:rPr>
                <w:rFonts w:cs="Arial"/>
                <w:b/>
                <w:i/>
                <w:iCs/>
                <w:sz w:val="20"/>
                <w:szCs w:val="20"/>
                <w:u w:val="single"/>
              </w:rPr>
              <w:t>’</w:t>
            </w:r>
            <w:r w:rsidR="004108D1" w:rsidRPr="00C25AC9">
              <w:rPr>
                <w:rFonts w:cs="Arial"/>
                <w:b/>
                <w:i/>
                <w:iCs/>
                <w:sz w:val="20"/>
                <w:szCs w:val="20"/>
                <w:u w:val="single"/>
              </w:rPr>
              <w:t xml:space="preserve">exécution du budget </w:t>
            </w:r>
            <w:r w:rsidR="004108D1" w:rsidRPr="00C25AC9">
              <w:rPr>
                <w:rFonts w:cs="Arial"/>
                <w:b/>
                <w:sz w:val="20"/>
                <w:szCs w:val="20"/>
                <w:u w:val="single"/>
              </w:rPr>
              <w:t>(projet de loi C-30) sur les résidents permanents</w:t>
            </w:r>
          </w:p>
          <w:p w14:paraId="56382E00" w14:textId="77777777" w:rsidR="004108D1" w:rsidRPr="00C25AC9" w:rsidRDefault="004108D1" w:rsidP="00AB489B">
            <w:pPr>
              <w:rPr>
                <w:rFonts w:cs="Arial"/>
                <w:b/>
                <w:sz w:val="20"/>
                <w:szCs w:val="20"/>
                <w:u w:val="single"/>
              </w:rPr>
            </w:pPr>
          </w:p>
          <w:bookmarkEnd w:id="16"/>
          <w:p w14:paraId="127A0151" w14:textId="77777777" w:rsidR="004108D1" w:rsidRPr="00C25AC9" w:rsidRDefault="004108D1" w:rsidP="00AB489B">
            <w:pPr>
              <w:rPr>
                <w:rFonts w:cs="Arial"/>
                <w:b/>
                <w:sz w:val="20"/>
                <w:szCs w:val="20"/>
                <w:u w:val="single"/>
              </w:rPr>
            </w:pPr>
            <w:r w:rsidRPr="00C25AC9">
              <w:rPr>
                <w:rFonts w:cs="Arial"/>
                <w:b/>
                <w:sz w:val="20"/>
                <w:szCs w:val="20"/>
                <w:u w:val="single"/>
              </w:rPr>
              <w:t>Source : DSDA</w:t>
            </w:r>
          </w:p>
          <w:p w14:paraId="783E828B" w14:textId="77777777" w:rsidR="004108D1" w:rsidRPr="00C25AC9" w:rsidRDefault="004108D1" w:rsidP="00AB489B">
            <w:pPr>
              <w:rPr>
                <w:rFonts w:cs="Arial"/>
                <w:b/>
                <w:sz w:val="20"/>
                <w:szCs w:val="20"/>
                <w:u w:val="single"/>
              </w:rPr>
            </w:pPr>
          </w:p>
          <w:p w14:paraId="53C99B22" w14:textId="77777777" w:rsidR="004108D1" w:rsidRPr="00C25AC9" w:rsidRDefault="004108D1" w:rsidP="00AB489B">
            <w:pPr>
              <w:rPr>
                <w:rFonts w:cs="Arial"/>
                <w:b/>
                <w:sz w:val="20"/>
                <w:szCs w:val="20"/>
                <w:u w:val="single"/>
              </w:rPr>
            </w:pPr>
            <w:r w:rsidRPr="00C25AC9">
              <w:rPr>
                <w:rFonts w:cs="Arial"/>
                <w:b/>
                <w:sz w:val="20"/>
                <w:szCs w:val="20"/>
                <w:u w:val="single"/>
              </w:rPr>
              <w:t>Client : Secteur des politiques et des communications (SPC)</w:t>
            </w:r>
          </w:p>
          <w:p w14:paraId="635822C7" w14:textId="77777777" w:rsidR="004108D1" w:rsidRPr="00C25AC9" w:rsidRDefault="004108D1" w:rsidP="00AB489B">
            <w:pPr>
              <w:rPr>
                <w:rFonts w:cs="Arial"/>
                <w:b/>
                <w:sz w:val="20"/>
                <w:szCs w:val="20"/>
                <w:u w:val="single"/>
              </w:rPr>
            </w:pPr>
          </w:p>
          <w:p w14:paraId="023F7295" w14:textId="7A309C8B" w:rsidR="007516B7" w:rsidRPr="00C25AC9" w:rsidRDefault="007516B7" w:rsidP="00AB489B">
            <w:pPr>
              <w:rPr>
                <w:rFonts w:cs="Arial"/>
                <w:b/>
                <w:sz w:val="20"/>
                <w:szCs w:val="20"/>
                <w:u w:val="single"/>
              </w:rPr>
            </w:pPr>
          </w:p>
        </w:tc>
        <w:tc>
          <w:tcPr>
            <w:tcW w:w="6662" w:type="dxa"/>
          </w:tcPr>
          <w:p w14:paraId="547BACF4" w14:textId="184F4666" w:rsidR="005A4933" w:rsidRPr="00C25AC9" w:rsidRDefault="005A4933" w:rsidP="00AB489B">
            <w:pPr>
              <w:rPr>
                <w:sz w:val="20"/>
                <w:szCs w:val="20"/>
                <w:lang w:eastAsia="en-CA"/>
              </w:rPr>
            </w:pPr>
            <w:r w:rsidRPr="00C25AC9">
              <w:rPr>
                <w:sz w:val="20"/>
                <w:szCs w:val="20"/>
                <w:lang w:eastAsia="en-CA"/>
              </w:rPr>
              <w:t>Les changements apportés récemment à la LEFP modifieront la préférence accordée aux résidents permanents et la CFP devrait surveiller de près l</w:t>
            </w:r>
            <w:r w:rsidR="00C25AC9" w:rsidRPr="00C25AC9">
              <w:rPr>
                <w:sz w:val="20"/>
                <w:szCs w:val="20"/>
                <w:lang w:eastAsia="en-CA"/>
              </w:rPr>
              <w:t>’</w:t>
            </w:r>
            <w:r w:rsidRPr="00C25AC9">
              <w:rPr>
                <w:sz w:val="20"/>
                <w:szCs w:val="20"/>
                <w:lang w:eastAsia="en-CA"/>
              </w:rPr>
              <w:t>incidence de ces changements. Une analyse antérieure de la citoyenneté peut servir de base à une analyse future.</w:t>
            </w:r>
          </w:p>
          <w:p w14:paraId="4B01360B" w14:textId="77777777" w:rsidR="005A4933" w:rsidRPr="00C25AC9" w:rsidRDefault="005A4933" w:rsidP="00AB489B">
            <w:pPr>
              <w:rPr>
                <w:sz w:val="20"/>
                <w:szCs w:val="20"/>
                <w:lang w:eastAsia="en-CA"/>
              </w:rPr>
            </w:pPr>
          </w:p>
          <w:p w14:paraId="017CB552" w14:textId="5B240E16" w:rsidR="009D63F6" w:rsidRPr="00C25AC9" w:rsidRDefault="005A4933" w:rsidP="00AB489B">
            <w:pPr>
              <w:rPr>
                <w:sz w:val="20"/>
                <w:szCs w:val="20"/>
                <w:u w:val="single"/>
                <w:lang w:eastAsia="en-CA"/>
              </w:rPr>
            </w:pPr>
            <w:r w:rsidRPr="00C25AC9">
              <w:rPr>
                <w:sz w:val="20"/>
                <w:szCs w:val="20"/>
                <w:u w:val="single"/>
                <w:lang w:eastAsia="en-CA"/>
              </w:rPr>
              <w:t xml:space="preserve">Cycle de recherche 2021 : Analyse de </w:t>
            </w:r>
            <w:r w:rsidR="00841E25" w:rsidRPr="00C25AC9">
              <w:rPr>
                <w:sz w:val="20"/>
                <w:szCs w:val="20"/>
                <w:u w:val="single"/>
                <w:lang w:eastAsia="en-CA"/>
              </w:rPr>
              <w:t>la situation actuelle</w:t>
            </w:r>
          </w:p>
          <w:p w14:paraId="23A156BD" w14:textId="77777777" w:rsidR="005A4933" w:rsidRPr="00C25AC9" w:rsidRDefault="005A4933" w:rsidP="005A4933">
            <w:pPr>
              <w:rPr>
                <w:sz w:val="20"/>
                <w:szCs w:val="20"/>
                <w:lang w:eastAsia="en-CA"/>
              </w:rPr>
            </w:pPr>
            <w:r w:rsidRPr="00C25AC9">
              <w:rPr>
                <w:sz w:val="20"/>
                <w:szCs w:val="20"/>
                <w:lang w:eastAsia="en-CA"/>
              </w:rPr>
              <w:t>Q : Quel est le taux de demande et de recrutement des résidents permanents?</w:t>
            </w:r>
          </w:p>
          <w:p w14:paraId="3989D3E4" w14:textId="77777777" w:rsidR="00ED4B1D" w:rsidRPr="00C25AC9" w:rsidRDefault="005A4933" w:rsidP="005A4933">
            <w:pPr>
              <w:rPr>
                <w:sz w:val="20"/>
                <w:szCs w:val="20"/>
                <w:lang w:eastAsia="en-CA"/>
              </w:rPr>
            </w:pPr>
            <w:r w:rsidRPr="00C25AC9">
              <w:rPr>
                <w:sz w:val="20"/>
                <w:szCs w:val="20"/>
                <w:lang w:eastAsia="en-CA"/>
              </w:rPr>
              <w:t xml:space="preserve">Q : Quels sont les obstacles au recrutement des résidents permanents? </w:t>
            </w:r>
          </w:p>
          <w:p w14:paraId="67D7B8C3" w14:textId="71B11FCF" w:rsidR="005A4933" w:rsidRPr="00C25AC9" w:rsidRDefault="005A4933" w:rsidP="005A4933">
            <w:pPr>
              <w:rPr>
                <w:sz w:val="20"/>
                <w:szCs w:val="20"/>
                <w:lang w:eastAsia="en-CA"/>
              </w:rPr>
            </w:pPr>
            <w:r w:rsidRPr="00C25AC9">
              <w:rPr>
                <w:sz w:val="20"/>
                <w:szCs w:val="20"/>
                <w:lang w:eastAsia="en-CA"/>
              </w:rPr>
              <w:lastRenderedPageBreak/>
              <w:t xml:space="preserve">Q : </w:t>
            </w:r>
            <w:r w:rsidR="000C2185" w:rsidRPr="00C25AC9">
              <w:rPr>
                <w:sz w:val="20"/>
                <w:szCs w:val="20"/>
                <w:lang w:eastAsia="en-CA"/>
              </w:rPr>
              <w:t xml:space="preserve">En quoi les résidents permanents ont-ils un impact sur </w:t>
            </w:r>
            <w:r w:rsidRPr="00C25AC9">
              <w:rPr>
                <w:sz w:val="20"/>
                <w:szCs w:val="20"/>
                <w:lang w:eastAsia="en-CA"/>
              </w:rPr>
              <w:t>les groupes visés par l</w:t>
            </w:r>
            <w:r w:rsidR="00C25AC9" w:rsidRPr="00C25AC9">
              <w:rPr>
                <w:sz w:val="20"/>
                <w:szCs w:val="20"/>
                <w:lang w:eastAsia="en-CA"/>
              </w:rPr>
              <w:t>’</w:t>
            </w:r>
            <w:r w:rsidRPr="00C25AC9">
              <w:rPr>
                <w:sz w:val="20"/>
                <w:szCs w:val="20"/>
                <w:lang w:eastAsia="en-CA"/>
              </w:rPr>
              <w:t xml:space="preserve">EE? </w:t>
            </w:r>
          </w:p>
          <w:p w14:paraId="31A53B76" w14:textId="41EFBE3A" w:rsidR="009D63F6" w:rsidRPr="00C25AC9" w:rsidRDefault="009D63F6" w:rsidP="00AB489B">
            <w:pPr>
              <w:rPr>
                <w:sz w:val="20"/>
                <w:szCs w:val="20"/>
                <w:lang w:eastAsia="en-CA"/>
              </w:rPr>
            </w:pPr>
          </w:p>
          <w:p w14:paraId="1A5B0E23" w14:textId="77777777" w:rsidR="005A4933" w:rsidRPr="00C25AC9" w:rsidRDefault="005A4933" w:rsidP="00AB489B">
            <w:pPr>
              <w:rPr>
                <w:sz w:val="20"/>
                <w:szCs w:val="20"/>
                <w:u w:val="single"/>
                <w:lang w:eastAsia="en-CA"/>
              </w:rPr>
            </w:pPr>
            <w:r w:rsidRPr="00C25AC9">
              <w:rPr>
                <w:sz w:val="20"/>
                <w:szCs w:val="20"/>
                <w:u w:val="single"/>
                <w:lang w:eastAsia="en-CA"/>
              </w:rPr>
              <w:t xml:space="preserve">Cycle de recherche 2023 : Analyse des effets et des tendances à long terme </w:t>
            </w:r>
          </w:p>
          <w:p w14:paraId="7A7F8D55" w14:textId="7A0049C7" w:rsidR="005A4933" w:rsidRPr="00C25AC9" w:rsidRDefault="005A4933" w:rsidP="005A4933">
            <w:pPr>
              <w:rPr>
                <w:sz w:val="20"/>
                <w:szCs w:val="20"/>
                <w:lang w:eastAsia="en-CA"/>
              </w:rPr>
            </w:pPr>
            <w:r w:rsidRPr="00C25AC9">
              <w:rPr>
                <w:sz w:val="20"/>
                <w:szCs w:val="20"/>
                <w:lang w:eastAsia="en-CA"/>
              </w:rPr>
              <w:t>Q : Y a-t-il un changement en ce qui touche les candidats et le volume des candidatures après la mise en œuvre du projet de loi</w:t>
            </w:r>
            <w:r w:rsidR="00151C28" w:rsidRPr="00C25AC9">
              <w:rPr>
                <w:sz w:val="20"/>
                <w:szCs w:val="20"/>
                <w:lang w:eastAsia="en-CA"/>
              </w:rPr>
              <w:t> </w:t>
            </w:r>
            <w:r w:rsidRPr="00C25AC9">
              <w:rPr>
                <w:sz w:val="20"/>
                <w:szCs w:val="20"/>
                <w:lang w:eastAsia="en-CA"/>
              </w:rPr>
              <w:t>C</w:t>
            </w:r>
            <w:r w:rsidR="00151C28" w:rsidRPr="00C25AC9">
              <w:rPr>
                <w:sz w:val="20"/>
                <w:szCs w:val="20"/>
                <w:lang w:eastAsia="en-CA"/>
              </w:rPr>
              <w:noBreakHyphen/>
            </w:r>
            <w:r w:rsidRPr="00C25AC9">
              <w:rPr>
                <w:sz w:val="20"/>
                <w:szCs w:val="20"/>
                <w:lang w:eastAsia="en-CA"/>
              </w:rPr>
              <w:t xml:space="preserve">30 ? </w:t>
            </w:r>
          </w:p>
          <w:p w14:paraId="0A5DED3E" w14:textId="3A2B9775" w:rsidR="005A4933" w:rsidRPr="00C25AC9" w:rsidRDefault="005A4933" w:rsidP="005A4933">
            <w:pPr>
              <w:rPr>
                <w:sz w:val="20"/>
                <w:szCs w:val="20"/>
                <w:lang w:eastAsia="en-CA"/>
              </w:rPr>
            </w:pPr>
            <w:r w:rsidRPr="00C25AC9">
              <w:rPr>
                <w:sz w:val="20"/>
                <w:szCs w:val="20"/>
                <w:lang w:eastAsia="en-CA"/>
              </w:rPr>
              <w:t>Q : Quel est l</w:t>
            </w:r>
            <w:r w:rsidR="00C25AC9" w:rsidRPr="00C25AC9">
              <w:rPr>
                <w:sz w:val="20"/>
                <w:szCs w:val="20"/>
                <w:lang w:eastAsia="en-CA"/>
              </w:rPr>
              <w:t>’</w:t>
            </w:r>
            <w:r w:rsidRPr="00C25AC9">
              <w:rPr>
                <w:sz w:val="20"/>
                <w:szCs w:val="20"/>
                <w:lang w:eastAsia="en-CA"/>
              </w:rPr>
              <w:t>effet du projet de loi</w:t>
            </w:r>
            <w:r w:rsidR="00151C28" w:rsidRPr="00C25AC9">
              <w:rPr>
                <w:sz w:val="20"/>
                <w:szCs w:val="20"/>
                <w:lang w:eastAsia="en-CA"/>
              </w:rPr>
              <w:t> </w:t>
            </w:r>
            <w:r w:rsidRPr="00C25AC9">
              <w:rPr>
                <w:sz w:val="20"/>
                <w:szCs w:val="20"/>
                <w:lang w:eastAsia="en-CA"/>
              </w:rPr>
              <w:t>C</w:t>
            </w:r>
            <w:r w:rsidR="00151C28" w:rsidRPr="00C25AC9">
              <w:rPr>
                <w:sz w:val="20"/>
                <w:szCs w:val="20"/>
                <w:lang w:eastAsia="en-CA"/>
              </w:rPr>
              <w:noBreakHyphen/>
            </w:r>
            <w:r w:rsidRPr="00C25AC9">
              <w:rPr>
                <w:sz w:val="20"/>
                <w:szCs w:val="20"/>
                <w:lang w:eastAsia="en-CA"/>
              </w:rPr>
              <w:t>30 sur l</w:t>
            </w:r>
            <w:r w:rsidR="00C25AC9" w:rsidRPr="00C25AC9">
              <w:rPr>
                <w:sz w:val="20"/>
                <w:szCs w:val="20"/>
                <w:lang w:eastAsia="en-CA"/>
              </w:rPr>
              <w:t>’</w:t>
            </w:r>
            <w:r w:rsidRPr="00C25AC9">
              <w:rPr>
                <w:sz w:val="20"/>
                <w:szCs w:val="20"/>
                <w:lang w:eastAsia="en-CA"/>
              </w:rPr>
              <w:t xml:space="preserve">embauche de résidents permanents? </w:t>
            </w:r>
          </w:p>
          <w:p w14:paraId="536EF2A5" w14:textId="7C4180AE" w:rsidR="007516B7" w:rsidRPr="00C25AC9" w:rsidRDefault="005A4933" w:rsidP="00E20EE7">
            <w:pPr>
              <w:rPr>
                <w:sz w:val="20"/>
                <w:szCs w:val="20"/>
                <w:lang w:eastAsia="en-CA"/>
              </w:rPr>
            </w:pPr>
            <w:r w:rsidRPr="00C25AC9">
              <w:rPr>
                <w:sz w:val="20"/>
                <w:szCs w:val="20"/>
                <w:lang w:eastAsia="en-CA"/>
              </w:rPr>
              <w:t>Q : Y a-t-il une incidence sur la représentation des groupes visés par l</w:t>
            </w:r>
            <w:r w:rsidR="00C25AC9" w:rsidRPr="00C25AC9">
              <w:rPr>
                <w:sz w:val="20"/>
                <w:szCs w:val="20"/>
                <w:lang w:eastAsia="en-CA"/>
              </w:rPr>
              <w:t>’</w:t>
            </w:r>
            <w:r w:rsidRPr="00C25AC9">
              <w:rPr>
                <w:sz w:val="20"/>
                <w:szCs w:val="20"/>
                <w:lang w:eastAsia="en-CA"/>
              </w:rPr>
              <w:t>EE dans la fonction publique?</w:t>
            </w:r>
          </w:p>
        </w:tc>
        <w:tc>
          <w:tcPr>
            <w:tcW w:w="2694" w:type="dxa"/>
          </w:tcPr>
          <w:p w14:paraId="13D924D8" w14:textId="37DE5FA5" w:rsidR="00F46F3D" w:rsidRPr="00C25AC9" w:rsidRDefault="00F46F3D" w:rsidP="00AB489B">
            <w:pPr>
              <w:rPr>
                <w:rFonts w:cs="Arial"/>
                <w:sz w:val="20"/>
                <w:szCs w:val="20"/>
              </w:rPr>
            </w:pPr>
            <w:r w:rsidRPr="00C25AC9">
              <w:rPr>
                <w:rFonts w:cs="Arial"/>
                <w:sz w:val="20"/>
                <w:szCs w:val="20"/>
              </w:rPr>
              <w:lastRenderedPageBreak/>
              <w:t>Mesurer le résultat de ce changement législatif afin de voir s</w:t>
            </w:r>
            <w:r w:rsidR="00C25AC9" w:rsidRPr="00C25AC9">
              <w:rPr>
                <w:rFonts w:cs="Arial"/>
                <w:sz w:val="20"/>
                <w:szCs w:val="20"/>
              </w:rPr>
              <w:t>’</w:t>
            </w:r>
            <w:r w:rsidRPr="00C25AC9">
              <w:rPr>
                <w:rFonts w:cs="Arial"/>
                <w:sz w:val="20"/>
                <w:szCs w:val="20"/>
              </w:rPr>
              <w:t>il a un</w:t>
            </w:r>
            <w:r w:rsidR="000C2185" w:rsidRPr="00C25AC9">
              <w:rPr>
                <w:rFonts w:cs="Arial"/>
                <w:sz w:val="20"/>
                <w:szCs w:val="20"/>
              </w:rPr>
              <w:t>e incidence positive</w:t>
            </w:r>
            <w:r w:rsidRPr="00C25AC9">
              <w:rPr>
                <w:rFonts w:cs="Arial"/>
                <w:sz w:val="20"/>
                <w:szCs w:val="20"/>
              </w:rPr>
              <w:t xml:space="preserve"> sur les membres des groupes désignés </w:t>
            </w:r>
            <w:r w:rsidR="0024142C" w:rsidRPr="00C25AC9">
              <w:rPr>
                <w:rFonts w:cs="Arial"/>
                <w:sz w:val="20"/>
                <w:szCs w:val="20"/>
              </w:rPr>
              <w:t>par l</w:t>
            </w:r>
            <w:r w:rsidR="00C25AC9" w:rsidRPr="00C25AC9">
              <w:rPr>
                <w:rFonts w:cs="Arial"/>
                <w:sz w:val="20"/>
                <w:szCs w:val="20"/>
              </w:rPr>
              <w:t>’</w:t>
            </w:r>
            <w:r w:rsidRPr="00C25AC9">
              <w:rPr>
                <w:rFonts w:cs="Arial"/>
                <w:sz w:val="20"/>
                <w:szCs w:val="20"/>
              </w:rPr>
              <w:t>EE. Fournir des indications solides de l</w:t>
            </w:r>
            <w:r w:rsidR="00C25AC9" w:rsidRPr="00C25AC9">
              <w:rPr>
                <w:rFonts w:cs="Arial"/>
                <w:sz w:val="20"/>
                <w:szCs w:val="20"/>
              </w:rPr>
              <w:t>’</w:t>
            </w:r>
            <w:r w:rsidRPr="00C25AC9">
              <w:rPr>
                <w:rFonts w:cs="Arial"/>
                <w:sz w:val="20"/>
                <w:szCs w:val="20"/>
              </w:rPr>
              <w:t>incidence du</w:t>
            </w:r>
            <w:r w:rsidR="00BD3CBE" w:rsidRPr="00C25AC9">
              <w:rPr>
                <w:rFonts w:cs="Arial"/>
                <w:sz w:val="20"/>
                <w:szCs w:val="20"/>
              </w:rPr>
              <w:t xml:space="preserve"> </w:t>
            </w:r>
            <w:r w:rsidRPr="00C25AC9">
              <w:rPr>
                <w:rFonts w:cs="Arial"/>
                <w:sz w:val="20"/>
                <w:szCs w:val="20"/>
              </w:rPr>
              <w:t>projet de loi C-30.</w:t>
            </w:r>
          </w:p>
          <w:p w14:paraId="701B5910" w14:textId="77777777" w:rsidR="00F46F3D" w:rsidRPr="00C25AC9" w:rsidRDefault="00F46F3D" w:rsidP="00AB489B">
            <w:pPr>
              <w:rPr>
                <w:rFonts w:cs="Arial"/>
                <w:sz w:val="20"/>
                <w:szCs w:val="20"/>
              </w:rPr>
            </w:pPr>
          </w:p>
          <w:p w14:paraId="625F8A37" w14:textId="5AAAAA06" w:rsidR="007516B7" w:rsidRPr="00C25AC9" w:rsidRDefault="007516B7" w:rsidP="00AB489B">
            <w:pPr>
              <w:rPr>
                <w:rFonts w:cs="Arial"/>
                <w:sz w:val="20"/>
                <w:szCs w:val="20"/>
              </w:rPr>
            </w:pPr>
          </w:p>
        </w:tc>
        <w:tc>
          <w:tcPr>
            <w:tcW w:w="3969" w:type="dxa"/>
          </w:tcPr>
          <w:p w14:paraId="06465DDD" w14:textId="708F917F" w:rsidR="007516B7" w:rsidRPr="00C25AC9" w:rsidRDefault="00006F53" w:rsidP="00AB489B">
            <w:pPr>
              <w:rPr>
                <w:rFonts w:cs="Arial"/>
                <w:sz w:val="20"/>
                <w:szCs w:val="20"/>
              </w:rPr>
            </w:pPr>
            <w:r w:rsidRPr="00C25AC9">
              <w:rPr>
                <w:rFonts w:cs="Arial"/>
                <w:sz w:val="20"/>
                <w:szCs w:val="20"/>
                <w:u w:val="single"/>
              </w:rPr>
              <w:t>ETP</w:t>
            </w:r>
            <w:r w:rsidRPr="00C25AC9">
              <w:rPr>
                <w:rFonts w:cs="Arial"/>
                <w:sz w:val="20"/>
                <w:szCs w:val="20"/>
              </w:rPr>
              <w:t xml:space="preserve"> : </w:t>
            </w:r>
            <w:r w:rsidR="00886606" w:rsidRPr="00C25AC9">
              <w:rPr>
                <w:rFonts w:cs="Arial"/>
                <w:sz w:val="20"/>
                <w:szCs w:val="20"/>
              </w:rPr>
              <w:t xml:space="preserve">¼ </w:t>
            </w:r>
          </w:p>
          <w:p w14:paraId="548BA0C1" w14:textId="77777777" w:rsidR="007516B7" w:rsidRPr="00C25AC9" w:rsidRDefault="007516B7" w:rsidP="00AB489B">
            <w:pPr>
              <w:rPr>
                <w:rFonts w:cs="Arial"/>
                <w:sz w:val="20"/>
                <w:szCs w:val="20"/>
                <w:u w:val="single"/>
              </w:rPr>
            </w:pPr>
          </w:p>
          <w:p w14:paraId="4B25F8BB" w14:textId="0B55A5C6" w:rsidR="0053384D" w:rsidRPr="00C25AC9" w:rsidRDefault="00E119EF" w:rsidP="00AB489B">
            <w:pPr>
              <w:rPr>
                <w:rFonts w:cs="Arial"/>
                <w:sz w:val="20"/>
                <w:szCs w:val="20"/>
              </w:rPr>
            </w:pPr>
            <w:r w:rsidRPr="00C25AC9">
              <w:rPr>
                <w:rFonts w:cs="Arial"/>
                <w:sz w:val="20"/>
                <w:szCs w:val="20"/>
                <w:u w:val="single"/>
              </w:rPr>
              <w:t>Données</w:t>
            </w:r>
            <w:r w:rsidR="0053384D" w:rsidRPr="00C25AC9">
              <w:rPr>
                <w:rFonts w:cs="Arial"/>
                <w:sz w:val="20"/>
                <w:szCs w:val="20"/>
              </w:rPr>
              <w:t> : Sources administratives (p. ex. données de</w:t>
            </w:r>
            <w:r w:rsidR="0059445C" w:rsidRPr="00C25AC9">
              <w:rPr>
                <w:rFonts w:cs="Arial"/>
                <w:sz w:val="20"/>
                <w:szCs w:val="20"/>
              </w:rPr>
              <w:t xml:space="preserve"> candidature</w:t>
            </w:r>
            <w:r w:rsidR="0053384D" w:rsidRPr="00C25AC9">
              <w:rPr>
                <w:rFonts w:cs="Arial"/>
                <w:sz w:val="20"/>
                <w:szCs w:val="20"/>
              </w:rPr>
              <w:t>)</w:t>
            </w:r>
          </w:p>
          <w:p w14:paraId="1A729F33" w14:textId="77777777" w:rsidR="0053384D" w:rsidRPr="00C25AC9" w:rsidRDefault="0053384D" w:rsidP="00AB489B">
            <w:pPr>
              <w:rPr>
                <w:rFonts w:cs="Arial"/>
                <w:sz w:val="20"/>
                <w:szCs w:val="20"/>
              </w:rPr>
            </w:pPr>
          </w:p>
          <w:p w14:paraId="0BA2F22B" w14:textId="4239E47F" w:rsidR="007516B7" w:rsidRPr="00C25AC9" w:rsidRDefault="007516B7" w:rsidP="00AB489B">
            <w:pPr>
              <w:rPr>
                <w:rFonts w:cs="Arial"/>
                <w:sz w:val="20"/>
                <w:szCs w:val="20"/>
                <w:u w:val="single"/>
              </w:rPr>
            </w:pPr>
          </w:p>
        </w:tc>
      </w:tr>
      <w:tr w:rsidR="007516B7" w:rsidRPr="00C25AC9" w14:paraId="1FAB6C3F" w14:textId="77777777" w:rsidTr="00101877">
        <w:tc>
          <w:tcPr>
            <w:tcW w:w="562" w:type="dxa"/>
          </w:tcPr>
          <w:p w14:paraId="4861A9A1" w14:textId="0342CC71" w:rsidR="007516B7" w:rsidRPr="00C25AC9" w:rsidRDefault="00AA1A4E" w:rsidP="00AB489B">
            <w:pPr>
              <w:rPr>
                <w:rFonts w:cs="Arial"/>
                <w:sz w:val="20"/>
                <w:szCs w:val="20"/>
              </w:rPr>
            </w:pPr>
            <w:r w:rsidRPr="00C25AC9">
              <w:rPr>
                <w:rFonts w:cs="Arial"/>
                <w:sz w:val="20"/>
                <w:szCs w:val="20"/>
              </w:rPr>
              <w:t>9</w:t>
            </w:r>
          </w:p>
        </w:tc>
        <w:tc>
          <w:tcPr>
            <w:tcW w:w="3544" w:type="dxa"/>
          </w:tcPr>
          <w:p w14:paraId="3E1FBCA7" w14:textId="3985FAE5" w:rsidR="0002040A" w:rsidRPr="00C25AC9" w:rsidRDefault="00ED4B1D" w:rsidP="00AB489B">
            <w:pPr>
              <w:rPr>
                <w:rFonts w:cs="Arial"/>
                <w:b/>
                <w:sz w:val="20"/>
                <w:szCs w:val="20"/>
                <w:u w:val="single"/>
              </w:rPr>
            </w:pPr>
            <w:bookmarkStart w:id="17" w:name="_Hlk80688469"/>
            <w:r w:rsidRPr="00C25AC9">
              <w:rPr>
                <w:rFonts w:cs="Arial"/>
                <w:b/>
                <w:sz w:val="20"/>
                <w:szCs w:val="20"/>
                <w:u w:val="single"/>
              </w:rPr>
              <w:t xml:space="preserve">Incidence </w:t>
            </w:r>
            <w:r w:rsidR="004108D1" w:rsidRPr="00C25AC9">
              <w:rPr>
                <w:rFonts w:cs="Arial"/>
                <w:b/>
                <w:sz w:val="20"/>
                <w:szCs w:val="20"/>
                <w:u w:val="single"/>
              </w:rPr>
              <w:t xml:space="preserve">du télétravail sur </w:t>
            </w:r>
            <w:r w:rsidR="0002040A" w:rsidRPr="00C25AC9">
              <w:rPr>
                <w:rFonts w:cs="Arial"/>
                <w:b/>
                <w:sz w:val="20"/>
                <w:szCs w:val="20"/>
                <w:u w:val="single"/>
              </w:rPr>
              <w:t>le profil démographique des personnes embauché</w:t>
            </w:r>
            <w:r w:rsidR="00E442AD" w:rsidRPr="00C25AC9">
              <w:rPr>
                <w:rFonts w:cs="Arial"/>
                <w:b/>
                <w:sz w:val="20"/>
                <w:szCs w:val="20"/>
                <w:u w:val="single"/>
              </w:rPr>
              <w:t>e</w:t>
            </w:r>
            <w:r w:rsidR="0002040A" w:rsidRPr="00C25AC9">
              <w:rPr>
                <w:rFonts w:cs="Arial"/>
                <w:b/>
                <w:sz w:val="20"/>
                <w:szCs w:val="20"/>
                <w:u w:val="single"/>
              </w:rPr>
              <w:t>s</w:t>
            </w:r>
          </w:p>
          <w:p w14:paraId="102F8506" w14:textId="77777777" w:rsidR="0002040A" w:rsidRPr="00C25AC9" w:rsidRDefault="0002040A" w:rsidP="00AB489B">
            <w:pPr>
              <w:rPr>
                <w:rFonts w:cs="Arial"/>
                <w:b/>
                <w:sz w:val="20"/>
                <w:szCs w:val="20"/>
                <w:u w:val="single"/>
              </w:rPr>
            </w:pPr>
          </w:p>
          <w:bookmarkEnd w:id="17"/>
          <w:p w14:paraId="0AA60DC0" w14:textId="77777777" w:rsidR="0002040A" w:rsidRPr="00C25AC9" w:rsidRDefault="0002040A" w:rsidP="00AB489B">
            <w:pPr>
              <w:rPr>
                <w:rFonts w:cs="Arial"/>
                <w:b/>
                <w:bCs/>
                <w:sz w:val="20"/>
                <w:szCs w:val="20"/>
                <w:u w:val="single"/>
              </w:rPr>
            </w:pPr>
            <w:r w:rsidRPr="00C25AC9">
              <w:rPr>
                <w:rFonts w:cs="Arial"/>
                <w:b/>
                <w:bCs/>
                <w:sz w:val="20"/>
                <w:szCs w:val="20"/>
                <w:u w:val="single"/>
              </w:rPr>
              <w:t>Source : DSDA</w:t>
            </w:r>
          </w:p>
          <w:p w14:paraId="6F8C1653" w14:textId="77777777" w:rsidR="007516B7" w:rsidRPr="00C25AC9" w:rsidRDefault="007516B7" w:rsidP="00AB489B">
            <w:pPr>
              <w:rPr>
                <w:rFonts w:cs="Arial"/>
                <w:b/>
                <w:bCs/>
                <w:sz w:val="20"/>
                <w:szCs w:val="20"/>
                <w:u w:val="single"/>
              </w:rPr>
            </w:pPr>
          </w:p>
          <w:p w14:paraId="32CE9F05" w14:textId="77777777" w:rsidR="0002040A" w:rsidRPr="00C25AC9" w:rsidRDefault="007516B7" w:rsidP="00AB489B">
            <w:pPr>
              <w:rPr>
                <w:rFonts w:cs="Arial"/>
                <w:b/>
                <w:bCs/>
                <w:sz w:val="20"/>
                <w:szCs w:val="20"/>
                <w:u w:val="single"/>
              </w:rPr>
            </w:pPr>
            <w:r w:rsidRPr="00C25AC9">
              <w:rPr>
                <w:rFonts w:cs="Arial"/>
                <w:b/>
                <w:bCs/>
                <w:sz w:val="20"/>
                <w:szCs w:val="20"/>
                <w:u w:val="single"/>
              </w:rPr>
              <w:t>Client</w:t>
            </w:r>
            <w:r w:rsidR="0002040A" w:rsidRPr="00C25AC9">
              <w:rPr>
                <w:rFonts w:cs="Arial"/>
                <w:b/>
                <w:bCs/>
                <w:sz w:val="20"/>
                <w:szCs w:val="20"/>
                <w:u w:val="single"/>
              </w:rPr>
              <w:t xml:space="preserve"> </w:t>
            </w:r>
            <w:r w:rsidRPr="00C25AC9">
              <w:rPr>
                <w:rFonts w:cs="Arial"/>
                <w:b/>
                <w:bCs/>
                <w:sz w:val="20"/>
                <w:szCs w:val="20"/>
                <w:u w:val="single"/>
              </w:rPr>
              <w:t xml:space="preserve">: </w:t>
            </w:r>
            <w:r w:rsidR="0002040A" w:rsidRPr="00C25AC9">
              <w:rPr>
                <w:rFonts w:cs="Arial"/>
                <w:b/>
                <w:bCs/>
                <w:sz w:val="20"/>
                <w:szCs w:val="20"/>
                <w:u w:val="single"/>
              </w:rPr>
              <w:t>BDPRH SCT / Secteur des politiques et des communications (SPC)</w:t>
            </w:r>
          </w:p>
          <w:p w14:paraId="04256DD0" w14:textId="77777777" w:rsidR="0002040A" w:rsidRPr="00C25AC9" w:rsidRDefault="0002040A" w:rsidP="00AB489B">
            <w:pPr>
              <w:rPr>
                <w:rFonts w:cs="Arial"/>
                <w:b/>
                <w:bCs/>
                <w:sz w:val="20"/>
                <w:szCs w:val="20"/>
                <w:u w:val="single"/>
              </w:rPr>
            </w:pPr>
          </w:p>
          <w:p w14:paraId="6C4150C1" w14:textId="1D91B8AD" w:rsidR="007516B7" w:rsidRPr="00C25AC9" w:rsidRDefault="007516B7" w:rsidP="00AB489B">
            <w:pPr>
              <w:rPr>
                <w:rFonts w:cs="Arial"/>
                <w:b/>
                <w:sz w:val="20"/>
                <w:szCs w:val="20"/>
                <w:u w:val="single"/>
              </w:rPr>
            </w:pPr>
          </w:p>
        </w:tc>
        <w:tc>
          <w:tcPr>
            <w:tcW w:w="6662" w:type="dxa"/>
          </w:tcPr>
          <w:p w14:paraId="0D53F50A" w14:textId="5CCB6546" w:rsidR="000F3D80" w:rsidRPr="00C25AC9" w:rsidRDefault="000F3D80" w:rsidP="00AB489B">
            <w:pPr>
              <w:rPr>
                <w:sz w:val="20"/>
                <w:szCs w:val="20"/>
                <w:lang w:eastAsia="en-CA"/>
              </w:rPr>
            </w:pPr>
            <w:r w:rsidRPr="00C25AC9">
              <w:rPr>
                <w:sz w:val="20"/>
                <w:szCs w:val="20"/>
                <w:lang w:eastAsia="en-CA"/>
              </w:rPr>
              <w:t>La pandémie de Covid-19 a accéléré le mouvement vers les lieux de travail virtuels et flexibles. Pour l</w:t>
            </w:r>
            <w:r w:rsidR="00C25AC9" w:rsidRPr="00C25AC9">
              <w:rPr>
                <w:sz w:val="20"/>
                <w:szCs w:val="20"/>
                <w:lang w:eastAsia="en-CA"/>
              </w:rPr>
              <w:t>’</w:t>
            </w:r>
            <w:r w:rsidRPr="00C25AC9">
              <w:rPr>
                <w:sz w:val="20"/>
                <w:szCs w:val="20"/>
                <w:lang w:eastAsia="en-CA"/>
              </w:rPr>
              <w:t>instant, aucune directive claire n</w:t>
            </w:r>
            <w:r w:rsidR="00C25AC9" w:rsidRPr="00C25AC9">
              <w:rPr>
                <w:sz w:val="20"/>
                <w:szCs w:val="20"/>
                <w:lang w:eastAsia="en-CA"/>
              </w:rPr>
              <w:t>’</w:t>
            </w:r>
            <w:r w:rsidRPr="00C25AC9">
              <w:rPr>
                <w:sz w:val="20"/>
                <w:szCs w:val="20"/>
                <w:lang w:eastAsia="en-CA"/>
              </w:rPr>
              <w:t>a été émise sur l</w:t>
            </w:r>
            <w:r w:rsidR="00C25AC9" w:rsidRPr="00C25AC9">
              <w:rPr>
                <w:sz w:val="20"/>
                <w:szCs w:val="20"/>
                <w:lang w:eastAsia="en-CA"/>
              </w:rPr>
              <w:t>’</w:t>
            </w:r>
            <w:r w:rsidRPr="00C25AC9">
              <w:rPr>
                <w:sz w:val="20"/>
                <w:szCs w:val="20"/>
                <w:lang w:eastAsia="en-CA"/>
              </w:rPr>
              <w:t>utilisation des lieux de travail virtuels. Toutefois, l</w:t>
            </w:r>
            <w:r w:rsidR="00C25AC9" w:rsidRPr="00C25AC9">
              <w:rPr>
                <w:sz w:val="20"/>
                <w:szCs w:val="20"/>
                <w:lang w:eastAsia="en-CA"/>
              </w:rPr>
              <w:t>’</w:t>
            </w:r>
            <w:r w:rsidRPr="00C25AC9">
              <w:rPr>
                <w:sz w:val="20"/>
                <w:szCs w:val="20"/>
                <w:lang w:eastAsia="en-CA"/>
              </w:rPr>
              <w:t>utilisation d</w:t>
            </w:r>
            <w:r w:rsidR="00C25AC9" w:rsidRPr="00C25AC9">
              <w:rPr>
                <w:sz w:val="20"/>
                <w:szCs w:val="20"/>
                <w:lang w:eastAsia="en-CA"/>
              </w:rPr>
              <w:t>’</w:t>
            </w:r>
            <w:r w:rsidRPr="00C25AC9">
              <w:rPr>
                <w:sz w:val="20"/>
                <w:szCs w:val="20"/>
                <w:lang w:eastAsia="en-CA"/>
              </w:rPr>
              <w:t xml:space="preserve">espaces de travail virtuels et flexibles pourrait remodeler les données démographiques de la population de la </w:t>
            </w:r>
            <w:r w:rsidR="00ED4B1D" w:rsidRPr="00C25AC9">
              <w:rPr>
                <w:sz w:val="20"/>
                <w:szCs w:val="20"/>
                <w:lang w:eastAsia="en-CA"/>
              </w:rPr>
              <w:t>fonction publique.</w:t>
            </w:r>
          </w:p>
          <w:p w14:paraId="4952BF70" w14:textId="77777777" w:rsidR="000F3D80" w:rsidRPr="00C25AC9" w:rsidRDefault="000F3D80" w:rsidP="00AB489B">
            <w:pPr>
              <w:rPr>
                <w:sz w:val="20"/>
                <w:szCs w:val="20"/>
                <w:lang w:eastAsia="en-CA"/>
              </w:rPr>
            </w:pPr>
          </w:p>
          <w:p w14:paraId="516A3132" w14:textId="69B9EB28" w:rsidR="000F3D80" w:rsidRPr="00C25AC9" w:rsidRDefault="000F3D80" w:rsidP="000F3D80">
            <w:pPr>
              <w:rPr>
                <w:sz w:val="20"/>
                <w:szCs w:val="20"/>
                <w:lang w:eastAsia="en-CA"/>
              </w:rPr>
            </w:pPr>
            <w:r w:rsidRPr="00C25AC9">
              <w:rPr>
                <w:sz w:val="20"/>
                <w:szCs w:val="20"/>
                <w:lang w:eastAsia="en-CA"/>
              </w:rPr>
              <w:t xml:space="preserve">Q : </w:t>
            </w:r>
            <w:r w:rsidR="00E442AD" w:rsidRPr="00C25AC9">
              <w:rPr>
                <w:sz w:val="20"/>
                <w:szCs w:val="20"/>
                <w:lang w:eastAsia="en-CA"/>
              </w:rPr>
              <w:t xml:space="preserve">En quoi </w:t>
            </w:r>
            <w:r w:rsidRPr="00C25AC9">
              <w:rPr>
                <w:sz w:val="20"/>
                <w:szCs w:val="20"/>
                <w:lang w:eastAsia="en-CA"/>
              </w:rPr>
              <w:t>l</w:t>
            </w:r>
            <w:r w:rsidR="00C25AC9" w:rsidRPr="00C25AC9">
              <w:rPr>
                <w:sz w:val="20"/>
                <w:szCs w:val="20"/>
                <w:lang w:eastAsia="en-CA"/>
              </w:rPr>
              <w:t>’</w:t>
            </w:r>
            <w:r w:rsidR="00ED4B1D" w:rsidRPr="00C25AC9">
              <w:rPr>
                <w:sz w:val="20"/>
                <w:szCs w:val="20"/>
                <w:lang w:eastAsia="en-CA"/>
              </w:rPr>
              <w:t xml:space="preserve">incidence </w:t>
            </w:r>
            <w:r w:rsidRPr="00C25AC9">
              <w:rPr>
                <w:sz w:val="20"/>
                <w:szCs w:val="20"/>
                <w:lang w:eastAsia="en-CA"/>
              </w:rPr>
              <w:t xml:space="preserve">du télétravail et des lieux de travail virtuels </w:t>
            </w:r>
            <w:r w:rsidR="00E442AD" w:rsidRPr="00C25AC9">
              <w:rPr>
                <w:sz w:val="20"/>
                <w:szCs w:val="20"/>
                <w:lang w:eastAsia="en-CA"/>
              </w:rPr>
              <w:t xml:space="preserve">a-t-elle une incidence </w:t>
            </w:r>
            <w:r w:rsidRPr="00C25AC9">
              <w:rPr>
                <w:sz w:val="20"/>
                <w:szCs w:val="20"/>
                <w:lang w:eastAsia="en-CA"/>
              </w:rPr>
              <w:t>sur les données démographiques d</w:t>
            </w:r>
            <w:r w:rsidR="00C25AC9" w:rsidRPr="00C25AC9">
              <w:rPr>
                <w:sz w:val="20"/>
                <w:szCs w:val="20"/>
                <w:lang w:eastAsia="en-CA"/>
              </w:rPr>
              <w:t>’</w:t>
            </w:r>
            <w:r w:rsidRPr="00C25AC9">
              <w:rPr>
                <w:sz w:val="20"/>
                <w:szCs w:val="20"/>
                <w:lang w:eastAsia="en-CA"/>
              </w:rPr>
              <w:t>embauche (p. ex. la diversité et l</w:t>
            </w:r>
            <w:r w:rsidR="00C25AC9" w:rsidRPr="00C25AC9">
              <w:rPr>
                <w:sz w:val="20"/>
                <w:szCs w:val="20"/>
                <w:lang w:eastAsia="en-CA"/>
              </w:rPr>
              <w:t>’</w:t>
            </w:r>
            <w:r w:rsidRPr="00C25AC9">
              <w:rPr>
                <w:sz w:val="20"/>
                <w:szCs w:val="20"/>
                <w:lang w:eastAsia="en-CA"/>
              </w:rPr>
              <w:t>inclusion) ?</w:t>
            </w:r>
          </w:p>
          <w:p w14:paraId="71EE217B" w14:textId="5B11D452" w:rsidR="000F3D80" w:rsidRPr="00C25AC9" w:rsidRDefault="000F3D80" w:rsidP="000F3D80">
            <w:pPr>
              <w:rPr>
                <w:sz w:val="20"/>
                <w:szCs w:val="20"/>
                <w:lang w:eastAsia="en-CA"/>
              </w:rPr>
            </w:pPr>
            <w:r w:rsidRPr="00C25AC9">
              <w:rPr>
                <w:sz w:val="20"/>
                <w:szCs w:val="20"/>
                <w:lang w:eastAsia="en-CA"/>
              </w:rPr>
              <w:t xml:space="preserve">Q : </w:t>
            </w:r>
            <w:r w:rsidR="00E442AD" w:rsidRPr="00C25AC9">
              <w:rPr>
                <w:sz w:val="20"/>
                <w:szCs w:val="20"/>
                <w:lang w:eastAsia="en-CA"/>
              </w:rPr>
              <w:t xml:space="preserve">En quoi le </w:t>
            </w:r>
            <w:r w:rsidRPr="00C25AC9">
              <w:rPr>
                <w:sz w:val="20"/>
                <w:szCs w:val="20"/>
                <w:lang w:eastAsia="en-CA"/>
              </w:rPr>
              <w:t xml:space="preserve">lieu de travail virtuel </w:t>
            </w:r>
            <w:r w:rsidR="00E442AD" w:rsidRPr="00C25AC9">
              <w:rPr>
                <w:sz w:val="20"/>
                <w:szCs w:val="20"/>
                <w:lang w:eastAsia="en-CA"/>
              </w:rPr>
              <w:t xml:space="preserve">a-t-il une incidence </w:t>
            </w:r>
            <w:r w:rsidRPr="00C25AC9">
              <w:rPr>
                <w:sz w:val="20"/>
                <w:szCs w:val="20"/>
                <w:lang w:eastAsia="en-CA"/>
              </w:rPr>
              <w:t>sur la mobilité des employés (p. ex. les déplacements entre les services, les promotions, etc.)?</w:t>
            </w:r>
          </w:p>
          <w:p w14:paraId="0A201F22" w14:textId="1F65A247" w:rsidR="0071595A" w:rsidRPr="00C25AC9" w:rsidRDefault="000F3D80" w:rsidP="00ED4B1D">
            <w:pPr>
              <w:rPr>
                <w:sz w:val="20"/>
                <w:szCs w:val="20"/>
                <w:lang w:eastAsia="en-CA"/>
              </w:rPr>
            </w:pPr>
            <w:r w:rsidRPr="00C25AC9">
              <w:rPr>
                <w:sz w:val="20"/>
                <w:szCs w:val="20"/>
                <w:lang w:eastAsia="en-CA"/>
              </w:rPr>
              <w:t>Q : Le télétravail a-t-il une incidence sur la rétention des employés?</w:t>
            </w:r>
          </w:p>
        </w:tc>
        <w:tc>
          <w:tcPr>
            <w:tcW w:w="2694" w:type="dxa"/>
          </w:tcPr>
          <w:p w14:paraId="1A6A2B02" w14:textId="447F9582" w:rsidR="00F46F3D" w:rsidRPr="00C25AC9" w:rsidRDefault="00F46F3D" w:rsidP="00AB489B">
            <w:pPr>
              <w:rPr>
                <w:rFonts w:cs="Arial"/>
                <w:sz w:val="20"/>
                <w:szCs w:val="20"/>
              </w:rPr>
            </w:pPr>
            <w:r w:rsidRPr="00C25AC9">
              <w:rPr>
                <w:rFonts w:cs="Arial"/>
                <w:sz w:val="20"/>
                <w:szCs w:val="20"/>
              </w:rPr>
              <w:t>Surveiller l</w:t>
            </w:r>
            <w:r w:rsidR="00C25AC9" w:rsidRPr="00C25AC9">
              <w:rPr>
                <w:rFonts w:cs="Arial"/>
                <w:sz w:val="20"/>
                <w:szCs w:val="20"/>
              </w:rPr>
              <w:t>’</w:t>
            </w:r>
            <w:r w:rsidRPr="00C25AC9">
              <w:rPr>
                <w:rFonts w:cs="Arial"/>
                <w:sz w:val="20"/>
                <w:szCs w:val="20"/>
              </w:rPr>
              <w:t>évolution du profil démographique des personnes embauché</w:t>
            </w:r>
            <w:r w:rsidR="00E442AD" w:rsidRPr="00C25AC9">
              <w:rPr>
                <w:rFonts w:cs="Arial"/>
                <w:sz w:val="20"/>
                <w:szCs w:val="20"/>
              </w:rPr>
              <w:t>e</w:t>
            </w:r>
            <w:r w:rsidRPr="00C25AC9">
              <w:rPr>
                <w:rFonts w:cs="Arial"/>
                <w:sz w:val="20"/>
                <w:szCs w:val="20"/>
              </w:rPr>
              <w:t>s à mesure que des changements sont apportés aux régimes de travail dans l</w:t>
            </w:r>
            <w:r w:rsidR="00C25AC9" w:rsidRPr="00C25AC9">
              <w:rPr>
                <w:rFonts w:cs="Arial"/>
                <w:sz w:val="20"/>
                <w:szCs w:val="20"/>
              </w:rPr>
              <w:t>’</w:t>
            </w:r>
            <w:r w:rsidRPr="00C25AC9">
              <w:rPr>
                <w:rFonts w:cs="Arial"/>
                <w:sz w:val="20"/>
                <w:szCs w:val="20"/>
              </w:rPr>
              <w:t>ensemble de la fonction publique. Cela peut servir de fondement pour stimuler les discussions stratégiques.</w:t>
            </w:r>
          </w:p>
          <w:p w14:paraId="0D57076A" w14:textId="4800016F" w:rsidR="007516B7" w:rsidRPr="00C25AC9" w:rsidRDefault="007516B7" w:rsidP="00AB489B">
            <w:pPr>
              <w:rPr>
                <w:rFonts w:cs="Arial"/>
                <w:sz w:val="20"/>
                <w:szCs w:val="20"/>
              </w:rPr>
            </w:pPr>
          </w:p>
        </w:tc>
        <w:tc>
          <w:tcPr>
            <w:tcW w:w="3969" w:type="dxa"/>
          </w:tcPr>
          <w:p w14:paraId="5EC4197D" w14:textId="2DC85C65" w:rsidR="007516B7" w:rsidRPr="00C25AC9" w:rsidRDefault="00006F53" w:rsidP="00AB489B">
            <w:pPr>
              <w:rPr>
                <w:rFonts w:cs="Arial"/>
                <w:sz w:val="20"/>
                <w:szCs w:val="20"/>
              </w:rPr>
            </w:pPr>
            <w:r w:rsidRPr="00C25AC9">
              <w:rPr>
                <w:rFonts w:cs="Arial"/>
                <w:sz w:val="20"/>
                <w:szCs w:val="20"/>
                <w:u w:val="single"/>
              </w:rPr>
              <w:t>ETP</w:t>
            </w:r>
            <w:r w:rsidRPr="00C25AC9">
              <w:rPr>
                <w:rFonts w:cs="Arial"/>
                <w:sz w:val="20"/>
                <w:szCs w:val="20"/>
              </w:rPr>
              <w:t xml:space="preserve"> : </w:t>
            </w:r>
            <w:r w:rsidR="007516B7" w:rsidRPr="00C25AC9">
              <w:rPr>
                <w:rFonts w:cs="Arial"/>
                <w:sz w:val="20"/>
                <w:szCs w:val="20"/>
              </w:rPr>
              <w:t>½</w:t>
            </w:r>
          </w:p>
          <w:p w14:paraId="2412C227" w14:textId="77777777" w:rsidR="007516B7" w:rsidRPr="00C25AC9" w:rsidRDefault="007516B7" w:rsidP="00AB489B">
            <w:pPr>
              <w:rPr>
                <w:rFonts w:cs="Arial"/>
                <w:sz w:val="20"/>
                <w:szCs w:val="20"/>
                <w:u w:val="single"/>
              </w:rPr>
            </w:pPr>
          </w:p>
          <w:p w14:paraId="0007C216" w14:textId="3B0A7249" w:rsidR="0053384D" w:rsidRPr="00C25AC9" w:rsidRDefault="00E119EF" w:rsidP="00AB489B">
            <w:pPr>
              <w:rPr>
                <w:rFonts w:cs="Arial"/>
                <w:sz w:val="20"/>
                <w:szCs w:val="20"/>
              </w:rPr>
            </w:pPr>
            <w:r w:rsidRPr="00C25AC9">
              <w:rPr>
                <w:rFonts w:cs="Arial"/>
                <w:sz w:val="20"/>
                <w:szCs w:val="20"/>
                <w:u w:val="single"/>
              </w:rPr>
              <w:t>Données</w:t>
            </w:r>
            <w:r w:rsidR="0053384D" w:rsidRPr="00C25AC9">
              <w:rPr>
                <w:rFonts w:cs="Arial"/>
                <w:sz w:val="20"/>
                <w:szCs w:val="20"/>
              </w:rPr>
              <w:t> : Sources administratives, analyses documentaires, sondage</w:t>
            </w:r>
          </w:p>
          <w:p w14:paraId="4CA41314" w14:textId="77777777" w:rsidR="0053384D" w:rsidRPr="00C25AC9" w:rsidRDefault="0053384D" w:rsidP="00AB489B">
            <w:pPr>
              <w:rPr>
                <w:rFonts w:cs="Arial"/>
                <w:sz w:val="20"/>
                <w:szCs w:val="20"/>
              </w:rPr>
            </w:pPr>
          </w:p>
          <w:p w14:paraId="7EAF21AA" w14:textId="4343E1C8" w:rsidR="007516B7" w:rsidRPr="00C25AC9" w:rsidRDefault="007516B7" w:rsidP="00AB489B">
            <w:pPr>
              <w:rPr>
                <w:rFonts w:cs="Arial"/>
                <w:sz w:val="20"/>
                <w:szCs w:val="20"/>
                <w:u w:val="single"/>
              </w:rPr>
            </w:pPr>
          </w:p>
        </w:tc>
      </w:tr>
      <w:tr w:rsidR="00A22B2C" w:rsidRPr="00C25AC9" w14:paraId="38529520" w14:textId="77777777" w:rsidTr="00101877">
        <w:tc>
          <w:tcPr>
            <w:tcW w:w="562" w:type="dxa"/>
          </w:tcPr>
          <w:p w14:paraId="4FCC0B4A" w14:textId="42DAED40" w:rsidR="00A22B2C" w:rsidRPr="00C25AC9" w:rsidRDefault="00A22B2C" w:rsidP="00AB489B">
            <w:pPr>
              <w:rPr>
                <w:rFonts w:cs="Arial"/>
                <w:sz w:val="20"/>
                <w:szCs w:val="20"/>
              </w:rPr>
            </w:pPr>
            <w:r w:rsidRPr="00C25AC9">
              <w:rPr>
                <w:rFonts w:cs="Arial"/>
                <w:sz w:val="20"/>
                <w:szCs w:val="20"/>
              </w:rPr>
              <w:t>1</w:t>
            </w:r>
            <w:r w:rsidR="00AA1A4E" w:rsidRPr="00C25AC9">
              <w:rPr>
                <w:rFonts w:cs="Arial"/>
                <w:sz w:val="20"/>
                <w:szCs w:val="20"/>
              </w:rPr>
              <w:t>0</w:t>
            </w:r>
          </w:p>
        </w:tc>
        <w:tc>
          <w:tcPr>
            <w:tcW w:w="3544" w:type="dxa"/>
          </w:tcPr>
          <w:p w14:paraId="1FB8E8DB" w14:textId="65294C66" w:rsidR="0002040A" w:rsidRPr="00C25AC9" w:rsidRDefault="0002040A" w:rsidP="00AB489B">
            <w:pPr>
              <w:rPr>
                <w:rFonts w:cs="Arial"/>
                <w:b/>
                <w:sz w:val="20"/>
                <w:szCs w:val="20"/>
                <w:u w:val="single"/>
              </w:rPr>
            </w:pPr>
            <w:r w:rsidRPr="00C25AC9">
              <w:rPr>
                <w:rFonts w:cs="Arial"/>
                <w:b/>
                <w:sz w:val="20"/>
                <w:szCs w:val="20"/>
                <w:u w:val="single"/>
              </w:rPr>
              <w:t>Évaluation de la mobilité des groupes en quête d</w:t>
            </w:r>
            <w:r w:rsidR="00C25AC9" w:rsidRPr="00C25AC9">
              <w:rPr>
                <w:rFonts w:cs="Arial"/>
                <w:b/>
                <w:sz w:val="20"/>
                <w:szCs w:val="20"/>
                <w:u w:val="single"/>
              </w:rPr>
              <w:t>’</w:t>
            </w:r>
            <w:r w:rsidRPr="00C25AC9">
              <w:rPr>
                <w:rFonts w:cs="Arial"/>
                <w:b/>
                <w:sz w:val="20"/>
                <w:szCs w:val="20"/>
                <w:u w:val="single"/>
              </w:rPr>
              <w:t>équité par rapport à leurs homologue</w:t>
            </w:r>
            <w:r w:rsidR="006B3AF0" w:rsidRPr="00C25AC9">
              <w:rPr>
                <w:rFonts w:cs="Arial"/>
                <w:b/>
                <w:sz w:val="20"/>
                <w:szCs w:val="20"/>
                <w:u w:val="single"/>
              </w:rPr>
              <w:t>s</w:t>
            </w:r>
            <w:r w:rsidRPr="00C25AC9">
              <w:rPr>
                <w:rFonts w:cs="Arial"/>
                <w:b/>
                <w:sz w:val="20"/>
                <w:szCs w:val="20"/>
                <w:u w:val="single"/>
              </w:rPr>
              <w:t xml:space="preserve"> </w:t>
            </w:r>
          </w:p>
          <w:p w14:paraId="40C89890" w14:textId="77777777" w:rsidR="0002040A" w:rsidRPr="00C25AC9" w:rsidRDefault="0002040A" w:rsidP="00AB489B">
            <w:pPr>
              <w:rPr>
                <w:rFonts w:cs="Arial"/>
                <w:b/>
                <w:sz w:val="20"/>
                <w:szCs w:val="20"/>
                <w:u w:val="single"/>
              </w:rPr>
            </w:pPr>
          </w:p>
          <w:p w14:paraId="3501D325" w14:textId="7EAD77C4" w:rsidR="00A22B2C" w:rsidRPr="00C25AC9" w:rsidRDefault="00A22B2C" w:rsidP="00AB489B">
            <w:pPr>
              <w:rPr>
                <w:rFonts w:cs="Arial"/>
                <w:b/>
                <w:sz w:val="20"/>
                <w:szCs w:val="20"/>
                <w:u w:val="single"/>
              </w:rPr>
            </w:pPr>
            <w:r w:rsidRPr="00C25AC9">
              <w:rPr>
                <w:rFonts w:cs="Arial"/>
                <w:b/>
                <w:sz w:val="20"/>
                <w:szCs w:val="20"/>
                <w:u w:val="single"/>
              </w:rPr>
              <w:t>Source</w:t>
            </w:r>
            <w:r w:rsidR="006B3AF0" w:rsidRPr="00C25AC9">
              <w:rPr>
                <w:rFonts w:cs="Arial"/>
                <w:b/>
                <w:sz w:val="20"/>
                <w:szCs w:val="20"/>
                <w:u w:val="single"/>
              </w:rPr>
              <w:t xml:space="preserve"> </w:t>
            </w:r>
            <w:r w:rsidRPr="00C25AC9">
              <w:rPr>
                <w:rFonts w:cs="Arial"/>
                <w:b/>
                <w:sz w:val="20"/>
                <w:szCs w:val="20"/>
                <w:u w:val="single"/>
              </w:rPr>
              <w:t>: DS</w:t>
            </w:r>
            <w:r w:rsidR="006B3AF0" w:rsidRPr="00C25AC9">
              <w:rPr>
                <w:rFonts w:cs="Arial"/>
                <w:b/>
                <w:sz w:val="20"/>
                <w:szCs w:val="20"/>
                <w:u w:val="single"/>
              </w:rPr>
              <w:t>DA</w:t>
            </w:r>
          </w:p>
          <w:p w14:paraId="0BD5478E" w14:textId="77777777" w:rsidR="00A22B2C" w:rsidRPr="00C25AC9" w:rsidRDefault="00A22B2C" w:rsidP="00AB489B">
            <w:pPr>
              <w:rPr>
                <w:rFonts w:cs="Arial"/>
                <w:b/>
                <w:sz w:val="20"/>
                <w:szCs w:val="20"/>
                <w:u w:val="single"/>
              </w:rPr>
            </w:pPr>
          </w:p>
          <w:p w14:paraId="2E716ED6" w14:textId="170E304C" w:rsidR="006B3AF0" w:rsidRPr="00C25AC9" w:rsidRDefault="00A22B2C" w:rsidP="00AB489B">
            <w:pPr>
              <w:rPr>
                <w:rFonts w:cs="Arial"/>
                <w:b/>
                <w:sz w:val="20"/>
                <w:szCs w:val="20"/>
                <w:u w:val="single"/>
              </w:rPr>
            </w:pPr>
            <w:r w:rsidRPr="00C25AC9">
              <w:rPr>
                <w:rFonts w:cs="Arial"/>
                <w:b/>
                <w:sz w:val="20"/>
                <w:szCs w:val="20"/>
                <w:u w:val="single"/>
              </w:rPr>
              <w:t>Client</w:t>
            </w:r>
            <w:r w:rsidR="006B3AF0" w:rsidRPr="00C25AC9">
              <w:rPr>
                <w:rFonts w:cs="Arial"/>
                <w:b/>
                <w:sz w:val="20"/>
                <w:szCs w:val="20"/>
                <w:u w:val="single"/>
              </w:rPr>
              <w:t xml:space="preserve"> </w:t>
            </w:r>
            <w:r w:rsidRPr="00C25AC9">
              <w:rPr>
                <w:rFonts w:cs="Arial"/>
                <w:b/>
                <w:sz w:val="20"/>
                <w:szCs w:val="20"/>
                <w:u w:val="single"/>
              </w:rPr>
              <w:t xml:space="preserve">: </w:t>
            </w:r>
            <w:r w:rsidR="006B3AF0" w:rsidRPr="00C25AC9">
              <w:rPr>
                <w:rFonts w:cs="Arial"/>
                <w:b/>
                <w:sz w:val="20"/>
                <w:szCs w:val="20"/>
                <w:u w:val="single"/>
              </w:rPr>
              <w:t xml:space="preserve">Vérification de la </w:t>
            </w:r>
            <w:bookmarkStart w:id="18" w:name="_Hlk93694532"/>
            <w:r w:rsidR="006B3AF0" w:rsidRPr="00C25AC9">
              <w:rPr>
                <w:rFonts w:cs="Arial"/>
                <w:b/>
                <w:sz w:val="20"/>
                <w:szCs w:val="20"/>
                <w:u w:val="single"/>
              </w:rPr>
              <w:t>représentation de</w:t>
            </w:r>
            <w:r w:rsidR="00B23E47" w:rsidRPr="00C25AC9">
              <w:rPr>
                <w:rFonts w:cs="Arial"/>
                <w:b/>
                <w:sz w:val="20"/>
                <w:szCs w:val="20"/>
                <w:u w:val="single"/>
              </w:rPr>
              <w:t>s groupes visés par l</w:t>
            </w:r>
            <w:r w:rsidR="00C25AC9" w:rsidRPr="00C25AC9">
              <w:rPr>
                <w:rFonts w:cs="Arial"/>
                <w:b/>
                <w:sz w:val="20"/>
                <w:szCs w:val="20"/>
                <w:u w:val="single"/>
              </w:rPr>
              <w:t>’</w:t>
            </w:r>
            <w:r w:rsidR="006B3AF0" w:rsidRPr="00C25AC9">
              <w:rPr>
                <w:rFonts w:cs="Arial"/>
                <w:b/>
                <w:sz w:val="20"/>
                <w:szCs w:val="20"/>
                <w:u w:val="single"/>
              </w:rPr>
              <w:t>équité en matière d</w:t>
            </w:r>
            <w:r w:rsidR="00C25AC9" w:rsidRPr="00C25AC9">
              <w:rPr>
                <w:rFonts w:cs="Arial"/>
                <w:b/>
                <w:sz w:val="20"/>
                <w:szCs w:val="20"/>
                <w:u w:val="single"/>
              </w:rPr>
              <w:t>’</w:t>
            </w:r>
            <w:r w:rsidR="006B3AF0" w:rsidRPr="00C25AC9">
              <w:rPr>
                <w:rFonts w:cs="Arial"/>
                <w:b/>
                <w:sz w:val="20"/>
                <w:szCs w:val="20"/>
                <w:u w:val="single"/>
              </w:rPr>
              <w:t xml:space="preserve">emploi </w:t>
            </w:r>
            <w:r w:rsidR="00B23E47" w:rsidRPr="00C25AC9">
              <w:rPr>
                <w:rFonts w:cs="Arial"/>
                <w:b/>
                <w:sz w:val="20"/>
                <w:szCs w:val="20"/>
                <w:u w:val="single"/>
              </w:rPr>
              <w:t xml:space="preserve">lors du </w:t>
            </w:r>
            <w:r w:rsidR="006B3AF0" w:rsidRPr="00C25AC9">
              <w:rPr>
                <w:rFonts w:cs="Arial"/>
                <w:b/>
                <w:sz w:val="20"/>
                <w:szCs w:val="20"/>
                <w:u w:val="single"/>
              </w:rPr>
              <w:t xml:space="preserve">recrutement </w:t>
            </w:r>
            <w:bookmarkEnd w:id="18"/>
            <w:r w:rsidR="006B3AF0" w:rsidRPr="00C25AC9">
              <w:rPr>
                <w:rFonts w:cs="Arial"/>
                <w:b/>
                <w:sz w:val="20"/>
                <w:szCs w:val="20"/>
                <w:u w:val="single"/>
              </w:rPr>
              <w:t>– Plan d</w:t>
            </w:r>
            <w:r w:rsidR="00C25AC9" w:rsidRPr="00C25AC9">
              <w:rPr>
                <w:rFonts w:cs="Arial"/>
                <w:b/>
                <w:sz w:val="20"/>
                <w:szCs w:val="20"/>
                <w:u w:val="single"/>
              </w:rPr>
              <w:t>’</w:t>
            </w:r>
            <w:r w:rsidR="006B3AF0" w:rsidRPr="00C25AC9">
              <w:rPr>
                <w:rFonts w:cs="Arial"/>
                <w:b/>
                <w:sz w:val="20"/>
                <w:szCs w:val="20"/>
                <w:u w:val="single"/>
              </w:rPr>
              <w:t xml:space="preserve">action </w:t>
            </w:r>
          </w:p>
          <w:p w14:paraId="61DA00A7" w14:textId="67BC9E0A" w:rsidR="00A22B2C" w:rsidRPr="00C25AC9" w:rsidRDefault="00A22B2C" w:rsidP="00AB489B">
            <w:pPr>
              <w:rPr>
                <w:rFonts w:cs="Arial"/>
                <w:b/>
                <w:sz w:val="20"/>
                <w:szCs w:val="20"/>
                <w:u w:val="single"/>
              </w:rPr>
            </w:pPr>
          </w:p>
        </w:tc>
        <w:tc>
          <w:tcPr>
            <w:tcW w:w="6662" w:type="dxa"/>
          </w:tcPr>
          <w:p w14:paraId="2D0D0D86" w14:textId="4D29F815" w:rsidR="000F3D80" w:rsidRPr="00C25AC9" w:rsidRDefault="000F3D80" w:rsidP="000F3D80">
            <w:pPr>
              <w:rPr>
                <w:sz w:val="20"/>
                <w:szCs w:val="20"/>
                <w:lang w:eastAsia="en-CA"/>
              </w:rPr>
            </w:pPr>
            <w:r w:rsidRPr="00C25AC9">
              <w:rPr>
                <w:sz w:val="20"/>
                <w:szCs w:val="20"/>
                <w:lang w:eastAsia="en-CA"/>
              </w:rPr>
              <w:t>En marge de la vérification de l</w:t>
            </w:r>
            <w:r w:rsidR="00C25AC9" w:rsidRPr="00C25AC9">
              <w:rPr>
                <w:sz w:val="20"/>
                <w:szCs w:val="20"/>
                <w:lang w:eastAsia="en-CA"/>
              </w:rPr>
              <w:t>’</w:t>
            </w:r>
            <w:r w:rsidRPr="00C25AC9">
              <w:rPr>
                <w:sz w:val="20"/>
                <w:szCs w:val="20"/>
                <w:lang w:eastAsia="en-CA"/>
              </w:rPr>
              <w:t>EE, on a recommandé à la CFP de collaborer avec d</w:t>
            </w:r>
            <w:r w:rsidR="00C25AC9" w:rsidRPr="00C25AC9">
              <w:rPr>
                <w:sz w:val="20"/>
                <w:szCs w:val="20"/>
                <w:lang w:eastAsia="en-CA"/>
              </w:rPr>
              <w:t>’</w:t>
            </w:r>
            <w:r w:rsidRPr="00C25AC9">
              <w:rPr>
                <w:sz w:val="20"/>
                <w:szCs w:val="20"/>
                <w:lang w:eastAsia="en-CA"/>
              </w:rPr>
              <w:t>autres organismes centraux et avec les groupes visés par l</w:t>
            </w:r>
            <w:r w:rsidR="00C25AC9" w:rsidRPr="00C25AC9">
              <w:rPr>
                <w:sz w:val="20"/>
                <w:szCs w:val="20"/>
                <w:lang w:eastAsia="en-CA"/>
              </w:rPr>
              <w:t>’</w:t>
            </w:r>
            <w:r w:rsidRPr="00C25AC9">
              <w:rPr>
                <w:sz w:val="20"/>
                <w:szCs w:val="20"/>
                <w:lang w:eastAsia="en-CA"/>
              </w:rPr>
              <w:t>EE afin de déterminer les facteurs particuliers qui influent sur la réussite des groupes visés par l</w:t>
            </w:r>
            <w:r w:rsidR="00C25AC9" w:rsidRPr="00C25AC9">
              <w:rPr>
                <w:sz w:val="20"/>
                <w:szCs w:val="20"/>
                <w:lang w:eastAsia="en-CA"/>
              </w:rPr>
              <w:t>’</w:t>
            </w:r>
            <w:r w:rsidRPr="00C25AC9">
              <w:rPr>
                <w:sz w:val="20"/>
                <w:szCs w:val="20"/>
                <w:lang w:eastAsia="en-CA"/>
              </w:rPr>
              <w:t>EE et des sous-groupes de minorités visibles dans le processus d</w:t>
            </w:r>
            <w:r w:rsidR="00C25AC9" w:rsidRPr="00C25AC9">
              <w:rPr>
                <w:sz w:val="20"/>
                <w:szCs w:val="20"/>
                <w:lang w:eastAsia="en-CA"/>
              </w:rPr>
              <w:t>’</w:t>
            </w:r>
            <w:r w:rsidRPr="00C25AC9">
              <w:rPr>
                <w:sz w:val="20"/>
                <w:szCs w:val="20"/>
                <w:lang w:eastAsia="en-CA"/>
              </w:rPr>
              <w:t>embauche, et de mettre en œuvre des solutions à cet égard.</w:t>
            </w:r>
          </w:p>
          <w:p w14:paraId="0EC30FD4" w14:textId="502493DB" w:rsidR="000F3D80" w:rsidRPr="00C25AC9" w:rsidRDefault="00A2775F" w:rsidP="000F3D80">
            <w:pPr>
              <w:rPr>
                <w:sz w:val="20"/>
                <w:szCs w:val="20"/>
                <w:lang w:eastAsia="en-CA"/>
              </w:rPr>
            </w:pPr>
            <w:r w:rsidRPr="00C25AC9">
              <w:rPr>
                <w:sz w:val="20"/>
                <w:szCs w:val="20"/>
                <w:lang w:eastAsia="en-CA"/>
              </w:rPr>
              <w:t xml:space="preserve">Produit livrable </w:t>
            </w:r>
            <w:r w:rsidR="000F3D80" w:rsidRPr="00C25AC9">
              <w:rPr>
                <w:sz w:val="20"/>
                <w:szCs w:val="20"/>
                <w:lang w:eastAsia="en-CA"/>
              </w:rPr>
              <w:t xml:space="preserve">: Travailler avec les intervenants afin de mieux comprendre les obstacles </w:t>
            </w:r>
            <w:r w:rsidR="00E442AD" w:rsidRPr="00C25AC9">
              <w:rPr>
                <w:sz w:val="20"/>
                <w:szCs w:val="20"/>
                <w:lang w:eastAsia="en-CA"/>
              </w:rPr>
              <w:t xml:space="preserve">du système de dotation </w:t>
            </w:r>
            <w:r w:rsidR="000F3D80" w:rsidRPr="00C25AC9">
              <w:rPr>
                <w:sz w:val="20"/>
                <w:szCs w:val="20"/>
                <w:lang w:eastAsia="en-CA"/>
              </w:rPr>
              <w:t xml:space="preserve">auxquels les minorités visibles </w:t>
            </w:r>
            <w:r w:rsidR="00E442AD" w:rsidRPr="00C25AC9">
              <w:rPr>
                <w:sz w:val="20"/>
                <w:szCs w:val="20"/>
                <w:lang w:eastAsia="en-CA"/>
              </w:rPr>
              <w:t>doivent faire face</w:t>
            </w:r>
            <w:r w:rsidR="000F3D80" w:rsidRPr="00C25AC9">
              <w:rPr>
                <w:sz w:val="20"/>
                <w:szCs w:val="20"/>
                <w:lang w:eastAsia="en-CA"/>
              </w:rPr>
              <w:t>.</w:t>
            </w:r>
          </w:p>
          <w:p w14:paraId="5C824744" w14:textId="77777777" w:rsidR="000F3D80" w:rsidRPr="00C25AC9" w:rsidRDefault="000F3D80" w:rsidP="000F3D80">
            <w:pPr>
              <w:rPr>
                <w:sz w:val="20"/>
                <w:szCs w:val="20"/>
                <w:lang w:eastAsia="en-CA"/>
              </w:rPr>
            </w:pPr>
          </w:p>
          <w:p w14:paraId="035800A8" w14:textId="68055D16" w:rsidR="00A22B2C" w:rsidRPr="00C25AC9" w:rsidRDefault="000F3D80" w:rsidP="00ED1DAC">
            <w:pPr>
              <w:rPr>
                <w:sz w:val="20"/>
                <w:szCs w:val="20"/>
                <w:lang w:eastAsia="en-CA"/>
              </w:rPr>
            </w:pPr>
            <w:r w:rsidRPr="00C25AC9">
              <w:rPr>
                <w:sz w:val="20"/>
                <w:szCs w:val="20"/>
                <w:lang w:eastAsia="en-CA"/>
              </w:rPr>
              <w:t>Q : Les taux de mobilité dans la fonction publique sont-ils les mêmes pour les groupes visés par l</w:t>
            </w:r>
            <w:r w:rsidR="00C25AC9" w:rsidRPr="00C25AC9">
              <w:rPr>
                <w:sz w:val="20"/>
                <w:szCs w:val="20"/>
                <w:lang w:eastAsia="en-CA"/>
              </w:rPr>
              <w:t>’</w:t>
            </w:r>
            <w:r w:rsidRPr="00C25AC9">
              <w:rPr>
                <w:sz w:val="20"/>
                <w:szCs w:val="20"/>
                <w:lang w:eastAsia="en-CA"/>
              </w:rPr>
              <w:t>EE et leurs homologues?</w:t>
            </w:r>
          </w:p>
        </w:tc>
        <w:tc>
          <w:tcPr>
            <w:tcW w:w="2694" w:type="dxa"/>
          </w:tcPr>
          <w:p w14:paraId="67EDB81F" w14:textId="5C08004C" w:rsidR="00F46F3D" w:rsidRPr="00C25AC9" w:rsidRDefault="00F46F3D" w:rsidP="00AB489B">
            <w:pPr>
              <w:rPr>
                <w:rFonts w:cs="Arial"/>
                <w:sz w:val="20"/>
                <w:szCs w:val="20"/>
              </w:rPr>
            </w:pPr>
            <w:r w:rsidRPr="00C25AC9">
              <w:rPr>
                <w:rFonts w:cs="Arial"/>
                <w:sz w:val="20"/>
                <w:szCs w:val="20"/>
              </w:rPr>
              <w:t>Évaluer le pourcentage des personnes (groupes visés par l</w:t>
            </w:r>
            <w:r w:rsidR="00C25AC9" w:rsidRPr="00C25AC9">
              <w:rPr>
                <w:rFonts w:cs="Arial"/>
                <w:sz w:val="20"/>
                <w:szCs w:val="20"/>
              </w:rPr>
              <w:t>’</w:t>
            </w:r>
            <w:r w:rsidRPr="00C25AC9">
              <w:rPr>
                <w:rFonts w:cs="Arial"/>
                <w:sz w:val="20"/>
                <w:szCs w:val="20"/>
              </w:rPr>
              <w:t>EE et leurs homologues) dans la fonction publique qui ont obtenu une promotion, une nomination intérimaire ou latérale au fil des ans.</w:t>
            </w:r>
          </w:p>
          <w:p w14:paraId="621DD56A" w14:textId="28FE1777" w:rsidR="00A22B2C" w:rsidRPr="00C25AC9" w:rsidRDefault="00A22B2C" w:rsidP="00AB489B">
            <w:pPr>
              <w:rPr>
                <w:rFonts w:cs="Arial"/>
                <w:sz w:val="20"/>
                <w:szCs w:val="20"/>
              </w:rPr>
            </w:pPr>
          </w:p>
        </w:tc>
        <w:tc>
          <w:tcPr>
            <w:tcW w:w="3969" w:type="dxa"/>
          </w:tcPr>
          <w:p w14:paraId="3C5F9527" w14:textId="22CF1C7B" w:rsidR="00A22B2C" w:rsidRPr="00C25AC9" w:rsidRDefault="00006F53" w:rsidP="00A22B2C">
            <w:pPr>
              <w:rPr>
                <w:rFonts w:cs="Arial"/>
                <w:sz w:val="20"/>
                <w:szCs w:val="20"/>
              </w:rPr>
            </w:pPr>
            <w:r w:rsidRPr="00C25AC9">
              <w:rPr>
                <w:rFonts w:cs="Arial"/>
                <w:sz w:val="20"/>
                <w:szCs w:val="20"/>
                <w:u w:val="single"/>
              </w:rPr>
              <w:t>ETP</w:t>
            </w:r>
            <w:r w:rsidRPr="00C25AC9">
              <w:rPr>
                <w:rFonts w:cs="Arial"/>
                <w:sz w:val="20"/>
                <w:szCs w:val="20"/>
              </w:rPr>
              <w:t xml:space="preserve"> : </w:t>
            </w:r>
            <w:r w:rsidR="00A22B2C" w:rsidRPr="00C25AC9">
              <w:rPr>
                <w:rFonts w:cs="Arial"/>
                <w:sz w:val="20"/>
                <w:szCs w:val="20"/>
              </w:rPr>
              <w:t>¼</w:t>
            </w:r>
          </w:p>
          <w:p w14:paraId="39E9D0C3" w14:textId="77777777" w:rsidR="00A22B2C" w:rsidRPr="00C25AC9" w:rsidRDefault="00A22B2C" w:rsidP="00A22B2C">
            <w:pPr>
              <w:rPr>
                <w:rFonts w:cs="Arial"/>
                <w:sz w:val="20"/>
                <w:szCs w:val="20"/>
                <w:u w:val="single"/>
              </w:rPr>
            </w:pPr>
          </w:p>
          <w:p w14:paraId="11BBA29C" w14:textId="77777777" w:rsidR="0053384D" w:rsidRPr="00C25AC9" w:rsidRDefault="00E119EF" w:rsidP="00A22B2C">
            <w:pPr>
              <w:rPr>
                <w:rFonts w:cs="Arial"/>
                <w:sz w:val="20"/>
                <w:szCs w:val="20"/>
              </w:rPr>
            </w:pPr>
            <w:r w:rsidRPr="00C25AC9">
              <w:rPr>
                <w:rFonts w:cs="Arial"/>
                <w:sz w:val="20"/>
                <w:szCs w:val="20"/>
                <w:u w:val="single"/>
              </w:rPr>
              <w:t>Données</w:t>
            </w:r>
            <w:r w:rsidR="0053384D" w:rsidRPr="00C25AC9">
              <w:rPr>
                <w:rFonts w:cs="Arial"/>
                <w:sz w:val="20"/>
                <w:szCs w:val="20"/>
              </w:rPr>
              <w:t> : Sources administratives</w:t>
            </w:r>
          </w:p>
          <w:p w14:paraId="23991366" w14:textId="77777777" w:rsidR="0053384D" w:rsidRPr="00C25AC9" w:rsidRDefault="0053384D" w:rsidP="00A22B2C">
            <w:pPr>
              <w:rPr>
                <w:rFonts w:cs="Arial"/>
                <w:sz w:val="20"/>
                <w:szCs w:val="20"/>
              </w:rPr>
            </w:pPr>
          </w:p>
          <w:p w14:paraId="2D91400A" w14:textId="14AAB9E9" w:rsidR="00A22B2C" w:rsidRPr="00C25AC9" w:rsidRDefault="00A22B2C" w:rsidP="00A22B2C">
            <w:pPr>
              <w:rPr>
                <w:rFonts w:cs="Arial"/>
                <w:sz w:val="20"/>
                <w:szCs w:val="20"/>
                <w:u w:val="single"/>
              </w:rPr>
            </w:pPr>
          </w:p>
        </w:tc>
      </w:tr>
      <w:tr w:rsidR="00DB68C0" w:rsidRPr="00C25AC9" w14:paraId="28DFEE32" w14:textId="77777777" w:rsidTr="00101877">
        <w:tc>
          <w:tcPr>
            <w:tcW w:w="562" w:type="dxa"/>
          </w:tcPr>
          <w:p w14:paraId="73BA129D" w14:textId="724556D4" w:rsidR="00DB68C0" w:rsidRPr="00C25AC9" w:rsidRDefault="00DB68C0" w:rsidP="00AB489B">
            <w:pPr>
              <w:rPr>
                <w:rFonts w:cs="Arial"/>
                <w:sz w:val="20"/>
                <w:szCs w:val="20"/>
              </w:rPr>
            </w:pPr>
            <w:r w:rsidRPr="00C25AC9">
              <w:rPr>
                <w:rFonts w:cs="Arial"/>
                <w:sz w:val="20"/>
                <w:szCs w:val="20"/>
              </w:rPr>
              <w:lastRenderedPageBreak/>
              <w:t>11</w:t>
            </w:r>
          </w:p>
        </w:tc>
        <w:tc>
          <w:tcPr>
            <w:tcW w:w="3544" w:type="dxa"/>
          </w:tcPr>
          <w:p w14:paraId="449BF8D5" w14:textId="38A0BB2A" w:rsidR="006B3AF0" w:rsidRPr="00C25AC9" w:rsidRDefault="006B3AF0" w:rsidP="00DB68C0">
            <w:pPr>
              <w:rPr>
                <w:rFonts w:cs="Arial"/>
                <w:b/>
                <w:sz w:val="20"/>
                <w:szCs w:val="20"/>
                <w:u w:val="single"/>
              </w:rPr>
            </w:pPr>
            <w:r w:rsidRPr="00C25AC9">
              <w:rPr>
                <w:rFonts w:cs="Arial"/>
                <w:b/>
                <w:sz w:val="20"/>
                <w:szCs w:val="20"/>
                <w:u w:val="single"/>
              </w:rPr>
              <w:t>Examen des perceptions des groupes en quête d</w:t>
            </w:r>
            <w:r w:rsidR="00C25AC9" w:rsidRPr="00C25AC9">
              <w:rPr>
                <w:rFonts w:cs="Arial"/>
                <w:b/>
                <w:sz w:val="20"/>
                <w:szCs w:val="20"/>
                <w:u w:val="single"/>
              </w:rPr>
              <w:t>’</w:t>
            </w:r>
            <w:r w:rsidRPr="00C25AC9">
              <w:rPr>
                <w:rFonts w:cs="Arial"/>
                <w:b/>
                <w:sz w:val="20"/>
                <w:szCs w:val="20"/>
                <w:u w:val="single"/>
              </w:rPr>
              <w:t xml:space="preserve">équité </w:t>
            </w:r>
          </w:p>
          <w:p w14:paraId="2CCB3784" w14:textId="77777777" w:rsidR="006B3AF0" w:rsidRPr="00C25AC9" w:rsidRDefault="006B3AF0" w:rsidP="00DB68C0">
            <w:pPr>
              <w:rPr>
                <w:rFonts w:cs="Arial"/>
                <w:b/>
                <w:sz w:val="20"/>
                <w:szCs w:val="20"/>
                <w:u w:val="single"/>
              </w:rPr>
            </w:pPr>
          </w:p>
          <w:p w14:paraId="5A389D17" w14:textId="77777777" w:rsidR="006B3AF0" w:rsidRPr="00C25AC9" w:rsidRDefault="00DB68C0" w:rsidP="00DB68C0">
            <w:pPr>
              <w:rPr>
                <w:rFonts w:cs="Arial"/>
                <w:b/>
                <w:sz w:val="20"/>
                <w:szCs w:val="20"/>
                <w:u w:val="single"/>
              </w:rPr>
            </w:pPr>
            <w:r w:rsidRPr="00C25AC9">
              <w:rPr>
                <w:rFonts w:cs="Arial"/>
                <w:b/>
                <w:sz w:val="20"/>
                <w:szCs w:val="20"/>
                <w:u w:val="single"/>
              </w:rPr>
              <w:t>Source</w:t>
            </w:r>
            <w:r w:rsidR="006B3AF0" w:rsidRPr="00C25AC9">
              <w:rPr>
                <w:rFonts w:cs="Arial"/>
                <w:b/>
                <w:sz w:val="20"/>
                <w:szCs w:val="20"/>
                <w:u w:val="single"/>
              </w:rPr>
              <w:t xml:space="preserve"> </w:t>
            </w:r>
            <w:r w:rsidRPr="00C25AC9">
              <w:rPr>
                <w:rFonts w:cs="Arial"/>
                <w:b/>
                <w:sz w:val="20"/>
                <w:szCs w:val="20"/>
                <w:u w:val="single"/>
              </w:rPr>
              <w:t xml:space="preserve">: </w:t>
            </w:r>
            <w:r w:rsidR="006B3AF0" w:rsidRPr="00C25AC9">
              <w:rPr>
                <w:rFonts w:cs="Arial"/>
                <w:b/>
                <w:sz w:val="20"/>
                <w:szCs w:val="20"/>
                <w:u w:val="single"/>
              </w:rPr>
              <w:t>CEG</w:t>
            </w:r>
          </w:p>
          <w:p w14:paraId="24D46099" w14:textId="77777777" w:rsidR="006B3AF0" w:rsidRPr="00C25AC9" w:rsidRDefault="006B3AF0" w:rsidP="00DB68C0">
            <w:pPr>
              <w:rPr>
                <w:rFonts w:cs="Arial"/>
                <w:b/>
                <w:sz w:val="20"/>
                <w:szCs w:val="20"/>
                <w:u w:val="single"/>
              </w:rPr>
            </w:pPr>
          </w:p>
          <w:p w14:paraId="4468F85D" w14:textId="6D7D01D4" w:rsidR="00DB68C0" w:rsidRPr="00C25AC9" w:rsidRDefault="00DB68C0" w:rsidP="00DB68C0">
            <w:pPr>
              <w:rPr>
                <w:rFonts w:cs="Arial"/>
                <w:b/>
                <w:sz w:val="20"/>
                <w:szCs w:val="20"/>
                <w:u w:val="single"/>
              </w:rPr>
            </w:pPr>
          </w:p>
        </w:tc>
        <w:tc>
          <w:tcPr>
            <w:tcW w:w="6662" w:type="dxa"/>
          </w:tcPr>
          <w:p w14:paraId="78169F01" w14:textId="31573B9E" w:rsidR="0073176D" w:rsidRPr="00C25AC9" w:rsidRDefault="0073176D" w:rsidP="0073176D">
            <w:pPr>
              <w:rPr>
                <w:sz w:val="20"/>
                <w:szCs w:val="20"/>
                <w:lang w:eastAsia="en-CA"/>
              </w:rPr>
            </w:pPr>
            <w:r w:rsidRPr="00C25AC9">
              <w:rPr>
                <w:sz w:val="20"/>
                <w:szCs w:val="20"/>
                <w:lang w:eastAsia="en-CA"/>
              </w:rPr>
              <w:t>En approuvant le plan de R-D 2021-2023 de la CFP, le CEG a recommandé l</w:t>
            </w:r>
            <w:r w:rsidR="00C25AC9" w:rsidRPr="00C25AC9">
              <w:rPr>
                <w:sz w:val="20"/>
                <w:szCs w:val="20"/>
                <w:lang w:eastAsia="en-CA"/>
              </w:rPr>
              <w:t>’</w:t>
            </w:r>
            <w:r w:rsidRPr="00C25AC9">
              <w:rPr>
                <w:sz w:val="20"/>
                <w:szCs w:val="20"/>
                <w:lang w:eastAsia="en-CA"/>
              </w:rPr>
              <w:t>inclusion d</w:t>
            </w:r>
            <w:r w:rsidR="00C25AC9" w:rsidRPr="00C25AC9">
              <w:rPr>
                <w:sz w:val="20"/>
                <w:szCs w:val="20"/>
                <w:lang w:eastAsia="en-CA"/>
              </w:rPr>
              <w:t>’</w:t>
            </w:r>
            <w:r w:rsidRPr="00C25AC9">
              <w:rPr>
                <w:sz w:val="20"/>
                <w:szCs w:val="20"/>
                <w:lang w:eastAsia="en-CA"/>
              </w:rPr>
              <w:t>un projet visant à générer des données sur les groupes en quête d</w:t>
            </w:r>
            <w:r w:rsidR="00C25AC9" w:rsidRPr="00C25AC9">
              <w:rPr>
                <w:sz w:val="20"/>
                <w:szCs w:val="20"/>
                <w:lang w:eastAsia="en-CA"/>
              </w:rPr>
              <w:t>’</w:t>
            </w:r>
            <w:r w:rsidRPr="00C25AC9">
              <w:rPr>
                <w:sz w:val="20"/>
                <w:szCs w:val="20"/>
                <w:lang w:eastAsia="en-CA"/>
              </w:rPr>
              <w:t>équité.</w:t>
            </w:r>
          </w:p>
          <w:p w14:paraId="1EE1EF38" w14:textId="08132625" w:rsidR="0073176D" w:rsidRPr="00C25AC9" w:rsidRDefault="0073176D" w:rsidP="0073176D">
            <w:pPr>
              <w:rPr>
                <w:sz w:val="20"/>
                <w:szCs w:val="20"/>
                <w:lang w:eastAsia="en-CA"/>
              </w:rPr>
            </w:pPr>
            <w:r w:rsidRPr="00C25AC9">
              <w:rPr>
                <w:sz w:val="20"/>
                <w:szCs w:val="20"/>
                <w:lang w:eastAsia="en-CA"/>
              </w:rPr>
              <w:t>Produit livrable : La DSDA effectuera un sondage auprès des employés de la fonction publique qui appartiennent à un ou plusieurs groupes en quête d</w:t>
            </w:r>
            <w:r w:rsidR="00C25AC9" w:rsidRPr="00C25AC9">
              <w:rPr>
                <w:sz w:val="20"/>
                <w:szCs w:val="20"/>
                <w:lang w:eastAsia="en-CA"/>
              </w:rPr>
              <w:t>’</w:t>
            </w:r>
            <w:r w:rsidRPr="00C25AC9">
              <w:rPr>
                <w:sz w:val="20"/>
                <w:szCs w:val="20"/>
                <w:lang w:eastAsia="en-CA"/>
              </w:rPr>
              <w:t xml:space="preserve">équité afin de recueillir leurs points de vue et leurs impressions sur les principaux thèmes </w:t>
            </w:r>
            <w:r w:rsidR="00514727" w:rsidRPr="00C25AC9">
              <w:rPr>
                <w:sz w:val="20"/>
                <w:szCs w:val="20"/>
                <w:lang w:eastAsia="en-CA"/>
              </w:rPr>
              <w:t xml:space="preserve">abordés dans le </w:t>
            </w:r>
            <w:r w:rsidRPr="00C25AC9">
              <w:rPr>
                <w:sz w:val="20"/>
                <w:szCs w:val="20"/>
                <w:lang w:eastAsia="en-CA"/>
              </w:rPr>
              <w:t>SDIP.</w:t>
            </w:r>
          </w:p>
          <w:p w14:paraId="73227FEC" w14:textId="77777777" w:rsidR="0073176D" w:rsidRPr="00C25AC9" w:rsidRDefault="0073176D" w:rsidP="0073176D">
            <w:pPr>
              <w:rPr>
                <w:sz w:val="20"/>
                <w:szCs w:val="20"/>
                <w:lang w:eastAsia="en-CA"/>
              </w:rPr>
            </w:pPr>
          </w:p>
          <w:p w14:paraId="1D1113D9" w14:textId="12515D27" w:rsidR="0073176D" w:rsidRPr="00C25AC9" w:rsidRDefault="0073176D" w:rsidP="0073176D">
            <w:pPr>
              <w:rPr>
                <w:sz w:val="20"/>
                <w:szCs w:val="20"/>
                <w:lang w:eastAsia="en-CA"/>
              </w:rPr>
            </w:pPr>
            <w:r w:rsidRPr="00C25AC9">
              <w:rPr>
                <w:sz w:val="20"/>
                <w:szCs w:val="20"/>
                <w:lang w:eastAsia="en-CA"/>
              </w:rPr>
              <w:t>Q : Examiner comment les employés de la fonction publique fédérale membres d</w:t>
            </w:r>
            <w:r w:rsidR="00C25AC9" w:rsidRPr="00C25AC9">
              <w:rPr>
                <w:sz w:val="20"/>
                <w:szCs w:val="20"/>
                <w:lang w:eastAsia="en-CA"/>
              </w:rPr>
              <w:t>’</w:t>
            </w:r>
            <w:r w:rsidRPr="00C25AC9">
              <w:rPr>
                <w:sz w:val="20"/>
                <w:szCs w:val="20"/>
                <w:lang w:eastAsia="en-CA"/>
              </w:rPr>
              <w:t>un ou de plusieurs groupes en quête d</w:t>
            </w:r>
            <w:r w:rsidR="00C25AC9" w:rsidRPr="00C25AC9">
              <w:rPr>
                <w:sz w:val="20"/>
                <w:szCs w:val="20"/>
                <w:lang w:eastAsia="en-CA"/>
              </w:rPr>
              <w:t>’</w:t>
            </w:r>
            <w:r w:rsidRPr="00C25AC9">
              <w:rPr>
                <w:sz w:val="20"/>
                <w:szCs w:val="20"/>
                <w:lang w:eastAsia="en-CA"/>
              </w:rPr>
              <w:t xml:space="preserve">équité perçoivent les principes du mérite, de la justice et de la transparence dans le système de dotation. </w:t>
            </w:r>
          </w:p>
          <w:p w14:paraId="33332B86" w14:textId="5B66E805" w:rsidR="0073176D" w:rsidRPr="00C25AC9" w:rsidRDefault="0073176D" w:rsidP="0073176D">
            <w:pPr>
              <w:rPr>
                <w:sz w:val="20"/>
                <w:szCs w:val="20"/>
                <w:lang w:eastAsia="en-CA"/>
              </w:rPr>
            </w:pPr>
            <w:r w:rsidRPr="00C25AC9">
              <w:rPr>
                <w:sz w:val="20"/>
                <w:szCs w:val="20"/>
                <w:lang w:eastAsia="en-CA"/>
              </w:rPr>
              <w:t>Q : Déterminer si les employés membres d</w:t>
            </w:r>
            <w:r w:rsidR="00C25AC9" w:rsidRPr="00C25AC9">
              <w:rPr>
                <w:sz w:val="20"/>
                <w:szCs w:val="20"/>
                <w:lang w:eastAsia="en-CA"/>
              </w:rPr>
              <w:t>’</w:t>
            </w:r>
            <w:r w:rsidRPr="00C25AC9">
              <w:rPr>
                <w:sz w:val="20"/>
                <w:szCs w:val="20"/>
                <w:lang w:eastAsia="en-CA"/>
              </w:rPr>
              <w:t>un groupe en quête d</w:t>
            </w:r>
            <w:r w:rsidR="00C25AC9" w:rsidRPr="00C25AC9">
              <w:rPr>
                <w:sz w:val="20"/>
                <w:szCs w:val="20"/>
                <w:lang w:eastAsia="en-CA"/>
              </w:rPr>
              <w:t>’</w:t>
            </w:r>
            <w:r w:rsidRPr="00C25AC9">
              <w:rPr>
                <w:sz w:val="20"/>
                <w:szCs w:val="20"/>
                <w:lang w:eastAsia="en-CA"/>
              </w:rPr>
              <w:t xml:space="preserve">équité perçoivent différemment les principes du mérite, de la justice et de la transparence dans le système de dotation et si ces impressions diffèrent selon le sexe. </w:t>
            </w:r>
          </w:p>
          <w:p w14:paraId="0A0CCDD9" w14:textId="44824EDE" w:rsidR="00DB68C0" w:rsidRPr="00C25AC9" w:rsidRDefault="0073176D" w:rsidP="00ED1DAC">
            <w:pPr>
              <w:rPr>
                <w:sz w:val="20"/>
                <w:szCs w:val="20"/>
                <w:lang w:eastAsia="en-CA"/>
              </w:rPr>
            </w:pPr>
            <w:r w:rsidRPr="00C25AC9">
              <w:rPr>
                <w:sz w:val="20"/>
                <w:szCs w:val="20"/>
                <w:lang w:eastAsia="en-CA"/>
              </w:rPr>
              <w:t>Q : Explorer les impressions des gestionnaires issus d</w:t>
            </w:r>
            <w:r w:rsidR="00C25AC9" w:rsidRPr="00C25AC9">
              <w:rPr>
                <w:sz w:val="20"/>
                <w:szCs w:val="20"/>
                <w:lang w:eastAsia="en-CA"/>
              </w:rPr>
              <w:t>’</w:t>
            </w:r>
            <w:r w:rsidRPr="00C25AC9">
              <w:rPr>
                <w:sz w:val="20"/>
                <w:szCs w:val="20"/>
                <w:lang w:eastAsia="en-CA"/>
              </w:rPr>
              <w:t>un ou de plusieurs groupes en quête d</w:t>
            </w:r>
            <w:r w:rsidR="00C25AC9" w:rsidRPr="00C25AC9">
              <w:rPr>
                <w:sz w:val="20"/>
                <w:szCs w:val="20"/>
                <w:lang w:eastAsia="en-CA"/>
              </w:rPr>
              <w:t>’</w:t>
            </w:r>
            <w:r w:rsidRPr="00C25AC9">
              <w:rPr>
                <w:sz w:val="20"/>
                <w:szCs w:val="20"/>
                <w:lang w:eastAsia="en-CA"/>
              </w:rPr>
              <w:t>équité par rapport aux impressions des autres gestionnaires.</w:t>
            </w:r>
          </w:p>
        </w:tc>
        <w:tc>
          <w:tcPr>
            <w:tcW w:w="2694" w:type="dxa"/>
          </w:tcPr>
          <w:p w14:paraId="424218D0" w14:textId="0436A5B5" w:rsidR="00F46F3D" w:rsidRPr="00C25AC9" w:rsidRDefault="00F46F3D" w:rsidP="00AB489B">
            <w:pPr>
              <w:rPr>
                <w:rFonts w:cs="Arial"/>
                <w:sz w:val="20"/>
                <w:szCs w:val="20"/>
              </w:rPr>
            </w:pPr>
            <w:r w:rsidRPr="00C25AC9">
              <w:rPr>
                <w:rFonts w:cs="Arial"/>
                <w:sz w:val="20"/>
                <w:szCs w:val="20"/>
              </w:rPr>
              <w:t>Comprendre comment le système de dotation est perçu collectivement par les divers groupes en quête d</w:t>
            </w:r>
            <w:r w:rsidR="00C25AC9" w:rsidRPr="00C25AC9">
              <w:rPr>
                <w:rFonts w:cs="Arial"/>
                <w:sz w:val="20"/>
                <w:szCs w:val="20"/>
              </w:rPr>
              <w:t>’</w:t>
            </w:r>
            <w:r w:rsidRPr="00C25AC9">
              <w:rPr>
                <w:rFonts w:cs="Arial"/>
                <w:sz w:val="20"/>
                <w:szCs w:val="20"/>
              </w:rPr>
              <w:t>équité dans la fonction publique.</w:t>
            </w:r>
          </w:p>
          <w:p w14:paraId="3AF69B4A" w14:textId="77777777" w:rsidR="00F46F3D" w:rsidRPr="00C25AC9" w:rsidRDefault="00F46F3D" w:rsidP="00AB489B">
            <w:pPr>
              <w:rPr>
                <w:rFonts w:cs="Arial"/>
                <w:sz w:val="20"/>
                <w:szCs w:val="20"/>
              </w:rPr>
            </w:pPr>
          </w:p>
          <w:p w14:paraId="2841AAF1" w14:textId="768CF05C" w:rsidR="00DB68C0" w:rsidRPr="00C25AC9" w:rsidRDefault="00DB68C0" w:rsidP="00AB489B">
            <w:pPr>
              <w:rPr>
                <w:rFonts w:cs="Arial"/>
                <w:sz w:val="20"/>
                <w:szCs w:val="20"/>
              </w:rPr>
            </w:pPr>
            <w:r w:rsidRPr="00C25AC9">
              <w:rPr>
                <w:rFonts w:cs="Arial"/>
                <w:sz w:val="20"/>
                <w:szCs w:val="20"/>
              </w:rPr>
              <w:t>.</w:t>
            </w:r>
          </w:p>
        </w:tc>
        <w:tc>
          <w:tcPr>
            <w:tcW w:w="3969" w:type="dxa"/>
          </w:tcPr>
          <w:p w14:paraId="05344068" w14:textId="40B29EC0" w:rsidR="00DB68C0" w:rsidRPr="00C25AC9" w:rsidRDefault="00006F53" w:rsidP="00A22B2C">
            <w:pPr>
              <w:rPr>
                <w:rFonts w:cs="Arial"/>
                <w:sz w:val="20"/>
                <w:szCs w:val="20"/>
              </w:rPr>
            </w:pPr>
            <w:r w:rsidRPr="00C25AC9">
              <w:rPr>
                <w:rFonts w:cs="Arial"/>
                <w:sz w:val="20"/>
                <w:szCs w:val="20"/>
                <w:u w:val="single"/>
              </w:rPr>
              <w:t>ETP</w:t>
            </w:r>
            <w:r w:rsidRPr="00C25AC9">
              <w:rPr>
                <w:rFonts w:cs="Arial"/>
                <w:sz w:val="20"/>
                <w:szCs w:val="20"/>
              </w:rPr>
              <w:t xml:space="preserve"> : </w:t>
            </w:r>
            <w:r w:rsidR="00CB63DD" w:rsidRPr="00C25AC9">
              <w:rPr>
                <w:rFonts w:cs="Arial"/>
                <w:sz w:val="20"/>
                <w:szCs w:val="20"/>
              </w:rPr>
              <w:t>½</w:t>
            </w:r>
          </w:p>
          <w:p w14:paraId="1BFB2167" w14:textId="77777777" w:rsidR="00CB63DD" w:rsidRPr="00C25AC9" w:rsidRDefault="00CB63DD" w:rsidP="00A22B2C">
            <w:pPr>
              <w:rPr>
                <w:rFonts w:cs="Arial"/>
                <w:sz w:val="20"/>
                <w:szCs w:val="20"/>
              </w:rPr>
            </w:pPr>
          </w:p>
          <w:p w14:paraId="46ADFDA3" w14:textId="4D305262" w:rsidR="0053384D" w:rsidRPr="00C25AC9" w:rsidRDefault="00E119EF" w:rsidP="00A22B2C">
            <w:pPr>
              <w:rPr>
                <w:rFonts w:cs="Arial"/>
                <w:sz w:val="20"/>
                <w:szCs w:val="20"/>
              </w:rPr>
            </w:pPr>
            <w:r w:rsidRPr="00C25AC9">
              <w:rPr>
                <w:rFonts w:cs="Arial"/>
                <w:sz w:val="20"/>
                <w:szCs w:val="20"/>
                <w:u w:val="single"/>
              </w:rPr>
              <w:t>Données</w:t>
            </w:r>
            <w:r w:rsidR="0053384D" w:rsidRPr="00C25AC9">
              <w:rPr>
                <w:rFonts w:cs="Arial"/>
                <w:sz w:val="20"/>
                <w:szCs w:val="20"/>
              </w:rPr>
              <w:t xml:space="preserve"> : Données de sondage</w:t>
            </w:r>
          </w:p>
          <w:p w14:paraId="353ABE40" w14:textId="77777777" w:rsidR="0053384D" w:rsidRPr="00C25AC9" w:rsidRDefault="0053384D" w:rsidP="00A22B2C">
            <w:pPr>
              <w:rPr>
                <w:rFonts w:cs="Arial"/>
                <w:sz w:val="20"/>
                <w:szCs w:val="20"/>
              </w:rPr>
            </w:pPr>
          </w:p>
          <w:p w14:paraId="7A47A05C" w14:textId="17EDE3AC" w:rsidR="00CB63DD" w:rsidRPr="00C25AC9" w:rsidRDefault="00CB63DD" w:rsidP="00A22B2C">
            <w:pPr>
              <w:rPr>
                <w:rFonts w:cs="Arial"/>
                <w:sz w:val="20"/>
                <w:szCs w:val="20"/>
              </w:rPr>
            </w:pPr>
          </w:p>
        </w:tc>
      </w:tr>
    </w:tbl>
    <w:p w14:paraId="42F78927" w14:textId="77777777" w:rsidR="00ED1DAC" w:rsidRPr="00C25AC9" w:rsidRDefault="00ED1DAC" w:rsidP="00D715D7">
      <w:pPr>
        <w:pStyle w:val="Heading2"/>
      </w:pPr>
    </w:p>
    <w:p w14:paraId="12B8C9DA" w14:textId="5D8E9BB0" w:rsidR="007516B7" w:rsidRPr="00C25AC9" w:rsidRDefault="006B3AF0" w:rsidP="00D715D7">
      <w:pPr>
        <w:pStyle w:val="Heading2"/>
      </w:pPr>
      <w:bookmarkStart w:id="19" w:name="_Toc93996153"/>
      <w:r w:rsidRPr="00C25AC9">
        <w:t>Outils de développement</w:t>
      </w:r>
      <w:bookmarkEnd w:id="19"/>
      <w:r w:rsidRPr="00C25AC9">
        <w:t xml:space="preserve"> </w:t>
      </w:r>
    </w:p>
    <w:tbl>
      <w:tblPr>
        <w:tblStyle w:val="TableGrid"/>
        <w:tblW w:w="17431" w:type="dxa"/>
        <w:tblLayout w:type="fixed"/>
        <w:tblLook w:val="04A0" w:firstRow="1" w:lastRow="0" w:firstColumn="1" w:lastColumn="0" w:noHBand="0" w:noVBand="1"/>
        <w:tblCaption w:val="Tools"/>
        <w:tblDescription w:val="List of tools which will be developped as part of this year's tool plan."/>
      </w:tblPr>
      <w:tblGrid>
        <w:gridCol w:w="562"/>
        <w:gridCol w:w="3544"/>
        <w:gridCol w:w="6662"/>
        <w:gridCol w:w="2694"/>
        <w:gridCol w:w="3969"/>
      </w:tblGrid>
      <w:tr w:rsidR="00372271" w:rsidRPr="00C25AC9" w14:paraId="1E6FE1DC" w14:textId="77777777" w:rsidTr="00372271">
        <w:tc>
          <w:tcPr>
            <w:tcW w:w="562" w:type="dxa"/>
          </w:tcPr>
          <w:p w14:paraId="562475A7" w14:textId="3D65E4ED" w:rsidR="00372271" w:rsidRPr="00C25AC9" w:rsidRDefault="00372271" w:rsidP="00372271">
            <w:pPr>
              <w:rPr>
                <w:rFonts w:cs="Arial"/>
                <w:b/>
                <w:sz w:val="24"/>
                <w:szCs w:val="24"/>
              </w:rPr>
            </w:pPr>
            <w:r w:rsidRPr="00C25AC9">
              <w:rPr>
                <w:rFonts w:cs="Arial"/>
                <w:b/>
                <w:sz w:val="24"/>
                <w:szCs w:val="24"/>
              </w:rPr>
              <w:t>#</w:t>
            </w:r>
          </w:p>
        </w:tc>
        <w:tc>
          <w:tcPr>
            <w:tcW w:w="3544" w:type="dxa"/>
          </w:tcPr>
          <w:p w14:paraId="4110BEA0" w14:textId="4D9CF4C7" w:rsidR="00372271" w:rsidRPr="00C25AC9" w:rsidRDefault="002C65FB" w:rsidP="00ED1DAC">
            <w:pPr>
              <w:rPr>
                <w:rFonts w:cs="Arial"/>
                <w:b/>
                <w:strike/>
                <w:sz w:val="24"/>
                <w:szCs w:val="24"/>
              </w:rPr>
            </w:pPr>
            <w:r w:rsidRPr="00C25AC9">
              <w:rPr>
                <w:rFonts w:cs="Arial"/>
                <w:b/>
                <w:sz w:val="24"/>
                <w:szCs w:val="24"/>
              </w:rPr>
              <w:t>Thèmes proposés</w:t>
            </w:r>
          </w:p>
        </w:tc>
        <w:tc>
          <w:tcPr>
            <w:tcW w:w="6662" w:type="dxa"/>
          </w:tcPr>
          <w:p w14:paraId="210544C9" w14:textId="1F25211C" w:rsidR="00372271" w:rsidRPr="00C25AC9" w:rsidRDefault="002C65FB" w:rsidP="00ED1DAC">
            <w:pPr>
              <w:rPr>
                <w:rFonts w:cs="Arial"/>
                <w:b/>
                <w:sz w:val="24"/>
                <w:szCs w:val="24"/>
              </w:rPr>
            </w:pPr>
            <w:r w:rsidRPr="00C25AC9">
              <w:rPr>
                <w:rFonts w:cs="Arial"/>
                <w:b/>
                <w:sz w:val="24"/>
                <w:szCs w:val="24"/>
              </w:rPr>
              <w:t>Description</w:t>
            </w:r>
            <w:r w:rsidR="00ED1DAC" w:rsidRPr="00C25AC9">
              <w:rPr>
                <w:rFonts w:cs="Arial"/>
                <w:b/>
                <w:sz w:val="24"/>
                <w:szCs w:val="24"/>
              </w:rPr>
              <w:t xml:space="preserve"> </w:t>
            </w:r>
            <w:r w:rsidRPr="00C25AC9">
              <w:rPr>
                <w:rFonts w:cs="Arial"/>
                <w:b/>
                <w:sz w:val="24"/>
                <w:szCs w:val="24"/>
              </w:rPr>
              <w:t>/</w:t>
            </w:r>
            <w:r w:rsidR="00ED1DAC" w:rsidRPr="00C25AC9">
              <w:rPr>
                <w:rFonts w:cs="Arial"/>
                <w:b/>
                <w:sz w:val="24"/>
                <w:szCs w:val="24"/>
              </w:rPr>
              <w:t xml:space="preserve"> Q</w:t>
            </w:r>
            <w:r w:rsidRPr="00C25AC9">
              <w:rPr>
                <w:rFonts w:cs="Arial"/>
                <w:b/>
                <w:sz w:val="24"/>
                <w:szCs w:val="24"/>
              </w:rPr>
              <w:t>uestion(s) de recherche</w:t>
            </w:r>
          </w:p>
        </w:tc>
        <w:tc>
          <w:tcPr>
            <w:tcW w:w="2694" w:type="dxa"/>
          </w:tcPr>
          <w:p w14:paraId="66608C0F" w14:textId="074FA2C6" w:rsidR="00372271" w:rsidRPr="00C25AC9" w:rsidRDefault="002C65FB" w:rsidP="00372271">
            <w:pPr>
              <w:rPr>
                <w:rFonts w:cs="Arial"/>
                <w:b/>
                <w:sz w:val="24"/>
                <w:szCs w:val="24"/>
              </w:rPr>
            </w:pPr>
            <w:r w:rsidRPr="00C25AC9">
              <w:rPr>
                <w:rFonts w:cs="Arial"/>
                <w:b/>
                <w:sz w:val="24"/>
                <w:szCs w:val="24"/>
              </w:rPr>
              <w:t>Résultats</w:t>
            </w:r>
            <w:r w:rsidR="00372271" w:rsidRPr="00C25AC9">
              <w:rPr>
                <w:rFonts w:cs="Arial"/>
                <w:b/>
                <w:sz w:val="24"/>
                <w:szCs w:val="24"/>
              </w:rPr>
              <w:t>/Impacts</w:t>
            </w:r>
          </w:p>
        </w:tc>
        <w:tc>
          <w:tcPr>
            <w:tcW w:w="3969" w:type="dxa"/>
          </w:tcPr>
          <w:p w14:paraId="4C84D1C2" w14:textId="3E05CB36" w:rsidR="00372271" w:rsidRPr="00C25AC9" w:rsidRDefault="001A17FC" w:rsidP="00372271">
            <w:pPr>
              <w:rPr>
                <w:rFonts w:cs="Arial"/>
                <w:sz w:val="24"/>
                <w:szCs w:val="24"/>
              </w:rPr>
            </w:pPr>
            <w:r w:rsidRPr="00C25AC9">
              <w:rPr>
                <w:rFonts w:cs="Arial"/>
                <w:b/>
                <w:sz w:val="24"/>
                <w:szCs w:val="24"/>
              </w:rPr>
              <w:t>Ressources</w:t>
            </w:r>
            <w:r w:rsidR="00372271" w:rsidRPr="00C25AC9">
              <w:rPr>
                <w:rFonts w:cs="Arial"/>
                <w:b/>
                <w:sz w:val="24"/>
                <w:szCs w:val="24"/>
              </w:rPr>
              <w:t>*/</w:t>
            </w:r>
            <w:r w:rsidR="002C65FB" w:rsidRPr="00C25AC9">
              <w:rPr>
                <w:rFonts w:cs="Arial"/>
                <w:b/>
                <w:sz w:val="24"/>
                <w:szCs w:val="24"/>
              </w:rPr>
              <w:t>Calendriers</w:t>
            </w:r>
          </w:p>
        </w:tc>
      </w:tr>
      <w:tr w:rsidR="007516B7" w:rsidRPr="00C25AC9" w14:paraId="2FCA894D" w14:textId="77777777" w:rsidTr="00372271">
        <w:tc>
          <w:tcPr>
            <w:tcW w:w="562" w:type="dxa"/>
          </w:tcPr>
          <w:p w14:paraId="45387B5B" w14:textId="77777777" w:rsidR="007516B7" w:rsidRPr="00C25AC9" w:rsidRDefault="007516B7" w:rsidP="00AB489B">
            <w:pPr>
              <w:rPr>
                <w:rFonts w:cs="Arial"/>
                <w:b/>
                <w:sz w:val="20"/>
                <w:szCs w:val="20"/>
              </w:rPr>
            </w:pPr>
            <w:r w:rsidRPr="00C25AC9">
              <w:rPr>
                <w:rFonts w:cs="Arial"/>
                <w:b/>
                <w:sz w:val="20"/>
                <w:szCs w:val="20"/>
              </w:rPr>
              <w:t>1</w:t>
            </w:r>
          </w:p>
        </w:tc>
        <w:tc>
          <w:tcPr>
            <w:tcW w:w="3544" w:type="dxa"/>
          </w:tcPr>
          <w:p w14:paraId="40459D63" w14:textId="516937DF" w:rsidR="001D2ED3" w:rsidRPr="00C25AC9" w:rsidRDefault="001D2ED3" w:rsidP="00AB489B">
            <w:pPr>
              <w:rPr>
                <w:rFonts w:cs="Arial"/>
                <w:b/>
                <w:sz w:val="20"/>
                <w:szCs w:val="20"/>
                <w:u w:val="single"/>
              </w:rPr>
            </w:pPr>
            <w:r w:rsidRPr="00C25AC9">
              <w:rPr>
                <w:rFonts w:cs="Arial"/>
                <w:b/>
                <w:sz w:val="20"/>
                <w:szCs w:val="20"/>
                <w:u w:val="single"/>
              </w:rPr>
              <w:t>Amélioration d</w:t>
            </w:r>
            <w:r w:rsidR="006E1E8E" w:rsidRPr="00C25AC9">
              <w:rPr>
                <w:rFonts w:cs="Arial"/>
                <w:b/>
                <w:sz w:val="20"/>
                <w:szCs w:val="20"/>
                <w:u w:val="single"/>
              </w:rPr>
              <w:t xml:space="preserve">u tableau de bord de la </w:t>
            </w:r>
            <w:r w:rsidRPr="00C25AC9">
              <w:rPr>
                <w:rFonts w:cs="Arial"/>
                <w:b/>
                <w:sz w:val="20"/>
                <w:szCs w:val="20"/>
                <w:u w:val="single"/>
              </w:rPr>
              <w:t>dotation en personnel</w:t>
            </w:r>
          </w:p>
          <w:p w14:paraId="0C784306" w14:textId="77777777" w:rsidR="001D2ED3" w:rsidRPr="00C25AC9" w:rsidRDefault="001D2ED3" w:rsidP="00AB489B">
            <w:pPr>
              <w:rPr>
                <w:rFonts w:cs="Arial"/>
                <w:b/>
                <w:sz w:val="20"/>
                <w:szCs w:val="20"/>
                <w:u w:val="single"/>
              </w:rPr>
            </w:pPr>
          </w:p>
          <w:p w14:paraId="230BBB6D" w14:textId="6DBD5F8C" w:rsidR="001D2ED3" w:rsidRPr="00C25AC9" w:rsidRDefault="001D2ED3" w:rsidP="00AB489B">
            <w:pPr>
              <w:rPr>
                <w:rFonts w:cs="Arial"/>
                <w:b/>
                <w:bCs/>
                <w:sz w:val="20"/>
                <w:szCs w:val="20"/>
                <w:u w:val="single"/>
              </w:rPr>
            </w:pPr>
            <w:r w:rsidRPr="00C25AC9">
              <w:rPr>
                <w:rFonts w:cs="Arial"/>
                <w:b/>
                <w:sz w:val="20"/>
                <w:szCs w:val="20"/>
                <w:u w:val="single"/>
              </w:rPr>
              <w:t xml:space="preserve">Source : </w:t>
            </w:r>
            <w:r w:rsidRPr="00C25AC9">
              <w:rPr>
                <w:rFonts w:cs="Arial"/>
                <w:b/>
                <w:bCs/>
                <w:sz w:val="20"/>
                <w:szCs w:val="20"/>
                <w:u w:val="single"/>
              </w:rPr>
              <w:t xml:space="preserve">Secteur des politiques et des communications (SPC) / </w:t>
            </w:r>
            <w:r w:rsidR="00D043EB" w:rsidRPr="00C25AC9">
              <w:rPr>
                <w:rFonts w:cs="Arial"/>
                <w:b/>
                <w:bCs/>
                <w:sz w:val="20"/>
                <w:szCs w:val="20"/>
                <w:u w:val="single"/>
              </w:rPr>
              <w:t xml:space="preserve">SSAD???, Secteur des affaires ministérielles </w:t>
            </w:r>
          </w:p>
          <w:p w14:paraId="726C12F7" w14:textId="77777777" w:rsidR="001D2ED3" w:rsidRPr="00C25AC9" w:rsidRDefault="001D2ED3" w:rsidP="00AB489B">
            <w:pPr>
              <w:rPr>
                <w:rFonts w:cs="Arial"/>
                <w:b/>
                <w:sz w:val="20"/>
                <w:szCs w:val="20"/>
                <w:u w:val="single"/>
              </w:rPr>
            </w:pPr>
          </w:p>
          <w:p w14:paraId="691299D0" w14:textId="302CCCE8" w:rsidR="001515BD" w:rsidRPr="00C25AC9" w:rsidRDefault="00D043EB" w:rsidP="00AB489B">
            <w:pPr>
              <w:rPr>
                <w:rFonts w:cs="Arial"/>
                <w:b/>
                <w:bCs/>
                <w:sz w:val="20"/>
                <w:szCs w:val="20"/>
                <w:u w:val="single"/>
              </w:rPr>
            </w:pPr>
            <w:r w:rsidRPr="00C25AC9">
              <w:rPr>
                <w:rFonts w:cs="Arial"/>
                <w:b/>
                <w:bCs/>
                <w:sz w:val="20"/>
                <w:szCs w:val="20"/>
                <w:u w:val="single"/>
              </w:rPr>
              <w:t xml:space="preserve">Client : Secteur des politiques et des communications </w:t>
            </w:r>
            <w:r w:rsidR="00FC2B00" w:rsidRPr="00C25AC9">
              <w:rPr>
                <w:rFonts w:cs="Arial"/>
                <w:b/>
                <w:bCs/>
                <w:sz w:val="20"/>
                <w:szCs w:val="20"/>
                <w:u w:val="single"/>
              </w:rPr>
              <w:t xml:space="preserve">(SPC) </w:t>
            </w:r>
            <w:r w:rsidRPr="00C25AC9">
              <w:rPr>
                <w:rFonts w:cs="Arial"/>
                <w:b/>
                <w:bCs/>
                <w:sz w:val="20"/>
                <w:szCs w:val="20"/>
                <w:u w:val="single"/>
              </w:rPr>
              <w:t>/ SSAD???, Secteur des affaires ministérielles</w:t>
            </w:r>
          </w:p>
          <w:p w14:paraId="27461D52" w14:textId="77777777" w:rsidR="007516B7" w:rsidRPr="00C25AC9" w:rsidRDefault="007516B7" w:rsidP="00122ED4">
            <w:pPr>
              <w:rPr>
                <w:rFonts w:cs="Arial"/>
                <w:b/>
                <w:sz w:val="20"/>
                <w:szCs w:val="20"/>
                <w:u w:val="single"/>
              </w:rPr>
            </w:pPr>
          </w:p>
        </w:tc>
        <w:tc>
          <w:tcPr>
            <w:tcW w:w="6662" w:type="dxa"/>
          </w:tcPr>
          <w:p w14:paraId="134CFD86" w14:textId="20EBBBE3" w:rsidR="007F6C64" w:rsidRPr="00C25AC9" w:rsidRDefault="007F6C64" w:rsidP="007F6C64">
            <w:pPr>
              <w:rPr>
                <w:sz w:val="20"/>
                <w:szCs w:val="20"/>
                <w:lang w:eastAsia="en-CA"/>
              </w:rPr>
            </w:pPr>
            <w:r w:rsidRPr="00C25AC9">
              <w:rPr>
                <w:sz w:val="20"/>
                <w:szCs w:val="20"/>
                <w:lang w:eastAsia="en-CA"/>
              </w:rPr>
              <w:t>Une nouvelle version du tableau de bord de la dotation de la CFP a été publiée, passant d</w:t>
            </w:r>
            <w:r w:rsidR="00C25AC9" w:rsidRPr="00C25AC9">
              <w:rPr>
                <w:sz w:val="20"/>
                <w:szCs w:val="20"/>
                <w:lang w:eastAsia="en-CA"/>
              </w:rPr>
              <w:t>’</w:t>
            </w:r>
            <w:r w:rsidRPr="00C25AC9">
              <w:rPr>
                <w:sz w:val="20"/>
                <w:szCs w:val="20"/>
                <w:lang w:eastAsia="en-CA"/>
              </w:rPr>
              <w:t xml:space="preserve">un produit basé sur Excel à un produit basé sur le Web. Au cours de nos consultations, divers intervenants ont exprimé leur intérêt à ce que du contenu supplémentaire soit présenté dans le tableau de bord. </w:t>
            </w:r>
          </w:p>
          <w:p w14:paraId="0BA6BF18" w14:textId="03D36D9A" w:rsidR="007F6C64" w:rsidRPr="00C25AC9" w:rsidRDefault="007F6C64" w:rsidP="007F6C64">
            <w:pPr>
              <w:rPr>
                <w:sz w:val="20"/>
                <w:szCs w:val="20"/>
                <w:lang w:eastAsia="en-CA"/>
              </w:rPr>
            </w:pPr>
            <w:r w:rsidRPr="00C25AC9">
              <w:rPr>
                <w:sz w:val="20"/>
                <w:szCs w:val="20"/>
                <w:lang w:eastAsia="en-CA"/>
              </w:rPr>
              <w:t>Q : Quels indicateurs peuvent être ajoutés au tableau de bord de la dotation?</w:t>
            </w:r>
          </w:p>
          <w:p w14:paraId="4011E7F5" w14:textId="54A8987E" w:rsidR="00122ED4" w:rsidRPr="00C25AC9" w:rsidRDefault="007F6C64" w:rsidP="007F6C64">
            <w:pPr>
              <w:rPr>
                <w:sz w:val="20"/>
                <w:szCs w:val="20"/>
                <w:lang w:eastAsia="en-CA"/>
              </w:rPr>
            </w:pPr>
            <w:r w:rsidRPr="00C25AC9">
              <w:rPr>
                <w:sz w:val="20"/>
                <w:szCs w:val="20"/>
                <w:lang w:eastAsia="en-CA"/>
              </w:rPr>
              <w:t>Q : Comment peut-on simplifier les données pour les harmoniser avec d</w:t>
            </w:r>
            <w:r w:rsidR="00C25AC9" w:rsidRPr="00C25AC9">
              <w:rPr>
                <w:sz w:val="20"/>
                <w:szCs w:val="20"/>
                <w:lang w:eastAsia="en-CA"/>
              </w:rPr>
              <w:t>’</w:t>
            </w:r>
            <w:r w:rsidRPr="00C25AC9">
              <w:rPr>
                <w:sz w:val="20"/>
                <w:szCs w:val="20"/>
                <w:lang w:eastAsia="en-CA"/>
              </w:rPr>
              <w:t>autres données de la CFP?</w:t>
            </w:r>
          </w:p>
          <w:p w14:paraId="67C3D2A1" w14:textId="09FC7FE5" w:rsidR="00E63433" w:rsidRPr="00C25AC9" w:rsidRDefault="00E63433" w:rsidP="00AB489B">
            <w:pPr>
              <w:rPr>
                <w:sz w:val="20"/>
                <w:szCs w:val="20"/>
                <w:lang w:eastAsia="en-CA"/>
              </w:rPr>
            </w:pPr>
          </w:p>
        </w:tc>
        <w:tc>
          <w:tcPr>
            <w:tcW w:w="2694" w:type="dxa"/>
          </w:tcPr>
          <w:p w14:paraId="5DFAB6AD" w14:textId="77777777" w:rsidR="00834196" w:rsidRPr="00C25AC9" w:rsidRDefault="00834196" w:rsidP="00AB489B">
            <w:pPr>
              <w:rPr>
                <w:rFonts w:cs="Arial"/>
                <w:sz w:val="20"/>
                <w:szCs w:val="20"/>
              </w:rPr>
            </w:pPr>
            <w:r w:rsidRPr="00C25AC9">
              <w:rPr>
                <w:rFonts w:cs="Arial"/>
                <w:sz w:val="20"/>
                <w:szCs w:val="20"/>
              </w:rPr>
              <w:t xml:space="preserve">Plus de points de données pertinents pour venir en aide aux professionnels responsables de la planification des RH. </w:t>
            </w:r>
          </w:p>
          <w:p w14:paraId="65AA07AD" w14:textId="77777777" w:rsidR="00834196" w:rsidRPr="00C25AC9" w:rsidRDefault="00834196" w:rsidP="00AB489B">
            <w:pPr>
              <w:rPr>
                <w:rFonts w:cs="Arial"/>
                <w:sz w:val="20"/>
                <w:szCs w:val="20"/>
              </w:rPr>
            </w:pPr>
          </w:p>
          <w:p w14:paraId="5E744F1E" w14:textId="33DFABDD" w:rsidR="007516B7" w:rsidRPr="00C25AC9" w:rsidRDefault="007516B7" w:rsidP="00AB489B">
            <w:pPr>
              <w:rPr>
                <w:rFonts w:cs="Arial"/>
                <w:sz w:val="20"/>
                <w:szCs w:val="20"/>
              </w:rPr>
            </w:pPr>
          </w:p>
        </w:tc>
        <w:tc>
          <w:tcPr>
            <w:tcW w:w="3969" w:type="dxa"/>
          </w:tcPr>
          <w:p w14:paraId="2F0C0991" w14:textId="3D9DBD6E" w:rsidR="007516B7" w:rsidRPr="00C25AC9" w:rsidRDefault="00006F53" w:rsidP="00AB489B">
            <w:pPr>
              <w:rPr>
                <w:rFonts w:cs="Arial"/>
                <w:sz w:val="20"/>
                <w:szCs w:val="20"/>
              </w:rPr>
            </w:pPr>
            <w:r w:rsidRPr="00C25AC9">
              <w:rPr>
                <w:rFonts w:cs="Arial"/>
                <w:sz w:val="20"/>
                <w:szCs w:val="20"/>
                <w:u w:val="single"/>
              </w:rPr>
              <w:t>ETP</w:t>
            </w:r>
            <w:r w:rsidRPr="00C25AC9">
              <w:rPr>
                <w:rFonts w:cs="Arial"/>
                <w:sz w:val="20"/>
                <w:szCs w:val="20"/>
              </w:rPr>
              <w:t> :</w:t>
            </w:r>
            <w:r w:rsidR="007516B7" w:rsidRPr="00C25AC9">
              <w:rPr>
                <w:rFonts w:cs="Arial"/>
                <w:sz w:val="20"/>
                <w:szCs w:val="20"/>
              </w:rPr>
              <w:t xml:space="preserve"> ½</w:t>
            </w:r>
          </w:p>
          <w:p w14:paraId="7BD7C714" w14:textId="77777777" w:rsidR="007516B7" w:rsidRPr="00C25AC9" w:rsidRDefault="007516B7" w:rsidP="00AB489B">
            <w:pPr>
              <w:rPr>
                <w:rFonts w:cs="Arial"/>
                <w:sz w:val="20"/>
                <w:szCs w:val="20"/>
              </w:rPr>
            </w:pPr>
          </w:p>
          <w:p w14:paraId="59155901" w14:textId="77777777" w:rsidR="0053384D" w:rsidRPr="00C25AC9" w:rsidRDefault="00E119EF" w:rsidP="00AB489B">
            <w:pPr>
              <w:rPr>
                <w:rFonts w:cs="Arial"/>
                <w:sz w:val="20"/>
                <w:szCs w:val="20"/>
              </w:rPr>
            </w:pPr>
            <w:r w:rsidRPr="00C25AC9">
              <w:rPr>
                <w:rFonts w:cs="Arial"/>
                <w:sz w:val="20"/>
                <w:szCs w:val="20"/>
                <w:u w:val="single"/>
              </w:rPr>
              <w:t>Données</w:t>
            </w:r>
            <w:r w:rsidR="0053384D" w:rsidRPr="00C25AC9">
              <w:rPr>
                <w:rFonts w:cs="Arial"/>
                <w:sz w:val="20"/>
                <w:szCs w:val="20"/>
              </w:rPr>
              <w:t> : Données administratives</w:t>
            </w:r>
          </w:p>
          <w:p w14:paraId="774E48AE" w14:textId="77777777" w:rsidR="0053384D" w:rsidRPr="00C25AC9" w:rsidRDefault="0053384D" w:rsidP="00AB489B">
            <w:pPr>
              <w:rPr>
                <w:rFonts w:cs="Arial"/>
                <w:sz w:val="20"/>
                <w:szCs w:val="20"/>
              </w:rPr>
            </w:pPr>
          </w:p>
          <w:p w14:paraId="760C9440" w14:textId="77777777" w:rsidR="0053384D" w:rsidRPr="00C25AC9" w:rsidRDefault="0053384D" w:rsidP="00AB489B">
            <w:pPr>
              <w:rPr>
                <w:rFonts w:cs="Arial"/>
                <w:sz w:val="20"/>
                <w:szCs w:val="20"/>
              </w:rPr>
            </w:pPr>
          </w:p>
          <w:p w14:paraId="53B70869" w14:textId="77777777" w:rsidR="007516B7" w:rsidRPr="00C25AC9" w:rsidRDefault="007516B7" w:rsidP="00AB489B">
            <w:pPr>
              <w:rPr>
                <w:rFonts w:cs="Arial"/>
                <w:sz w:val="20"/>
                <w:szCs w:val="20"/>
              </w:rPr>
            </w:pPr>
          </w:p>
        </w:tc>
      </w:tr>
      <w:tr w:rsidR="007516B7" w:rsidRPr="00C25AC9" w14:paraId="0F21B3AF" w14:textId="77777777" w:rsidTr="00372271">
        <w:tc>
          <w:tcPr>
            <w:tcW w:w="562" w:type="dxa"/>
          </w:tcPr>
          <w:p w14:paraId="08020AB2" w14:textId="77777777" w:rsidR="007516B7" w:rsidRPr="00C25AC9" w:rsidRDefault="007516B7" w:rsidP="00AB489B">
            <w:pPr>
              <w:rPr>
                <w:rFonts w:cs="Arial"/>
                <w:sz w:val="20"/>
                <w:szCs w:val="20"/>
              </w:rPr>
            </w:pPr>
            <w:r w:rsidRPr="00C25AC9">
              <w:rPr>
                <w:rFonts w:cs="Arial"/>
                <w:sz w:val="20"/>
                <w:szCs w:val="20"/>
              </w:rPr>
              <w:lastRenderedPageBreak/>
              <w:t>2</w:t>
            </w:r>
          </w:p>
        </w:tc>
        <w:tc>
          <w:tcPr>
            <w:tcW w:w="3544" w:type="dxa"/>
          </w:tcPr>
          <w:p w14:paraId="74AAC9D5" w14:textId="06C7BFE6" w:rsidR="00D043EB" w:rsidRPr="00C25AC9" w:rsidRDefault="00D043EB" w:rsidP="00AB489B">
            <w:pPr>
              <w:rPr>
                <w:rFonts w:cs="Arial"/>
                <w:b/>
                <w:sz w:val="20"/>
                <w:szCs w:val="20"/>
                <w:u w:val="single"/>
              </w:rPr>
            </w:pPr>
            <w:r w:rsidRPr="00C25AC9">
              <w:rPr>
                <w:rFonts w:cs="Arial"/>
                <w:b/>
                <w:sz w:val="20"/>
                <w:szCs w:val="20"/>
                <w:u w:val="single"/>
              </w:rPr>
              <w:t>Mise à jour de l</w:t>
            </w:r>
            <w:r w:rsidR="00C25AC9" w:rsidRPr="00C25AC9">
              <w:rPr>
                <w:rFonts w:cs="Arial"/>
                <w:b/>
                <w:sz w:val="20"/>
                <w:szCs w:val="20"/>
                <w:u w:val="single"/>
              </w:rPr>
              <w:t>’</w:t>
            </w:r>
            <w:r w:rsidRPr="00C25AC9">
              <w:rPr>
                <w:rFonts w:cs="Arial"/>
                <w:b/>
                <w:sz w:val="20"/>
                <w:szCs w:val="20"/>
                <w:u w:val="single"/>
              </w:rPr>
              <w:t>outil de prévision des demandes</w:t>
            </w:r>
          </w:p>
          <w:p w14:paraId="4C7D19C1" w14:textId="77777777" w:rsidR="00D043EB" w:rsidRPr="00C25AC9" w:rsidRDefault="00D043EB" w:rsidP="00AB489B">
            <w:pPr>
              <w:rPr>
                <w:rFonts w:cs="Arial"/>
                <w:b/>
                <w:sz w:val="20"/>
                <w:szCs w:val="20"/>
                <w:u w:val="single"/>
              </w:rPr>
            </w:pPr>
          </w:p>
          <w:p w14:paraId="63B49626" w14:textId="3C6D43D8" w:rsidR="007516B7" w:rsidRPr="00C25AC9" w:rsidRDefault="007516B7" w:rsidP="00AB489B">
            <w:pPr>
              <w:rPr>
                <w:rFonts w:cs="Arial"/>
                <w:b/>
                <w:sz w:val="20"/>
                <w:szCs w:val="20"/>
                <w:u w:val="single"/>
              </w:rPr>
            </w:pPr>
            <w:r w:rsidRPr="00C25AC9">
              <w:rPr>
                <w:rFonts w:cs="Arial"/>
                <w:b/>
                <w:sz w:val="20"/>
                <w:szCs w:val="20"/>
                <w:u w:val="single"/>
              </w:rPr>
              <w:t>Source</w:t>
            </w:r>
            <w:r w:rsidR="00D043EB" w:rsidRPr="00C25AC9">
              <w:rPr>
                <w:rFonts w:cs="Arial"/>
                <w:b/>
                <w:sz w:val="20"/>
                <w:szCs w:val="20"/>
                <w:u w:val="single"/>
              </w:rPr>
              <w:t xml:space="preserve"> </w:t>
            </w:r>
            <w:r w:rsidRPr="00C25AC9">
              <w:rPr>
                <w:rFonts w:cs="Arial"/>
                <w:b/>
                <w:sz w:val="20"/>
                <w:szCs w:val="20"/>
                <w:u w:val="single"/>
              </w:rPr>
              <w:t>: DS</w:t>
            </w:r>
            <w:r w:rsidR="00D043EB" w:rsidRPr="00C25AC9">
              <w:rPr>
                <w:rFonts w:cs="Arial"/>
                <w:b/>
                <w:sz w:val="20"/>
                <w:szCs w:val="20"/>
                <w:u w:val="single"/>
              </w:rPr>
              <w:t>DA</w:t>
            </w:r>
          </w:p>
          <w:p w14:paraId="46D07EF9" w14:textId="47A3F790" w:rsidR="00D043EB" w:rsidRPr="00C25AC9" w:rsidRDefault="00D043EB" w:rsidP="00AB489B">
            <w:pPr>
              <w:rPr>
                <w:rFonts w:cs="Arial"/>
                <w:b/>
                <w:sz w:val="20"/>
                <w:szCs w:val="20"/>
                <w:u w:val="single"/>
              </w:rPr>
            </w:pPr>
          </w:p>
          <w:p w14:paraId="3A1F6D2E" w14:textId="6560B4B4" w:rsidR="007516B7" w:rsidRPr="00C25AC9" w:rsidRDefault="007516B7" w:rsidP="00122ED4">
            <w:pPr>
              <w:rPr>
                <w:rFonts w:cs="Arial"/>
                <w:b/>
                <w:sz w:val="20"/>
                <w:szCs w:val="20"/>
                <w:u w:val="single"/>
              </w:rPr>
            </w:pPr>
            <w:r w:rsidRPr="00C25AC9">
              <w:rPr>
                <w:rFonts w:cs="Arial"/>
                <w:b/>
                <w:sz w:val="20"/>
                <w:szCs w:val="20"/>
                <w:u w:val="single"/>
              </w:rPr>
              <w:t>Client</w:t>
            </w:r>
            <w:r w:rsidR="00D043EB" w:rsidRPr="00C25AC9">
              <w:rPr>
                <w:rFonts w:cs="Arial"/>
                <w:b/>
                <w:sz w:val="20"/>
                <w:szCs w:val="20"/>
                <w:u w:val="single"/>
              </w:rPr>
              <w:t xml:space="preserve"> </w:t>
            </w:r>
            <w:r w:rsidRPr="00C25AC9">
              <w:rPr>
                <w:rFonts w:cs="Arial"/>
                <w:b/>
                <w:sz w:val="20"/>
                <w:szCs w:val="20"/>
                <w:u w:val="single"/>
              </w:rPr>
              <w:t xml:space="preserve">: </w:t>
            </w:r>
            <w:r w:rsidR="00D043EB" w:rsidRPr="00C25AC9">
              <w:rPr>
                <w:rFonts w:cs="Arial"/>
                <w:b/>
                <w:sz w:val="20"/>
                <w:szCs w:val="20"/>
                <w:u w:val="single"/>
              </w:rPr>
              <w:t xml:space="preserve">Secteur des politiques et des communications (SPC) </w:t>
            </w:r>
            <w:r w:rsidR="00C67670" w:rsidRPr="00C25AC9">
              <w:rPr>
                <w:rFonts w:cs="Arial"/>
                <w:b/>
                <w:sz w:val="20"/>
                <w:szCs w:val="20"/>
                <w:u w:val="single"/>
              </w:rPr>
              <w:t>/ SSAD???, Secteur des affaires ministérielles</w:t>
            </w:r>
          </w:p>
        </w:tc>
        <w:tc>
          <w:tcPr>
            <w:tcW w:w="6662" w:type="dxa"/>
          </w:tcPr>
          <w:p w14:paraId="51AA2B77" w14:textId="44E6B78C" w:rsidR="007F6C64" w:rsidRPr="00C25AC9" w:rsidRDefault="007F6C64" w:rsidP="007F6C64">
            <w:pPr>
              <w:rPr>
                <w:sz w:val="20"/>
                <w:szCs w:val="20"/>
                <w:lang w:eastAsia="en-CA"/>
              </w:rPr>
            </w:pPr>
            <w:r w:rsidRPr="00C25AC9">
              <w:rPr>
                <w:sz w:val="20"/>
                <w:szCs w:val="20"/>
                <w:lang w:eastAsia="en-CA"/>
              </w:rPr>
              <w:t>Une évaluation de l</w:t>
            </w:r>
            <w:r w:rsidR="00C25AC9" w:rsidRPr="00C25AC9">
              <w:rPr>
                <w:sz w:val="20"/>
                <w:szCs w:val="20"/>
                <w:lang w:eastAsia="en-CA"/>
              </w:rPr>
              <w:t>’</w:t>
            </w:r>
            <w:r w:rsidRPr="00C25AC9">
              <w:rPr>
                <w:sz w:val="20"/>
                <w:szCs w:val="20"/>
                <w:lang w:eastAsia="en-CA"/>
              </w:rPr>
              <w:t>outil de prévision des demandes a révélé que nos prévisions étaient inexactes en raison du grand nombre de facteurs dont il fallait tenir compte pour prévoir le nombre de candidats. Une autre interface visuelle sera mise au point afin de fournir aux praticiens des RH des renseignements plus pertinents pour évaluer le nombre de candidats qui postuleront dans le cadre de leur processus de RH.</w:t>
            </w:r>
          </w:p>
          <w:p w14:paraId="06182B62" w14:textId="73751455" w:rsidR="007516B7" w:rsidRPr="00C25AC9" w:rsidRDefault="007F6C64" w:rsidP="00122ED4">
            <w:pPr>
              <w:rPr>
                <w:sz w:val="20"/>
                <w:szCs w:val="20"/>
                <w:lang w:eastAsia="en-CA"/>
              </w:rPr>
            </w:pPr>
            <w:r w:rsidRPr="00C25AC9">
              <w:rPr>
                <w:sz w:val="20"/>
                <w:szCs w:val="20"/>
                <w:lang w:eastAsia="en-CA"/>
              </w:rPr>
              <w:t>Q : Comment présenter l</w:t>
            </w:r>
            <w:r w:rsidR="00C25AC9" w:rsidRPr="00C25AC9">
              <w:rPr>
                <w:sz w:val="20"/>
                <w:szCs w:val="20"/>
                <w:lang w:eastAsia="en-CA"/>
              </w:rPr>
              <w:t>’</w:t>
            </w:r>
            <w:r w:rsidRPr="00C25AC9">
              <w:rPr>
                <w:sz w:val="20"/>
                <w:szCs w:val="20"/>
                <w:lang w:eastAsia="en-CA"/>
              </w:rPr>
              <w:t>information sur le nombre potentiel de candidats à un processus de dotation?</w:t>
            </w:r>
          </w:p>
        </w:tc>
        <w:tc>
          <w:tcPr>
            <w:tcW w:w="2694" w:type="dxa"/>
          </w:tcPr>
          <w:p w14:paraId="228F10DB" w14:textId="35F0A856" w:rsidR="00834196" w:rsidRPr="00C25AC9" w:rsidRDefault="00834196" w:rsidP="00AB489B">
            <w:pPr>
              <w:rPr>
                <w:rFonts w:cs="Arial"/>
                <w:sz w:val="20"/>
                <w:szCs w:val="20"/>
              </w:rPr>
            </w:pPr>
            <w:r w:rsidRPr="00C25AC9">
              <w:rPr>
                <w:rFonts w:cs="Arial"/>
                <w:sz w:val="20"/>
                <w:szCs w:val="20"/>
              </w:rPr>
              <w:t xml:space="preserve">Un outil de visualisation actualisé qui permet aux professionnels des RH de planifier leurs processus. </w:t>
            </w:r>
          </w:p>
          <w:p w14:paraId="6F7E74A9" w14:textId="77777777" w:rsidR="00834196" w:rsidRPr="00C25AC9" w:rsidRDefault="00834196" w:rsidP="00AB489B">
            <w:pPr>
              <w:rPr>
                <w:rFonts w:cs="Arial"/>
                <w:sz w:val="20"/>
                <w:szCs w:val="20"/>
              </w:rPr>
            </w:pPr>
          </w:p>
          <w:p w14:paraId="68451482" w14:textId="517518A9" w:rsidR="007516B7" w:rsidRPr="00C25AC9" w:rsidRDefault="007516B7" w:rsidP="00AB489B">
            <w:pPr>
              <w:rPr>
                <w:rFonts w:cs="Arial"/>
                <w:sz w:val="20"/>
                <w:szCs w:val="20"/>
              </w:rPr>
            </w:pPr>
          </w:p>
        </w:tc>
        <w:tc>
          <w:tcPr>
            <w:tcW w:w="3969" w:type="dxa"/>
          </w:tcPr>
          <w:p w14:paraId="07ACA3C5" w14:textId="247E7A80" w:rsidR="00177B1A" w:rsidRPr="00C25AC9" w:rsidRDefault="00006F53" w:rsidP="00177B1A">
            <w:pPr>
              <w:rPr>
                <w:rFonts w:cs="Arial"/>
                <w:sz w:val="20"/>
                <w:szCs w:val="20"/>
              </w:rPr>
            </w:pPr>
            <w:r w:rsidRPr="00C25AC9">
              <w:rPr>
                <w:rFonts w:cs="Arial"/>
                <w:sz w:val="20"/>
                <w:szCs w:val="20"/>
                <w:u w:val="single"/>
              </w:rPr>
              <w:t>ETP</w:t>
            </w:r>
            <w:r w:rsidRPr="00C25AC9">
              <w:rPr>
                <w:rFonts w:cs="Arial"/>
                <w:sz w:val="20"/>
                <w:szCs w:val="20"/>
              </w:rPr>
              <w:t xml:space="preserve"> : </w:t>
            </w:r>
            <w:r w:rsidR="00177B1A" w:rsidRPr="00C25AC9">
              <w:rPr>
                <w:rFonts w:cs="Arial"/>
                <w:sz w:val="20"/>
                <w:szCs w:val="20"/>
              </w:rPr>
              <w:t xml:space="preserve">¼ </w:t>
            </w:r>
          </w:p>
          <w:p w14:paraId="05136C3A" w14:textId="77777777" w:rsidR="00177B1A" w:rsidRPr="00C25AC9" w:rsidRDefault="00177B1A" w:rsidP="00177B1A">
            <w:pPr>
              <w:rPr>
                <w:rFonts w:cs="Arial"/>
                <w:sz w:val="20"/>
                <w:szCs w:val="20"/>
              </w:rPr>
            </w:pPr>
          </w:p>
          <w:p w14:paraId="5AB3D593" w14:textId="77777777" w:rsidR="0053384D" w:rsidRPr="00C25AC9" w:rsidRDefault="00E119EF" w:rsidP="00177B1A">
            <w:pPr>
              <w:rPr>
                <w:rFonts w:cs="Arial"/>
                <w:sz w:val="20"/>
                <w:szCs w:val="20"/>
              </w:rPr>
            </w:pPr>
            <w:r w:rsidRPr="00C25AC9">
              <w:rPr>
                <w:rFonts w:cs="Arial"/>
                <w:sz w:val="20"/>
                <w:szCs w:val="20"/>
                <w:u w:val="single"/>
              </w:rPr>
              <w:t>Données</w:t>
            </w:r>
            <w:r w:rsidR="0053384D" w:rsidRPr="00C25AC9">
              <w:rPr>
                <w:rFonts w:cs="Arial"/>
                <w:sz w:val="20"/>
                <w:szCs w:val="20"/>
              </w:rPr>
              <w:t> : Données administratives</w:t>
            </w:r>
          </w:p>
          <w:p w14:paraId="0B392F16" w14:textId="77777777" w:rsidR="0053384D" w:rsidRPr="00C25AC9" w:rsidRDefault="0053384D" w:rsidP="00177B1A">
            <w:pPr>
              <w:rPr>
                <w:rFonts w:cs="Arial"/>
                <w:sz w:val="20"/>
                <w:szCs w:val="20"/>
              </w:rPr>
            </w:pPr>
          </w:p>
          <w:p w14:paraId="552B8E43" w14:textId="143FFC77" w:rsidR="00177B1A" w:rsidRPr="00C25AC9" w:rsidRDefault="00177B1A" w:rsidP="00177B1A">
            <w:pPr>
              <w:rPr>
                <w:rFonts w:cs="Arial"/>
                <w:sz w:val="20"/>
                <w:szCs w:val="20"/>
              </w:rPr>
            </w:pPr>
          </w:p>
          <w:p w14:paraId="3D30AB20" w14:textId="77777777" w:rsidR="007516B7" w:rsidRPr="00C25AC9" w:rsidRDefault="007516B7" w:rsidP="00AB489B">
            <w:pPr>
              <w:rPr>
                <w:rFonts w:cs="Arial"/>
                <w:sz w:val="20"/>
                <w:szCs w:val="20"/>
                <w:u w:val="single"/>
              </w:rPr>
            </w:pPr>
          </w:p>
        </w:tc>
      </w:tr>
      <w:tr w:rsidR="007516B7" w:rsidRPr="00C25AC9" w14:paraId="5788767B" w14:textId="77777777" w:rsidTr="00372271">
        <w:tc>
          <w:tcPr>
            <w:tcW w:w="562" w:type="dxa"/>
          </w:tcPr>
          <w:p w14:paraId="1AF6F7E0" w14:textId="77777777" w:rsidR="007516B7" w:rsidRPr="00C25AC9" w:rsidRDefault="007516B7" w:rsidP="00AB489B">
            <w:pPr>
              <w:rPr>
                <w:rFonts w:cs="Arial"/>
                <w:sz w:val="20"/>
                <w:szCs w:val="20"/>
              </w:rPr>
            </w:pPr>
            <w:r w:rsidRPr="00C25AC9">
              <w:rPr>
                <w:rFonts w:cs="Arial"/>
                <w:sz w:val="20"/>
                <w:szCs w:val="20"/>
              </w:rPr>
              <w:t>3</w:t>
            </w:r>
          </w:p>
        </w:tc>
        <w:tc>
          <w:tcPr>
            <w:tcW w:w="3544" w:type="dxa"/>
          </w:tcPr>
          <w:p w14:paraId="37FC3D2F" w14:textId="77777777" w:rsidR="00C67670" w:rsidRPr="00C25AC9" w:rsidRDefault="00C67670" w:rsidP="00AB489B">
            <w:pPr>
              <w:rPr>
                <w:rFonts w:cs="Arial"/>
                <w:b/>
                <w:sz w:val="20"/>
                <w:szCs w:val="20"/>
                <w:u w:val="single"/>
              </w:rPr>
            </w:pPr>
            <w:r w:rsidRPr="00C25AC9">
              <w:rPr>
                <w:rFonts w:cs="Arial"/>
                <w:b/>
                <w:sz w:val="20"/>
                <w:szCs w:val="20"/>
                <w:u w:val="single"/>
              </w:rPr>
              <w:t>Visualisation du rapport annuel</w:t>
            </w:r>
          </w:p>
          <w:p w14:paraId="150C0A8E" w14:textId="77777777" w:rsidR="00C67670" w:rsidRPr="00C25AC9" w:rsidRDefault="00C67670" w:rsidP="00AB489B">
            <w:pPr>
              <w:rPr>
                <w:rFonts w:cs="Arial"/>
                <w:b/>
                <w:sz w:val="20"/>
                <w:szCs w:val="20"/>
                <w:u w:val="single"/>
              </w:rPr>
            </w:pPr>
          </w:p>
          <w:p w14:paraId="692BF9EA" w14:textId="77777777" w:rsidR="00C67670" w:rsidRPr="00C25AC9" w:rsidRDefault="007516B7" w:rsidP="00AB489B">
            <w:pPr>
              <w:rPr>
                <w:rFonts w:cs="Arial"/>
                <w:b/>
                <w:sz w:val="20"/>
                <w:szCs w:val="20"/>
                <w:u w:val="single"/>
              </w:rPr>
            </w:pPr>
            <w:r w:rsidRPr="00C25AC9">
              <w:rPr>
                <w:rFonts w:cs="Arial"/>
                <w:b/>
                <w:sz w:val="20"/>
                <w:szCs w:val="20"/>
                <w:u w:val="single"/>
              </w:rPr>
              <w:t>Source</w:t>
            </w:r>
            <w:r w:rsidR="00C67670" w:rsidRPr="00C25AC9">
              <w:rPr>
                <w:rFonts w:cs="Arial"/>
                <w:b/>
                <w:sz w:val="20"/>
                <w:szCs w:val="20"/>
                <w:u w:val="single"/>
              </w:rPr>
              <w:t xml:space="preserve"> : Secteur des politiques et des communications (SPC)</w:t>
            </w:r>
          </w:p>
          <w:p w14:paraId="6BBDC1B5" w14:textId="77777777" w:rsidR="00C67670" w:rsidRPr="00C25AC9" w:rsidRDefault="00C67670" w:rsidP="00AB489B">
            <w:pPr>
              <w:rPr>
                <w:rFonts w:cs="Arial"/>
                <w:b/>
                <w:sz w:val="20"/>
                <w:szCs w:val="20"/>
                <w:u w:val="single"/>
              </w:rPr>
            </w:pPr>
          </w:p>
          <w:p w14:paraId="496AC545" w14:textId="5C4C9329" w:rsidR="007516B7" w:rsidRPr="00C25AC9" w:rsidRDefault="007516B7" w:rsidP="00122ED4">
            <w:pPr>
              <w:rPr>
                <w:rFonts w:cs="Arial"/>
                <w:b/>
                <w:sz w:val="20"/>
                <w:szCs w:val="20"/>
                <w:u w:val="single"/>
              </w:rPr>
            </w:pPr>
            <w:r w:rsidRPr="00C25AC9">
              <w:rPr>
                <w:rFonts w:cs="Arial"/>
                <w:b/>
                <w:sz w:val="20"/>
                <w:szCs w:val="20"/>
                <w:u w:val="single"/>
              </w:rPr>
              <w:t>Client</w:t>
            </w:r>
            <w:r w:rsidR="00C67670" w:rsidRPr="00C25AC9">
              <w:rPr>
                <w:rFonts w:cs="Arial"/>
                <w:b/>
                <w:sz w:val="20"/>
                <w:szCs w:val="20"/>
                <w:u w:val="single"/>
              </w:rPr>
              <w:t> </w:t>
            </w:r>
            <w:r w:rsidRPr="00C25AC9">
              <w:rPr>
                <w:rFonts w:cs="Arial"/>
                <w:b/>
                <w:sz w:val="20"/>
                <w:szCs w:val="20"/>
                <w:u w:val="single"/>
              </w:rPr>
              <w:t xml:space="preserve">: </w:t>
            </w:r>
            <w:r w:rsidR="00C67670" w:rsidRPr="00C25AC9">
              <w:rPr>
                <w:rFonts w:cs="Arial"/>
                <w:b/>
                <w:sz w:val="20"/>
                <w:szCs w:val="20"/>
                <w:u w:val="single"/>
              </w:rPr>
              <w:t>Secteur des politiques et des communications (SPC)</w:t>
            </w:r>
          </w:p>
        </w:tc>
        <w:tc>
          <w:tcPr>
            <w:tcW w:w="6662" w:type="dxa"/>
          </w:tcPr>
          <w:p w14:paraId="00F77ABB" w14:textId="50DFABA9" w:rsidR="007F6C64" w:rsidRPr="00C25AC9" w:rsidRDefault="007F6C64" w:rsidP="007F6C64">
            <w:pPr>
              <w:rPr>
                <w:sz w:val="20"/>
                <w:szCs w:val="20"/>
                <w:lang w:eastAsia="en-CA"/>
              </w:rPr>
            </w:pPr>
            <w:r w:rsidRPr="00C25AC9">
              <w:rPr>
                <w:sz w:val="20"/>
                <w:szCs w:val="20"/>
                <w:lang w:eastAsia="en-CA"/>
              </w:rPr>
              <w:t>L</w:t>
            </w:r>
            <w:r w:rsidR="00C25AC9" w:rsidRPr="00C25AC9">
              <w:rPr>
                <w:sz w:val="20"/>
                <w:szCs w:val="20"/>
                <w:lang w:eastAsia="en-CA"/>
              </w:rPr>
              <w:t>’</w:t>
            </w:r>
            <w:r w:rsidRPr="00C25AC9">
              <w:rPr>
                <w:sz w:val="20"/>
                <w:szCs w:val="20"/>
                <w:lang w:eastAsia="en-CA"/>
              </w:rPr>
              <w:t xml:space="preserve">équipe </w:t>
            </w:r>
            <w:r w:rsidR="00D316B6" w:rsidRPr="00C25AC9">
              <w:rPr>
                <w:sz w:val="20"/>
                <w:szCs w:val="20"/>
                <w:lang w:eastAsia="en-CA"/>
              </w:rPr>
              <w:t>responsable</w:t>
            </w:r>
            <w:r w:rsidRPr="00C25AC9">
              <w:rPr>
                <w:sz w:val="20"/>
                <w:szCs w:val="20"/>
                <w:lang w:eastAsia="en-CA"/>
              </w:rPr>
              <w:t xml:space="preserve"> du rapport annuel de la CFP doit être en mesure de manipuler facilement les données à l</w:t>
            </w:r>
            <w:r w:rsidR="00C25AC9" w:rsidRPr="00C25AC9">
              <w:rPr>
                <w:sz w:val="20"/>
                <w:szCs w:val="20"/>
                <w:lang w:eastAsia="en-CA"/>
              </w:rPr>
              <w:t>’</w:t>
            </w:r>
            <w:r w:rsidRPr="00C25AC9">
              <w:rPr>
                <w:sz w:val="20"/>
                <w:szCs w:val="20"/>
                <w:lang w:eastAsia="en-CA"/>
              </w:rPr>
              <w:t>aide d</w:t>
            </w:r>
            <w:r w:rsidR="00C25AC9" w:rsidRPr="00C25AC9">
              <w:rPr>
                <w:sz w:val="20"/>
                <w:szCs w:val="20"/>
                <w:lang w:eastAsia="en-CA"/>
              </w:rPr>
              <w:t>’</w:t>
            </w:r>
            <w:r w:rsidRPr="00C25AC9">
              <w:rPr>
                <w:sz w:val="20"/>
                <w:szCs w:val="20"/>
                <w:lang w:eastAsia="en-CA"/>
              </w:rPr>
              <w:t xml:space="preserve">un outil de données interactif. Ce projet vise à doter cette équipe des données et des outils adéquats pour produire le rapport annuel de la CFP. </w:t>
            </w:r>
          </w:p>
          <w:p w14:paraId="5521A88D" w14:textId="42538D88" w:rsidR="007516B7" w:rsidRPr="00C25AC9" w:rsidRDefault="007F6C64" w:rsidP="00122ED4">
            <w:pPr>
              <w:rPr>
                <w:sz w:val="20"/>
                <w:szCs w:val="20"/>
                <w:lang w:eastAsia="en-CA"/>
              </w:rPr>
            </w:pPr>
            <w:r w:rsidRPr="00C25AC9">
              <w:rPr>
                <w:sz w:val="20"/>
                <w:szCs w:val="20"/>
                <w:lang w:eastAsia="en-CA"/>
              </w:rPr>
              <w:t>Q : De quels outils les équipes chargées du rapport annuel de la CFP ont-elles besoin?</w:t>
            </w:r>
          </w:p>
        </w:tc>
        <w:tc>
          <w:tcPr>
            <w:tcW w:w="2694" w:type="dxa"/>
          </w:tcPr>
          <w:p w14:paraId="074C004B" w14:textId="54F63A99" w:rsidR="007516B7" w:rsidRPr="00C25AC9" w:rsidRDefault="00834196" w:rsidP="00122ED4">
            <w:pPr>
              <w:rPr>
                <w:rFonts w:cs="Arial"/>
                <w:sz w:val="20"/>
                <w:szCs w:val="20"/>
              </w:rPr>
            </w:pPr>
            <w:r w:rsidRPr="00C25AC9">
              <w:rPr>
                <w:rFonts w:cs="Arial"/>
                <w:sz w:val="20"/>
                <w:szCs w:val="20"/>
              </w:rPr>
              <w:t>Un outil de données qui permet à l</w:t>
            </w:r>
            <w:r w:rsidR="00C25AC9" w:rsidRPr="00C25AC9">
              <w:rPr>
                <w:rFonts w:cs="Arial"/>
                <w:sz w:val="20"/>
                <w:szCs w:val="20"/>
              </w:rPr>
              <w:t>’</w:t>
            </w:r>
            <w:r w:rsidRPr="00C25AC9">
              <w:rPr>
                <w:rFonts w:cs="Arial"/>
                <w:sz w:val="20"/>
                <w:szCs w:val="20"/>
              </w:rPr>
              <w:t>équipe de production du rapport annuel d</w:t>
            </w:r>
            <w:r w:rsidR="00C25AC9" w:rsidRPr="00C25AC9">
              <w:rPr>
                <w:rFonts w:cs="Arial"/>
                <w:sz w:val="20"/>
                <w:szCs w:val="20"/>
              </w:rPr>
              <w:t>’</w:t>
            </w:r>
            <w:r w:rsidRPr="00C25AC9">
              <w:rPr>
                <w:rFonts w:cs="Arial"/>
                <w:sz w:val="20"/>
                <w:szCs w:val="20"/>
              </w:rPr>
              <w:t>accéder aux données qu</w:t>
            </w:r>
            <w:r w:rsidR="00C25AC9" w:rsidRPr="00C25AC9">
              <w:rPr>
                <w:rFonts w:cs="Arial"/>
                <w:sz w:val="20"/>
                <w:szCs w:val="20"/>
              </w:rPr>
              <w:t>’</w:t>
            </w:r>
            <w:r w:rsidRPr="00C25AC9">
              <w:rPr>
                <w:rFonts w:cs="Arial"/>
                <w:sz w:val="20"/>
                <w:szCs w:val="20"/>
              </w:rPr>
              <w:t>il lui faut pour produire un rapport pertinent en temps opportun.</w:t>
            </w:r>
          </w:p>
        </w:tc>
        <w:tc>
          <w:tcPr>
            <w:tcW w:w="3969" w:type="dxa"/>
          </w:tcPr>
          <w:p w14:paraId="3BA08991" w14:textId="40379BEA" w:rsidR="00177B1A" w:rsidRPr="00C25AC9" w:rsidRDefault="00006F53" w:rsidP="00177B1A">
            <w:pPr>
              <w:rPr>
                <w:rFonts w:cs="Arial"/>
                <w:sz w:val="20"/>
                <w:szCs w:val="20"/>
              </w:rPr>
            </w:pPr>
            <w:r w:rsidRPr="00C25AC9">
              <w:rPr>
                <w:rFonts w:cs="Arial"/>
                <w:sz w:val="20"/>
                <w:szCs w:val="20"/>
                <w:u w:val="single"/>
              </w:rPr>
              <w:t>ETP</w:t>
            </w:r>
            <w:r w:rsidRPr="00C25AC9">
              <w:rPr>
                <w:rFonts w:cs="Arial"/>
                <w:sz w:val="20"/>
                <w:szCs w:val="20"/>
              </w:rPr>
              <w:t xml:space="preserve"> : </w:t>
            </w:r>
            <w:r w:rsidR="00177B1A" w:rsidRPr="00C25AC9">
              <w:rPr>
                <w:rFonts w:cs="Arial"/>
                <w:sz w:val="20"/>
                <w:szCs w:val="20"/>
              </w:rPr>
              <w:t xml:space="preserve">¼ </w:t>
            </w:r>
          </w:p>
          <w:p w14:paraId="18CA44C3" w14:textId="77777777" w:rsidR="00177B1A" w:rsidRPr="00C25AC9" w:rsidRDefault="00177B1A" w:rsidP="00177B1A">
            <w:pPr>
              <w:rPr>
                <w:rFonts w:cs="Arial"/>
                <w:sz w:val="20"/>
                <w:szCs w:val="20"/>
              </w:rPr>
            </w:pPr>
          </w:p>
          <w:p w14:paraId="6AA2FFA3" w14:textId="77777777" w:rsidR="0053384D" w:rsidRPr="00C25AC9" w:rsidRDefault="00E119EF" w:rsidP="00177B1A">
            <w:pPr>
              <w:rPr>
                <w:rFonts w:cs="Arial"/>
                <w:sz w:val="20"/>
                <w:szCs w:val="20"/>
              </w:rPr>
            </w:pPr>
            <w:r w:rsidRPr="00C25AC9">
              <w:rPr>
                <w:rFonts w:cs="Arial"/>
                <w:sz w:val="20"/>
                <w:szCs w:val="20"/>
                <w:u w:val="single"/>
              </w:rPr>
              <w:t>Données</w:t>
            </w:r>
            <w:r w:rsidR="0053384D" w:rsidRPr="00C25AC9">
              <w:rPr>
                <w:rFonts w:cs="Arial"/>
                <w:sz w:val="20"/>
                <w:szCs w:val="20"/>
              </w:rPr>
              <w:t> : Données administratives</w:t>
            </w:r>
          </w:p>
          <w:p w14:paraId="537D5472" w14:textId="77777777" w:rsidR="0053384D" w:rsidRPr="00C25AC9" w:rsidRDefault="0053384D" w:rsidP="00177B1A">
            <w:pPr>
              <w:rPr>
                <w:rFonts w:cs="Arial"/>
                <w:sz w:val="20"/>
                <w:szCs w:val="20"/>
              </w:rPr>
            </w:pPr>
          </w:p>
          <w:p w14:paraId="25AAA3FF" w14:textId="77777777" w:rsidR="0053384D" w:rsidRPr="00C25AC9" w:rsidRDefault="0053384D" w:rsidP="00177B1A">
            <w:pPr>
              <w:rPr>
                <w:rFonts w:cs="Arial"/>
                <w:sz w:val="20"/>
                <w:szCs w:val="20"/>
              </w:rPr>
            </w:pPr>
          </w:p>
          <w:p w14:paraId="09B3F346" w14:textId="77777777" w:rsidR="007516B7" w:rsidRPr="00C25AC9" w:rsidRDefault="007516B7" w:rsidP="00122ED4">
            <w:pPr>
              <w:rPr>
                <w:rFonts w:cs="Arial"/>
                <w:sz w:val="20"/>
                <w:szCs w:val="20"/>
                <w:u w:val="single"/>
              </w:rPr>
            </w:pPr>
          </w:p>
        </w:tc>
      </w:tr>
      <w:tr w:rsidR="007516B7" w:rsidRPr="00C25AC9" w14:paraId="2A7A16DB" w14:textId="77777777" w:rsidTr="00372271">
        <w:tc>
          <w:tcPr>
            <w:tcW w:w="562" w:type="dxa"/>
          </w:tcPr>
          <w:p w14:paraId="29363369" w14:textId="77777777" w:rsidR="007516B7" w:rsidRPr="00C25AC9" w:rsidRDefault="007516B7" w:rsidP="00AB489B">
            <w:pPr>
              <w:rPr>
                <w:rFonts w:cs="Arial"/>
                <w:sz w:val="20"/>
                <w:szCs w:val="20"/>
              </w:rPr>
            </w:pPr>
            <w:r w:rsidRPr="00C25AC9">
              <w:rPr>
                <w:rFonts w:cs="Arial"/>
                <w:sz w:val="20"/>
                <w:szCs w:val="20"/>
              </w:rPr>
              <w:t>4</w:t>
            </w:r>
          </w:p>
        </w:tc>
        <w:tc>
          <w:tcPr>
            <w:tcW w:w="3544" w:type="dxa"/>
          </w:tcPr>
          <w:p w14:paraId="0AF6D836" w14:textId="77777777" w:rsidR="00C67670" w:rsidRPr="00C25AC9" w:rsidRDefault="00C67670" w:rsidP="00AB489B">
            <w:pPr>
              <w:rPr>
                <w:rFonts w:cs="Arial"/>
                <w:b/>
                <w:sz w:val="20"/>
                <w:szCs w:val="20"/>
                <w:u w:val="single"/>
              </w:rPr>
            </w:pPr>
            <w:r w:rsidRPr="00C25AC9">
              <w:rPr>
                <w:rFonts w:cs="Arial"/>
                <w:b/>
                <w:sz w:val="20"/>
                <w:szCs w:val="20"/>
                <w:u w:val="single"/>
              </w:rPr>
              <w:t>Série de sondages auprès des fonctionnaires fédéraux</w:t>
            </w:r>
          </w:p>
          <w:p w14:paraId="096F3CBD" w14:textId="77777777" w:rsidR="00C67670" w:rsidRPr="00C25AC9" w:rsidRDefault="00C67670" w:rsidP="00AB489B">
            <w:pPr>
              <w:rPr>
                <w:rFonts w:cs="Arial"/>
                <w:b/>
                <w:sz w:val="20"/>
                <w:szCs w:val="20"/>
                <w:u w:val="single"/>
              </w:rPr>
            </w:pPr>
          </w:p>
          <w:p w14:paraId="54040684" w14:textId="77777777" w:rsidR="00BD0727" w:rsidRPr="00C25AC9" w:rsidRDefault="007516B7" w:rsidP="00AB489B">
            <w:pPr>
              <w:rPr>
                <w:rFonts w:cs="Arial"/>
                <w:b/>
                <w:sz w:val="20"/>
                <w:szCs w:val="20"/>
                <w:u w:val="single"/>
              </w:rPr>
            </w:pPr>
            <w:r w:rsidRPr="00C25AC9">
              <w:rPr>
                <w:rFonts w:cs="Arial"/>
                <w:b/>
                <w:sz w:val="20"/>
                <w:szCs w:val="20"/>
                <w:u w:val="single"/>
              </w:rPr>
              <w:t>Source</w:t>
            </w:r>
            <w:r w:rsidR="00BD0727" w:rsidRPr="00C25AC9">
              <w:rPr>
                <w:rFonts w:cs="Arial"/>
                <w:b/>
                <w:sz w:val="20"/>
                <w:szCs w:val="20"/>
                <w:u w:val="single"/>
              </w:rPr>
              <w:t xml:space="preserve"> </w:t>
            </w:r>
            <w:r w:rsidRPr="00C25AC9">
              <w:rPr>
                <w:rFonts w:cs="Arial"/>
                <w:b/>
                <w:sz w:val="20"/>
                <w:szCs w:val="20"/>
                <w:u w:val="single"/>
              </w:rPr>
              <w:t xml:space="preserve">: </w:t>
            </w:r>
            <w:r w:rsidR="00BD0727" w:rsidRPr="00C25AC9">
              <w:rPr>
                <w:rFonts w:cs="Arial"/>
                <w:b/>
                <w:sz w:val="20"/>
                <w:szCs w:val="20"/>
                <w:u w:val="single"/>
              </w:rPr>
              <w:t>DSDA</w:t>
            </w:r>
          </w:p>
          <w:p w14:paraId="26DA5F91" w14:textId="77777777" w:rsidR="007516B7" w:rsidRPr="00C25AC9" w:rsidRDefault="007516B7" w:rsidP="00AB489B">
            <w:pPr>
              <w:rPr>
                <w:rFonts w:cs="Arial"/>
                <w:b/>
                <w:sz w:val="20"/>
                <w:szCs w:val="20"/>
                <w:u w:val="single"/>
              </w:rPr>
            </w:pPr>
          </w:p>
          <w:p w14:paraId="2290FAF8" w14:textId="540BB5C7" w:rsidR="00B47855" w:rsidRPr="00C25AC9" w:rsidRDefault="007516B7" w:rsidP="00514727">
            <w:pPr>
              <w:rPr>
                <w:rFonts w:cs="Arial"/>
                <w:sz w:val="20"/>
                <w:szCs w:val="20"/>
              </w:rPr>
            </w:pPr>
            <w:r w:rsidRPr="00C25AC9">
              <w:rPr>
                <w:rFonts w:cs="Arial"/>
                <w:b/>
                <w:sz w:val="20"/>
                <w:szCs w:val="20"/>
                <w:u w:val="single"/>
              </w:rPr>
              <w:t>Client</w:t>
            </w:r>
            <w:r w:rsidR="00BD0727" w:rsidRPr="00C25AC9">
              <w:rPr>
                <w:rFonts w:cs="Arial"/>
                <w:b/>
                <w:sz w:val="20"/>
                <w:szCs w:val="20"/>
                <w:u w:val="single"/>
              </w:rPr>
              <w:t> </w:t>
            </w:r>
            <w:r w:rsidRPr="00C25AC9">
              <w:rPr>
                <w:rFonts w:cs="Arial"/>
                <w:b/>
                <w:sz w:val="20"/>
                <w:szCs w:val="20"/>
                <w:u w:val="single"/>
              </w:rPr>
              <w:t xml:space="preserve">: </w:t>
            </w:r>
            <w:r w:rsidR="00BD0727" w:rsidRPr="00C25AC9">
              <w:rPr>
                <w:rFonts w:cs="Arial"/>
                <w:b/>
                <w:sz w:val="20"/>
                <w:szCs w:val="20"/>
                <w:u w:val="single"/>
              </w:rPr>
              <w:t>Secteur des affaires ministérielles</w:t>
            </w:r>
          </w:p>
        </w:tc>
        <w:tc>
          <w:tcPr>
            <w:tcW w:w="6662" w:type="dxa"/>
          </w:tcPr>
          <w:p w14:paraId="70030FE8" w14:textId="0A223D8A" w:rsidR="007F6C64" w:rsidRPr="00C25AC9" w:rsidRDefault="007F6C64" w:rsidP="007F6C64">
            <w:pPr>
              <w:rPr>
                <w:sz w:val="20"/>
                <w:szCs w:val="20"/>
                <w:lang w:eastAsia="en-CA"/>
              </w:rPr>
            </w:pPr>
            <w:r w:rsidRPr="00C25AC9">
              <w:rPr>
                <w:sz w:val="20"/>
                <w:szCs w:val="20"/>
                <w:lang w:eastAsia="en-CA"/>
              </w:rPr>
              <w:t>Un nombre accru de demandes a été présenté à la DSDA pour produire des données internes agrégées sur les résultats du Sondage auprès des fonctionnaires fédéraux (SAFF). Afin de répondre aux demandes en temps opportun, un outil sera créé pour permettre aux employés de la CFP d</w:t>
            </w:r>
            <w:r w:rsidR="00C25AC9" w:rsidRPr="00C25AC9">
              <w:rPr>
                <w:sz w:val="20"/>
                <w:szCs w:val="20"/>
                <w:lang w:eastAsia="en-CA"/>
              </w:rPr>
              <w:t>’</w:t>
            </w:r>
            <w:r w:rsidRPr="00C25AC9">
              <w:rPr>
                <w:sz w:val="20"/>
                <w:szCs w:val="20"/>
                <w:lang w:eastAsia="en-CA"/>
              </w:rPr>
              <w:t>avoir accès aux données.</w:t>
            </w:r>
          </w:p>
          <w:p w14:paraId="1DD042AA" w14:textId="77777777" w:rsidR="007F6C64" w:rsidRPr="00C25AC9" w:rsidRDefault="007F6C64" w:rsidP="007F6C64">
            <w:pPr>
              <w:rPr>
                <w:sz w:val="20"/>
                <w:szCs w:val="20"/>
                <w:lang w:eastAsia="en-CA"/>
              </w:rPr>
            </w:pPr>
          </w:p>
          <w:p w14:paraId="18CCDF2D" w14:textId="0943742B" w:rsidR="007516B7" w:rsidRPr="00C25AC9" w:rsidRDefault="007F6C64" w:rsidP="00514727">
            <w:pPr>
              <w:rPr>
                <w:sz w:val="20"/>
                <w:szCs w:val="20"/>
                <w:lang w:eastAsia="en-CA"/>
              </w:rPr>
            </w:pPr>
            <w:r w:rsidRPr="00C25AC9">
              <w:rPr>
                <w:sz w:val="20"/>
                <w:szCs w:val="20"/>
                <w:lang w:eastAsia="en-CA"/>
              </w:rPr>
              <w:t xml:space="preserve">Q : </w:t>
            </w:r>
            <w:r w:rsidR="00514727" w:rsidRPr="00C25AC9">
              <w:rPr>
                <w:sz w:val="20"/>
                <w:szCs w:val="20"/>
                <w:lang w:eastAsia="en-CA"/>
              </w:rPr>
              <w:t>Q</w:t>
            </w:r>
            <w:r w:rsidRPr="00C25AC9">
              <w:rPr>
                <w:sz w:val="20"/>
                <w:szCs w:val="20"/>
                <w:lang w:eastAsia="en-CA"/>
              </w:rPr>
              <w:t>uel outil les employés de la CFP ont-ils besoin pour accéder aux résultats du SAFF?</w:t>
            </w:r>
          </w:p>
        </w:tc>
        <w:tc>
          <w:tcPr>
            <w:tcW w:w="2694" w:type="dxa"/>
          </w:tcPr>
          <w:p w14:paraId="668F26FB" w14:textId="77777777" w:rsidR="00834196" w:rsidRPr="00C25AC9" w:rsidRDefault="00834196" w:rsidP="00AB489B">
            <w:pPr>
              <w:rPr>
                <w:rFonts w:cs="Arial"/>
                <w:sz w:val="20"/>
                <w:szCs w:val="20"/>
              </w:rPr>
            </w:pPr>
            <w:r w:rsidRPr="00C25AC9">
              <w:rPr>
                <w:rFonts w:cs="Arial"/>
                <w:sz w:val="20"/>
                <w:szCs w:val="20"/>
              </w:rPr>
              <w:t>Un outil de données permettant aux employés de la CFP de consulter les données du SAFF.</w:t>
            </w:r>
          </w:p>
          <w:p w14:paraId="0D9339E9" w14:textId="77777777" w:rsidR="00834196" w:rsidRPr="00C25AC9" w:rsidRDefault="00834196" w:rsidP="00AB489B">
            <w:pPr>
              <w:rPr>
                <w:rFonts w:cs="Arial"/>
                <w:sz w:val="20"/>
                <w:szCs w:val="20"/>
              </w:rPr>
            </w:pPr>
          </w:p>
          <w:p w14:paraId="069A73EE" w14:textId="7BCC49B1" w:rsidR="007516B7" w:rsidRPr="00C25AC9" w:rsidRDefault="007516B7" w:rsidP="00AB489B">
            <w:pPr>
              <w:rPr>
                <w:rFonts w:cs="Arial"/>
                <w:sz w:val="20"/>
                <w:szCs w:val="20"/>
              </w:rPr>
            </w:pPr>
          </w:p>
        </w:tc>
        <w:tc>
          <w:tcPr>
            <w:tcW w:w="3969" w:type="dxa"/>
          </w:tcPr>
          <w:p w14:paraId="3C16B5CD" w14:textId="40A1F9F9" w:rsidR="00177B1A" w:rsidRPr="00C25AC9" w:rsidRDefault="00006F53" w:rsidP="00177B1A">
            <w:pPr>
              <w:rPr>
                <w:rFonts w:cs="Arial"/>
                <w:sz w:val="20"/>
                <w:szCs w:val="20"/>
              </w:rPr>
            </w:pPr>
            <w:r w:rsidRPr="00C25AC9">
              <w:rPr>
                <w:rFonts w:cs="Arial"/>
                <w:sz w:val="20"/>
                <w:szCs w:val="20"/>
                <w:u w:val="single"/>
              </w:rPr>
              <w:t>ETP</w:t>
            </w:r>
            <w:r w:rsidRPr="00C25AC9">
              <w:rPr>
                <w:rFonts w:cs="Arial"/>
                <w:sz w:val="20"/>
                <w:szCs w:val="20"/>
              </w:rPr>
              <w:t xml:space="preserve"> : </w:t>
            </w:r>
            <w:r w:rsidR="00177B1A" w:rsidRPr="00C25AC9">
              <w:rPr>
                <w:rFonts w:cs="Arial"/>
                <w:sz w:val="20"/>
                <w:szCs w:val="20"/>
              </w:rPr>
              <w:t xml:space="preserve">¼ </w:t>
            </w:r>
          </w:p>
          <w:p w14:paraId="4E495303" w14:textId="77777777" w:rsidR="00177B1A" w:rsidRPr="00C25AC9" w:rsidRDefault="00177B1A" w:rsidP="00177B1A">
            <w:pPr>
              <w:rPr>
                <w:rFonts w:cs="Arial"/>
                <w:sz w:val="20"/>
                <w:szCs w:val="20"/>
              </w:rPr>
            </w:pPr>
          </w:p>
          <w:p w14:paraId="12E7CE8A" w14:textId="77777777" w:rsidR="0053384D" w:rsidRPr="00C25AC9" w:rsidRDefault="00E119EF" w:rsidP="00177B1A">
            <w:pPr>
              <w:rPr>
                <w:rFonts w:cs="Arial"/>
                <w:sz w:val="20"/>
                <w:szCs w:val="20"/>
              </w:rPr>
            </w:pPr>
            <w:r w:rsidRPr="00C25AC9">
              <w:rPr>
                <w:rFonts w:cs="Arial"/>
                <w:sz w:val="20"/>
                <w:szCs w:val="20"/>
                <w:u w:val="single"/>
              </w:rPr>
              <w:t>Données</w:t>
            </w:r>
            <w:r w:rsidR="0053384D" w:rsidRPr="00C25AC9">
              <w:rPr>
                <w:rFonts w:cs="Arial"/>
                <w:sz w:val="20"/>
                <w:szCs w:val="20"/>
              </w:rPr>
              <w:t> : Données administratives</w:t>
            </w:r>
          </w:p>
          <w:p w14:paraId="18CF6131" w14:textId="77777777" w:rsidR="0053384D" w:rsidRPr="00C25AC9" w:rsidRDefault="0053384D" w:rsidP="00177B1A">
            <w:pPr>
              <w:rPr>
                <w:rFonts w:cs="Arial"/>
                <w:sz w:val="20"/>
                <w:szCs w:val="20"/>
              </w:rPr>
            </w:pPr>
          </w:p>
          <w:p w14:paraId="6E5E15E0" w14:textId="77777777" w:rsidR="007516B7" w:rsidRPr="00C25AC9" w:rsidRDefault="007516B7" w:rsidP="00514727">
            <w:pPr>
              <w:rPr>
                <w:rFonts w:cs="Arial"/>
                <w:sz w:val="20"/>
                <w:szCs w:val="20"/>
                <w:u w:val="single"/>
              </w:rPr>
            </w:pPr>
          </w:p>
        </w:tc>
      </w:tr>
      <w:tr w:rsidR="00190775" w:rsidRPr="00C25AC9" w14:paraId="5A96C997" w14:textId="77777777" w:rsidTr="00372271">
        <w:tc>
          <w:tcPr>
            <w:tcW w:w="562" w:type="dxa"/>
          </w:tcPr>
          <w:p w14:paraId="15E1FF67" w14:textId="65C08B62" w:rsidR="00190775" w:rsidRPr="00C25AC9" w:rsidRDefault="00190775" w:rsidP="00AB489B">
            <w:pPr>
              <w:rPr>
                <w:rFonts w:cs="Arial"/>
                <w:sz w:val="20"/>
                <w:szCs w:val="20"/>
              </w:rPr>
            </w:pPr>
            <w:r w:rsidRPr="00C25AC9">
              <w:rPr>
                <w:rFonts w:cs="Arial"/>
                <w:sz w:val="20"/>
                <w:szCs w:val="20"/>
              </w:rPr>
              <w:t>5</w:t>
            </w:r>
          </w:p>
        </w:tc>
        <w:tc>
          <w:tcPr>
            <w:tcW w:w="3544" w:type="dxa"/>
          </w:tcPr>
          <w:p w14:paraId="49FFDEF7" w14:textId="2B755EBF" w:rsidR="00BD0727" w:rsidRPr="00C25AC9" w:rsidRDefault="00514727" w:rsidP="00190775">
            <w:pPr>
              <w:rPr>
                <w:rFonts w:cs="Arial"/>
                <w:b/>
                <w:sz w:val="20"/>
                <w:szCs w:val="20"/>
                <w:u w:val="single"/>
              </w:rPr>
            </w:pPr>
            <w:r w:rsidRPr="00C25AC9">
              <w:rPr>
                <w:rFonts w:cs="Arial"/>
                <w:b/>
                <w:sz w:val="20"/>
                <w:szCs w:val="20"/>
                <w:u w:val="single"/>
              </w:rPr>
              <w:t xml:space="preserve">Tableau de bord des </w:t>
            </w:r>
            <w:r w:rsidR="00BD0727" w:rsidRPr="00C25AC9">
              <w:rPr>
                <w:rFonts w:cs="Arial"/>
                <w:b/>
                <w:sz w:val="20"/>
                <w:szCs w:val="20"/>
                <w:u w:val="single"/>
              </w:rPr>
              <w:t>résultats du Sondage sur la dotation et l</w:t>
            </w:r>
            <w:r w:rsidR="00C25AC9" w:rsidRPr="00C25AC9">
              <w:rPr>
                <w:rFonts w:cs="Arial"/>
                <w:b/>
                <w:sz w:val="20"/>
                <w:szCs w:val="20"/>
                <w:u w:val="single"/>
              </w:rPr>
              <w:t>’</w:t>
            </w:r>
            <w:r w:rsidR="00BD0727" w:rsidRPr="00C25AC9">
              <w:rPr>
                <w:rFonts w:cs="Arial"/>
                <w:b/>
                <w:sz w:val="20"/>
                <w:szCs w:val="20"/>
                <w:u w:val="single"/>
              </w:rPr>
              <w:t xml:space="preserve">impartialité </w:t>
            </w:r>
          </w:p>
          <w:p w14:paraId="0862EC7D" w14:textId="77777777" w:rsidR="00BD0727" w:rsidRPr="00C25AC9" w:rsidRDefault="00BD0727" w:rsidP="00190775">
            <w:pPr>
              <w:rPr>
                <w:rFonts w:cs="Arial"/>
                <w:b/>
                <w:sz w:val="20"/>
                <w:szCs w:val="20"/>
                <w:u w:val="single"/>
              </w:rPr>
            </w:pPr>
          </w:p>
          <w:p w14:paraId="23574BD5" w14:textId="34C8E4F7" w:rsidR="00190775" w:rsidRPr="00C25AC9" w:rsidRDefault="00190775" w:rsidP="00190775">
            <w:pPr>
              <w:rPr>
                <w:rFonts w:cs="Arial"/>
                <w:b/>
                <w:sz w:val="20"/>
                <w:szCs w:val="20"/>
                <w:u w:val="single"/>
              </w:rPr>
            </w:pPr>
            <w:r w:rsidRPr="00C25AC9">
              <w:rPr>
                <w:rFonts w:cs="Arial"/>
                <w:b/>
                <w:sz w:val="20"/>
                <w:szCs w:val="20"/>
                <w:u w:val="single"/>
              </w:rPr>
              <w:t>Source</w:t>
            </w:r>
            <w:r w:rsidR="00BD0727" w:rsidRPr="00C25AC9">
              <w:rPr>
                <w:rFonts w:cs="Arial"/>
                <w:b/>
                <w:sz w:val="20"/>
                <w:szCs w:val="20"/>
                <w:u w:val="single"/>
              </w:rPr>
              <w:t xml:space="preserve"> </w:t>
            </w:r>
            <w:r w:rsidRPr="00C25AC9">
              <w:rPr>
                <w:rFonts w:cs="Arial"/>
                <w:b/>
                <w:sz w:val="20"/>
                <w:szCs w:val="20"/>
                <w:u w:val="single"/>
              </w:rPr>
              <w:t>: DS</w:t>
            </w:r>
            <w:r w:rsidR="00BD0727" w:rsidRPr="00C25AC9">
              <w:rPr>
                <w:rFonts w:cs="Arial"/>
                <w:b/>
                <w:sz w:val="20"/>
                <w:szCs w:val="20"/>
                <w:u w:val="single"/>
              </w:rPr>
              <w:t>DA</w:t>
            </w:r>
          </w:p>
          <w:p w14:paraId="6704F8C0" w14:textId="77777777" w:rsidR="00190775" w:rsidRPr="00C25AC9" w:rsidRDefault="00190775" w:rsidP="00190775">
            <w:pPr>
              <w:rPr>
                <w:rFonts w:cs="Arial"/>
                <w:b/>
                <w:sz w:val="20"/>
                <w:szCs w:val="20"/>
                <w:u w:val="single"/>
              </w:rPr>
            </w:pPr>
          </w:p>
          <w:p w14:paraId="1A0FCE70" w14:textId="43C39679" w:rsidR="00190775" w:rsidRPr="00C25AC9" w:rsidRDefault="00190775" w:rsidP="00514727">
            <w:pPr>
              <w:rPr>
                <w:rFonts w:cs="Arial"/>
                <w:b/>
                <w:sz w:val="20"/>
                <w:szCs w:val="20"/>
                <w:u w:val="single"/>
              </w:rPr>
            </w:pPr>
            <w:r w:rsidRPr="00C25AC9">
              <w:rPr>
                <w:rFonts w:cs="Arial"/>
                <w:b/>
                <w:sz w:val="20"/>
                <w:szCs w:val="20"/>
                <w:u w:val="single"/>
              </w:rPr>
              <w:t>Client</w:t>
            </w:r>
            <w:r w:rsidR="00BD0727" w:rsidRPr="00C25AC9">
              <w:rPr>
                <w:rFonts w:cs="Arial"/>
                <w:b/>
                <w:sz w:val="20"/>
                <w:szCs w:val="20"/>
                <w:u w:val="single"/>
              </w:rPr>
              <w:t xml:space="preserve"> </w:t>
            </w:r>
            <w:r w:rsidRPr="00C25AC9">
              <w:rPr>
                <w:rFonts w:cs="Arial"/>
                <w:b/>
                <w:sz w:val="20"/>
                <w:szCs w:val="20"/>
                <w:u w:val="single"/>
              </w:rPr>
              <w:t xml:space="preserve">: </w:t>
            </w:r>
            <w:r w:rsidR="00BD0727" w:rsidRPr="00C25AC9">
              <w:rPr>
                <w:rFonts w:cs="Arial"/>
                <w:b/>
                <w:sz w:val="20"/>
                <w:szCs w:val="20"/>
                <w:u w:val="single"/>
              </w:rPr>
              <w:t>Secteur de la surveillance et des enquêtes (SSE)</w:t>
            </w:r>
          </w:p>
        </w:tc>
        <w:tc>
          <w:tcPr>
            <w:tcW w:w="6662" w:type="dxa"/>
          </w:tcPr>
          <w:p w14:paraId="57388E05" w14:textId="08F12283" w:rsidR="007F6C64" w:rsidRPr="00C25AC9" w:rsidRDefault="007F6C64" w:rsidP="00C778F6">
            <w:pPr>
              <w:rPr>
                <w:sz w:val="20"/>
                <w:szCs w:val="20"/>
                <w:lang w:eastAsia="en-CA"/>
              </w:rPr>
            </w:pPr>
            <w:r w:rsidRPr="00C25AC9">
              <w:rPr>
                <w:sz w:val="20"/>
                <w:szCs w:val="20"/>
                <w:lang w:eastAsia="en-CA"/>
              </w:rPr>
              <w:t>La DSDA étudie la possibilité de remplacer les rapports organisationnels et l</w:t>
            </w:r>
            <w:r w:rsidR="00C25AC9" w:rsidRPr="00C25AC9">
              <w:rPr>
                <w:sz w:val="20"/>
                <w:szCs w:val="20"/>
                <w:lang w:eastAsia="en-CA"/>
              </w:rPr>
              <w:t>’</w:t>
            </w:r>
            <w:r w:rsidRPr="00C25AC9">
              <w:rPr>
                <w:sz w:val="20"/>
                <w:szCs w:val="20"/>
                <w:lang w:eastAsia="en-CA"/>
              </w:rPr>
              <w:t>outil de visualisation interactive par un outil de type tableau de bord</w:t>
            </w:r>
          </w:p>
          <w:p w14:paraId="723FC595" w14:textId="07084E31" w:rsidR="007F6C64" w:rsidRPr="00C25AC9" w:rsidRDefault="007F6C64" w:rsidP="007F6C64">
            <w:pPr>
              <w:numPr>
                <w:ilvl w:val="0"/>
                <w:numId w:val="19"/>
              </w:numPr>
              <w:rPr>
                <w:sz w:val="20"/>
                <w:szCs w:val="20"/>
                <w:lang w:eastAsia="en-CA"/>
              </w:rPr>
            </w:pPr>
            <w:r w:rsidRPr="00C25AC9">
              <w:rPr>
                <w:sz w:val="20"/>
                <w:szCs w:val="20"/>
                <w:lang w:eastAsia="en-CA"/>
              </w:rPr>
              <w:t>sur le site extranet de la CFP</w:t>
            </w:r>
            <w:r w:rsidR="00514727" w:rsidRPr="00C25AC9">
              <w:rPr>
                <w:sz w:val="20"/>
                <w:szCs w:val="20"/>
                <w:lang w:eastAsia="en-CA"/>
              </w:rPr>
              <w:t>;</w:t>
            </w:r>
          </w:p>
          <w:p w14:paraId="602384F4" w14:textId="4F52CAE6" w:rsidR="007F6C64" w:rsidRPr="00C25AC9" w:rsidRDefault="007F6C64" w:rsidP="007F6C64">
            <w:pPr>
              <w:numPr>
                <w:ilvl w:val="0"/>
                <w:numId w:val="19"/>
              </w:numPr>
              <w:rPr>
                <w:sz w:val="20"/>
                <w:szCs w:val="20"/>
                <w:lang w:eastAsia="en-CA"/>
              </w:rPr>
            </w:pPr>
            <w:r w:rsidRPr="00C25AC9">
              <w:rPr>
                <w:sz w:val="20"/>
                <w:szCs w:val="20"/>
                <w:lang w:eastAsia="en-CA"/>
              </w:rPr>
              <w:t>dont la plateforme est similaire à celle du tableau de bord révisé de la CFP sur la dotation.</w:t>
            </w:r>
          </w:p>
          <w:p w14:paraId="6B6F651E" w14:textId="2668063E" w:rsidR="00190775" w:rsidRPr="00C25AC9" w:rsidRDefault="007F6C64" w:rsidP="00514727">
            <w:pPr>
              <w:rPr>
                <w:sz w:val="20"/>
                <w:szCs w:val="20"/>
                <w:lang w:eastAsia="en-CA"/>
              </w:rPr>
            </w:pPr>
            <w:r w:rsidRPr="00C25AC9">
              <w:rPr>
                <w:sz w:val="20"/>
                <w:szCs w:val="20"/>
                <w:lang w:eastAsia="en-CA"/>
              </w:rPr>
              <w:t>Comparaison avec les résultats de 2018 et de 2021 à l</w:t>
            </w:r>
            <w:r w:rsidR="00C25AC9" w:rsidRPr="00C25AC9">
              <w:rPr>
                <w:sz w:val="20"/>
                <w:szCs w:val="20"/>
                <w:lang w:eastAsia="en-CA"/>
              </w:rPr>
              <w:t>’</w:t>
            </w:r>
            <w:r w:rsidRPr="00C25AC9">
              <w:rPr>
                <w:sz w:val="20"/>
                <w:szCs w:val="20"/>
                <w:lang w:eastAsia="en-CA"/>
              </w:rPr>
              <w:t>échelle de la fonction publique et avec les résultats d</w:t>
            </w:r>
            <w:r w:rsidR="00C25AC9" w:rsidRPr="00C25AC9">
              <w:rPr>
                <w:sz w:val="20"/>
                <w:szCs w:val="20"/>
                <w:lang w:eastAsia="en-CA"/>
              </w:rPr>
              <w:t>’</w:t>
            </w:r>
            <w:r w:rsidRPr="00C25AC9">
              <w:rPr>
                <w:sz w:val="20"/>
                <w:szCs w:val="20"/>
                <w:lang w:eastAsia="en-CA"/>
              </w:rPr>
              <w:t>organisations de taille similaire, dans la mesure du possible (voir les tableaux de données proposés à l</w:t>
            </w:r>
            <w:r w:rsidR="00C25AC9" w:rsidRPr="00C25AC9">
              <w:rPr>
                <w:sz w:val="20"/>
                <w:szCs w:val="20"/>
                <w:lang w:eastAsia="en-CA"/>
              </w:rPr>
              <w:t>’</w:t>
            </w:r>
            <w:r w:rsidRPr="00C25AC9">
              <w:rPr>
                <w:sz w:val="20"/>
                <w:szCs w:val="20"/>
                <w:lang w:eastAsia="en-CA"/>
              </w:rPr>
              <w:t>annexe 2).</w:t>
            </w:r>
          </w:p>
        </w:tc>
        <w:tc>
          <w:tcPr>
            <w:tcW w:w="2694" w:type="dxa"/>
          </w:tcPr>
          <w:p w14:paraId="2B872636" w14:textId="3A7EFFFC" w:rsidR="00190775" w:rsidRPr="00C25AC9" w:rsidRDefault="00834196" w:rsidP="00514727">
            <w:pPr>
              <w:rPr>
                <w:rFonts w:cs="Arial"/>
                <w:sz w:val="20"/>
                <w:szCs w:val="20"/>
              </w:rPr>
            </w:pPr>
            <w:r w:rsidRPr="00C25AC9">
              <w:rPr>
                <w:rFonts w:cs="Arial"/>
                <w:sz w:val="20"/>
                <w:szCs w:val="20"/>
              </w:rPr>
              <w:t xml:space="preserve">Un outil de données qui permet aux employés de la fonction publique de consulter les résultats du SDIP pour le compte de différentes organisations, ou encore, pour obtenir un résultat précis. </w:t>
            </w:r>
          </w:p>
        </w:tc>
        <w:tc>
          <w:tcPr>
            <w:tcW w:w="3969" w:type="dxa"/>
          </w:tcPr>
          <w:p w14:paraId="65B398A7" w14:textId="3DA29340" w:rsidR="00190775" w:rsidRPr="00C25AC9" w:rsidRDefault="00006F53" w:rsidP="00190775">
            <w:pPr>
              <w:rPr>
                <w:rFonts w:cs="Arial"/>
                <w:sz w:val="20"/>
                <w:szCs w:val="20"/>
              </w:rPr>
            </w:pPr>
            <w:r w:rsidRPr="00C25AC9">
              <w:rPr>
                <w:rFonts w:cs="Arial"/>
                <w:sz w:val="20"/>
                <w:szCs w:val="20"/>
                <w:u w:val="single"/>
              </w:rPr>
              <w:t>ETP</w:t>
            </w:r>
            <w:r w:rsidRPr="00C25AC9">
              <w:rPr>
                <w:rFonts w:cs="Arial"/>
                <w:sz w:val="20"/>
                <w:szCs w:val="20"/>
              </w:rPr>
              <w:t xml:space="preserve"> : </w:t>
            </w:r>
            <w:r w:rsidR="00190775" w:rsidRPr="00C25AC9">
              <w:rPr>
                <w:rFonts w:cs="Arial"/>
                <w:sz w:val="20"/>
                <w:szCs w:val="20"/>
              </w:rPr>
              <w:t xml:space="preserve">¼ </w:t>
            </w:r>
          </w:p>
          <w:p w14:paraId="35F42373" w14:textId="77777777" w:rsidR="00190775" w:rsidRPr="00C25AC9" w:rsidRDefault="00190775" w:rsidP="00190775">
            <w:pPr>
              <w:rPr>
                <w:rFonts w:cs="Arial"/>
                <w:sz w:val="20"/>
                <w:szCs w:val="20"/>
              </w:rPr>
            </w:pPr>
          </w:p>
          <w:p w14:paraId="624E56B8" w14:textId="77777777" w:rsidR="0053384D" w:rsidRPr="00C25AC9" w:rsidRDefault="00E119EF" w:rsidP="00190775">
            <w:pPr>
              <w:rPr>
                <w:rFonts w:cs="Arial"/>
                <w:sz w:val="20"/>
                <w:szCs w:val="20"/>
              </w:rPr>
            </w:pPr>
            <w:r w:rsidRPr="00C25AC9">
              <w:rPr>
                <w:rFonts w:cs="Arial"/>
                <w:sz w:val="20"/>
                <w:szCs w:val="20"/>
                <w:u w:val="single"/>
              </w:rPr>
              <w:t>Données</w:t>
            </w:r>
            <w:r w:rsidR="0053384D" w:rsidRPr="00C25AC9">
              <w:rPr>
                <w:rFonts w:cs="Arial"/>
                <w:sz w:val="20"/>
                <w:szCs w:val="20"/>
              </w:rPr>
              <w:t> : Sondage</w:t>
            </w:r>
          </w:p>
          <w:p w14:paraId="2C477A6C" w14:textId="77777777" w:rsidR="0053384D" w:rsidRPr="00C25AC9" w:rsidRDefault="0053384D" w:rsidP="00190775">
            <w:pPr>
              <w:rPr>
                <w:rFonts w:cs="Arial"/>
                <w:sz w:val="20"/>
                <w:szCs w:val="20"/>
              </w:rPr>
            </w:pPr>
          </w:p>
          <w:p w14:paraId="7AD1B843" w14:textId="41708602" w:rsidR="00190775" w:rsidRPr="00C25AC9" w:rsidRDefault="00190775" w:rsidP="00190775">
            <w:pPr>
              <w:rPr>
                <w:rFonts w:cs="Arial"/>
                <w:sz w:val="20"/>
                <w:szCs w:val="20"/>
                <w:u w:val="single"/>
              </w:rPr>
            </w:pPr>
          </w:p>
        </w:tc>
      </w:tr>
      <w:bookmarkEnd w:id="0"/>
    </w:tbl>
    <w:p w14:paraId="4506EF0E" w14:textId="16B63675" w:rsidR="007516B7" w:rsidRDefault="007516B7" w:rsidP="00D715D7"/>
    <w:p w14:paraId="6753EFEE" w14:textId="77777777" w:rsidR="003C12E2" w:rsidRPr="00C25AC9" w:rsidRDefault="003C12E2" w:rsidP="00D715D7"/>
    <w:sectPr w:rsidR="003C12E2" w:rsidRPr="00C25AC9" w:rsidSect="00812906">
      <w:footerReference w:type="first" r:id="rId19"/>
      <w:pgSz w:w="20163" w:h="12242" w:orient="landscape" w:code="5"/>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9129D" w14:textId="77777777" w:rsidR="00A045A7" w:rsidRDefault="00A045A7" w:rsidP="00941B2E">
      <w:pPr>
        <w:spacing w:after="0" w:line="240" w:lineRule="auto"/>
      </w:pPr>
      <w:r>
        <w:separator/>
      </w:r>
    </w:p>
  </w:endnote>
  <w:endnote w:type="continuationSeparator" w:id="0">
    <w:p w14:paraId="62A00BD8" w14:textId="77777777" w:rsidR="00A045A7" w:rsidRDefault="00A045A7"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4F87" w14:textId="77777777" w:rsidR="005B5BBD" w:rsidRDefault="005B5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D051" w14:textId="060E2D36" w:rsidR="009B6D5E" w:rsidRPr="007B5DDB" w:rsidRDefault="009B6D5E" w:rsidP="00941B2E">
    <w:pPr>
      <w:pStyle w:val="Footer"/>
      <w:rPr>
        <w:rFonts w:ascii="Segoe UI Semibold" w:hAnsi="Segoe UI Semibold" w:cs="Segoe UI Semibold"/>
      </w:rPr>
    </w:pPr>
    <w:r w:rsidRPr="00941B2E">
      <w:rPr>
        <w:rFonts w:ascii="Segoe UI Semibold" w:hAnsi="Segoe UI Semibold" w:cs="Segoe UI Semibold"/>
        <w:noProof/>
        <w:lang w:val="en-CA" w:eastAsia="en-CA"/>
      </w:rPr>
      <w:drawing>
        <wp:anchor distT="0" distB="0" distL="114300" distR="114300" simplePos="0" relativeHeight="251657728" behindDoc="1" locked="0" layoutInCell="1" allowOverlap="1" wp14:anchorId="53A9A162" wp14:editId="2DA11773">
          <wp:simplePos x="0" y="0"/>
          <wp:positionH relativeFrom="column">
            <wp:posOffset>-967563</wp:posOffset>
          </wp:positionH>
          <wp:positionV relativeFrom="page">
            <wp:posOffset>9388549</wp:posOffset>
          </wp:positionV>
          <wp:extent cx="7830000" cy="643620"/>
          <wp:effectExtent l="0" t="0" r="0" b="444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r w:rsidRPr="00941B2E">
      <w:rPr>
        <w:rFonts w:ascii="Segoe UI Semibold" w:hAnsi="Segoe UI Semibold" w:cs="Segoe UI Semibold"/>
      </w:rPr>
      <w:fldChar w:fldCharType="begin"/>
    </w:r>
    <w:r w:rsidRPr="007B5DDB">
      <w:rPr>
        <w:rFonts w:ascii="Segoe UI Semibold" w:hAnsi="Segoe UI Semibold" w:cs="Segoe UI Semibold"/>
      </w:rPr>
      <w:instrText xml:space="preserve"> PAGE   \* MERGEFORMAT </w:instrText>
    </w:r>
    <w:r w:rsidRPr="00941B2E">
      <w:rPr>
        <w:rFonts w:ascii="Segoe UI Semibold" w:hAnsi="Segoe UI Semibold" w:cs="Segoe UI Semibold"/>
      </w:rPr>
      <w:fldChar w:fldCharType="separate"/>
    </w:r>
    <w:r w:rsidRPr="007B5DDB">
      <w:rPr>
        <w:rFonts w:ascii="Segoe UI Semibold" w:hAnsi="Segoe UI Semibold" w:cs="Segoe UI Semibold"/>
      </w:rPr>
      <w:t>2</w:t>
    </w:r>
    <w:r w:rsidRPr="00941B2E">
      <w:rPr>
        <w:rFonts w:ascii="Segoe UI Semibold" w:hAnsi="Segoe UI Semibold" w:cs="Segoe UI Semibold"/>
        <w:noProof/>
      </w:rPr>
      <w:fldChar w:fldCharType="end"/>
    </w:r>
    <w:r w:rsidRPr="007B5DDB">
      <w:rPr>
        <w:rFonts w:ascii="Segoe UI Semibold" w:hAnsi="Segoe UI Semibold" w:cs="Segoe UI Semibold"/>
        <w:noProof/>
      </w:rPr>
      <w:t xml:space="preserve"> – </w:t>
    </w:r>
    <w:r w:rsidR="007B5DDB" w:rsidRPr="007B5DDB">
      <w:rPr>
        <w:rFonts w:ascii="Segoe UI Semibold" w:hAnsi="Segoe UI Semibold" w:cs="Segoe UI Semibold"/>
        <w:noProof/>
      </w:rPr>
      <w:t xml:space="preserve">Plan de recherche et de </w:t>
    </w:r>
    <w:r w:rsidR="007B5DDB">
      <w:rPr>
        <w:rFonts w:ascii="Segoe UI Semibold" w:hAnsi="Segoe UI Semibold" w:cs="Segoe UI Semibold"/>
        <w:noProof/>
      </w:rPr>
      <w:t>développement du S</w:t>
    </w:r>
    <w:r w:rsidR="00DB7C80">
      <w:rPr>
        <w:rFonts w:ascii="Segoe UI Semibold" w:hAnsi="Segoe UI Semibold" w:cs="Segoe UI Semibold"/>
        <w:noProof/>
      </w:rPr>
      <w:t>SE</w:t>
    </w:r>
    <w:r w:rsidRPr="007B5DDB">
      <w:rPr>
        <w:rFonts w:ascii="Segoe UI Semibold" w:hAnsi="Segoe UI Semibold" w:cs="Segoe UI Semibold"/>
      </w:rPr>
      <w:t xml:space="preserve"> 2021-2023</w:t>
    </w:r>
  </w:p>
  <w:p w14:paraId="5166B8DF" w14:textId="77777777" w:rsidR="009B6D5E" w:rsidRPr="007B5DDB" w:rsidRDefault="009B6D5E">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F02D" w14:textId="37DFE863" w:rsidR="009B6D5E" w:rsidRDefault="009B6D5E">
    <w:pPr>
      <w:pStyle w:val="Footer"/>
    </w:pPr>
    <w:r>
      <w:rPr>
        <w:noProof/>
        <w:lang w:val="en-CA" w:eastAsia="en-CA"/>
      </w:rPr>
      <w:drawing>
        <wp:anchor distT="0" distB="0" distL="114300" distR="114300" simplePos="0" relativeHeight="251656704" behindDoc="1" locked="0" layoutInCell="1" allowOverlap="1" wp14:anchorId="0F28C1D7" wp14:editId="6E21AAC0">
          <wp:simplePos x="0" y="0"/>
          <wp:positionH relativeFrom="page">
            <wp:align>left</wp:align>
          </wp:positionH>
          <wp:positionV relativeFrom="page">
            <wp:posOffset>5883918</wp:posOffset>
          </wp:positionV>
          <wp:extent cx="7800212" cy="3891600"/>
          <wp:effectExtent l="0" t="0" r="0" b="444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CB30" w14:textId="48E76F44" w:rsidR="009B6D5E" w:rsidRDefault="009B6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C964" w14:textId="77777777" w:rsidR="00A045A7" w:rsidRDefault="00A045A7" w:rsidP="00941B2E">
      <w:pPr>
        <w:spacing w:after="0" w:line="240" w:lineRule="auto"/>
      </w:pPr>
      <w:r>
        <w:separator/>
      </w:r>
    </w:p>
  </w:footnote>
  <w:footnote w:type="continuationSeparator" w:id="0">
    <w:p w14:paraId="7378C4E6" w14:textId="77777777" w:rsidR="00A045A7" w:rsidRDefault="00A045A7" w:rsidP="00941B2E">
      <w:pPr>
        <w:spacing w:after="0" w:line="240" w:lineRule="auto"/>
      </w:pPr>
      <w:r>
        <w:continuationSeparator/>
      </w:r>
    </w:p>
  </w:footnote>
  <w:footnote w:id="1">
    <w:p w14:paraId="5A4D966F" w14:textId="78E5D0C6" w:rsidR="00E02505" w:rsidRPr="00310C01" w:rsidRDefault="00E02505" w:rsidP="00E02505">
      <w:pPr>
        <w:pStyle w:val="NoSpacing"/>
        <w:rPr>
          <w:rFonts w:asciiTheme="minorHAnsi" w:eastAsiaTheme="minorHAnsi" w:hAnsiTheme="minorHAnsi"/>
          <w:sz w:val="24"/>
          <w:szCs w:val="24"/>
          <w:lang w:val="fr-CA"/>
        </w:rPr>
      </w:pPr>
      <w:r w:rsidRPr="00310C01">
        <w:rPr>
          <w:rFonts w:asciiTheme="minorHAnsi" w:eastAsiaTheme="minorHAnsi" w:hAnsiTheme="minorHAnsi"/>
          <w:sz w:val="24"/>
          <w:szCs w:val="24"/>
          <w:vertAlign w:val="superscript"/>
          <w:lang w:val="fr-CA"/>
        </w:rPr>
        <w:footnoteRef/>
      </w:r>
      <w:r w:rsidRPr="00310C01">
        <w:rPr>
          <w:rFonts w:asciiTheme="minorHAnsi" w:eastAsiaTheme="minorHAnsi" w:hAnsiTheme="minorHAnsi"/>
          <w:sz w:val="24"/>
          <w:szCs w:val="24"/>
          <w:vertAlign w:val="superscript"/>
          <w:lang w:val="fr-CA"/>
        </w:rPr>
        <w:t xml:space="preserve"> </w:t>
      </w:r>
      <w:r w:rsidR="0014001F">
        <w:rPr>
          <w:rFonts w:asciiTheme="minorHAnsi" w:eastAsiaTheme="minorHAnsi" w:hAnsiTheme="minorHAnsi"/>
          <w:sz w:val="24"/>
          <w:szCs w:val="24"/>
          <w:lang w:val="fr-CA"/>
        </w:rPr>
        <w:t xml:space="preserve">Conçus </w:t>
      </w:r>
      <w:r w:rsidR="006D73C1" w:rsidRPr="00310C01">
        <w:rPr>
          <w:rFonts w:asciiTheme="minorHAnsi" w:eastAsiaTheme="minorHAnsi" w:hAnsiTheme="minorHAnsi"/>
          <w:sz w:val="24"/>
          <w:szCs w:val="24"/>
          <w:lang w:val="fr-CA"/>
        </w:rPr>
        <w:t>à partir des définitions généralement acceptées de la recherche utilisée dans les milieux universitaires et les établissements de recherche associés.</w:t>
      </w:r>
    </w:p>
  </w:footnote>
  <w:footnote w:id="2">
    <w:p w14:paraId="2B11EAEF" w14:textId="035FA031" w:rsidR="004820CF" w:rsidRPr="00C25AC9" w:rsidRDefault="004820CF" w:rsidP="004820CF">
      <w:pPr>
        <w:pStyle w:val="FootnoteText"/>
        <w:rPr>
          <w:lang w:val="fr-CA"/>
        </w:rPr>
      </w:pPr>
      <w:r w:rsidRPr="00310C01">
        <w:rPr>
          <w:rStyle w:val="FootnoteReference"/>
          <w:lang w:val="fr-CA"/>
        </w:rPr>
        <w:footnoteRef/>
      </w:r>
      <w:r w:rsidRPr="00310C01">
        <w:rPr>
          <w:lang w:val="fr-CA"/>
        </w:rPr>
        <w:t xml:space="preserve"> Shugart, Ian. </w:t>
      </w:r>
      <w:r w:rsidR="00310C01" w:rsidRPr="00310C01">
        <w:rPr>
          <w:lang w:val="fr-CA"/>
        </w:rPr>
        <w:t>« </w:t>
      </w:r>
      <w:hyperlink r:id="rId1" w:history="1">
        <w:r w:rsidR="00640ABA">
          <w:rPr>
            <w:rStyle w:val="Hyperlink"/>
            <w:color w:val="auto"/>
            <w:lang w:val="fr-CA"/>
          </w:rPr>
          <w:t>Appel à l</w:t>
        </w:r>
        <w:r w:rsidR="00C25AC9">
          <w:rPr>
            <w:rStyle w:val="Hyperlink"/>
            <w:color w:val="auto"/>
            <w:lang w:val="fr-CA"/>
          </w:rPr>
          <w:t>’</w:t>
        </w:r>
        <w:r w:rsidR="00640ABA">
          <w:rPr>
            <w:rStyle w:val="Hyperlink"/>
            <w:color w:val="auto"/>
            <w:lang w:val="fr-CA"/>
          </w:rPr>
          <w:t>action en faveur de la lutte contre le racisme, de l</w:t>
        </w:r>
        <w:r w:rsidR="00C25AC9">
          <w:rPr>
            <w:rStyle w:val="Hyperlink"/>
            <w:color w:val="auto"/>
            <w:lang w:val="fr-CA"/>
          </w:rPr>
          <w:t>’</w:t>
        </w:r>
        <w:r w:rsidR="00640ABA">
          <w:rPr>
            <w:rStyle w:val="Hyperlink"/>
            <w:color w:val="auto"/>
            <w:lang w:val="fr-CA"/>
          </w:rPr>
          <w:t>équité et de l</w:t>
        </w:r>
        <w:r w:rsidR="00C25AC9">
          <w:rPr>
            <w:rStyle w:val="Hyperlink"/>
            <w:color w:val="auto"/>
            <w:lang w:val="fr-CA"/>
          </w:rPr>
          <w:t>’</w:t>
        </w:r>
        <w:r w:rsidR="00640ABA">
          <w:rPr>
            <w:rStyle w:val="Hyperlink"/>
            <w:color w:val="auto"/>
            <w:lang w:val="fr-CA"/>
          </w:rPr>
          <w:t>inclusion dans la fonction publique fédérale</w:t>
        </w:r>
        <w:r w:rsidR="00BB3B09">
          <w:rPr>
            <w:rStyle w:val="Hyperlink"/>
            <w:color w:val="auto"/>
            <w:lang w:val="fr-CA"/>
          </w:rPr>
          <w:t> »</w:t>
        </w:r>
        <w:r w:rsidR="00640ABA" w:rsidRPr="00BB3B09">
          <w:rPr>
            <w:rStyle w:val="Hyperlink"/>
            <w:color w:val="auto"/>
            <w:u w:val="none"/>
            <w:lang w:val="fr-CA"/>
          </w:rPr>
          <w:t xml:space="preserve">. </w:t>
        </w:r>
        <w:r w:rsidR="00640ABA" w:rsidRPr="00C25AC9">
          <w:rPr>
            <w:rStyle w:val="Hyperlink"/>
            <w:color w:val="auto"/>
            <w:u w:val="none"/>
            <w:lang w:val="fr-CA"/>
          </w:rPr>
          <w:t>Bureau du Conseil privé – Canada.ca</w:t>
        </w:r>
      </w:hyperlink>
      <w:r w:rsidR="00640ABA" w:rsidRPr="00C25AC9">
        <w:rPr>
          <w:rStyle w:val="Hyperlink"/>
          <w:color w:val="auto"/>
          <w:u w:val="none"/>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B2D6" w14:textId="77777777" w:rsidR="005B5BBD" w:rsidRDefault="005B5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5C97" w14:textId="77777777" w:rsidR="005B5BBD" w:rsidRDefault="005B5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4780" w14:textId="4A8EE145" w:rsidR="009B6D5E" w:rsidRDefault="009B6D5E">
    <w:pPr>
      <w:pStyle w:val="Header"/>
    </w:pPr>
    <w:r>
      <w:rPr>
        <w:noProof/>
        <w:lang w:val="en-CA" w:eastAsia="en-CA"/>
      </w:rPr>
      <w:drawing>
        <wp:inline distT="0" distB="0" distL="0" distR="0" wp14:anchorId="180D715E" wp14:editId="23E2E36D">
          <wp:extent cx="4485834" cy="267086"/>
          <wp:effectExtent l="0" t="0" r="0" b="0"/>
          <wp:docPr id="12" name="Picture 12"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F14"/>
    <w:multiLevelType w:val="hybridMultilevel"/>
    <w:tmpl w:val="073A8CE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C52D84"/>
    <w:multiLevelType w:val="hybridMultilevel"/>
    <w:tmpl w:val="DE04D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0648B5"/>
    <w:multiLevelType w:val="hybridMultilevel"/>
    <w:tmpl w:val="F65A75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C819AC"/>
    <w:multiLevelType w:val="hybridMultilevel"/>
    <w:tmpl w:val="3BC69E8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E865EE"/>
    <w:multiLevelType w:val="hybridMultilevel"/>
    <w:tmpl w:val="4ED6F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FB7DD7"/>
    <w:multiLevelType w:val="hybridMultilevel"/>
    <w:tmpl w:val="0B8EB124"/>
    <w:lvl w:ilvl="0" w:tplc="61C678C8">
      <w:start w:val="1"/>
      <w:numFmt w:val="bullet"/>
      <w:lvlText w:val=""/>
      <w:lvlJc w:val="left"/>
      <w:pPr>
        <w:tabs>
          <w:tab w:val="num" w:pos="720"/>
        </w:tabs>
        <w:ind w:left="720" w:hanging="360"/>
      </w:pPr>
      <w:rPr>
        <w:rFonts w:ascii="Wingdings" w:hAnsi="Wingdings" w:hint="default"/>
      </w:rPr>
    </w:lvl>
    <w:lvl w:ilvl="1" w:tplc="0FDA5CB0">
      <w:start w:val="1"/>
      <w:numFmt w:val="bullet"/>
      <w:lvlText w:val=""/>
      <w:lvlJc w:val="left"/>
      <w:pPr>
        <w:tabs>
          <w:tab w:val="num" w:pos="1440"/>
        </w:tabs>
        <w:ind w:left="1440" w:hanging="360"/>
      </w:pPr>
      <w:rPr>
        <w:rFonts w:ascii="Wingdings" w:hAnsi="Wingdings" w:hint="default"/>
      </w:rPr>
    </w:lvl>
    <w:lvl w:ilvl="2" w:tplc="294E228C">
      <w:numFmt w:val="none"/>
      <w:lvlText w:val=""/>
      <w:lvlJc w:val="left"/>
      <w:pPr>
        <w:tabs>
          <w:tab w:val="num" w:pos="360"/>
        </w:tabs>
      </w:pPr>
    </w:lvl>
    <w:lvl w:ilvl="3" w:tplc="DB90E58E" w:tentative="1">
      <w:start w:val="1"/>
      <w:numFmt w:val="bullet"/>
      <w:lvlText w:val=""/>
      <w:lvlJc w:val="left"/>
      <w:pPr>
        <w:tabs>
          <w:tab w:val="num" w:pos="2880"/>
        </w:tabs>
        <w:ind w:left="2880" w:hanging="360"/>
      </w:pPr>
      <w:rPr>
        <w:rFonts w:ascii="Wingdings" w:hAnsi="Wingdings" w:hint="default"/>
      </w:rPr>
    </w:lvl>
    <w:lvl w:ilvl="4" w:tplc="1786F0A8" w:tentative="1">
      <w:start w:val="1"/>
      <w:numFmt w:val="bullet"/>
      <w:lvlText w:val=""/>
      <w:lvlJc w:val="left"/>
      <w:pPr>
        <w:tabs>
          <w:tab w:val="num" w:pos="3600"/>
        </w:tabs>
        <w:ind w:left="3600" w:hanging="360"/>
      </w:pPr>
      <w:rPr>
        <w:rFonts w:ascii="Wingdings" w:hAnsi="Wingdings" w:hint="default"/>
      </w:rPr>
    </w:lvl>
    <w:lvl w:ilvl="5" w:tplc="F6ACC8A2" w:tentative="1">
      <w:start w:val="1"/>
      <w:numFmt w:val="bullet"/>
      <w:lvlText w:val=""/>
      <w:lvlJc w:val="left"/>
      <w:pPr>
        <w:tabs>
          <w:tab w:val="num" w:pos="4320"/>
        </w:tabs>
        <w:ind w:left="4320" w:hanging="360"/>
      </w:pPr>
      <w:rPr>
        <w:rFonts w:ascii="Wingdings" w:hAnsi="Wingdings" w:hint="default"/>
      </w:rPr>
    </w:lvl>
    <w:lvl w:ilvl="6" w:tplc="66A8D22C" w:tentative="1">
      <w:start w:val="1"/>
      <w:numFmt w:val="bullet"/>
      <w:lvlText w:val=""/>
      <w:lvlJc w:val="left"/>
      <w:pPr>
        <w:tabs>
          <w:tab w:val="num" w:pos="5040"/>
        </w:tabs>
        <w:ind w:left="5040" w:hanging="360"/>
      </w:pPr>
      <w:rPr>
        <w:rFonts w:ascii="Wingdings" w:hAnsi="Wingdings" w:hint="default"/>
      </w:rPr>
    </w:lvl>
    <w:lvl w:ilvl="7" w:tplc="A2E016B0" w:tentative="1">
      <w:start w:val="1"/>
      <w:numFmt w:val="bullet"/>
      <w:lvlText w:val=""/>
      <w:lvlJc w:val="left"/>
      <w:pPr>
        <w:tabs>
          <w:tab w:val="num" w:pos="5760"/>
        </w:tabs>
        <w:ind w:left="5760" w:hanging="360"/>
      </w:pPr>
      <w:rPr>
        <w:rFonts w:ascii="Wingdings" w:hAnsi="Wingdings" w:hint="default"/>
      </w:rPr>
    </w:lvl>
    <w:lvl w:ilvl="8" w:tplc="B434BD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F2ABD"/>
    <w:multiLevelType w:val="hybridMultilevel"/>
    <w:tmpl w:val="BF326ADE"/>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A5D6EEA"/>
    <w:multiLevelType w:val="hybridMultilevel"/>
    <w:tmpl w:val="B72C8B2A"/>
    <w:lvl w:ilvl="0" w:tplc="BE323AA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C11A31"/>
    <w:multiLevelType w:val="hybridMultilevel"/>
    <w:tmpl w:val="F40283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FA105F"/>
    <w:multiLevelType w:val="hybridMultilevel"/>
    <w:tmpl w:val="8A7E6E7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FBF0067"/>
    <w:multiLevelType w:val="hybridMultilevel"/>
    <w:tmpl w:val="5E18365E"/>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BC535FB"/>
    <w:multiLevelType w:val="hybridMultilevel"/>
    <w:tmpl w:val="21FAC61E"/>
    <w:lvl w:ilvl="0" w:tplc="FF2241DC">
      <w:start w:val="1"/>
      <w:numFmt w:val="decimal"/>
      <w:lvlText w:val="%1."/>
      <w:lvlJc w:val="left"/>
      <w:pPr>
        <w:tabs>
          <w:tab w:val="num" w:pos="720"/>
        </w:tabs>
        <w:ind w:left="720" w:hanging="360"/>
      </w:pPr>
    </w:lvl>
    <w:lvl w:ilvl="1" w:tplc="0F6618F8" w:tentative="1">
      <w:start w:val="1"/>
      <w:numFmt w:val="decimal"/>
      <w:lvlText w:val="%2."/>
      <w:lvlJc w:val="left"/>
      <w:pPr>
        <w:tabs>
          <w:tab w:val="num" w:pos="1440"/>
        </w:tabs>
        <w:ind w:left="1440" w:hanging="360"/>
      </w:pPr>
    </w:lvl>
    <w:lvl w:ilvl="2" w:tplc="316A0646" w:tentative="1">
      <w:start w:val="1"/>
      <w:numFmt w:val="decimal"/>
      <w:lvlText w:val="%3."/>
      <w:lvlJc w:val="left"/>
      <w:pPr>
        <w:tabs>
          <w:tab w:val="num" w:pos="2160"/>
        </w:tabs>
        <w:ind w:left="2160" w:hanging="360"/>
      </w:pPr>
    </w:lvl>
    <w:lvl w:ilvl="3" w:tplc="10B8E8B6" w:tentative="1">
      <w:start w:val="1"/>
      <w:numFmt w:val="decimal"/>
      <w:lvlText w:val="%4."/>
      <w:lvlJc w:val="left"/>
      <w:pPr>
        <w:tabs>
          <w:tab w:val="num" w:pos="2880"/>
        </w:tabs>
        <w:ind w:left="2880" w:hanging="360"/>
      </w:pPr>
    </w:lvl>
    <w:lvl w:ilvl="4" w:tplc="4ED24194" w:tentative="1">
      <w:start w:val="1"/>
      <w:numFmt w:val="decimal"/>
      <w:lvlText w:val="%5."/>
      <w:lvlJc w:val="left"/>
      <w:pPr>
        <w:tabs>
          <w:tab w:val="num" w:pos="3600"/>
        </w:tabs>
        <w:ind w:left="3600" w:hanging="360"/>
      </w:pPr>
    </w:lvl>
    <w:lvl w:ilvl="5" w:tplc="1D385B6C" w:tentative="1">
      <w:start w:val="1"/>
      <w:numFmt w:val="decimal"/>
      <w:lvlText w:val="%6."/>
      <w:lvlJc w:val="left"/>
      <w:pPr>
        <w:tabs>
          <w:tab w:val="num" w:pos="4320"/>
        </w:tabs>
        <w:ind w:left="4320" w:hanging="360"/>
      </w:pPr>
    </w:lvl>
    <w:lvl w:ilvl="6" w:tplc="C812019E" w:tentative="1">
      <w:start w:val="1"/>
      <w:numFmt w:val="decimal"/>
      <w:lvlText w:val="%7."/>
      <w:lvlJc w:val="left"/>
      <w:pPr>
        <w:tabs>
          <w:tab w:val="num" w:pos="5040"/>
        </w:tabs>
        <w:ind w:left="5040" w:hanging="360"/>
      </w:pPr>
    </w:lvl>
    <w:lvl w:ilvl="7" w:tplc="8B92C0C6" w:tentative="1">
      <w:start w:val="1"/>
      <w:numFmt w:val="decimal"/>
      <w:lvlText w:val="%8."/>
      <w:lvlJc w:val="left"/>
      <w:pPr>
        <w:tabs>
          <w:tab w:val="num" w:pos="5760"/>
        </w:tabs>
        <w:ind w:left="5760" w:hanging="360"/>
      </w:pPr>
    </w:lvl>
    <w:lvl w:ilvl="8" w:tplc="107CBB18" w:tentative="1">
      <w:start w:val="1"/>
      <w:numFmt w:val="decimal"/>
      <w:lvlText w:val="%9."/>
      <w:lvlJc w:val="left"/>
      <w:pPr>
        <w:tabs>
          <w:tab w:val="num" w:pos="6480"/>
        </w:tabs>
        <w:ind w:left="6480" w:hanging="360"/>
      </w:pPr>
    </w:lvl>
  </w:abstractNum>
  <w:abstractNum w:abstractNumId="17" w15:restartNumberingAfterBreak="0">
    <w:nsid w:val="728A7A78"/>
    <w:multiLevelType w:val="hybridMultilevel"/>
    <w:tmpl w:val="80D62994"/>
    <w:lvl w:ilvl="0" w:tplc="8F3A1028">
      <w:start w:val="1"/>
      <w:numFmt w:val="bullet"/>
      <w:lvlText w:val=""/>
      <w:lvlJc w:val="left"/>
      <w:pPr>
        <w:tabs>
          <w:tab w:val="num" w:pos="720"/>
        </w:tabs>
        <w:ind w:left="720" w:hanging="360"/>
      </w:pPr>
      <w:rPr>
        <w:rFonts w:ascii="Symbol" w:hAnsi="Symbol" w:hint="default"/>
      </w:rPr>
    </w:lvl>
    <w:lvl w:ilvl="1" w:tplc="0B202456">
      <w:start w:val="1"/>
      <w:numFmt w:val="bullet"/>
      <w:lvlText w:val=""/>
      <w:lvlJc w:val="left"/>
      <w:pPr>
        <w:tabs>
          <w:tab w:val="num" w:pos="1440"/>
        </w:tabs>
        <w:ind w:left="1440" w:hanging="360"/>
      </w:pPr>
      <w:rPr>
        <w:rFonts w:ascii="Wingdings" w:hAnsi="Wingdings" w:hint="default"/>
      </w:rPr>
    </w:lvl>
    <w:lvl w:ilvl="2" w:tplc="4144268E">
      <w:numFmt w:val="none"/>
      <w:lvlText w:val=""/>
      <w:lvlJc w:val="left"/>
      <w:pPr>
        <w:tabs>
          <w:tab w:val="num" w:pos="360"/>
        </w:tabs>
      </w:pPr>
    </w:lvl>
    <w:lvl w:ilvl="3" w:tplc="9BB4B502" w:tentative="1">
      <w:start w:val="1"/>
      <w:numFmt w:val="bullet"/>
      <w:lvlText w:val=""/>
      <w:lvlJc w:val="left"/>
      <w:pPr>
        <w:tabs>
          <w:tab w:val="num" w:pos="2880"/>
        </w:tabs>
        <w:ind w:left="2880" w:hanging="360"/>
      </w:pPr>
      <w:rPr>
        <w:rFonts w:ascii="Wingdings" w:hAnsi="Wingdings" w:hint="default"/>
      </w:rPr>
    </w:lvl>
    <w:lvl w:ilvl="4" w:tplc="8FF6424C" w:tentative="1">
      <w:start w:val="1"/>
      <w:numFmt w:val="bullet"/>
      <w:lvlText w:val=""/>
      <w:lvlJc w:val="left"/>
      <w:pPr>
        <w:tabs>
          <w:tab w:val="num" w:pos="3600"/>
        </w:tabs>
        <w:ind w:left="3600" w:hanging="360"/>
      </w:pPr>
      <w:rPr>
        <w:rFonts w:ascii="Wingdings" w:hAnsi="Wingdings" w:hint="default"/>
      </w:rPr>
    </w:lvl>
    <w:lvl w:ilvl="5" w:tplc="B5AAAE60" w:tentative="1">
      <w:start w:val="1"/>
      <w:numFmt w:val="bullet"/>
      <w:lvlText w:val=""/>
      <w:lvlJc w:val="left"/>
      <w:pPr>
        <w:tabs>
          <w:tab w:val="num" w:pos="4320"/>
        </w:tabs>
        <w:ind w:left="4320" w:hanging="360"/>
      </w:pPr>
      <w:rPr>
        <w:rFonts w:ascii="Wingdings" w:hAnsi="Wingdings" w:hint="default"/>
      </w:rPr>
    </w:lvl>
    <w:lvl w:ilvl="6" w:tplc="0C9CFB88" w:tentative="1">
      <w:start w:val="1"/>
      <w:numFmt w:val="bullet"/>
      <w:lvlText w:val=""/>
      <w:lvlJc w:val="left"/>
      <w:pPr>
        <w:tabs>
          <w:tab w:val="num" w:pos="5040"/>
        </w:tabs>
        <w:ind w:left="5040" w:hanging="360"/>
      </w:pPr>
      <w:rPr>
        <w:rFonts w:ascii="Wingdings" w:hAnsi="Wingdings" w:hint="default"/>
      </w:rPr>
    </w:lvl>
    <w:lvl w:ilvl="7" w:tplc="3C8E5C38" w:tentative="1">
      <w:start w:val="1"/>
      <w:numFmt w:val="bullet"/>
      <w:lvlText w:val=""/>
      <w:lvlJc w:val="left"/>
      <w:pPr>
        <w:tabs>
          <w:tab w:val="num" w:pos="5760"/>
        </w:tabs>
        <w:ind w:left="5760" w:hanging="360"/>
      </w:pPr>
      <w:rPr>
        <w:rFonts w:ascii="Wingdings" w:hAnsi="Wingdings" w:hint="default"/>
      </w:rPr>
    </w:lvl>
    <w:lvl w:ilvl="8" w:tplc="38D8463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7261DE"/>
    <w:multiLevelType w:val="hybridMultilevel"/>
    <w:tmpl w:val="71AE932A"/>
    <w:lvl w:ilvl="0" w:tplc="9FE6C8BC">
      <w:numFmt w:val="bullet"/>
      <w:lvlText w:val="-"/>
      <w:lvlJc w:val="left"/>
      <w:pPr>
        <w:ind w:left="720" w:hanging="360"/>
      </w:pPr>
      <w:rPr>
        <w:rFonts w:ascii="Segoe UI Semilight" w:eastAsiaTheme="minorHAnsi" w:hAnsi="Segoe UI Semilight" w:cs="Segoe UI Semilight"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63366591">
    <w:abstractNumId w:val="7"/>
  </w:num>
  <w:num w:numId="2" w16cid:durableId="1958175432">
    <w:abstractNumId w:val="14"/>
  </w:num>
  <w:num w:numId="3" w16cid:durableId="1608269229">
    <w:abstractNumId w:val="13"/>
  </w:num>
  <w:num w:numId="4" w16cid:durableId="2113281621">
    <w:abstractNumId w:val="4"/>
  </w:num>
  <w:num w:numId="5" w16cid:durableId="1086346300">
    <w:abstractNumId w:val="5"/>
  </w:num>
  <w:num w:numId="6" w16cid:durableId="1170293640">
    <w:abstractNumId w:val="6"/>
  </w:num>
  <w:num w:numId="7" w16cid:durableId="289017718">
    <w:abstractNumId w:val="16"/>
  </w:num>
  <w:num w:numId="8" w16cid:durableId="6757111">
    <w:abstractNumId w:val="2"/>
  </w:num>
  <w:num w:numId="9" w16cid:durableId="1525829514">
    <w:abstractNumId w:val="11"/>
  </w:num>
  <w:num w:numId="10" w16cid:durableId="785467788">
    <w:abstractNumId w:val="0"/>
  </w:num>
  <w:num w:numId="11" w16cid:durableId="1038970429">
    <w:abstractNumId w:val="3"/>
  </w:num>
  <w:num w:numId="12" w16cid:durableId="1447507642">
    <w:abstractNumId w:val="15"/>
  </w:num>
  <w:num w:numId="13" w16cid:durableId="202058123">
    <w:abstractNumId w:val="12"/>
  </w:num>
  <w:num w:numId="14" w16cid:durableId="1715159282">
    <w:abstractNumId w:val="9"/>
  </w:num>
  <w:num w:numId="15" w16cid:durableId="1781411888">
    <w:abstractNumId w:val="10"/>
  </w:num>
  <w:num w:numId="16" w16cid:durableId="1766346117">
    <w:abstractNumId w:val="1"/>
  </w:num>
  <w:num w:numId="17" w16cid:durableId="909535890">
    <w:abstractNumId w:val="18"/>
  </w:num>
  <w:num w:numId="18" w16cid:durableId="1518538074">
    <w:abstractNumId w:val="8"/>
  </w:num>
  <w:num w:numId="19" w16cid:durableId="20229670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27"/>
    <w:rsid w:val="00006F53"/>
    <w:rsid w:val="00011BE1"/>
    <w:rsid w:val="0002040A"/>
    <w:rsid w:val="000211B2"/>
    <w:rsid w:val="00024F81"/>
    <w:rsid w:val="000433FE"/>
    <w:rsid w:val="0004629C"/>
    <w:rsid w:val="000462E6"/>
    <w:rsid w:val="00050718"/>
    <w:rsid w:val="00051B9E"/>
    <w:rsid w:val="000528D8"/>
    <w:rsid w:val="000624FD"/>
    <w:rsid w:val="00066EBF"/>
    <w:rsid w:val="00080611"/>
    <w:rsid w:val="000973F8"/>
    <w:rsid w:val="000C2185"/>
    <w:rsid w:val="000E227F"/>
    <w:rsid w:val="000E7986"/>
    <w:rsid w:val="000F0ADE"/>
    <w:rsid w:val="000F3D80"/>
    <w:rsid w:val="00101877"/>
    <w:rsid w:val="00103FE8"/>
    <w:rsid w:val="00116287"/>
    <w:rsid w:val="00122801"/>
    <w:rsid w:val="00122ED4"/>
    <w:rsid w:val="0013406C"/>
    <w:rsid w:val="0014001F"/>
    <w:rsid w:val="001515BD"/>
    <w:rsid w:val="00151C28"/>
    <w:rsid w:val="00163B83"/>
    <w:rsid w:val="00177B1A"/>
    <w:rsid w:val="00180DFC"/>
    <w:rsid w:val="00186A1F"/>
    <w:rsid w:val="00190775"/>
    <w:rsid w:val="00194008"/>
    <w:rsid w:val="00197D67"/>
    <w:rsid w:val="001A101E"/>
    <w:rsid w:val="001A17FC"/>
    <w:rsid w:val="001A32B6"/>
    <w:rsid w:val="001A46E4"/>
    <w:rsid w:val="001A6CBB"/>
    <w:rsid w:val="001B1702"/>
    <w:rsid w:val="001B3FF3"/>
    <w:rsid w:val="001C3BDB"/>
    <w:rsid w:val="001D2ED3"/>
    <w:rsid w:val="001E6F24"/>
    <w:rsid w:val="00205121"/>
    <w:rsid w:val="00214354"/>
    <w:rsid w:val="00225C49"/>
    <w:rsid w:val="00236F32"/>
    <w:rsid w:val="00240867"/>
    <w:rsid w:val="0024142C"/>
    <w:rsid w:val="00241552"/>
    <w:rsid w:val="00243D68"/>
    <w:rsid w:val="00252552"/>
    <w:rsid w:val="00266433"/>
    <w:rsid w:val="00266ABE"/>
    <w:rsid w:val="00275F3E"/>
    <w:rsid w:val="002760EE"/>
    <w:rsid w:val="00283D44"/>
    <w:rsid w:val="002958C3"/>
    <w:rsid w:val="002C65FB"/>
    <w:rsid w:val="002D0C3B"/>
    <w:rsid w:val="002F13C1"/>
    <w:rsid w:val="00304075"/>
    <w:rsid w:val="003065CE"/>
    <w:rsid w:val="00310C01"/>
    <w:rsid w:val="00314B57"/>
    <w:rsid w:val="0032302D"/>
    <w:rsid w:val="00323DA3"/>
    <w:rsid w:val="0034706D"/>
    <w:rsid w:val="003619C1"/>
    <w:rsid w:val="00372271"/>
    <w:rsid w:val="0037355B"/>
    <w:rsid w:val="003A6D77"/>
    <w:rsid w:val="003B1157"/>
    <w:rsid w:val="003B510A"/>
    <w:rsid w:val="003C12E2"/>
    <w:rsid w:val="003C2DA8"/>
    <w:rsid w:val="003D2E99"/>
    <w:rsid w:val="003E7324"/>
    <w:rsid w:val="003F7C36"/>
    <w:rsid w:val="00402829"/>
    <w:rsid w:val="004108D1"/>
    <w:rsid w:val="004142C9"/>
    <w:rsid w:val="00435DD5"/>
    <w:rsid w:val="00436FEC"/>
    <w:rsid w:val="00462513"/>
    <w:rsid w:val="00477D52"/>
    <w:rsid w:val="004820CF"/>
    <w:rsid w:val="00490859"/>
    <w:rsid w:val="004974AD"/>
    <w:rsid w:val="004A39F6"/>
    <w:rsid w:val="004A451D"/>
    <w:rsid w:val="004A7216"/>
    <w:rsid w:val="004B67FC"/>
    <w:rsid w:val="004B6F95"/>
    <w:rsid w:val="004D0E1A"/>
    <w:rsid w:val="004D2D46"/>
    <w:rsid w:val="004E032E"/>
    <w:rsid w:val="004E2FAC"/>
    <w:rsid w:val="004F1C0F"/>
    <w:rsid w:val="005007BA"/>
    <w:rsid w:val="0051074F"/>
    <w:rsid w:val="00514727"/>
    <w:rsid w:val="0053384D"/>
    <w:rsid w:val="00541767"/>
    <w:rsid w:val="00545B9A"/>
    <w:rsid w:val="005556E1"/>
    <w:rsid w:val="005625D4"/>
    <w:rsid w:val="00562C9E"/>
    <w:rsid w:val="00563CEC"/>
    <w:rsid w:val="00564E2A"/>
    <w:rsid w:val="0059445C"/>
    <w:rsid w:val="005949E0"/>
    <w:rsid w:val="005A4933"/>
    <w:rsid w:val="005B3916"/>
    <w:rsid w:val="005B5BBD"/>
    <w:rsid w:val="005C29F0"/>
    <w:rsid w:val="005D634D"/>
    <w:rsid w:val="005D7B50"/>
    <w:rsid w:val="005E18CC"/>
    <w:rsid w:val="005E53CA"/>
    <w:rsid w:val="005F066D"/>
    <w:rsid w:val="005F440F"/>
    <w:rsid w:val="005F6440"/>
    <w:rsid w:val="00606ABD"/>
    <w:rsid w:val="00607B4B"/>
    <w:rsid w:val="00611640"/>
    <w:rsid w:val="00616D1B"/>
    <w:rsid w:val="00640293"/>
    <w:rsid w:val="00640ABA"/>
    <w:rsid w:val="00641FCC"/>
    <w:rsid w:val="00642C42"/>
    <w:rsid w:val="00643B57"/>
    <w:rsid w:val="00647807"/>
    <w:rsid w:val="00660E00"/>
    <w:rsid w:val="006678A1"/>
    <w:rsid w:val="00684355"/>
    <w:rsid w:val="00692055"/>
    <w:rsid w:val="006A60BB"/>
    <w:rsid w:val="006B1270"/>
    <w:rsid w:val="006B3AF0"/>
    <w:rsid w:val="006C3982"/>
    <w:rsid w:val="006C775A"/>
    <w:rsid w:val="006D73C1"/>
    <w:rsid w:val="006E1E8E"/>
    <w:rsid w:val="0070335B"/>
    <w:rsid w:val="0071595A"/>
    <w:rsid w:val="0072400F"/>
    <w:rsid w:val="0073176D"/>
    <w:rsid w:val="007325D7"/>
    <w:rsid w:val="00745FA4"/>
    <w:rsid w:val="007471A4"/>
    <w:rsid w:val="0075030B"/>
    <w:rsid w:val="007516B7"/>
    <w:rsid w:val="007742EA"/>
    <w:rsid w:val="00775CB0"/>
    <w:rsid w:val="0078165C"/>
    <w:rsid w:val="00790498"/>
    <w:rsid w:val="00791725"/>
    <w:rsid w:val="007A235E"/>
    <w:rsid w:val="007A5A4B"/>
    <w:rsid w:val="007B330C"/>
    <w:rsid w:val="007B3768"/>
    <w:rsid w:val="007B5DDB"/>
    <w:rsid w:val="007C3721"/>
    <w:rsid w:val="007E7DFE"/>
    <w:rsid w:val="007F640D"/>
    <w:rsid w:val="007F6C64"/>
    <w:rsid w:val="00800A75"/>
    <w:rsid w:val="00806D8C"/>
    <w:rsid w:val="0080799A"/>
    <w:rsid w:val="00812906"/>
    <w:rsid w:val="00817F5E"/>
    <w:rsid w:val="00821797"/>
    <w:rsid w:val="008231B8"/>
    <w:rsid w:val="00824E77"/>
    <w:rsid w:val="00830ACD"/>
    <w:rsid w:val="00832AE7"/>
    <w:rsid w:val="0083381E"/>
    <w:rsid w:val="00834196"/>
    <w:rsid w:val="008352F3"/>
    <w:rsid w:val="00836763"/>
    <w:rsid w:val="00841E25"/>
    <w:rsid w:val="008513A3"/>
    <w:rsid w:val="00860538"/>
    <w:rsid w:val="00862DE5"/>
    <w:rsid w:val="00872C14"/>
    <w:rsid w:val="008855E4"/>
    <w:rsid w:val="00886606"/>
    <w:rsid w:val="0089310C"/>
    <w:rsid w:val="0089772F"/>
    <w:rsid w:val="008A14FE"/>
    <w:rsid w:val="008A69BB"/>
    <w:rsid w:val="008B0942"/>
    <w:rsid w:val="008C40B6"/>
    <w:rsid w:val="008D28CE"/>
    <w:rsid w:val="008D2BAE"/>
    <w:rsid w:val="008D5F04"/>
    <w:rsid w:val="008E3DE9"/>
    <w:rsid w:val="008F7A93"/>
    <w:rsid w:val="00916128"/>
    <w:rsid w:val="009238CE"/>
    <w:rsid w:val="00925B1D"/>
    <w:rsid w:val="00934A4B"/>
    <w:rsid w:val="00936773"/>
    <w:rsid w:val="00941B2E"/>
    <w:rsid w:val="0097276F"/>
    <w:rsid w:val="009A37ED"/>
    <w:rsid w:val="009B1D3A"/>
    <w:rsid w:val="009B28C5"/>
    <w:rsid w:val="009B6D5E"/>
    <w:rsid w:val="009C15E2"/>
    <w:rsid w:val="009D5259"/>
    <w:rsid w:val="009D63F6"/>
    <w:rsid w:val="009E59AD"/>
    <w:rsid w:val="009F6415"/>
    <w:rsid w:val="00A045A7"/>
    <w:rsid w:val="00A046B3"/>
    <w:rsid w:val="00A04F49"/>
    <w:rsid w:val="00A10839"/>
    <w:rsid w:val="00A11E48"/>
    <w:rsid w:val="00A22B2C"/>
    <w:rsid w:val="00A2775F"/>
    <w:rsid w:val="00A4631E"/>
    <w:rsid w:val="00A538DC"/>
    <w:rsid w:val="00A57819"/>
    <w:rsid w:val="00A9519C"/>
    <w:rsid w:val="00AA1A4E"/>
    <w:rsid w:val="00AA6F2B"/>
    <w:rsid w:val="00AB158A"/>
    <w:rsid w:val="00AB489B"/>
    <w:rsid w:val="00AD0C73"/>
    <w:rsid w:val="00AD6C7A"/>
    <w:rsid w:val="00AE0518"/>
    <w:rsid w:val="00AE693F"/>
    <w:rsid w:val="00B054F8"/>
    <w:rsid w:val="00B130AB"/>
    <w:rsid w:val="00B14048"/>
    <w:rsid w:val="00B17DEC"/>
    <w:rsid w:val="00B22142"/>
    <w:rsid w:val="00B23E47"/>
    <w:rsid w:val="00B246BE"/>
    <w:rsid w:val="00B31831"/>
    <w:rsid w:val="00B406FA"/>
    <w:rsid w:val="00B47855"/>
    <w:rsid w:val="00B5416B"/>
    <w:rsid w:val="00B5725E"/>
    <w:rsid w:val="00B60081"/>
    <w:rsid w:val="00B75A65"/>
    <w:rsid w:val="00B81C6F"/>
    <w:rsid w:val="00B90290"/>
    <w:rsid w:val="00BA2395"/>
    <w:rsid w:val="00BA468D"/>
    <w:rsid w:val="00BB3B09"/>
    <w:rsid w:val="00BB6318"/>
    <w:rsid w:val="00BC13F5"/>
    <w:rsid w:val="00BD0727"/>
    <w:rsid w:val="00BD3CBE"/>
    <w:rsid w:val="00BE2254"/>
    <w:rsid w:val="00BF0727"/>
    <w:rsid w:val="00BF79B3"/>
    <w:rsid w:val="00C02273"/>
    <w:rsid w:val="00C1188B"/>
    <w:rsid w:val="00C217C8"/>
    <w:rsid w:val="00C25409"/>
    <w:rsid w:val="00C25AC9"/>
    <w:rsid w:val="00C345B3"/>
    <w:rsid w:val="00C37A59"/>
    <w:rsid w:val="00C40727"/>
    <w:rsid w:val="00C4176B"/>
    <w:rsid w:val="00C60E2F"/>
    <w:rsid w:val="00C67670"/>
    <w:rsid w:val="00C778F6"/>
    <w:rsid w:val="00C9054A"/>
    <w:rsid w:val="00C90A85"/>
    <w:rsid w:val="00C93C4E"/>
    <w:rsid w:val="00C95B80"/>
    <w:rsid w:val="00CA1A22"/>
    <w:rsid w:val="00CB1817"/>
    <w:rsid w:val="00CB63DD"/>
    <w:rsid w:val="00CC0E77"/>
    <w:rsid w:val="00CD257D"/>
    <w:rsid w:val="00CD421A"/>
    <w:rsid w:val="00CD5601"/>
    <w:rsid w:val="00CD5F04"/>
    <w:rsid w:val="00CE14AA"/>
    <w:rsid w:val="00CF21D6"/>
    <w:rsid w:val="00D043EB"/>
    <w:rsid w:val="00D04E41"/>
    <w:rsid w:val="00D060CF"/>
    <w:rsid w:val="00D159D3"/>
    <w:rsid w:val="00D316B6"/>
    <w:rsid w:val="00D715D7"/>
    <w:rsid w:val="00D76210"/>
    <w:rsid w:val="00D80F07"/>
    <w:rsid w:val="00D82463"/>
    <w:rsid w:val="00D91F1D"/>
    <w:rsid w:val="00D937A9"/>
    <w:rsid w:val="00DA4DFF"/>
    <w:rsid w:val="00DB68C0"/>
    <w:rsid w:val="00DB6E90"/>
    <w:rsid w:val="00DB7C80"/>
    <w:rsid w:val="00DD3242"/>
    <w:rsid w:val="00DD6E9E"/>
    <w:rsid w:val="00DE30E3"/>
    <w:rsid w:val="00DE6861"/>
    <w:rsid w:val="00E02505"/>
    <w:rsid w:val="00E119EF"/>
    <w:rsid w:val="00E17233"/>
    <w:rsid w:val="00E2092D"/>
    <w:rsid w:val="00E20EE7"/>
    <w:rsid w:val="00E360C7"/>
    <w:rsid w:val="00E442AD"/>
    <w:rsid w:val="00E57BDE"/>
    <w:rsid w:val="00E620E2"/>
    <w:rsid w:val="00E63433"/>
    <w:rsid w:val="00E63D0C"/>
    <w:rsid w:val="00E67B5F"/>
    <w:rsid w:val="00E779D3"/>
    <w:rsid w:val="00E84440"/>
    <w:rsid w:val="00E87D68"/>
    <w:rsid w:val="00E906A9"/>
    <w:rsid w:val="00ED1DAC"/>
    <w:rsid w:val="00ED4B1D"/>
    <w:rsid w:val="00F04528"/>
    <w:rsid w:val="00F10808"/>
    <w:rsid w:val="00F13962"/>
    <w:rsid w:val="00F14BAE"/>
    <w:rsid w:val="00F32D4C"/>
    <w:rsid w:val="00F377B4"/>
    <w:rsid w:val="00F40F56"/>
    <w:rsid w:val="00F41B7E"/>
    <w:rsid w:val="00F46F3D"/>
    <w:rsid w:val="00F72B2F"/>
    <w:rsid w:val="00F73115"/>
    <w:rsid w:val="00F94A1F"/>
    <w:rsid w:val="00F95A2D"/>
    <w:rsid w:val="00FC2B00"/>
    <w:rsid w:val="00FD4C98"/>
    <w:rsid w:val="00FE4CE9"/>
    <w:rsid w:val="00FE6C8D"/>
    <w:rsid w:val="00FF1B44"/>
    <w:rsid w:val="00FF1F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78BB"/>
  <w15:chartTrackingRefBased/>
  <w15:docId w15:val="{6D470F53-4AC7-4AF3-BCEC-98EB7DB4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B2E"/>
    <w:pPr>
      <w:keepLines/>
    </w:pPr>
    <w:rPr>
      <w:color w:val="54575A" w:themeColor="text1"/>
      <w:lang w:val="fr-CA"/>
    </w:rPr>
  </w:style>
  <w:style w:type="paragraph" w:styleId="Heading1">
    <w:name w:val="heading 1"/>
    <w:basedOn w:val="Normal"/>
    <w:next w:val="Normal"/>
    <w:link w:val="Heading1Char"/>
    <w:uiPriority w:val="9"/>
    <w:qFormat/>
    <w:rsid w:val="00941B2E"/>
    <w:pPr>
      <w:keepNext/>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941B2E"/>
    <w:pPr>
      <w:keepNext/>
      <w:spacing w:before="40" w:after="0"/>
      <w:outlineLvl w:val="1"/>
    </w:pPr>
    <w:rPr>
      <w:rFonts w:ascii="Segoe UI" w:eastAsiaTheme="majorEastAsia" w:hAnsi="Segoe UI" w:cs="Segoe UI"/>
      <w:b/>
      <w:color w:val="5B315E" w:themeColor="accen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B2E"/>
  </w:style>
  <w:style w:type="paragraph" w:styleId="Footer">
    <w:name w:val="footer"/>
    <w:basedOn w:val="Normal"/>
    <w:link w:val="FooterChar"/>
    <w:uiPriority w:val="99"/>
    <w:unhideWhenUsed/>
    <w:rsid w:val="0094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B2E"/>
  </w:style>
  <w:style w:type="paragraph" w:styleId="Title">
    <w:name w:val="Title"/>
    <w:basedOn w:val="Normal"/>
    <w:next w:val="Normal"/>
    <w:link w:val="TitleChar"/>
    <w:autoRedefine/>
    <w:uiPriority w:val="10"/>
    <w:qFormat/>
    <w:rsid w:val="00941B2E"/>
    <w:pPr>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941B2E"/>
    <w:rPr>
      <w:rFonts w:ascii="Segoe UI Light" w:eastAsiaTheme="majorEastAsia" w:hAnsi="Segoe UI Light" w:cs="Segoe UI Light"/>
      <w:color w:val="54575A" w:themeColor="text1"/>
      <w:spacing w:val="-10"/>
      <w:kern w:val="28"/>
      <w:sz w:val="120"/>
      <w:szCs w:val="120"/>
      <w:lang w:val="fr-CA"/>
    </w:rPr>
  </w:style>
  <w:style w:type="paragraph" w:styleId="Subtitle">
    <w:name w:val="Subtitle"/>
    <w:basedOn w:val="Normal"/>
    <w:next w:val="Normal"/>
    <w:link w:val="SubtitleChar"/>
    <w:uiPriority w:val="11"/>
    <w:qFormat/>
    <w:rsid w:val="00941B2E"/>
    <w:rPr>
      <w:rFonts w:ascii="Segoe UI Light" w:hAnsi="Segoe UI Light" w:cs="Segoe UI Light"/>
      <w:sz w:val="36"/>
      <w:szCs w:val="36"/>
    </w:rPr>
  </w:style>
  <w:style w:type="character" w:customStyle="1" w:styleId="SubtitleChar">
    <w:name w:val="Subtitle Char"/>
    <w:basedOn w:val="DefaultParagraphFont"/>
    <w:link w:val="Subtitle"/>
    <w:uiPriority w:val="11"/>
    <w:rsid w:val="00941B2E"/>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941B2E"/>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941B2E"/>
    <w:rPr>
      <w:rFonts w:ascii="Segoe UI" w:eastAsiaTheme="majorEastAsia" w:hAnsi="Segoe UI" w:cs="Segoe UI"/>
      <w:b/>
      <w:color w:val="5B315E" w:themeColor="accent2"/>
      <w:sz w:val="32"/>
      <w:szCs w:val="32"/>
      <w:lang w:val="fr-CA"/>
    </w:rPr>
  </w:style>
  <w:style w:type="paragraph" w:styleId="ListParagraph">
    <w:name w:val="List Paragraph"/>
    <w:basedOn w:val="Normal"/>
    <w:uiPriority w:val="34"/>
    <w:qFormat/>
    <w:rsid w:val="00941B2E"/>
    <w:pPr>
      <w:numPr>
        <w:numId w:val="1"/>
      </w:numPr>
      <w:spacing w:after="320"/>
      <w:contextualSpacing/>
    </w:pPr>
  </w:style>
  <w:style w:type="character" w:styleId="Hyperlink">
    <w:name w:val="Hyperlink"/>
    <w:basedOn w:val="DefaultParagraphFont"/>
    <w:uiPriority w:val="99"/>
    <w:unhideWhenUsed/>
    <w:rsid w:val="00941B2E"/>
    <w:rPr>
      <w:color w:val="5B315E" w:themeColor="accent2"/>
      <w:u w:val="single"/>
      <w:shd w:val="clear" w:color="auto" w:fill="auto"/>
    </w:rPr>
  </w:style>
  <w:style w:type="paragraph" w:styleId="NoSpacing">
    <w:name w:val="No Spacing"/>
    <w:link w:val="NoSpacingChar"/>
    <w:uiPriority w:val="1"/>
    <w:qFormat/>
    <w:rsid w:val="00C40727"/>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C40727"/>
    <w:rPr>
      <w:rFonts w:ascii="Arial" w:eastAsiaTheme="minorEastAsia" w:hAnsi="Arial"/>
      <w:lang w:val="en-US"/>
    </w:rPr>
  </w:style>
  <w:style w:type="paragraph" w:styleId="FootnoteText">
    <w:name w:val="footnote text"/>
    <w:basedOn w:val="Normal"/>
    <w:link w:val="FootnoteTextChar"/>
    <w:uiPriority w:val="99"/>
    <w:unhideWhenUsed/>
    <w:rsid w:val="00C40727"/>
    <w:pPr>
      <w:keepLines w:val="0"/>
      <w:spacing w:after="0" w:line="240" w:lineRule="auto"/>
    </w:pPr>
    <w:rPr>
      <w:rFonts w:ascii="Arial" w:hAnsi="Arial"/>
      <w:color w:val="auto"/>
      <w:sz w:val="20"/>
      <w:szCs w:val="20"/>
      <w:lang w:val="en-CA"/>
    </w:rPr>
  </w:style>
  <w:style w:type="character" w:customStyle="1" w:styleId="FootnoteTextChar">
    <w:name w:val="Footnote Text Char"/>
    <w:basedOn w:val="DefaultParagraphFont"/>
    <w:link w:val="FootnoteText"/>
    <w:uiPriority w:val="99"/>
    <w:rsid w:val="00C40727"/>
    <w:rPr>
      <w:rFonts w:ascii="Arial" w:hAnsi="Arial"/>
      <w:sz w:val="20"/>
      <w:szCs w:val="20"/>
    </w:rPr>
  </w:style>
  <w:style w:type="character" w:styleId="FootnoteReference">
    <w:name w:val="footnote reference"/>
    <w:basedOn w:val="DefaultParagraphFont"/>
    <w:uiPriority w:val="99"/>
    <w:semiHidden/>
    <w:unhideWhenUsed/>
    <w:rsid w:val="00C40727"/>
    <w:rPr>
      <w:vertAlign w:val="superscript"/>
    </w:rPr>
  </w:style>
  <w:style w:type="paragraph" w:styleId="TOCHeading">
    <w:name w:val="TOC Heading"/>
    <w:basedOn w:val="Heading1"/>
    <w:next w:val="Normal"/>
    <w:uiPriority w:val="39"/>
    <w:unhideWhenUsed/>
    <w:qFormat/>
    <w:rsid w:val="008C40B6"/>
    <w:pPr>
      <w:outlineLvl w:val="9"/>
    </w:pPr>
    <w:rPr>
      <w:color w:val="9F0040" w:themeColor="accent1" w:themeShade="BF"/>
      <w:sz w:val="32"/>
      <w:szCs w:val="32"/>
      <w:lang w:val="en-US"/>
    </w:rPr>
  </w:style>
  <w:style w:type="paragraph" w:styleId="TOC1">
    <w:name w:val="toc 1"/>
    <w:basedOn w:val="Normal"/>
    <w:next w:val="Normal"/>
    <w:autoRedefine/>
    <w:uiPriority w:val="39"/>
    <w:unhideWhenUsed/>
    <w:rsid w:val="008C40B6"/>
    <w:pPr>
      <w:spacing w:after="100"/>
    </w:pPr>
  </w:style>
  <w:style w:type="character" w:styleId="CommentReference">
    <w:name w:val="annotation reference"/>
    <w:basedOn w:val="DefaultParagraphFont"/>
    <w:uiPriority w:val="99"/>
    <w:semiHidden/>
    <w:unhideWhenUsed/>
    <w:rsid w:val="008C40B6"/>
    <w:rPr>
      <w:sz w:val="16"/>
      <w:szCs w:val="16"/>
    </w:rPr>
  </w:style>
  <w:style w:type="paragraph" w:styleId="CommentText">
    <w:name w:val="annotation text"/>
    <w:basedOn w:val="Normal"/>
    <w:link w:val="CommentTextChar"/>
    <w:uiPriority w:val="99"/>
    <w:unhideWhenUsed/>
    <w:rsid w:val="008C40B6"/>
    <w:pPr>
      <w:spacing w:line="240" w:lineRule="auto"/>
    </w:pPr>
    <w:rPr>
      <w:sz w:val="20"/>
      <w:szCs w:val="20"/>
    </w:rPr>
  </w:style>
  <w:style w:type="character" w:customStyle="1" w:styleId="CommentTextChar">
    <w:name w:val="Comment Text Char"/>
    <w:basedOn w:val="DefaultParagraphFont"/>
    <w:link w:val="CommentText"/>
    <w:uiPriority w:val="99"/>
    <w:rsid w:val="008C40B6"/>
    <w:rPr>
      <w:color w:val="54575A" w:themeColor="text1"/>
      <w:sz w:val="20"/>
      <w:szCs w:val="20"/>
      <w:lang w:val="fr-CA"/>
    </w:rPr>
  </w:style>
  <w:style w:type="paragraph" w:styleId="CommentSubject">
    <w:name w:val="annotation subject"/>
    <w:basedOn w:val="CommentText"/>
    <w:next w:val="CommentText"/>
    <w:link w:val="CommentSubjectChar"/>
    <w:uiPriority w:val="99"/>
    <w:semiHidden/>
    <w:unhideWhenUsed/>
    <w:rsid w:val="008C40B6"/>
    <w:rPr>
      <w:b/>
      <w:bCs/>
    </w:rPr>
  </w:style>
  <w:style w:type="character" w:customStyle="1" w:styleId="CommentSubjectChar">
    <w:name w:val="Comment Subject Char"/>
    <w:basedOn w:val="CommentTextChar"/>
    <w:link w:val="CommentSubject"/>
    <w:uiPriority w:val="99"/>
    <w:semiHidden/>
    <w:rsid w:val="008C40B6"/>
    <w:rPr>
      <w:b/>
      <w:bCs/>
      <w:color w:val="54575A" w:themeColor="text1"/>
      <w:sz w:val="20"/>
      <w:szCs w:val="20"/>
      <w:lang w:val="fr-CA"/>
    </w:rPr>
  </w:style>
  <w:style w:type="paragraph" w:styleId="BalloonText">
    <w:name w:val="Balloon Text"/>
    <w:basedOn w:val="Normal"/>
    <w:link w:val="BalloonTextChar"/>
    <w:uiPriority w:val="99"/>
    <w:semiHidden/>
    <w:unhideWhenUsed/>
    <w:rsid w:val="008C4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0B6"/>
    <w:rPr>
      <w:rFonts w:ascii="Segoe UI" w:hAnsi="Segoe UI" w:cs="Segoe UI"/>
      <w:color w:val="54575A" w:themeColor="text1"/>
      <w:sz w:val="18"/>
      <w:szCs w:val="18"/>
      <w:lang w:val="fr-CA"/>
    </w:rPr>
  </w:style>
  <w:style w:type="character" w:styleId="Emphasis">
    <w:name w:val="Emphasis"/>
    <w:basedOn w:val="DefaultParagraphFont"/>
    <w:uiPriority w:val="20"/>
    <w:qFormat/>
    <w:rsid w:val="008C40B6"/>
    <w:rPr>
      <w:i/>
      <w:iCs/>
    </w:rPr>
  </w:style>
  <w:style w:type="table" w:styleId="GridTable4-Accent3">
    <w:name w:val="Grid Table 4 Accent 3"/>
    <w:basedOn w:val="TableNormal"/>
    <w:uiPriority w:val="49"/>
    <w:rsid w:val="008C40B6"/>
    <w:pPr>
      <w:spacing w:after="0" w:line="240" w:lineRule="auto"/>
    </w:pPr>
    <w:tblPr>
      <w:tblStyleRowBandSize w:val="1"/>
      <w:tblStyleColBandSize w:val="1"/>
      <w:tblBorders>
        <w:top w:val="single" w:sz="4" w:space="0" w:color="31ECFF" w:themeColor="accent3" w:themeTint="99"/>
        <w:left w:val="single" w:sz="4" w:space="0" w:color="31ECFF" w:themeColor="accent3" w:themeTint="99"/>
        <w:bottom w:val="single" w:sz="4" w:space="0" w:color="31ECFF" w:themeColor="accent3" w:themeTint="99"/>
        <w:right w:val="single" w:sz="4" w:space="0" w:color="31ECFF" w:themeColor="accent3" w:themeTint="99"/>
        <w:insideH w:val="single" w:sz="4" w:space="0" w:color="31ECFF" w:themeColor="accent3" w:themeTint="99"/>
        <w:insideV w:val="single" w:sz="4" w:space="0" w:color="31ECFF" w:themeColor="accent3" w:themeTint="99"/>
      </w:tblBorders>
    </w:tblPr>
    <w:tblStylePr w:type="firstRow">
      <w:rPr>
        <w:b/>
        <w:bCs/>
        <w:color w:val="FFFFFF" w:themeColor="background1"/>
      </w:rPr>
      <w:tblPr/>
      <w:tcPr>
        <w:tcBorders>
          <w:top w:val="single" w:sz="4" w:space="0" w:color="0099A8" w:themeColor="accent3"/>
          <w:left w:val="single" w:sz="4" w:space="0" w:color="0099A8" w:themeColor="accent3"/>
          <w:bottom w:val="single" w:sz="4" w:space="0" w:color="0099A8" w:themeColor="accent3"/>
          <w:right w:val="single" w:sz="4" w:space="0" w:color="0099A8" w:themeColor="accent3"/>
          <w:insideH w:val="nil"/>
          <w:insideV w:val="nil"/>
        </w:tcBorders>
        <w:shd w:val="clear" w:color="auto" w:fill="0099A8" w:themeFill="accent3"/>
      </w:tcPr>
    </w:tblStylePr>
    <w:tblStylePr w:type="lastRow">
      <w:rPr>
        <w:b/>
        <w:bCs/>
      </w:rPr>
      <w:tblPr/>
      <w:tcPr>
        <w:tcBorders>
          <w:top w:val="double" w:sz="4" w:space="0" w:color="0099A8" w:themeColor="accent3"/>
        </w:tcBorders>
      </w:tcPr>
    </w:tblStylePr>
    <w:tblStylePr w:type="firstCol">
      <w:rPr>
        <w:b/>
        <w:bCs/>
      </w:rPr>
    </w:tblStylePr>
    <w:tblStylePr w:type="lastCol">
      <w:rPr>
        <w:b/>
        <w:bCs/>
      </w:rPr>
    </w:tblStylePr>
    <w:tblStylePr w:type="band1Vert">
      <w:tblPr/>
      <w:tcPr>
        <w:shd w:val="clear" w:color="auto" w:fill="BAF8FF" w:themeFill="accent3" w:themeFillTint="33"/>
      </w:tcPr>
    </w:tblStylePr>
    <w:tblStylePr w:type="band1Horz">
      <w:tblPr/>
      <w:tcPr>
        <w:shd w:val="clear" w:color="auto" w:fill="BAF8FF" w:themeFill="accent3" w:themeFillTint="33"/>
      </w:tcPr>
    </w:tblStylePr>
  </w:style>
  <w:style w:type="character" w:styleId="UnresolvedMention">
    <w:name w:val="Unresolved Mention"/>
    <w:basedOn w:val="DefaultParagraphFont"/>
    <w:uiPriority w:val="99"/>
    <w:semiHidden/>
    <w:unhideWhenUsed/>
    <w:rsid w:val="000433FE"/>
    <w:rPr>
      <w:color w:val="605E5C"/>
      <w:shd w:val="clear" w:color="auto" w:fill="E1DFDD"/>
    </w:rPr>
  </w:style>
  <w:style w:type="table" w:styleId="GridTable4">
    <w:name w:val="Grid Table 4"/>
    <w:basedOn w:val="TableNormal"/>
    <w:uiPriority w:val="49"/>
    <w:rsid w:val="00101877"/>
    <w:pPr>
      <w:spacing w:after="0" w:line="240" w:lineRule="auto"/>
    </w:pPr>
    <w:tblPr>
      <w:tblStyleRowBandSize w:val="1"/>
      <w:tblStyleColBandSize w:val="1"/>
      <w:tblBorders>
        <w:top w:val="single" w:sz="4" w:space="0" w:color="969A9D" w:themeColor="text1" w:themeTint="99"/>
        <w:left w:val="single" w:sz="4" w:space="0" w:color="969A9D" w:themeColor="text1" w:themeTint="99"/>
        <w:bottom w:val="single" w:sz="4" w:space="0" w:color="969A9D" w:themeColor="text1" w:themeTint="99"/>
        <w:right w:val="single" w:sz="4" w:space="0" w:color="969A9D" w:themeColor="text1" w:themeTint="99"/>
        <w:insideH w:val="single" w:sz="4" w:space="0" w:color="969A9D" w:themeColor="text1" w:themeTint="99"/>
        <w:insideV w:val="single" w:sz="4" w:space="0" w:color="969A9D" w:themeColor="text1" w:themeTint="99"/>
      </w:tblBorders>
    </w:tblPr>
    <w:tblStylePr w:type="firstRow">
      <w:rPr>
        <w:b/>
        <w:bCs/>
        <w:color w:val="FFFFFF" w:themeColor="background1"/>
      </w:rPr>
      <w:tblPr/>
      <w:tcPr>
        <w:tcBorders>
          <w:top w:val="single" w:sz="4" w:space="0" w:color="54575A" w:themeColor="text1"/>
          <w:left w:val="single" w:sz="4" w:space="0" w:color="54575A" w:themeColor="text1"/>
          <w:bottom w:val="single" w:sz="4" w:space="0" w:color="54575A" w:themeColor="text1"/>
          <w:right w:val="single" w:sz="4" w:space="0" w:color="54575A" w:themeColor="text1"/>
          <w:insideH w:val="nil"/>
          <w:insideV w:val="nil"/>
        </w:tcBorders>
        <w:shd w:val="clear" w:color="auto" w:fill="54575A" w:themeFill="text1"/>
      </w:tcPr>
    </w:tblStylePr>
    <w:tblStylePr w:type="lastRow">
      <w:rPr>
        <w:b/>
        <w:bCs/>
      </w:rPr>
      <w:tblPr/>
      <w:tcPr>
        <w:tcBorders>
          <w:top w:val="double" w:sz="4" w:space="0" w:color="54575A" w:themeColor="text1"/>
        </w:tcBorders>
      </w:tcPr>
    </w:tblStylePr>
    <w:tblStylePr w:type="firstCol">
      <w:rPr>
        <w:b/>
        <w:bCs/>
      </w:rPr>
    </w:tblStylePr>
    <w:tblStylePr w:type="lastCol">
      <w:rPr>
        <w:b/>
        <w:bCs/>
      </w:rPr>
    </w:tblStylePr>
    <w:tblStylePr w:type="band1Vert">
      <w:tblPr/>
      <w:tcPr>
        <w:shd w:val="clear" w:color="auto" w:fill="DCDDDE" w:themeFill="text1" w:themeFillTint="33"/>
      </w:tcPr>
    </w:tblStylePr>
    <w:tblStylePr w:type="band1Horz">
      <w:tblPr/>
      <w:tcPr>
        <w:shd w:val="clear" w:color="auto" w:fill="DCDDDE" w:themeFill="text1" w:themeFillTint="33"/>
      </w:tcPr>
    </w:tblStylePr>
  </w:style>
  <w:style w:type="table" w:styleId="TableGrid">
    <w:name w:val="Table Grid"/>
    <w:basedOn w:val="TableNormal"/>
    <w:uiPriority w:val="39"/>
    <w:rsid w:val="00101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F1C0F"/>
    <w:pPr>
      <w:spacing w:after="100"/>
      <w:ind w:left="220"/>
    </w:pPr>
  </w:style>
  <w:style w:type="paragraph" w:styleId="Revision">
    <w:name w:val="Revision"/>
    <w:hidden/>
    <w:uiPriority w:val="99"/>
    <w:semiHidden/>
    <w:rsid w:val="001A46E4"/>
    <w:pPr>
      <w:spacing w:after="0" w:line="240" w:lineRule="auto"/>
    </w:pPr>
    <w:rPr>
      <w:color w:val="54575A" w:themeColor="text1"/>
      <w:lang w:val="fr-CA"/>
    </w:rPr>
  </w:style>
  <w:style w:type="character" w:styleId="FollowedHyperlink">
    <w:name w:val="FollowedHyperlink"/>
    <w:basedOn w:val="DefaultParagraphFont"/>
    <w:uiPriority w:val="99"/>
    <w:semiHidden/>
    <w:unhideWhenUsed/>
    <w:rsid w:val="00860538"/>
    <w:rPr>
      <w:color w:val="FF4C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16970">
      <w:bodyDiv w:val="1"/>
      <w:marLeft w:val="0"/>
      <w:marRight w:val="0"/>
      <w:marTop w:val="0"/>
      <w:marBottom w:val="0"/>
      <w:divBdr>
        <w:top w:val="none" w:sz="0" w:space="0" w:color="auto"/>
        <w:left w:val="none" w:sz="0" w:space="0" w:color="auto"/>
        <w:bottom w:val="none" w:sz="0" w:space="0" w:color="auto"/>
        <w:right w:val="none" w:sz="0" w:space="0" w:color="auto"/>
      </w:divBdr>
    </w:div>
    <w:div w:id="1823544018">
      <w:bodyDiv w:val="1"/>
      <w:marLeft w:val="0"/>
      <w:marRight w:val="0"/>
      <w:marTop w:val="0"/>
      <w:marBottom w:val="0"/>
      <w:divBdr>
        <w:top w:val="none" w:sz="0" w:space="0" w:color="auto"/>
        <w:left w:val="none" w:sz="0" w:space="0" w:color="auto"/>
        <w:bottom w:val="none" w:sz="0" w:space="0" w:color="auto"/>
        <w:right w:val="none" w:sz="0" w:space="0" w:color="auto"/>
      </w:divBdr>
      <w:divsChild>
        <w:div w:id="782920679">
          <w:marLeft w:val="1123"/>
          <w:marRight w:val="0"/>
          <w:marTop w:val="80"/>
          <w:marBottom w:val="0"/>
          <w:divBdr>
            <w:top w:val="none" w:sz="0" w:space="0" w:color="auto"/>
            <w:left w:val="none" w:sz="0" w:space="0" w:color="auto"/>
            <w:bottom w:val="none" w:sz="0" w:space="0" w:color="auto"/>
            <w:right w:val="none" w:sz="0" w:space="0" w:color="auto"/>
          </w:divBdr>
        </w:div>
        <w:div w:id="1912228487">
          <w:marLeft w:val="2102"/>
          <w:marRight w:val="0"/>
          <w:marTop w:val="80"/>
          <w:marBottom w:val="0"/>
          <w:divBdr>
            <w:top w:val="none" w:sz="0" w:space="0" w:color="auto"/>
            <w:left w:val="none" w:sz="0" w:space="0" w:color="auto"/>
            <w:bottom w:val="none" w:sz="0" w:space="0" w:color="auto"/>
            <w:right w:val="none" w:sz="0" w:space="0" w:color="auto"/>
          </w:divBdr>
        </w:div>
        <w:div w:id="1516577649">
          <w:marLeft w:val="2102"/>
          <w:marRight w:val="0"/>
          <w:marTop w:val="80"/>
          <w:marBottom w:val="0"/>
          <w:divBdr>
            <w:top w:val="none" w:sz="0" w:space="0" w:color="auto"/>
            <w:left w:val="none" w:sz="0" w:space="0" w:color="auto"/>
            <w:bottom w:val="none" w:sz="0" w:space="0" w:color="auto"/>
            <w:right w:val="none" w:sz="0" w:space="0" w:color="auto"/>
          </w:divBdr>
        </w:div>
        <w:div w:id="1720468654">
          <w:marLeft w:val="1123"/>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conseil-prive/organisation/greffier/appel-action-faveur-lutte-contre-racisme-equite-inclusion-fonction-publique-federale.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canada.ca/fr/conseil-prive/organisation/greffier/appel-action-faveur-lutte-contre-racisme-equite-inclusion-fonction-publique-federal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1.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B99960B7045045962666DE2A0F3968" ma:contentTypeVersion="11" ma:contentTypeDescription="Create a new document." ma:contentTypeScope="" ma:versionID="f4d87ed14097df2d83277cb23b4cb559">
  <xsd:schema xmlns:xsd="http://www.w3.org/2001/XMLSchema" xmlns:xs="http://www.w3.org/2001/XMLSchema" xmlns:p="http://schemas.microsoft.com/office/2006/metadata/properties" xmlns:ns3="eb5f99b1-d795-4367-b33e-9c3bdb74a100" xmlns:ns4="35c687e9-5198-4bd1-bc80-70f2eef9f068" targetNamespace="http://schemas.microsoft.com/office/2006/metadata/properties" ma:root="true" ma:fieldsID="671e325093ce771588110b5c004c93ed" ns3:_="" ns4:_="">
    <xsd:import namespace="eb5f99b1-d795-4367-b33e-9c3bdb74a100"/>
    <xsd:import namespace="35c687e9-5198-4bd1-bc80-70f2eef9f0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f99b1-d795-4367-b33e-9c3bdb74a1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687e9-5198-4bd1-bc80-70f2eef9f0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FF45C-3E10-4654-A5CF-C53040D920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BF8424-6F1F-4C64-AC26-5B265B76F706}">
  <ds:schemaRefs>
    <ds:schemaRef ds:uri="http://schemas.openxmlformats.org/officeDocument/2006/bibliography"/>
  </ds:schemaRefs>
</ds:datastoreItem>
</file>

<file path=customXml/itemProps3.xml><?xml version="1.0" encoding="utf-8"?>
<ds:datastoreItem xmlns:ds="http://schemas.openxmlformats.org/officeDocument/2006/customXml" ds:itemID="{A08971CC-57EB-4CC7-9A0A-832EDE964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f99b1-d795-4367-b33e-9c3bdb74a100"/>
    <ds:schemaRef ds:uri="35c687e9-5198-4bd1-bc80-70f2eef9f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E8CE9-3698-4FEE-93EC-D0614C2D9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PSC-Report-2021.dotx</Template>
  <TotalTime>20</TotalTime>
  <Pages>1</Pages>
  <Words>4850</Words>
  <Characters>27646</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Comtois Lecocq</dc:creator>
  <cp:keywords/>
  <dc:description/>
  <cp:lastModifiedBy>David Farough</cp:lastModifiedBy>
  <cp:revision>6</cp:revision>
  <dcterms:created xsi:type="dcterms:W3CDTF">2022-02-02T19:55:00Z</dcterms:created>
  <dcterms:modified xsi:type="dcterms:W3CDTF">2022-09-07T19:57:00Z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0x0101005EB99960B7045045962666DE2A0F3968</vt:lpwstr>
  </property>
</Properties>
</file>