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8.xml" ContentType="application/vnd.openxmlformats-officedocument.drawingml.chartshapes+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8152" w14:textId="63344153" w:rsidR="00591DC8" w:rsidRPr="00ED0A38" w:rsidRDefault="00591DC8" w:rsidP="00ED0A38">
      <w:pPr>
        <w:pStyle w:val="Title"/>
        <w:rPr>
          <w:lang w:val="en-CA"/>
        </w:rPr>
      </w:pPr>
      <w:r w:rsidRPr="00ED0A38">
        <w:rPr>
          <w:lang w:val="en-CA"/>
        </w:rPr>
        <w:t>P</w:t>
      </w:r>
      <w:r w:rsidR="00714032" w:rsidRPr="00ED0A38">
        <w:rPr>
          <w:lang w:val="en-CA"/>
        </w:rPr>
        <w:t xml:space="preserve">resident meeting with </w:t>
      </w:r>
      <w:r w:rsidRPr="00ED0A38">
        <w:rPr>
          <w:lang w:val="en-CA"/>
        </w:rPr>
        <w:t>M</w:t>
      </w:r>
      <w:r w:rsidR="00DA5DF3" w:rsidRPr="00ED0A38">
        <w:rPr>
          <w:lang w:val="en-CA"/>
        </w:rPr>
        <w:t>r</w:t>
      </w:r>
      <w:r w:rsidRPr="00ED0A38">
        <w:rPr>
          <w:lang w:val="en-CA"/>
        </w:rPr>
        <w:t>. R</w:t>
      </w:r>
      <w:r w:rsidR="00DA5DF3" w:rsidRPr="00ED0A38">
        <w:rPr>
          <w:lang w:val="en-CA"/>
        </w:rPr>
        <w:t>ob</w:t>
      </w:r>
      <w:r w:rsidRPr="00ED0A38">
        <w:rPr>
          <w:lang w:val="en-CA"/>
        </w:rPr>
        <w:t xml:space="preserve"> S</w:t>
      </w:r>
      <w:r w:rsidR="00DA5DF3" w:rsidRPr="00ED0A38">
        <w:rPr>
          <w:lang w:val="en-CA"/>
        </w:rPr>
        <w:t>tewart</w:t>
      </w:r>
      <w:r w:rsidRPr="00ED0A38">
        <w:rPr>
          <w:lang w:val="en-CA"/>
        </w:rPr>
        <w:t>, D</w:t>
      </w:r>
      <w:r w:rsidR="00DA5DF3" w:rsidRPr="00ED0A38">
        <w:rPr>
          <w:lang w:val="en-CA"/>
        </w:rPr>
        <w:t xml:space="preserve">eputy </w:t>
      </w:r>
      <w:r w:rsidRPr="00ED0A38">
        <w:rPr>
          <w:lang w:val="en-CA"/>
        </w:rPr>
        <w:t>M</w:t>
      </w:r>
      <w:r w:rsidR="00DA5DF3" w:rsidRPr="00ED0A38">
        <w:rPr>
          <w:lang w:val="en-CA"/>
        </w:rPr>
        <w:t>inister of</w:t>
      </w:r>
      <w:r w:rsidRPr="00ED0A38">
        <w:rPr>
          <w:lang w:val="en-CA"/>
        </w:rPr>
        <w:t xml:space="preserve"> P</w:t>
      </w:r>
      <w:r w:rsidR="00DA5DF3" w:rsidRPr="00ED0A38">
        <w:rPr>
          <w:lang w:val="en-CA"/>
        </w:rPr>
        <w:t>ublic</w:t>
      </w:r>
      <w:r w:rsidRPr="00ED0A38">
        <w:rPr>
          <w:lang w:val="en-CA"/>
        </w:rPr>
        <w:t xml:space="preserve"> S</w:t>
      </w:r>
      <w:r w:rsidR="00DA5DF3" w:rsidRPr="00ED0A38">
        <w:rPr>
          <w:lang w:val="en-CA"/>
        </w:rPr>
        <w:t>afety</w:t>
      </w:r>
    </w:p>
    <w:p w14:paraId="3DE70E1E" w14:textId="6E117850" w:rsidR="00591DC8" w:rsidRPr="00ED0A38" w:rsidRDefault="00F617C6" w:rsidP="00ED0A38">
      <w:pPr>
        <w:pStyle w:val="Title"/>
        <w:rPr>
          <w:lang w:val="en-CA"/>
        </w:rPr>
      </w:pPr>
      <w:r w:rsidRPr="00ED0A38">
        <w:rPr>
          <w:lang w:val="en-CA"/>
        </w:rPr>
        <w:t>F</w:t>
      </w:r>
      <w:r w:rsidR="00DA5DF3" w:rsidRPr="00ED0A38">
        <w:rPr>
          <w:lang w:val="en-CA"/>
        </w:rPr>
        <w:t>ebruary</w:t>
      </w:r>
      <w:r w:rsidR="00AA6E5A" w:rsidRPr="00ED0A38">
        <w:rPr>
          <w:lang w:val="en-CA"/>
        </w:rPr>
        <w:t xml:space="preserve"> 14, 2020</w:t>
      </w:r>
    </w:p>
    <w:p w14:paraId="64155AE1" w14:textId="77777777" w:rsidR="006D1AFD" w:rsidRPr="00714032" w:rsidRDefault="006D1AFD" w:rsidP="000640FD">
      <w:pPr>
        <w:pStyle w:val="Heading2"/>
        <w:rPr>
          <w:lang w:val="en-CA"/>
        </w:rPr>
      </w:pPr>
      <w:r w:rsidRPr="00714032">
        <w:rPr>
          <w:lang w:val="en-CA"/>
        </w:rPr>
        <w:t>Introduction</w:t>
      </w:r>
    </w:p>
    <w:p w14:paraId="224C5C9B" w14:textId="77777777" w:rsidR="006D1AFD" w:rsidRPr="00714032" w:rsidRDefault="00591DC8" w:rsidP="000640FD">
      <w:pPr>
        <w:pStyle w:val="Heading3"/>
        <w:rPr>
          <w:u w:val="single"/>
          <w:lang w:val="en-CA"/>
        </w:rPr>
      </w:pPr>
      <w:r w:rsidRPr="00714032">
        <w:rPr>
          <w:lang w:val="en-CA"/>
        </w:rPr>
        <w:t>Deputy Head</w:t>
      </w:r>
    </w:p>
    <w:p w14:paraId="66896B3E" w14:textId="77777777" w:rsidR="00591DC8" w:rsidRPr="00F9203D" w:rsidRDefault="00591DC8" w:rsidP="00DA5DF3">
      <w:pPr>
        <w:pStyle w:val="NoSpacing"/>
        <w:spacing w:after="120"/>
        <w:rPr>
          <w:rFonts w:asciiTheme="minorHAnsi" w:hAnsiTheme="minorHAnsi" w:cstheme="minorHAnsi"/>
          <w:sz w:val="22"/>
          <w:szCs w:val="22"/>
          <w:lang w:val="en-CA" w:eastAsia="en-CA"/>
        </w:rPr>
      </w:pPr>
      <w:r w:rsidRPr="00F9203D">
        <w:rPr>
          <w:rFonts w:asciiTheme="minorHAnsi" w:hAnsiTheme="minorHAnsi" w:cstheme="minorHAnsi"/>
          <w:sz w:val="22"/>
          <w:szCs w:val="22"/>
          <w:lang w:val="en-CA" w:eastAsia="en-CA"/>
        </w:rPr>
        <w:t xml:space="preserve">Mr. Rob Stewart was appointed as the Deputy Minister of Public Safety (PS) on December 11, 2019. </w:t>
      </w:r>
    </w:p>
    <w:p w14:paraId="110EF80C" w14:textId="0C3A0B14" w:rsidR="00DA5DF3" w:rsidRPr="00F9203D" w:rsidRDefault="00DA5DF3" w:rsidP="00DA5DF3">
      <w:pPr>
        <w:pStyle w:val="NoSpacing"/>
        <w:spacing w:after="120"/>
        <w:rPr>
          <w:rFonts w:asciiTheme="minorHAnsi" w:hAnsiTheme="minorHAnsi" w:cstheme="minorHAnsi"/>
          <w:sz w:val="22"/>
          <w:szCs w:val="22"/>
          <w:lang w:val="en-CA" w:eastAsia="en-CA"/>
        </w:rPr>
      </w:pPr>
      <w:r w:rsidRPr="00F9203D">
        <w:rPr>
          <w:rFonts w:asciiTheme="minorHAnsi" w:hAnsiTheme="minorHAnsi" w:cstheme="minorHAnsi"/>
          <w:sz w:val="22"/>
          <w:szCs w:val="22"/>
          <w:lang w:val="en-CA" w:eastAsia="en-CA"/>
        </w:rPr>
        <w:t xml:space="preserve">Mr. Stewart is exercising the Public Service Commission’s (PSC) authority for the first time as Deputy Head (DH). A copy of the New Direction in Staffing (NDS) highlights for DHs is attached as </w:t>
      </w:r>
      <w:hyperlink w:anchor="Annex_A" w:history="1">
        <w:r w:rsidRPr="00442F1B">
          <w:rPr>
            <w:rStyle w:val="Hyperlink"/>
            <w:rFonts w:asciiTheme="minorHAnsi" w:hAnsiTheme="minorHAnsi" w:cstheme="minorHAnsi"/>
            <w:sz w:val="22"/>
            <w:szCs w:val="22"/>
            <w:lang w:val="en-CA" w:eastAsia="en-CA"/>
          </w:rPr>
          <w:t>Annex A.</w:t>
        </w:r>
      </w:hyperlink>
    </w:p>
    <w:p w14:paraId="1D24954A" w14:textId="77777777" w:rsidR="006D1AFD" w:rsidRPr="00714032" w:rsidRDefault="006D1AFD" w:rsidP="000640FD">
      <w:pPr>
        <w:pStyle w:val="Heading2"/>
        <w:rPr>
          <w:lang w:val="en-CA"/>
        </w:rPr>
      </w:pPr>
      <w:r w:rsidRPr="00714032">
        <w:rPr>
          <w:lang w:val="en-CA"/>
        </w:rPr>
        <w:t>Organizational Context</w:t>
      </w:r>
    </w:p>
    <w:p w14:paraId="1F8000DE" w14:textId="77777777" w:rsidR="006D1AFD" w:rsidRPr="00714032" w:rsidRDefault="006D1AFD" w:rsidP="000640FD">
      <w:pPr>
        <w:pStyle w:val="Heading3"/>
        <w:rPr>
          <w:lang w:val="en-CA"/>
        </w:rPr>
      </w:pPr>
      <w:r w:rsidRPr="00714032">
        <w:rPr>
          <w:lang w:val="en-CA"/>
        </w:rPr>
        <w:t>Mandate</w:t>
      </w:r>
    </w:p>
    <w:p w14:paraId="0CADF4FB" w14:textId="77777777" w:rsidR="00591DC8" w:rsidRPr="00F9203D" w:rsidRDefault="00591DC8" w:rsidP="00DA5DF3">
      <w:pPr>
        <w:spacing w:after="120"/>
        <w:rPr>
          <w:rFonts w:asciiTheme="minorHAnsi" w:hAnsiTheme="minorHAnsi" w:cstheme="minorHAnsi"/>
          <w:sz w:val="22"/>
          <w:szCs w:val="22"/>
          <w:lang w:val="en-CA"/>
        </w:rPr>
      </w:pPr>
      <w:r w:rsidRPr="00F9203D">
        <w:rPr>
          <w:rFonts w:asciiTheme="minorHAnsi" w:hAnsiTheme="minorHAnsi" w:cstheme="minorHAnsi"/>
          <w:sz w:val="22"/>
          <w:szCs w:val="22"/>
          <w:lang w:val="en-CA"/>
        </w:rPr>
        <w:t xml:space="preserve">PS was created in 2003 to ensure coordination across all federal departments and agencies responsible for national security and the safety of Canadians. The </w:t>
      </w:r>
      <w:r w:rsidRPr="00ED0A38">
        <w:rPr>
          <w:rStyle w:val="Emphasis"/>
          <w:sz w:val="22"/>
        </w:rPr>
        <w:t>Department of Public Safety and Emergency Preparedness Act 2005</w:t>
      </w:r>
      <w:r w:rsidRPr="00F9203D">
        <w:rPr>
          <w:rFonts w:asciiTheme="minorHAnsi" w:hAnsiTheme="minorHAnsi" w:cstheme="minorHAnsi"/>
          <w:sz w:val="22"/>
          <w:szCs w:val="22"/>
          <w:lang w:val="en-CA"/>
        </w:rPr>
        <w:t xml:space="preserve"> and the </w:t>
      </w:r>
      <w:r w:rsidRPr="00ED0A38">
        <w:rPr>
          <w:rStyle w:val="Emphasis"/>
          <w:sz w:val="22"/>
          <w:szCs w:val="22"/>
          <w:lang w:val="en-CA"/>
        </w:rPr>
        <w:t>Emergency Management Act 2007</w:t>
      </w:r>
      <w:r w:rsidRPr="00F9203D">
        <w:rPr>
          <w:rFonts w:asciiTheme="minorHAnsi" w:hAnsiTheme="minorHAnsi" w:cstheme="minorHAnsi"/>
          <w:sz w:val="22"/>
          <w:szCs w:val="22"/>
          <w:lang w:val="en-CA"/>
        </w:rPr>
        <w:t xml:space="preserve"> set out the essential roles for the organization. Its mandate is to keep Canadians safe from a range of risks such as natural disasters, crime and terrorism.</w:t>
      </w:r>
    </w:p>
    <w:p w14:paraId="62EE9E97" w14:textId="77777777" w:rsidR="006D1AFD" w:rsidRPr="00714032" w:rsidRDefault="006D1AFD" w:rsidP="000640FD">
      <w:pPr>
        <w:pStyle w:val="Heading3"/>
        <w:rPr>
          <w:u w:val="single"/>
          <w:lang w:val="en-CA"/>
        </w:rPr>
      </w:pPr>
      <w:r w:rsidRPr="00714032">
        <w:rPr>
          <w:lang w:val="en-CA"/>
        </w:rPr>
        <w:t>Challenges</w:t>
      </w:r>
    </w:p>
    <w:p w14:paraId="7746EBB5" w14:textId="77777777" w:rsidR="00591DC8" w:rsidRPr="00F9203D" w:rsidRDefault="00591DC8" w:rsidP="00DA5DF3">
      <w:pPr>
        <w:pStyle w:val="NoSpacing"/>
        <w:spacing w:after="120"/>
        <w:rPr>
          <w:rFonts w:asciiTheme="minorHAnsi" w:hAnsiTheme="minorHAnsi" w:cstheme="minorHAnsi"/>
          <w:sz w:val="22"/>
          <w:szCs w:val="22"/>
          <w:lang w:val="en-CA"/>
        </w:rPr>
      </w:pPr>
      <w:r w:rsidRPr="00714032">
        <w:rPr>
          <w:rFonts w:asciiTheme="minorHAnsi" w:hAnsiTheme="minorHAnsi" w:cstheme="minorHAnsi"/>
          <w:sz w:val="22"/>
          <w:szCs w:val="22"/>
          <w:lang w:val="en-CA"/>
        </w:rPr>
        <w:t xml:space="preserve">PS is operating in a dynamic environment. According to their 2019-2020 Departmental Plan, it must </w:t>
      </w:r>
      <w:r w:rsidRPr="00F9203D">
        <w:rPr>
          <w:rFonts w:asciiTheme="minorHAnsi" w:hAnsiTheme="minorHAnsi" w:cstheme="minorHAnsi"/>
          <w:sz w:val="22"/>
          <w:szCs w:val="22"/>
          <w:lang w:val="en-CA"/>
        </w:rPr>
        <w:t>exercise a high level of awareness, engagement, and adaptability to deliver on its mandate, maintain a cohesive and coordinated approach to safety and security, as well as generate results for Canadians while managing a variety of risks. Canada faces numerous public safety challenges, including cyber threats, terrorism, organized crime and natural disasters. Partnerships with a wide variety of players are essential to the effective development of policies and delivery of programs. Within this operating context, PS has identified certain corporate risks, one of them being that the department will not attract and retain the employees required to achieve its organizational objectives.</w:t>
      </w:r>
    </w:p>
    <w:p w14:paraId="419B30A2" w14:textId="77777777" w:rsidR="00591DC8" w:rsidRPr="00714032" w:rsidRDefault="00591DC8" w:rsidP="00C7278E">
      <w:pPr>
        <w:pStyle w:val="NoSpacing"/>
        <w:spacing w:after="120"/>
        <w:rPr>
          <w:rFonts w:asciiTheme="minorHAnsi" w:hAnsiTheme="minorHAnsi" w:cstheme="minorHAnsi"/>
          <w:color w:val="000000"/>
          <w:sz w:val="22"/>
          <w:szCs w:val="22"/>
          <w:lang w:val="en-CA"/>
        </w:rPr>
      </w:pPr>
      <w:r w:rsidRPr="00F9203D">
        <w:rPr>
          <w:rFonts w:asciiTheme="minorHAnsi" w:hAnsiTheme="minorHAnsi" w:cstheme="minorHAnsi"/>
          <w:sz w:val="22"/>
          <w:szCs w:val="22"/>
          <w:lang w:val="en-CA"/>
        </w:rPr>
        <w:t xml:space="preserve">Following the Public Service Employee Survey, PS has established a staffing task force, which is advancing efforts along three main pillars: recruitment, staffing and retention. Furthermore, as part of the staffing task force, a working group was created to explore options for having an Ombudsman. The working group has met with Ombudsman from Canadian Heritage, Health Canada, Treasury Board of Canada Secretariat and the University of Ottawa to seek advice for </w:t>
      </w:r>
      <w:r w:rsidRPr="00714032">
        <w:rPr>
          <w:rFonts w:asciiTheme="minorHAnsi" w:hAnsiTheme="minorHAnsi" w:cstheme="minorHAnsi"/>
          <w:color w:val="000000"/>
          <w:sz w:val="22"/>
          <w:szCs w:val="22"/>
          <w:lang w:val="en-CA"/>
        </w:rPr>
        <w:t>setting up an Ombudsman Office. In 2019-2020, the working group intends to report back to the staffing task force on recommendations, and seek approval for establishing the role in the organization.</w:t>
      </w:r>
    </w:p>
    <w:p w14:paraId="79A59CD3" w14:textId="77777777" w:rsidR="006D1AFD" w:rsidRPr="00714032" w:rsidRDefault="006D1AFD" w:rsidP="000640FD">
      <w:pPr>
        <w:pStyle w:val="Heading2"/>
        <w:rPr>
          <w:lang w:val="en-CA"/>
        </w:rPr>
      </w:pPr>
      <w:r w:rsidRPr="00714032">
        <w:rPr>
          <w:lang w:val="en-CA"/>
        </w:rPr>
        <w:lastRenderedPageBreak/>
        <w:t>Population and Staffing Activities</w:t>
      </w:r>
    </w:p>
    <w:p w14:paraId="617E5305" w14:textId="77777777" w:rsidR="006D1AFD" w:rsidRPr="00714032" w:rsidRDefault="006D1AFD" w:rsidP="000640FD">
      <w:pPr>
        <w:pStyle w:val="Heading3"/>
        <w:rPr>
          <w:u w:val="single"/>
          <w:lang w:val="en-CA"/>
        </w:rPr>
      </w:pPr>
      <w:r w:rsidRPr="00714032">
        <w:rPr>
          <w:lang w:val="en-CA"/>
        </w:rPr>
        <w:t>Population</w:t>
      </w:r>
    </w:p>
    <w:p w14:paraId="4643D722" w14:textId="77777777" w:rsidR="00591DC8" w:rsidRPr="00714032" w:rsidRDefault="00591DC8" w:rsidP="00C7278E">
      <w:pPr>
        <w:pStyle w:val="NoSpacing"/>
        <w:spacing w:after="120"/>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PS is a medium-sized organization that has a population of 1,334 employees (as of March 31, 2019). The majority of the employees are indeterminate (81%) and 91% are in the National Capital Region. In the 2018-2019 fiscal year, PS performed 993 staffing actions, which were mainly external processes.</w:t>
      </w:r>
    </w:p>
    <w:p w14:paraId="2DA4928E" w14:textId="77777777" w:rsidR="006D1AFD" w:rsidRPr="00714032" w:rsidRDefault="006D1AFD" w:rsidP="000640FD">
      <w:pPr>
        <w:pStyle w:val="Heading3"/>
        <w:rPr>
          <w:u w:val="single"/>
          <w:lang w:val="en-CA"/>
        </w:rPr>
      </w:pPr>
      <w:r w:rsidRPr="00714032">
        <w:rPr>
          <w:lang w:val="en-CA"/>
        </w:rPr>
        <w:t>Staffing Activities</w:t>
      </w:r>
    </w:p>
    <w:p w14:paraId="1D971878" w14:textId="77777777" w:rsidR="00591DC8" w:rsidRPr="00714032" w:rsidRDefault="00591DC8" w:rsidP="00591DC8">
      <w:pPr>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 xml:space="preserve">In 2018-2019, PS proceeded with a total of 993 staffing activities: </w:t>
      </w:r>
    </w:p>
    <w:p w14:paraId="489286FD" w14:textId="77777777" w:rsidR="00591DC8" w:rsidRPr="00714032" w:rsidRDefault="00591DC8" w:rsidP="00591DC8">
      <w:pPr>
        <w:numPr>
          <w:ilvl w:val="0"/>
          <w:numId w:val="5"/>
        </w:numPr>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 xml:space="preserve">163 appointments to the public service; </w:t>
      </w:r>
    </w:p>
    <w:p w14:paraId="3851781E" w14:textId="77777777" w:rsidR="00591DC8" w:rsidRPr="00714032" w:rsidRDefault="00591DC8" w:rsidP="00591DC8">
      <w:pPr>
        <w:numPr>
          <w:ilvl w:val="0"/>
          <w:numId w:val="5"/>
        </w:numPr>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194 promotions;</w:t>
      </w:r>
    </w:p>
    <w:p w14:paraId="2879F96E" w14:textId="77777777" w:rsidR="00591DC8" w:rsidRPr="00714032" w:rsidRDefault="00591DC8" w:rsidP="00591DC8">
      <w:pPr>
        <w:numPr>
          <w:ilvl w:val="0"/>
          <w:numId w:val="5"/>
        </w:numPr>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 xml:space="preserve">68 acting appointments; </w:t>
      </w:r>
    </w:p>
    <w:p w14:paraId="6A62C554" w14:textId="77777777" w:rsidR="00591DC8" w:rsidRPr="00714032" w:rsidRDefault="00591DC8" w:rsidP="00591DC8">
      <w:pPr>
        <w:numPr>
          <w:ilvl w:val="0"/>
          <w:numId w:val="5"/>
        </w:numPr>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 xml:space="preserve">241 casuals, </w:t>
      </w:r>
    </w:p>
    <w:p w14:paraId="6A391595" w14:textId="77777777" w:rsidR="00591DC8" w:rsidRPr="00714032" w:rsidRDefault="00591DC8" w:rsidP="00591DC8">
      <w:pPr>
        <w:numPr>
          <w:ilvl w:val="0"/>
          <w:numId w:val="5"/>
        </w:numPr>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 xml:space="preserve">109 students, and </w:t>
      </w:r>
    </w:p>
    <w:p w14:paraId="2AFDEED0" w14:textId="77777777" w:rsidR="00591DC8" w:rsidRPr="00714032" w:rsidRDefault="00591DC8" w:rsidP="00C7278E">
      <w:pPr>
        <w:numPr>
          <w:ilvl w:val="0"/>
          <w:numId w:val="5"/>
        </w:numPr>
        <w:spacing w:after="120"/>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 xml:space="preserve">218 lateral and downward movements. </w:t>
      </w:r>
    </w:p>
    <w:p w14:paraId="4ED6F120" w14:textId="27E8138E" w:rsidR="00591DC8" w:rsidRPr="00714032" w:rsidRDefault="00591DC8" w:rsidP="00ED0A38">
      <w:pPr>
        <w:pStyle w:val="NoSpacing"/>
        <w:spacing w:after="120"/>
        <w:rPr>
          <w:rFonts w:asciiTheme="minorHAnsi" w:hAnsiTheme="minorHAnsi" w:cstheme="minorHAnsi"/>
          <w:sz w:val="22"/>
          <w:szCs w:val="22"/>
          <w:lang w:val="en-CA" w:eastAsia="en-CA"/>
        </w:rPr>
      </w:pPr>
      <w:r w:rsidRPr="00714032">
        <w:rPr>
          <w:rFonts w:asciiTheme="minorHAnsi" w:hAnsiTheme="minorHAnsi" w:cstheme="minorHAnsi"/>
          <w:sz w:val="22"/>
          <w:szCs w:val="22"/>
          <w:lang w:val="en-CA" w:eastAsia="en-CA"/>
        </w:rPr>
        <w:t xml:space="preserve">Please refer to </w:t>
      </w:r>
      <w:hyperlink w:anchor="Annex_B" w:history="1">
        <w:r w:rsidR="00C7278E" w:rsidRPr="00ED0A38">
          <w:rPr>
            <w:rStyle w:val="Hyperlink"/>
            <w:rFonts w:asciiTheme="minorHAnsi" w:hAnsiTheme="minorHAnsi" w:cstheme="minorHAnsi"/>
            <w:sz w:val="22"/>
            <w:szCs w:val="22"/>
            <w:lang w:val="en-CA" w:eastAsia="en-CA"/>
          </w:rPr>
          <w:t>Annex B</w:t>
        </w:r>
      </w:hyperlink>
      <w:r w:rsidRPr="00714032">
        <w:rPr>
          <w:rFonts w:asciiTheme="minorHAnsi" w:hAnsiTheme="minorHAnsi" w:cstheme="minorHAnsi"/>
          <w:i/>
          <w:sz w:val="22"/>
          <w:szCs w:val="22"/>
          <w:lang w:val="en-CA" w:eastAsia="en-CA"/>
        </w:rPr>
        <w:t xml:space="preserve"> </w:t>
      </w:r>
      <w:r w:rsidRPr="00714032">
        <w:rPr>
          <w:rFonts w:asciiTheme="minorHAnsi" w:hAnsiTheme="minorHAnsi" w:cstheme="minorHAnsi"/>
          <w:sz w:val="22"/>
          <w:szCs w:val="22"/>
          <w:lang w:val="en-CA" w:eastAsia="en-CA"/>
        </w:rPr>
        <w:t>for additional details</w:t>
      </w:r>
      <w:r w:rsidR="00C7278E">
        <w:rPr>
          <w:rFonts w:asciiTheme="minorHAnsi" w:hAnsiTheme="minorHAnsi" w:cstheme="minorHAnsi"/>
          <w:sz w:val="22"/>
          <w:szCs w:val="22"/>
          <w:lang w:val="en-CA" w:eastAsia="en-CA"/>
        </w:rPr>
        <w:t xml:space="preserve"> on staffing activities</w:t>
      </w:r>
      <w:r w:rsidRPr="00714032">
        <w:rPr>
          <w:rFonts w:asciiTheme="minorHAnsi" w:hAnsiTheme="minorHAnsi" w:cstheme="minorHAnsi"/>
          <w:sz w:val="22"/>
          <w:szCs w:val="22"/>
          <w:lang w:val="en-CA" w:eastAsia="en-CA"/>
        </w:rPr>
        <w:t>.</w:t>
      </w:r>
    </w:p>
    <w:p w14:paraId="26ED2C9F" w14:textId="77777777" w:rsidR="006D1AFD" w:rsidRPr="00714032" w:rsidRDefault="006D1AFD" w:rsidP="000640FD">
      <w:pPr>
        <w:pStyle w:val="Heading2"/>
        <w:rPr>
          <w:lang w:val="en-CA"/>
        </w:rPr>
      </w:pPr>
      <w:r w:rsidRPr="00714032">
        <w:rPr>
          <w:lang w:val="en-CA"/>
        </w:rPr>
        <w:t>Time to Staff</w:t>
      </w:r>
    </w:p>
    <w:p w14:paraId="73D59AFD" w14:textId="4E844079" w:rsidR="00591DC8" w:rsidRPr="00714032" w:rsidRDefault="00591DC8" w:rsidP="00C7278E">
      <w:pPr>
        <w:pStyle w:val="NoSpacing"/>
        <w:spacing w:after="120"/>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 xml:space="preserve">PS </w:t>
      </w:r>
      <w:r w:rsidRPr="00714032">
        <w:rPr>
          <w:rFonts w:asciiTheme="minorHAnsi" w:hAnsiTheme="minorHAnsi" w:cstheme="minorHAnsi"/>
          <w:color w:val="222222"/>
          <w:sz w:val="22"/>
          <w:szCs w:val="22"/>
          <w:lang w:val="en-CA"/>
        </w:rPr>
        <w:t xml:space="preserve">has a median time of 170 days for internal appointments, which is lower than the median of the public service, which is 176 days. </w:t>
      </w:r>
    </w:p>
    <w:p w14:paraId="1310C030" w14:textId="77777777" w:rsidR="00591DC8" w:rsidRPr="00714032" w:rsidRDefault="00591DC8" w:rsidP="00C7278E">
      <w:pPr>
        <w:pStyle w:val="NoSpacing"/>
        <w:spacing w:after="120"/>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PS data is insufficient for providing results on external process times.</w:t>
      </w:r>
    </w:p>
    <w:p w14:paraId="04A9A3F1" w14:textId="77777777" w:rsidR="006D1AFD" w:rsidRPr="00714032" w:rsidRDefault="006D1AFD" w:rsidP="000640FD">
      <w:pPr>
        <w:pStyle w:val="Heading2"/>
        <w:rPr>
          <w:lang w:val="en-CA"/>
        </w:rPr>
      </w:pPr>
      <w:r w:rsidRPr="00714032">
        <w:rPr>
          <w:lang w:val="en-CA"/>
        </w:rPr>
        <w:t>Staffing Framework</w:t>
      </w:r>
    </w:p>
    <w:p w14:paraId="7B03185C" w14:textId="77777777" w:rsidR="006D1AFD" w:rsidRPr="00714032" w:rsidRDefault="006D1AFD" w:rsidP="000640FD">
      <w:pPr>
        <w:pStyle w:val="Heading3"/>
        <w:rPr>
          <w:lang w:val="en-CA"/>
        </w:rPr>
      </w:pPr>
      <w:r w:rsidRPr="00714032">
        <w:rPr>
          <w:lang w:val="en-CA"/>
        </w:rPr>
        <w:t>New Direction in Staffing Implementation</w:t>
      </w:r>
    </w:p>
    <w:p w14:paraId="40CA6A06" w14:textId="77777777" w:rsidR="00591DC8" w:rsidRPr="00ED0A38" w:rsidRDefault="00591DC8" w:rsidP="000640FD">
      <w:pPr>
        <w:pStyle w:val="Heading4"/>
        <w:rPr>
          <w:lang w:val="en-CA"/>
        </w:rPr>
      </w:pPr>
      <w:r w:rsidRPr="00ED0A38">
        <w:rPr>
          <w:lang w:val="en-CA"/>
        </w:rPr>
        <w:t>Policy</w:t>
      </w:r>
    </w:p>
    <w:p w14:paraId="30523189" w14:textId="77777777" w:rsidR="00591DC8" w:rsidRPr="00714032" w:rsidRDefault="00591DC8" w:rsidP="00C7278E">
      <w:pPr>
        <w:pStyle w:val="NormalWeb"/>
        <w:spacing w:before="0" w:beforeAutospacing="0" w:after="120" w:afterAutospacing="0"/>
        <w:rPr>
          <w:rFonts w:asciiTheme="minorHAnsi" w:hAnsiTheme="minorHAnsi" w:cstheme="minorHAnsi"/>
          <w:b/>
          <w:color w:val="000000"/>
          <w:sz w:val="22"/>
          <w:szCs w:val="22"/>
          <w:lang w:val="en-CA"/>
        </w:rPr>
      </w:pPr>
      <w:r w:rsidRPr="00714032">
        <w:rPr>
          <w:rFonts w:asciiTheme="minorHAnsi" w:hAnsiTheme="minorHAnsi" w:cstheme="minorHAnsi"/>
          <w:color w:val="000000"/>
          <w:sz w:val="22"/>
          <w:szCs w:val="22"/>
          <w:lang w:val="en-CA"/>
        </w:rPr>
        <w:t>PS completed all the mandatory NDS requirements for April 1, </w:t>
      </w:r>
      <w:proofErr w:type="gramStart"/>
      <w:r w:rsidRPr="00714032">
        <w:rPr>
          <w:rFonts w:asciiTheme="minorHAnsi" w:hAnsiTheme="minorHAnsi" w:cstheme="minorHAnsi"/>
          <w:color w:val="000000"/>
          <w:sz w:val="22"/>
          <w:szCs w:val="22"/>
          <w:lang w:val="en-CA"/>
        </w:rPr>
        <w:t>2016</w:t>
      </w:r>
      <w:proofErr w:type="gramEnd"/>
      <w:r w:rsidRPr="00714032">
        <w:rPr>
          <w:rFonts w:asciiTheme="minorHAnsi" w:hAnsiTheme="minorHAnsi" w:cstheme="minorHAnsi"/>
          <w:color w:val="000000"/>
          <w:sz w:val="22"/>
          <w:szCs w:val="22"/>
          <w:lang w:val="en-CA"/>
        </w:rPr>
        <w:t xml:space="preserve"> and has been using the result and risk-based staffing approach since October 2012. </w:t>
      </w:r>
    </w:p>
    <w:p w14:paraId="5C4327F0" w14:textId="77777777" w:rsidR="00591DC8" w:rsidRPr="00ED0A38" w:rsidRDefault="00591DC8" w:rsidP="000640FD">
      <w:pPr>
        <w:pStyle w:val="Heading4"/>
        <w:rPr>
          <w:lang w:val="en-CA"/>
        </w:rPr>
      </w:pPr>
      <w:r w:rsidRPr="00ED0A38">
        <w:rPr>
          <w:lang w:val="en-CA"/>
        </w:rPr>
        <w:t>Delegation</w:t>
      </w:r>
    </w:p>
    <w:p w14:paraId="176013DB" w14:textId="77777777" w:rsidR="00591DC8" w:rsidRPr="00714032" w:rsidRDefault="00591DC8" w:rsidP="00E87A54">
      <w:pPr>
        <w:pStyle w:val="NormalWeb"/>
        <w:spacing w:before="0" w:beforeAutospacing="0" w:after="120" w:afterAutospacing="0"/>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As of April 1, 2016, attestation forms had been signed by all sub-delegated managers. They have updated their sub-delegation instrument to align it with the Appointment Delegation and Accountability Instrument and PSC Appointment Policy.</w:t>
      </w:r>
    </w:p>
    <w:p w14:paraId="5BE68116" w14:textId="77777777" w:rsidR="006D1AFD" w:rsidRPr="00714032" w:rsidRDefault="006D1AFD" w:rsidP="000640FD">
      <w:pPr>
        <w:pStyle w:val="Heading2"/>
        <w:rPr>
          <w:lang w:val="en-CA"/>
        </w:rPr>
      </w:pPr>
      <w:r w:rsidRPr="00714032">
        <w:rPr>
          <w:lang w:val="en-CA"/>
        </w:rPr>
        <w:t>Appointment Delegation and Accountability Instrument annex D Reporting</w:t>
      </w:r>
    </w:p>
    <w:p w14:paraId="34F3229A" w14:textId="77777777" w:rsidR="006D1AFD" w:rsidRPr="000640FD" w:rsidRDefault="006D1AFD" w:rsidP="000640FD">
      <w:pPr>
        <w:pStyle w:val="Heading3"/>
      </w:pPr>
      <w:r w:rsidRPr="000640FD">
        <w:t xml:space="preserve">Use of the </w:t>
      </w:r>
      <w:r w:rsidRPr="000640FD">
        <w:rPr>
          <w:rStyle w:val="Emphasis"/>
          <w:rFonts w:ascii="Segoe UI Semibold" w:hAnsi="Segoe UI Semibold"/>
          <w:i w:val="0"/>
          <w:iCs w:val="0"/>
          <w:sz w:val="24"/>
        </w:rPr>
        <w:t>Public Service Official Languages Exclusion Approval Order</w:t>
      </w:r>
      <w:r w:rsidRPr="000640FD">
        <w:t xml:space="preserve"> and the </w:t>
      </w:r>
      <w:r w:rsidRPr="000640FD">
        <w:rPr>
          <w:rStyle w:val="Emphasis"/>
          <w:rFonts w:ascii="Segoe UI Semibold" w:hAnsi="Segoe UI Semibold"/>
          <w:i w:val="0"/>
          <w:iCs w:val="0"/>
          <w:sz w:val="24"/>
        </w:rPr>
        <w:t>Public Service Official Languages Appointment Regulations</w:t>
      </w:r>
    </w:p>
    <w:p w14:paraId="6E834037" w14:textId="77777777" w:rsidR="00591DC8" w:rsidRPr="00714032" w:rsidRDefault="00591DC8" w:rsidP="00C7278E">
      <w:pPr>
        <w:pStyle w:val="NoSpacing"/>
        <w:spacing w:after="120"/>
        <w:rPr>
          <w:rFonts w:asciiTheme="minorHAnsi" w:hAnsiTheme="minorHAnsi" w:cstheme="minorHAnsi"/>
          <w:color w:val="222222"/>
          <w:sz w:val="22"/>
          <w:szCs w:val="22"/>
          <w:lang w:val="en-CA"/>
        </w:rPr>
      </w:pPr>
      <w:r w:rsidRPr="00714032">
        <w:rPr>
          <w:rFonts w:asciiTheme="minorHAnsi" w:hAnsiTheme="minorHAnsi" w:cstheme="minorHAnsi"/>
          <w:color w:val="222222"/>
          <w:sz w:val="22"/>
          <w:szCs w:val="22"/>
          <w:lang w:val="en-CA"/>
        </w:rPr>
        <w:t xml:space="preserve">PS reported that the organization approved two extensions under the </w:t>
      </w:r>
      <w:r w:rsidRPr="00ED0A38">
        <w:rPr>
          <w:rStyle w:val="Emphasis"/>
          <w:rFonts w:cstheme="minorHAnsi"/>
          <w:sz w:val="22"/>
        </w:rPr>
        <w:t>Public Service Official Languages Appointment Regulations</w:t>
      </w:r>
      <w:r w:rsidRPr="00ED0A38">
        <w:rPr>
          <w:rFonts w:asciiTheme="minorHAnsi" w:hAnsiTheme="minorHAnsi" w:cstheme="minorHAnsi"/>
          <w:color w:val="222222"/>
          <w:sz w:val="28"/>
          <w:szCs w:val="22"/>
          <w:lang w:val="en-CA"/>
        </w:rPr>
        <w:t xml:space="preserve"> </w:t>
      </w:r>
      <w:r w:rsidRPr="00714032">
        <w:rPr>
          <w:rFonts w:asciiTheme="minorHAnsi" w:hAnsiTheme="minorHAnsi" w:cstheme="minorHAnsi"/>
          <w:color w:val="222222"/>
          <w:sz w:val="22"/>
          <w:szCs w:val="22"/>
          <w:lang w:val="en-CA"/>
        </w:rPr>
        <w:t>(PSOLAR) for the period of April 1, 2018, to March 31, 2019. In addition, a third situation was non-compliant as the two-year period had expired and no extension under the PSOLAR had been approved. Their management is preparing the request for extension, and the employee will go back to language training shortly.</w:t>
      </w:r>
    </w:p>
    <w:p w14:paraId="011687D0" w14:textId="77777777" w:rsidR="006D1AFD" w:rsidRPr="00714032" w:rsidRDefault="006D1AFD" w:rsidP="000640FD">
      <w:pPr>
        <w:pStyle w:val="Heading3"/>
        <w:rPr>
          <w:lang w:val="en-CA"/>
        </w:rPr>
      </w:pPr>
      <w:r w:rsidRPr="00714032">
        <w:rPr>
          <w:lang w:val="en-CA"/>
        </w:rPr>
        <w:lastRenderedPageBreak/>
        <w:t>Approved Deputy Head Exceptions to the National Area of Selection Requirements for External Advertised Appointment Process</w:t>
      </w:r>
    </w:p>
    <w:p w14:paraId="5864E5EB" w14:textId="77777777" w:rsidR="00591DC8" w:rsidRPr="00714032" w:rsidRDefault="00591DC8" w:rsidP="00C7278E">
      <w:pPr>
        <w:pStyle w:val="NoSpacing"/>
        <w:spacing w:after="120"/>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PS</w:t>
      </w:r>
      <w:r w:rsidRPr="00714032">
        <w:rPr>
          <w:rFonts w:asciiTheme="minorHAnsi" w:hAnsiTheme="minorHAnsi" w:cstheme="minorHAnsi"/>
          <w:color w:val="222222"/>
          <w:sz w:val="22"/>
          <w:szCs w:val="22"/>
          <w:lang w:val="en-CA"/>
        </w:rPr>
        <w:t xml:space="preserve"> reported that they made no </w:t>
      </w:r>
      <w:r w:rsidRPr="00714032">
        <w:rPr>
          <w:rFonts w:asciiTheme="minorHAnsi" w:hAnsiTheme="minorHAnsi" w:cstheme="minorHAnsi"/>
          <w:color w:val="000000"/>
          <w:sz w:val="22"/>
          <w:szCs w:val="22"/>
          <w:lang w:val="en-CA"/>
        </w:rPr>
        <w:t>exception to the National Area of Selection.</w:t>
      </w:r>
    </w:p>
    <w:p w14:paraId="5C2EFC34" w14:textId="77777777" w:rsidR="006D1AFD" w:rsidRPr="00714032" w:rsidRDefault="006D1AFD" w:rsidP="000640FD">
      <w:pPr>
        <w:pStyle w:val="Heading3"/>
        <w:rPr>
          <w:lang w:val="en-CA"/>
        </w:rPr>
      </w:pPr>
      <w:r w:rsidRPr="00714032">
        <w:rPr>
          <w:lang w:val="en-CA"/>
        </w:rPr>
        <w:t>Results of Organizational Cyclical Assessment</w:t>
      </w:r>
    </w:p>
    <w:p w14:paraId="118E2EDC" w14:textId="77777777" w:rsidR="00591DC8" w:rsidRPr="00714032" w:rsidRDefault="00591DC8" w:rsidP="00C7278E">
      <w:pPr>
        <w:pStyle w:val="NoSpacing"/>
        <w:spacing w:after="120"/>
        <w:rPr>
          <w:rFonts w:asciiTheme="minorHAnsi" w:hAnsiTheme="minorHAnsi" w:cstheme="minorHAnsi"/>
          <w:color w:val="222222"/>
          <w:sz w:val="22"/>
          <w:szCs w:val="22"/>
          <w:lang w:val="en-CA"/>
        </w:rPr>
      </w:pPr>
      <w:r w:rsidRPr="00714032">
        <w:rPr>
          <w:rFonts w:asciiTheme="minorHAnsi" w:hAnsiTheme="minorHAnsi" w:cstheme="minorHAnsi"/>
          <w:color w:val="000000"/>
          <w:sz w:val="22"/>
          <w:szCs w:val="22"/>
          <w:lang w:val="en-CA"/>
        </w:rPr>
        <w:t xml:space="preserve">PS has reported, for a second consecutive year, on cyclical assessment </w:t>
      </w:r>
      <w:r w:rsidRPr="00714032">
        <w:rPr>
          <w:rFonts w:asciiTheme="minorHAnsi" w:hAnsiTheme="minorHAnsi" w:cstheme="minorHAnsi"/>
          <w:color w:val="222222"/>
          <w:sz w:val="22"/>
          <w:szCs w:val="22"/>
          <w:lang w:val="en-CA"/>
        </w:rPr>
        <w:t>for the period of April 1, 2018, to March 31, 2019. For the moment, PS has decided to report a cyclical assessment to the PSC on a yearly basis. The PSC provided them with the feedback about their first cyclical assessment in June 2019. Overall, their first cyclical assessment was comprehensive and PS has not requested the PSC support for next submissions.</w:t>
      </w:r>
    </w:p>
    <w:p w14:paraId="16A86AD7" w14:textId="77777777" w:rsidR="006D1AFD" w:rsidRPr="00714032" w:rsidRDefault="006D1AFD" w:rsidP="000640FD">
      <w:pPr>
        <w:pStyle w:val="Heading3"/>
        <w:rPr>
          <w:lang w:val="en-CA"/>
        </w:rPr>
      </w:pPr>
      <w:r w:rsidRPr="00714032">
        <w:rPr>
          <w:lang w:val="en-CA"/>
        </w:rPr>
        <w:t>Inquiries and Trends</w:t>
      </w:r>
    </w:p>
    <w:p w14:paraId="5617876E" w14:textId="77777777" w:rsidR="00591DC8" w:rsidRPr="00714032" w:rsidRDefault="00591DC8" w:rsidP="00E87A54">
      <w:pPr>
        <w:pStyle w:val="NoSpacing"/>
        <w:spacing w:after="120"/>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 xml:space="preserve">From April 1, 2017, to September 31, 2019, PS have contacted the Staffing Support Advisor (SSA) in 108 instances. A higher percentage of inquiries were related to priority entitlements (18%) and the </w:t>
      </w:r>
      <w:r w:rsidRPr="00ED0A38">
        <w:rPr>
          <w:rStyle w:val="Emphasis"/>
          <w:sz w:val="22"/>
        </w:rPr>
        <w:t>Public Service Employment Act</w:t>
      </w:r>
      <w:r w:rsidRPr="00ED0A38">
        <w:rPr>
          <w:rFonts w:asciiTheme="minorHAnsi" w:hAnsiTheme="minorHAnsi" w:cstheme="minorHAnsi"/>
          <w:color w:val="000000"/>
          <w:sz w:val="28"/>
          <w:szCs w:val="22"/>
          <w:lang w:val="en-CA"/>
        </w:rPr>
        <w:t xml:space="preserve"> </w:t>
      </w:r>
      <w:r w:rsidRPr="00714032">
        <w:rPr>
          <w:rFonts w:asciiTheme="minorHAnsi" w:hAnsiTheme="minorHAnsi" w:cstheme="minorHAnsi"/>
          <w:color w:val="000000"/>
          <w:sz w:val="22"/>
          <w:szCs w:val="22"/>
          <w:lang w:val="en-CA"/>
        </w:rPr>
        <w:t>(13%).</w:t>
      </w:r>
    </w:p>
    <w:p w14:paraId="5FB3722F" w14:textId="77777777" w:rsidR="006D1AFD" w:rsidRPr="00714032" w:rsidRDefault="006D1AFD" w:rsidP="000640FD">
      <w:pPr>
        <w:pStyle w:val="Heading2"/>
        <w:rPr>
          <w:lang w:val="en-CA"/>
        </w:rPr>
      </w:pPr>
      <w:r w:rsidRPr="00714032">
        <w:rPr>
          <w:lang w:val="en-CA"/>
        </w:rPr>
        <w:t>Oversight</w:t>
      </w:r>
    </w:p>
    <w:p w14:paraId="02304C25" w14:textId="77777777" w:rsidR="006D1AFD" w:rsidRPr="00714032" w:rsidRDefault="006D1AFD" w:rsidP="000640FD">
      <w:pPr>
        <w:pStyle w:val="Heading3"/>
        <w:rPr>
          <w:u w:val="single"/>
          <w:lang w:val="en-CA"/>
        </w:rPr>
      </w:pPr>
      <w:r w:rsidRPr="00714032">
        <w:rPr>
          <w:lang w:val="en-CA"/>
        </w:rPr>
        <w:t>Audits</w:t>
      </w:r>
    </w:p>
    <w:p w14:paraId="11E5DD78" w14:textId="77777777" w:rsidR="00591DC8" w:rsidRPr="00714032" w:rsidRDefault="00591DC8" w:rsidP="00C7278E">
      <w:pPr>
        <w:pStyle w:val="NoSpacing"/>
        <w:spacing w:after="120"/>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PS was included in the first System-Wide Staffing Audit, for which the final report was published in December 2018. PS was also one of the 15 organizations selected for the Horizontal Audit on Credential Validation. The final report of this audit was published in May 2019.</w:t>
      </w:r>
    </w:p>
    <w:p w14:paraId="279C15AC" w14:textId="77777777" w:rsidR="006D1AFD" w:rsidRPr="00714032" w:rsidRDefault="006D1AFD" w:rsidP="000640FD">
      <w:pPr>
        <w:pStyle w:val="Heading3"/>
        <w:rPr>
          <w:u w:val="single"/>
          <w:lang w:val="en-CA"/>
        </w:rPr>
      </w:pPr>
      <w:r w:rsidRPr="00714032">
        <w:rPr>
          <w:lang w:val="en-CA"/>
        </w:rPr>
        <w:t>Investigations</w:t>
      </w:r>
    </w:p>
    <w:p w14:paraId="29F83962" w14:textId="77777777" w:rsidR="00591DC8" w:rsidRPr="00714032" w:rsidRDefault="00591DC8" w:rsidP="00C7278E">
      <w:pPr>
        <w:pStyle w:val="NoSpacing"/>
        <w:spacing w:after="120"/>
        <w:rPr>
          <w:rFonts w:asciiTheme="minorHAnsi" w:hAnsiTheme="minorHAnsi" w:cstheme="minorHAnsi"/>
          <w:sz w:val="22"/>
          <w:szCs w:val="22"/>
          <w:lang w:val="en-CA" w:eastAsia="en-CA"/>
        </w:rPr>
      </w:pPr>
      <w:r w:rsidRPr="00714032">
        <w:rPr>
          <w:rFonts w:asciiTheme="minorHAnsi" w:hAnsiTheme="minorHAnsi" w:cstheme="minorHAnsi"/>
          <w:sz w:val="22"/>
          <w:szCs w:val="22"/>
          <w:lang w:val="en-CA" w:eastAsia="en-CA"/>
        </w:rPr>
        <w:t xml:space="preserve">Between December 13, 2016, and December 13, 2019, the PSC received six cases for investigation pertaining to PS. From those, three were referred by the organization. </w:t>
      </w:r>
    </w:p>
    <w:p w14:paraId="44BF45A2" w14:textId="77777777" w:rsidR="00591DC8" w:rsidRPr="00714032" w:rsidRDefault="00591DC8" w:rsidP="00591DC8">
      <w:pPr>
        <w:pStyle w:val="NoSpacing"/>
        <w:rPr>
          <w:rFonts w:asciiTheme="minorHAnsi" w:hAnsiTheme="minorHAnsi" w:cstheme="minorHAnsi"/>
          <w:sz w:val="22"/>
          <w:szCs w:val="22"/>
          <w:lang w:val="en-CA" w:eastAsia="en-CA"/>
        </w:rPr>
      </w:pPr>
      <w:r w:rsidRPr="00714032">
        <w:rPr>
          <w:rFonts w:asciiTheme="minorHAnsi" w:hAnsiTheme="minorHAnsi" w:cstheme="minorHAnsi"/>
          <w:sz w:val="22"/>
          <w:szCs w:val="22"/>
          <w:lang w:val="en-CA" w:eastAsia="en-CA"/>
        </w:rPr>
        <w:t>During this period:</w:t>
      </w:r>
    </w:p>
    <w:p w14:paraId="78DF24BA" w14:textId="77777777" w:rsidR="00591DC8" w:rsidRPr="00714032" w:rsidRDefault="00591DC8" w:rsidP="00591DC8">
      <w:pPr>
        <w:pStyle w:val="NoSpacing"/>
        <w:numPr>
          <w:ilvl w:val="0"/>
          <w:numId w:val="10"/>
        </w:numPr>
        <w:rPr>
          <w:rFonts w:asciiTheme="minorHAnsi" w:hAnsiTheme="minorHAnsi" w:cstheme="minorHAnsi"/>
          <w:color w:val="000000"/>
          <w:sz w:val="22"/>
          <w:szCs w:val="22"/>
          <w:lang w:val="en-CA"/>
        </w:rPr>
      </w:pPr>
      <w:r w:rsidRPr="00714032">
        <w:rPr>
          <w:rFonts w:asciiTheme="minorHAnsi" w:hAnsiTheme="minorHAnsi" w:cstheme="minorHAnsi"/>
          <w:sz w:val="22"/>
          <w:szCs w:val="22"/>
          <w:lang w:val="en-CA" w:eastAsia="en-CA"/>
        </w:rPr>
        <w:t>Two cases were not accepted;</w:t>
      </w:r>
    </w:p>
    <w:p w14:paraId="2390DB59" w14:textId="77777777" w:rsidR="00591DC8" w:rsidRPr="00714032" w:rsidRDefault="00591DC8" w:rsidP="00591DC8">
      <w:pPr>
        <w:pStyle w:val="NoSpacing"/>
        <w:numPr>
          <w:ilvl w:val="0"/>
          <w:numId w:val="10"/>
        </w:numPr>
        <w:rPr>
          <w:rFonts w:asciiTheme="minorHAnsi" w:hAnsiTheme="minorHAnsi" w:cstheme="minorHAnsi"/>
          <w:color w:val="000000"/>
          <w:sz w:val="22"/>
          <w:szCs w:val="22"/>
          <w:lang w:val="en-CA"/>
        </w:rPr>
      </w:pPr>
      <w:r w:rsidRPr="00714032">
        <w:rPr>
          <w:rFonts w:asciiTheme="minorHAnsi" w:hAnsiTheme="minorHAnsi" w:cstheme="minorHAnsi"/>
          <w:sz w:val="22"/>
          <w:szCs w:val="22"/>
          <w:lang w:val="en-CA" w:eastAsia="en-CA"/>
        </w:rPr>
        <w:t xml:space="preserve">Four fraud cases were founded; and </w:t>
      </w:r>
    </w:p>
    <w:p w14:paraId="073BAED7" w14:textId="77777777" w:rsidR="00591DC8" w:rsidRPr="00714032" w:rsidRDefault="00591DC8" w:rsidP="00C7278E">
      <w:pPr>
        <w:pStyle w:val="NoSpacing"/>
        <w:numPr>
          <w:ilvl w:val="0"/>
          <w:numId w:val="10"/>
        </w:numPr>
        <w:spacing w:after="120"/>
        <w:rPr>
          <w:rFonts w:asciiTheme="minorHAnsi" w:hAnsiTheme="minorHAnsi" w:cstheme="minorHAnsi"/>
          <w:color w:val="000000"/>
          <w:sz w:val="22"/>
          <w:szCs w:val="22"/>
          <w:lang w:val="en-CA"/>
        </w:rPr>
      </w:pPr>
      <w:r w:rsidRPr="00714032">
        <w:rPr>
          <w:rFonts w:asciiTheme="minorHAnsi" w:hAnsiTheme="minorHAnsi" w:cstheme="minorHAnsi"/>
          <w:sz w:val="22"/>
          <w:szCs w:val="22"/>
          <w:lang w:val="en-CA" w:eastAsia="en-CA"/>
        </w:rPr>
        <w:t xml:space="preserve">One investigation case is still ongoing. </w:t>
      </w:r>
    </w:p>
    <w:p w14:paraId="31BE5B4A" w14:textId="7B604603" w:rsidR="00442F1B" w:rsidRPr="00ED0A38" w:rsidRDefault="00442F1B" w:rsidP="00442F1B">
      <w:pPr>
        <w:pStyle w:val="Caption"/>
        <w:keepNext/>
        <w:spacing w:after="0"/>
        <w:rPr>
          <w:rFonts w:asciiTheme="minorHAnsi" w:hAnsiTheme="minorHAnsi" w:cstheme="minorHAnsi"/>
          <w:i w:val="0"/>
          <w:color w:val="auto"/>
        </w:rPr>
      </w:pPr>
      <w:r w:rsidRPr="00ED0A38">
        <w:rPr>
          <w:rFonts w:asciiTheme="minorHAnsi" w:hAnsiTheme="minorHAnsi" w:cstheme="minorHAnsi"/>
          <w:i w:val="0"/>
          <w:color w:val="auto"/>
        </w:rPr>
        <w:lastRenderedPageBreak/>
        <w:t xml:space="preserve">Table </w:t>
      </w:r>
      <w:r w:rsidRPr="00ED0A38">
        <w:rPr>
          <w:rFonts w:asciiTheme="minorHAnsi" w:hAnsiTheme="minorHAnsi" w:cstheme="minorHAnsi"/>
          <w:i w:val="0"/>
          <w:color w:val="auto"/>
        </w:rPr>
        <w:fldChar w:fldCharType="begin"/>
      </w:r>
      <w:r w:rsidRPr="00ED0A38">
        <w:rPr>
          <w:rFonts w:asciiTheme="minorHAnsi" w:hAnsiTheme="minorHAnsi" w:cstheme="minorHAnsi"/>
          <w:i w:val="0"/>
          <w:color w:val="auto"/>
        </w:rPr>
        <w:instrText xml:space="preserve"> SEQ Table \* ARABIC </w:instrText>
      </w:r>
      <w:r w:rsidRPr="00ED0A38">
        <w:rPr>
          <w:rFonts w:asciiTheme="minorHAnsi" w:hAnsiTheme="minorHAnsi" w:cstheme="minorHAnsi"/>
          <w:i w:val="0"/>
          <w:color w:val="auto"/>
        </w:rPr>
        <w:fldChar w:fldCharType="separate"/>
      </w:r>
      <w:r w:rsidR="00B76E9C">
        <w:rPr>
          <w:rFonts w:asciiTheme="minorHAnsi" w:hAnsiTheme="minorHAnsi" w:cstheme="minorHAnsi"/>
          <w:i w:val="0"/>
          <w:noProof/>
          <w:color w:val="auto"/>
        </w:rPr>
        <w:t>1</w:t>
      </w:r>
      <w:r w:rsidRPr="00ED0A38">
        <w:rPr>
          <w:rFonts w:asciiTheme="minorHAnsi" w:hAnsiTheme="minorHAnsi" w:cstheme="minorHAnsi"/>
          <w:i w:val="0"/>
          <w:color w:val="auto"/>
        </w:rPr>
        <w:fldChar w:fldCharType="end"/>
      </w:r>
      <w:r w:rsidRPr="00ED0A38">
        <w:rPr>
          <w:rFonts w:asciiTheme="minorHAnsi" w:hAnsiTheme="minorHAnsi" w:cstheme="minorHAnsi"/>
          <w:i w:val="0"/>
          <w:color w:val="auto"/>
        </w:rPr>
        <w:t xml:space="preserve"> - Investigations</w:t>
      </w:r>
    </w:p>
    <w:tbl>
      <w:tblPr>
        <w:tblStyle w:val="TableGrid"/>
        <w:tblW w:w="5000" w:type="pct"/>
        <w:jc w:val="center"/>
        <w:tblLook w:val="04A0" w:firstRow="1" w:lastRow="0" w:firstColumn="1" w:lastColumn="0" w:noHBand="0" w:noVBand="1"/>
        <w:tblDescription w:val="Investigations"/>
      </w:tblPr>
      <w:tblGrid>
        <w:gridCol w:w="1827"/>
        <w:gridCol w:w="1109"/>
        <w:gridCol w:w="1511"/>
        <w:gridCol w:w="1149"/>
        <w:gridCol w:w="1346"/>
        <w:gridCol w:w="1315"/>
        <w:gridCol w:w="1093"/>
      </w:tblGrid>
      <w:tr w:rsidR="0031638A" w:rsidRPr="00ED0A38" w14:paraId="5909B446" w14:textId="77777777" w:rsidTr="00442F1B">
        <w:trPr>
          <w:cantSplit/>
          <w:trHeight w:val="1200"/>
          <w:tblHeader/>
          <w:jc w:val="center"/>
        </w:trPr>
        <w:tc>
          <w:tcPr>
            <w:tcW w:w="977" w:type="pct"/>
            <w:shd w:val="clear" w:color="auto" w:fill="54575A" w:themeFill="text1"/>
            <w:hideMark/>
          </w:tcPr>
          <w:p w14:paraId="4D1FFD40" w14:textId="77777777" w:rsidR="00C7278E" w:rsidRPr="00ED0A38" w:rsidRDefault="00C7278E" w:rsidP="0031638A">
            <w:pPr>
              <w:pStyle w:val="TableTitle"/>
              <w:rPr>
                <w:rFonts w:cs="Segoe UI Semibold"/>
                <w:color w:val="FFFFFF" w:themeColor="background1"/>
              </w:rPr>
            </w:pPr>
            <w:r w:rsidRPr="00ED0A38">
              <w:rPr>
                <w:rFonts w:cs="Segoe UI Semibold"/>
                <w:color w:val="FFFFFF" w:themeColor="background1"/>
              </w:rPr>
              <w:t>Nature of Issue</w:t>
            </w:r>
          </w:p>
        </w:tc>
        <w:tc>
          <w:tcPr>
            <w:tcW w:w="593" w:type="pct"/>
            <w:shd w:val="clear" w:color="auto" w:fill="54575A" w:themeFill="text1"/>
            <w:hideMark/>
          </w:tcPr>
          <w:p w14:paraId="5F435238" w14:textId="77777777" w:rsidR="00C7278E" w:rsidRPr="00ED0A38" w:rsidRDefault="00C7278E" w:rsidP="0031638A">
            <w:pPr>
              <w:pStyle w:val="TableTitle"/>
              <w:rPr>
                <w:rFonts w:cs="Segoe UI Semibold"/>
                <w:color w:val="FFFFFF" w:themeColor="background1"/>
              </w:rPr>
            </w:pPr>
            <w:r w:rsidRPr="00ED0A38">
              <w:rPr>
                <w:rFonts w:cs="Segoe UI Semibold"/>
                <w:color w:val="FFFFFF" w:themeColor="background1"/>
              </w:rPr>
              <w:t>Cases Received</w:t>
            </w:r>
          </w:p>
        </w:tc>
        <w:tc>
          <w:tcPr>
            <w:tcW w:w="808" w:type="pct"/>
            <w:shd w:val="clear" w:color="auto" w:fill="54575A" w:themeFill="text1"/>
            <w:hideMark/>
          </w:tcPr>
          <w:p w14:paraId="34B6239C" w14:textId="77777777" w:rsidR="00C7278E" w:rsidRPr="00ED0A38" w:rsidRDefault="00C7278E" w:rsidP="0031638A">
            <w:pPr>
              <w:pStyle w:val="TableTitle"/>
              <w:rPr>
                <w:rFonts w:cs="Segoe UI Semibold"/>
                <w:color w:val="FFFFFF" w:themeColor="background1"/>
              </w:rPr>
            </w:pPr>
            <w:r w:rsidRPr="00ED0A38">
              <w:rPr>
                <w:rFonts w:cs="Segoe UI Semibold"/>
                <w:color w:val="FFFFFF" w:themeColor="background1"/>
              </w:rPr>
              <w:t>Cases Referred by Organization</w:t>
            </w:r>
          </w:p>
        </w:tc>
        <w:tc>
          <w:tcPr>
            <w:tcW w:w="614" w:type="pct"/>
            <w:shd w:val="clear" w:color="auto" w:fill="54575A" w:themeFill="text1"/>
            <w:hideMark/>
          </w:tcPr>
          <w:p w14:paraId="4A80D56A" w14:textId="77777777" w:rsidR="00C7278E" w:rsidRPr="00ED0A38" w:rsidRDefault="00C7278E" w:rsidP="0031638A">
            <w:pPr>
              <w:pStyle w:val="TableTitle"/>
              <w:rPr>
                <w:rFonts w:cs="Segoe UI Semibold"/>
                <w:color w:val="FFFFFF" w:themeColor="background1"/>
              </w:rPr>
            </w:pPr>
            <w:r w:rsidRPr="00ED0A38">
              <w:rPr>
                <w:rFonts w:cs="Segoe UI Semibold"/>
                <w:color w:val="FFFFFF" w:themeColor="background1"/>
              </w:rPr>
              <w:t>Closed - Not Accepted</w:t>
            </w:r>
          </w:p>
        </w:tc>
        <w:tc>
          <w:tcPr>
            <w:tcW w:w="720" w:type="pct"/>
            <w:shd w:val="clear" w:color="auto" w:fill="54575A" w:themeFill="text1"/>
            <w:hideMark/>
          </w:tcPr>
          <w:p w14:paraId="4B8810C2" w14:textId="77777777" w:rsidR="00C7278E" w:rsidRPr="00ED0A38" w:rsidRDefault="00C7278E" w:rsidP="0031638A">
            <w:pPr>
              <w:pStyle w:val="TableTitle"/>
              <w:rPr>
                <w:rFonts w:cs="Segoe UI Semibold"/>
                <w:color w:val="FFFFFF" w:themeColor="background1"/>
              </w:rPr>
            </w:pPr>
            <w:r w:rsidRPr="00ED0A38">
              <w:rPr>
                <w:rFonts w:cs="Segoe UI Semibold"/>
                <w:color w:val="FFFFFF" w:themeColor="background1"/>
              </w:rPr>
              <w:t>Completed Unfounded</w:t>
            </w:r>
          </w:p>
        </w:tc>
        <w:tc>
          <w:tcPr>
            <w:tcW w:w="703" w:type="pct"/>
            <w:shd w:val="clear" w:color="auto" w:fill="54575A" w:themeFill="text1"/>
            <w:hideMark/>
          </w:tcPr>
          <w:p w14:paraId="3DF7C6BB" w14:textId="77777777" w:rsidR="00C7278E" w:rsidRPr="00ED0A38" w:rsidRDefault="00C7278E" w:rsidP="0031638A">
            <w:pPr>
              <w:pStyle w:val="TableTitle"/>
              <w:rPr>
                <w:rFonts w:cs="Segoe UI Semibold"/>
                <w:color w:val="FFFFFF" w:themeColor="background1"/>
              </w:rPr>
            </w:pPr>
            <w:r w:rsidRPr="00ED0A38">
              <w:rPr>
                <w:rFonts w:cs="Segoe UI Semibold"/>
                <w:color w:val="FFFFFF" w:themeColor="background1"/>
              </w:rPr>
              <w:t>Completed Founded</w:t>
            </w:r>
          </w:p>
        </w:tc>
        <w:tc>
          <w:tcPr>
            <w:tcW w:w="584" w:type="pct"/>
            <w:shd w:val="clear" w:color="auto" w:fill="54575A" w:themeFill="text1"/>
            <w:hideMark/>
          </w:tcPr>
          <w:p w14:paraId="658FCF1F" w14:textId="77777777" w:rsidR="00C7278E" w:rsidRPr="00ED0A38" w:rsidRDefault="00C7278E" w:rsidP="0031638A">
            <w:pPr>
              <w:pStyle w:val="TableTitle"/>
              <w:rPr>
                <w:rFonts w:cs="Segoe UI Semibold"/>
                <w:color w:val="FFFFFF" w:themeColor="background1"/>
              </w:rPr>
            </w:pPr>
            <w:r w:rsidRPr="00ED0A38">
              <w:rPr>
                <w:rFonts w:cs="Segoe UI Semibold"/>
                <w:color w:val="FFFFFF" w:themeColor="background1"/>
              </w:rPr>
              <w:t>Ongoing</w:t>
            </w:r>
          </w:p>
        </w:tc>
      </w:tr>
      <w:tr w:rsidR="00C7278E" w:rsidRPr="00714032" w14:paraId="6EF9BEFC" w14:textId="77777777" w:rsidTr="00442F1B">
        <w:trPr>
          <w:cantSplit/>
          <w:trHeight w:val="600"/>
          <w:tblHeader/>
          <w:jc w:val="center"/>
        </w:trPr>
        <w:tc>
          <w:tcPr>
            <w:tcW w:w="977" w:type="pct"/>
            <w:shd w:val="clear" w:color="auto" w:fill="54575A" w:themeFill="text1"/>
            <w:hideMark/>
          </w:tcPr>
          <w:p w14:paraId="6455BD5D" w14:textId="77777777" w:rsidR="00C7278E" w:rsidRPr="0031638A" w:rsidRDefault="00C7278E" w:rsidP="00F9203D">
            <w:pPr>
              <w:rPr>
                <w:rFonts w:asciiTheme="minorHAnsi" w:hAnsiTheme="minorHAnsi" w:cstheme="minorHAnsi"/>
                <w:color w:val="FFFFFF" w:themeColor="background1"/>
                <w:sz w:val="22"/>
                <w:szCs w:val="22"/>
                <w:lang w:val="en-CA" w:eastAsia="en-CA"/>
              </w:rPr>
            </w:pPr>
            <w:r w:rsidRPr="0031638A">
              <w:rPr>
                <w:rFonts w:asciiTheme="minorHAnsi" w:hAnsiTheme="minorHAnsi" w:cstheme="minorHAnsi"/>
                <w:color w:val="FFFFFF" w:themeColor="background1"/>
                <w:sz w:val="22"/>
                <w:szCs w:val="22"/>
                <w:lang w:val="en-CA"/>
              </w:rPr>
              <w:t>s.66 External Appointments (Merit, Error, Omission, Improper Conduct)</w:t>
            </w:r>
          </w:p>
        </w:tc>
        <w:tc>
          <w:tcPr>
            <w:tcW w:w="593" w:type="pct"/>
            <w:noWrap/>
            <w:hideMark/>
          </w:tcPr>
          <w:p w14:paraId="484E941E"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2</w:t>
            </w:r>
          </w:p>
        </w:tc>
        <w:tc>
          <w:tcPr>
            <w:tcW w:w="808" w:type="pct"/>
            <w:noWrap/>
            <w:hideMark/>
          </w:tcPr>
          <w:p w14:paraId="09951BFE"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1</w:t>
            </w:r>
          </w:p>
        </w:tc>
        <w:tc>
          <w:tcPr>
            <w:tcW w:w="614" w:type="pct"/>
            <w:noWrap/>
            <w:hideMark/>
          </w:tcPr>
          <w:p w14:paraId="385F91A0"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2</w:t>
            </w:r>
          </w:p>
        </w:tc>
        <w:tc>
          <w:tcPr>
            <w:tcW w:w="720" w:type="pct"/>
            <w:noWrap/>
            <w:hideMark/>
          </w:tcPr>
          <w:p w14:paraId="4562835D"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703" w:type="pct"/>
            <w:noWrap/>
            <w:hideMark/>
          </w:tcPr>
          <w:p w14:paraId="6F565143"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584" w:type="pct"/>
            <w:noWrap/>
            <w:hideMark/>
          </w:tcPr>
          <w:p w14:paraId="5D78664F"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r>
      <w:tr w:rsidR="00C7278E" w:rsidRPr="00714032" w14:paraId="406DAEE8" w14:textId="77777777" w:rsidTr="00442F1B">
        <w:trPr>
          <w:cantSplit/>
          <w:trHeight w:val="300"/>
          <w:tblHeader/>
          <w:jc w:val="center"/>
        </w:trPr>
        <w:tc>
          <w:tcPr>
            <w:tcW w:w="977" w:type="pct"/>
            <w:shd w:val="clear" w:color="auto" w:fill="54575A" w:themeFill="text1"/>
            <w:hideMark/>
          </w:tcPr>
          <w:p w14:paraId="7E20C506" w14:textId="77777777" w:rsidR="00C7278E" w:rsidRPr="0031638A" w:rsidRDefault="00C7278E" w:rsidP="00F9203D">
            <w:pPr>
              <w:rPr>
                <w:rFonts w:asciiTheme="minorHAnsi" w:hAnsiTheme="minorHAnsi" w:cstheme="minorHAnsi"/>
                <w:color w:val="FFFFFF" w:themeColor="background1"/>
                <w:sz w:val="22"/>
                <w:szCs w:val="22"/>
                <w:lang w:val="en-CA"/>
              </w:rPr>
            </w:pPr>
            <w:r w:rsidRPr="0031638A">
              <w:rPr>
                <w:rFonts w:asciiTheme="minorHAnsi" w:hAnsiTheme="minorHAnsi" w:cstheme="minorHAnsi"/>
                <w:color w:val="FFFFFF" w:themeColor="background1"/>
                <w:sz w:val="22"/>
                <w:szCs w:val="22"/>
                <w:lang w:val="en-CA"/>
              </w:rPr>
              <w:t>s.67.2 Internal Appointment - Deputy Head Request</w:t>
            </w:r>
          </w:p>
        </w:tc>
        <w:tc>
          <w:tcPr>
            <w:tcW w:w="593" w:type="pct"/>
            <w:noWrap/>
            <w:hideMark/>
          </w:tcPr>
          <w:p w14:paraId="4A338492"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808" w:type="pct"/>
            <w:noWrap/>
            <w:hideMark/>
          </w:tcPr>
          <w:p w14:paraId="3571A597"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614" w:type="pct"/>
            <w:noWrap/>
            <w:hideMark/>
          </w:tcPr>
          <w:p w14:paraId="63EA4F72"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720" w:type="pct"/>
            <w:noWrap/>
            <w:hideMark/>
          </w:tcPr>
          <w:p w14:paraId="2EF6AE18"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703" w:type="pct"/>
            <w:noWrap/>
            <w:hideMark/>
          </w:tcPr>
          <w:p w14:paraId="488194DA"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584" w:type="pct"/>
            <w:noWrap/>
            <w:hideMark/>
          </w:tcPr>
          <w:p w14:paraId="2E3849A3"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r>
      <w:tr w:rsidR="00C7278E" w:rsidRPr="00714032" w14:paraId="3B99913E" w14:textId="77777777" w:rsidTr="00442F1B">
        <w:trPr>
          <w:cantSplit/>
          <w:trHeight w:val="600"/>
          <w:tblHeader/>
          <w:jc w:val="center"/>
        </w:trPr>
        <w:tc>
          <w:tcPr>
            <w:tcW w:w="977" w:type="pct"/>
            <w:shd w:val="clear" w:color="auto" w:fill="54575A" w:themeFill="text1"/>
            <w:hideMark/>
          </w:tcPr>
          <w:p w14:paraId="4ADBD911" w14:textId="77777777" w:rsidR="00C7278E" w:rsidRPr="0031638A" w:rsidRDefault="00C7278E" w:rsidP="00F9203D">
            <w:pPr>
              <w:rPr>
                <w:rFonts w:asciiTheme="minorHAnsi" w:hAnsiTheme="minorHAnsi" w:cstheme="minorHAnsi"/>
                <w:color w:val="FFFFFF" w:themeColor="background1"/>
                <w:sz w:val="22"/>
                <w:szCs w:val="22"/>
                <w:lang w:val="en-CA"/>
              </w:rPr>
            </w:pPr>
            <w:r w:rsidRPr="0031638A">
              <w:rPr>
                <w:rFonts w:asciiTheme="minorHAnsi" w:hAnsiTheme="minorHAnsi" w:cstheme="minorHAnsi"/>
                <w:color w:val="FFFFFF" w:themeColor="background1"/>
                <w:sz w:val="22"/>
                <w:szCs w:val="22"/>
                <w:lang w:val="en-CA"/>
              </w:rPr>
              <w:t>s.68 Political Influence</w:t>
            </w:r>
          </w:p>
        </w:tc>
        <w:tc>
          <w:tcPr>
            <w:tcW w:w="593" w:type="pct"/>
            <w:noWrap/>
            <w:hideMark/>
          </w:tcPr>
          <w:p w14:paraId="6F233265"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808" w:type="pct"/>
            <w:noWrap/>
            <w:hideMark/>
          </w:tcPr>
          <w:p w14:paraId="34514900"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614" w:type="pct"/>
            <w:noWrap/>
            <w:hideMark/>
          </w:tcPr>
          <w:p w14:paraId="2D6A45AA"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720" w:type="pct"/>
            <w:noWrap/>
            <w:hideMark/>
          </w:tcPr>
          <w:p w14:paraId="60FF5B3B"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703" w:type="pct"/>
            <w:noWrap/>
            <w:hideMark/>
          </w:tcPr>
          <w:p w14:paraId="3F5BC36C"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584" w:type="pct"/>
            <w:noWrap/>
            <w:hideMark/>
          </w:tcPr>
          <w:p w14:paraId="3E64C9AC"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r>
      <w:tr w:rsidR="00C7278E" w:rsidRPr="00714032" w14:paraId="12C433D0" w14:textId="77777777" w:rsidTr="00442F1B">
        <w:trPr>
          <w:cantSplit/>
          <w:trHeight w:val="600"/>
          <w:tblHeader/>
          <w:jc w:val="center"/>
        </w:trPr>
        <w:tc>
          <w:tcPr>
            <w:tcW w:w="977" w:type="pct"/>
            <w:shd w:val="clear" w:color="auto" w:fill="54575A" w:themeFill="text1"/>
          </w:tcPr>
          <w:p w14:paraId="0D65D57D" w14:textId="77777777" w:rsidR="00C7278E" w:rsidRPr="0031638A" w:rsidRDefault="00C7278E" w:rsidP="00F9203D">
            <w:pPr>
              <w:rPr>
                <w:rFonts w:asciiTheme="minorHAnsi" w:hAnsiTheme="minorHAnsi" w:cstheme="minorHAnsi"/>
                <w:color w:val="FFFFFF" w:themeColor="background1"/>
                <w:sz w:val="22"/>
                <w:szCs w:val="22"/>
                <w:lang w:val="en-CA"/>
              </w:rPr>
            </w:pPr>
            <w:r w:rsidRPr="0031638A">
              <w:rPr>
                <w:rFonts w:asciiTheme="minorHAnsi" w:hAnsiTheme="minorHAnsi" w:cstheme="minorHAnsi"/>
                <w:color w:val="FFFFFF" w:themeColor="background1"/>
                <w:sz w:val="22"/>
                <w:szCs w:val="22"/>
                <w:lang w:val="en-CA"/>
              </w:rPr>
              <w:t>s.69 Fraud</w:t>
            </w:r>
          </w:p>
        </w:tc>
        <w:tc>
          <w:tcPr>
            <w:tcW w:w="593" w:type="pct"/>
            <w:noWrap/>
          </w:tcPr>
          <w:p w14:paraId="16BBC759"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2</w:t>
            </w:r>
          </w:p>
        </w:tc>
        <w:tc>
          <w:tcPr>
            <w:tcW w:w="808" w:type="pct"/>
            <w:noWrap/>
          </w:tcPr>
          <w:p w14:paraId="3CDB57E1"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2</w:t>
            </w:r>
          </w:p>
        </w:tc>
        <w:tc>
          <w:tcPr>
            <w:tcW w:w="614" w:type="pct"/>
            <w:noWrap/>
          </w:tcPr>
          <w:p w14:paraId="45C73592"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720" w:type="pct"/>
            <w:noWrap/>
          </w:tcPr>
          <w:p w14:paraId="065EEBEC"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703" w:type="pct"/>
            <w:noWrap/>
          </w:tcPr>
          <w:p w14:paraId="028D73F6"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4</w:t>
            </w:r>
          </w:p>
        </w:tc>
        <w:tc>
          <w:tcPr>
            <w:tcW w:w="584" w:type="pct"/>
            <w:noWrap/>
          </w:tcPr>
          <w:p w14:paraId="07A652D4"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r>
      <w:tr w:rsidR="00C7278E" w:rsidRPr="00714032" w14:paraId="27B43632" w14:textId="77777777" w:rsidTr="00442F1B">
        <w:trPr>
          <w:cantSplit/>
          <w:trHeight w:val="600"/>
          <w:tblHeader/>
          <w:jc w:val="center"/>
        </w:trPr>
        <w:tc>
          <w:tcPr>
            <w:tcW w:w="977" w:type="pct"/>
            <w:shd w:val="clear" w:color="auto" w:fill="54575A" w:themeFill="text1"/>
          </w:tcPr>
          <w:p w14:paraId="0C045DCA" w14:textId="77777777" w:rsidR="00C7278E" w:rsidRPr="0031638A" w:rsidRDefault="00C7278E" w:rsidP="00F9203D">
            <w:pPr>
              <w:rPr>
                <w:rFonts w:asciiTheme="minorHAnsi" w:hAnsiTheme="minorHAnsi" w:cstheme="minorHAnsi"/>
                <w:color w:val="FFFFFF" w:themeColor="background1"/>
                <w:sz w:val="22"/>
                <w:szCs w:val="22"/>
                <w:lang w:val="en-CA"/>
              </w:rPr>
            </w:pPr>
            <w:r w:rsidRPr="0031638A">
              <w:rPr>
                <w:rFonts w:asciiTheme="minorHAnsi" w:hAnsiTheme="minorHAnsi" w:cstheme="minorHAnsi"/>
                <w:color w:val="FFFFFF" w:themeColor="background1"/>
                <w:sz w:val="22"/>
                <w:szCs w:val="22"/>
                <w:lang w:val="en-CA"/>
              </w:rPr>
              <w:t>s.118 Improper Political Activities - Employees</w:t>
            </w:r>
          </w:p>
        </w:tc>
        <w:tc>
          <w:tcPr>
            <w:tcW w:w="593" w:type="pct"/>
            <w:noWrap/>
          </w:tcPr>
          <w:p w14:paraId="1E8ED18F"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2</w:t>
            </w:r>
          </w:p>
        </w:tc>
        <w:tc>
          <w:tcPr>
            <w:tcW w:w="808" w:type="pct"/>
            <w:noWrap/>
          </w:tcPr>
          <w:p w14:paraId="680A1B7F"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614" w:type="pct"/>
            <w:noWrap/>
          </w:tcPr>
          <w:p w14:paraId="66CDD6B3"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720" w:type="pct"/>
            <w:noWrap/>
          </w:tcPr>
          <w:p w14:paraId="01B2876B"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703" w:type="pct"/>
            <w:noWrap/>
          </w:tcPr>
          <w:p w14:paraId="3901C70C"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0</w:t>
            </w:r>
          </w:p>
        </w:tc>
        <w:tc>
          <w:tcPr>
            <w:tcW w:w="584" w:type="pct"/>
            <w:noWrap/>
          </w:tcPr>
          <w:p w14:paraId="143DF387" w14:textId="77777777" w:rsidR="00C7278E" w:rsidRPr="0031638A" w:rsidRDefault="00C7278E" w:rsidP="00F9203D">
            <w:pPr>
              <w:jc w:val="center"/>
              <w:rPr>
                <w:rFonts w:asciiTheme="minorHAnsi" w:hAnsiTheme="minorHAnsi" w:cstheme="minorHAnsi"/>
                <w:sz w:val="22"/>
                <w:szCs w:val="22"/>
                <w:lang w:val="en-CA"/>
              </w:rPr>
            </w:pPr>
            <w:r w:rsidRPr="0031638A">
              <w:rPr>
                <w:rFonts w:asciiTheme="minorHAnsi" w:hAnsiTheme="minorHAnsi" w:cstheme="minorHAnsi"/>
                <w:sz w:val="22"/>
                <w:szCs w:val="22"/>
                <w:lang w:val="en-CA"/>
              </w:rPr>
              <w:t>1</w:t>
            </w:r>
          </w:p>
        </w:tc>
      </w:tr>
      <w:tr w:rsidR="0031638A" w:rsidRPr="0031638A" w14:paraId="0BAA909F" w14:textId="77777777" w:rsidTr="00ED0A38">
        <w:trPr>
          <w:cantSplit/>
          <w:trHeight w:val="576"/>
          <w:tblHeader/>
          <w:jc w:val="center"/>
        </w:trPr>
        <w:tc>
          <w:tcPr>
            <w:tcW w:w="977" w:type="pct"/>
            <w:shd w:val="clear" w:color="auto" w:fill="54575A" w:themeFill="text1"/>
            <w:hideMark/>
          </w:tcPr>
          <w:p w14:paraId="478FDFD3" w14:textId="77777777" w:rsidR="00C7278E" w:rsidRPr="0031638A" w:rsidRDefault="00C7278E" w:rsidP="00F9203D">
            <w:pPr>
              <w:rPr>
                <w:rFonts w:asciiTheme="minorHAnsi" w:hAnsiTheme="minorHAnsi" w:cstheme="minorHAnsi"/>
                <w:bCs/>
                <w:color w:val="FFFFFF" w:themeColor="background1"/>
                <w:sz w:val="22"/>
                <w:szCs w:val="22"/>
                <w:lang w:val="en-CA"/>
              </w:rPr>
            </w:pPr>
            <w:r w:rsidRPr="0031638A">
              <w:rPr>
                <w:rFonts w:asciiTheme="minorHAnsi" w:hAnsiTheme="minorHAnsi" w:cstheme="minorHAnsi"/>
                <w:bCs/>
                <w:color w:val="FFFFFF" w:themeColor="background1"/>
                <w:sz w:val="22"/>
                <w:szCs w:val="22"/>
                <w:lang w:val="en-CA"/>
              </w:rPr>
              <w:t>Total</w:t>
            </w:r>
          </w:p>
        </w:tc>
        <w:tc>
          <w:tcPr>
            <w:tcW w:w="593" w:type="pct"/>
            <w:noWrap/>
            <w:hideMark/>
          </w:tcPr>
          <w:p w14:paraId="758A7C50" w14:textId="77777777" w:rsidR="00C7278E" w:rsidRPr="0031638A" w:rsidRDefault="00C7278E" w:rsidP="00F9203D">
            <w:pPr>
              <w:jc w:val="center"/>
              <w:rPr>
                <w:rFonts w:asciiTheme="minorHAnsi" w:hAnsiTheme="minorHAnsi" w:cstheme="minorHAnsi"/>
                <w:bCs/>
                <w:sz w:val="22"/>
                <w:szCs w:val="22"/>
                <w:lang w:val="en-CA"/>
              </w:rPr>
            </w:pPr>
            <w:r w:rsidRPr="0031638A">
              <w:rPr>
                <w:rFonts w:asciiTheme="minorHAnsi" w:hAnsiTheme="minorHAnsi" w:cstheme="minorHAnsi"/>
                <w:bCs/>
                <w:sz w:val="22"/>
                <w:szCs w:val="22"/>
                <w:lang w:val="en-CA"/>
              </w:rPr>
              <w:t>6</w:t>
            </w:r>
          </w:p>
        </w:tc>
        <w:tc>
          <w:tcPr>
            <w:tcW w:w="808" w:type="pct"/>
            <w:noWrap/>
            <w:hideMark/>
          </w:tcPr>
          <w:p w14:paraId="5CD00105" w14:textId="77777777" w:rsidR="00C7278E" w:rsidRPr="0031638A" w:rsidRDefault="00C7278E" w:rsidP="00F9203D">
            <w:pPr>
              <w:jc w:val="center"/>
              <w:rPr>
                <w:rFonts w:asciiTheme="minorHAnsi" w:hAnsiTheme="minorHAnsi" w:cstheme="minorHAnsi"/>
                <w:bCs/>
                <w:sz w:val="22"/>
                <w:szCs w:val="22"/>
                <w:lang w:val="en-CA"/>
              </w:rPr>
            </w:pPr>
            <w:r w:rsidRPr="0031638A">
              <w:rPr>
                <w:rFonts w:asciiTheme="minorHAnsi" w:hAnsiTheme="minorHAnsi" w:cstheme="minorHAnsi"/>
                <w:bCs/>
                <w:sz w:val="22"/>
                <w:szCs w:val="22"/>
                <w:lang w:val="en-CA"/>
              </w:rPr>
              <w:t>3</w:t>
            </w:r>
          </w:p>
        </w:tc>
        <w:tc>
          <w:tcPr>
            <w:tcW w:w="614" w:type="pct"/>
            <w:noWrap/>
            <w:hideMark/>
          </w:tcPr>
          <w:p w14:paraId="32C415AD" w14:textId="77777777" w:rsidR="00C7278E" w:rsidRPr="0031638A" w:rsidRDefault="00C7278E" w:rsidP="00F9203D">
            <w:pPr>
              <w:jc w:val="center"/>
              <w:rPr>
                <w:rFonts w:asciiTheme="minorHAnsi" w:hAnsiTheme="minorHAnsi" w:cstheme="minorHAnsi"/>
                <w:bCs/>
                <w:sz w:val="22"/>
                <w:szCs w:val="22"/>
                <w:lang w:val="en-CA"/>
              </w:rPr>
            </w:pPr>
            <w:r w:rsidRPr="0031638A">
              <w:rPr>
                <w:rFonts w:asciiTheme="minorHAnsi" w:hAnsiTheme="minorHAnsi" w:cstheme="minorHAnsi"/>
                <w:bCs/>
                <w:sz w:val="22"/>
                <w:szCs w:val="22"/>
                <w:lang w:val="en-CA"/>
              </w:rPr>
              <w:t>2</w:t>
            </w:r>
          </w:p>
        </w:tc>
        <w:tc>
          <w:tcPr>
            <w:tcW w:w="720" w:type="pct"/>
            <w:noWrap/>
            <w:hideMark/>
          </w:tcPr>
          <w:p w14:paraId="2780672A" w14:textId="77777777" w:rsidR="00C7278E" w:rsidRPr="0031638A" w:rsidRDefault="00C7278E" w:rsidP="00F9203D">
            <w:pPr>
              <w:jc w:val="center"/>
              <w:rPr>
                <w:rFonts w:asciiTheme="minorHAnsi" w:hAnsiTheme="minorHAnsi" w:cstheme="minorHAnsi"/>
                <w:bCs/>
                <w:sz w:val="22"/>
                <w:szCs w:val="22"/>
                <w:lang w:val="en-CA"/>
              </w:rPr>
            </w:pPr>
            <w:r w:rsidRPr="0031638A">
              <w:rPr>
                <w:rFonts w:asciiTheme="minorHAnsi" w:hAnsiTheme="minorHAnsi" w:cstheme="minorHAnsi"/>
                <w:bCs/>
                <w:sz w:val="22"/>
                <w:szCs w:val="22"/>
                <w:lang w:val="en-CA"/>
              </w:rPr>
              <w:t>0</w:t>
            </w:r>
          </w:p>
        </w:tc>
        <w:tc>
          <w:tcPr>
            <w:tcW w:w="703" w:type="pct"/>
            <w:noWrap/>
            <w:hideMark/>
          </w:tcPr>
          <w:p w14:paraId="04027D85" w14:textId="77777777" w:rsidR="00C7278E" w:rsidRPr="0031638A" w:rsidRDefault="00C7278E" w:rsidP="00F9203D">
            <w:pPr>
              <w:jc w:val="center"/>
              <w:rPr>
                <w:rFonts w:asciiTheme="minorHAnsi" w:hAnsiTheme="minorHAnsi" w:cstheme="minorHAnsi"/>
                <w:bCs/>
                <w:sz w:val="22"/>
                <w:szCs w:val="22"/>
                <w:lang w:val="en-CA"/>
              </w:rPr>
            </w:pPr>
            <w:r w:rsidRPr="0031638A">
              <w:rPr>
                <w:rFonts w:asciiTheme="minorHAnsi" w:hAnsiTheme="minorHAnsi" w:cstheme="minorHAnsi"/>
                <w:bCs/>
                <w:sz w:val="22"/>
                <w:szCs w:val="22"/>
                <w:lang w:val="en-CA"/>
              </w:rPr>
              <w:t>4</w:t>
            </w:r>
          </w:p>
        </w:tc>
        <w:tc>
          <w:tcPr>
            <w:tcW w:w="584" w:type="pct"/>
            <w:noWrap/>
            <w:hideMark/>
          </w:tcPr>
          <w:p w14:paraId="6E9600D3" w14:textId="77777777" w:rsidR="00C7278E" w:rsidRPr="0031638A" w:rsidRDefault="00C7278E" w:rsidP="00F9203D">
            <w:pPr>
              <w:jc w:val="center"/>
              <w:rPr>
                <w:rFonts w:asciiTheme="minorHAnsi" w:hAnsiTheme="minorHAnsi" w:cstheme="minorHAnsi"/>
                <w:bCs/>
                <w:sz w:val="22"/>
                <w:szCs w:val="22"/>
                <w:lang w:val="en-CA"/>
              </w:rPr>
            </w:pPr>
            <w:r w:rsidRPr="0031638A">
              <w:rPr>
                <w:rFonts w:asciiTheme="minorHAnsi" w:hAnsiTheme="minorHAnsi" w:cstheme="minorHAnsi"/>
                <w:bCs/>
                <w:sz w:val="22"/>
                <w:szCs w:val="22"/>
                <w:lang w:val="en-CA"/>
              </w:rPr>
              <w:t>1</w:t>
            </w:r>
          </w:p>
        </w:tc>
      </w:tr>
    </w:tbl>
    <w:p w14:paraId="297AE1E1" w14:textId="6EA7E020" w:rsidR="00C7278E" w:rsidRPr="0031638A" w:rsidRDefault="00C7278E" w:rsidP="00C7278E">
      <w:pPr>
        <w:rPr>
          <w:rFonts w:asciiTheme="minorHAnsi" w:hAnsiTheme="minorHAnsi" w:cstheme="minorHAnsi"/>
          <w:color w:val="000000"/>
          <w:sz w:val="22"/>
          <w:szCs w:val="18"/>
          <w:lang w:val="en-CA" w:eastAsia="en-CA"/>
        </w:rPr>
      </w:pPr>
      <w:r w:rsidRPr="0031638A">
        <w:rPr>
          <w:rFonts w:asciiTheme="minorHAnsi" w:hAnsiTheme="minorHAnsi" w:cstheme="minorHAnsi"/>
          <w:color w:val="000000"/>
          <w:sz w:val="22"/>
          <w:szCs w:val="18"/>
          <w:lang w:val="en-CA" w:eastAsia="en-CA"/>
        </w:rPr>
        <w:t>Note: The numbers may not add up as discontinued case</w:t>
      </w:r>
      <w:r w:rsidR="0031638A">
        <w:rPr>
          <w:rFonts w:asciiTheme="minorHAnsi" w:hAnsiTheme="minorHAnsi" w:cstheme="minorHAnsi"/>
          <w:color w:val="000000"/>
          <w:sz w:val="22"/>
          <w:szCs w:val="18"/>
          <w:lang w:val="en-CA" w:eastAsia="en-CA"/>
        </w:rPr>
        <w:t xml:space="preserve">s, and cases resolved via early </w:t>
      </w:r>
      <w:r w:rsidRPr="0031638A">
        <w:rPr>
          <w:rFonts w:asciiTheme="minorHAnsi" w:hAnsiTheme="minorHAnsi" w:cstheme="minorHAnsi"/>
          <w:color w:val="000000"/>
          <w:sz w:val="22"/>
          <w:szCs w:val="18"/>
          <w:lang w:val="en-CA" w:eastAsia="en-CA"/>
        </w:rPr>
        <w:t>intervention are not included in this table.</w:t>
      </w:r>
    </w:p>
    <w:p w14:paraId="6A383E77" w14:textId="77777777" w:rsidR="00C7278E" w:rsidRPr="0031638A" w:rsidRDefault="00C7278E" w:rsidP="00C7278E">
      <w:pPr>
        <w:pStyle w:val="Level1"/>
        <w:tabs>
          <w:tab w:val="left" w:pos="-1440"/>
        </w:tabs>
        <w:autoSpaceDE w:val="0"/>
        <w:autoSpaceDN w:val="0"/>
        <w:adjustRightInd w:val="0"/>
        <w:spacing w:after="120" w:line="20" w:lineRule="atLeast"/>
        <w:jc w:val="right"/>
        <w:rPr>
          <w:rFonts w:asciiTheme="minorHAnsi" w:hAnsiTheme="minorHAnsi" w:cstheme="minorHAnsi"/>
          <w:sz w:val="28"/>
          <w:szCs w:val="22"/>
          <w:lang w:val="en-CA"/>
        </w:rPr>
        <w:sectPr w:rsidR="00C7278E" w:rsidRPr="0031638A" w:rsidSect="00591DC8">
          <w:footerReference w:type="default" r:id="rId8"/>
          <w:footerReference w:type="first" r:id="rId9"/>
          <w:pgSz w:w="12240" w:h="15840"/>
          <w:pgMar w:top="1440" w:right="1440" w:bottom="1440" w:left="1440" w:header="708" w:footer="283" w:gutter="0"/>
          <w:cols w:space="708"/>
          <w:titlePg/>
          <w:docGrid w:linePitch="360"/>
        </w:sectPr>
      </w:pPr>
    </w:p>
    <w:p w14:paraId="088EAF2F" w14:textId="77777777" w:rsidR="00591DC8" w:rsidRPr="00714032" w:rsidRDefault="00591DC8" w:rsidP="000640FD">
      <w:pPr>
        <w:pStyle w:val="Heading3"/>
        <w:rPr>
          <w:u w:val="single"/>
          <w:lang w:val="en-CA"/>
        </w:rPr>
      </w:pPr>
      <w:r w:rsidRPr="00714032">
        <w:rPr>
          <w:lang w:val="en-CA"/>
        </w:rPr>
        <w:lastRenderedPageBreak/>
        <w:t>Staffing and Non-Partisanship Survey Results</w:t>
      </w:r>
    </w:p>
    <w:p w14:paraId="42AA3D12" w14:textId="17F5B096" w:rsidR="00C7278E" w:rsidRPr="00714032" w:rsidRDefault="00591DC8" w:rsidP="00C7278E">
      <w:pPr>
        <w:pStyle w:val="ListParagraph"/>
        <w:spacing w:after="120"/>
        <w:contextualSpacing w:val="0"/>
        <w:rPr>
          <w:rFonts w:asciiTheme="minorHAnsi" w:hAnsiTheme="minorHAnsi" w:cstheme="minorHAnsi"/>
          <w:sz w:val="22"/>
          <w:szCs w:val="22"/>
          <w:lang w:val="en-CA" w:eastAsia="en-CA"/>
        </w:rPr>
      </w:pPr>
      <w:r w:rsidRPr="00714032">
        <w:rPr>
          <w:rFonts w:asciiTheme="minorHAnsi" w:hAnsiTheme="minorHAnsi" w:cstheme="minorHAnsi"/>
          <w:sz w:val="22"/>
          <w:szCs w:val="22"/>
          <w:lang w:val="en-CA" w:eastAsia="en-CA"/>
        </w:rPr>
        <w:t>PS’s response rate to the 2018 Staffing and Non-Partisanship Survey (SNPS) was 48.1%. Overall, PS’s SNPS results present employees being less satisfied in the quality of hires than other medium-sized organizations. Results also show managers being less satisfied in the way they hire and appoint persons and in the burden of administrative process since NDS implementation compared to other medium-sized organizations.</w:t>
      </w:r>
    </w:p>
    <w:p w14:paraId="06C298AC" w14:textId="77777777" w:rsidR="00591DC8" w:rsidRPr="00714032" w:rsidRDefault="00591DC8" w:rsidP="00591DC8">
      <w:pPr>
        <w:pStyle w:val="ListParagraph"/>
        <w:spacing w:after="0"/>
        <w:rPr>
          <w:rFonts w:asciiTheme="minorHAnsi" w:hAnsiTheme="minorHAnsi" w:cstheme="minorHAnsi"/>
          <w:i/>
          <w:sz w:val="22"/>
          <w:szCs w:val="22"/>
          <w:lang w:val="en-CA"/>
        </w:rPr>
      </w:pPr>
      <w:r w:rsidRPr="00714032">
        <w:rPr>
          <w:rFonts w:asciiTheme="minorHAnsi" w:hAnsiTheme="minorHAnsi" w:cstheme="minorHAnsi"/>
          <w:sz w:val="22"/>
          <w:szCs w:val="22"/>
          <w:lang w:val="en-CA"/>
        </w:rPr>
        <w:t xml:space="preserve">Below are key findings from PS’s 2018 SNPS results: </w:t>
      </w:r>
    </w:p>
    <w:p w14:paraId="7267BF72" w14:textId="77777777" w:rsidR="00591DC8" w:rsidRPr="00714032" w:rsidRDefault="00591DC8" w:rsidP="00C7278E">
      <w:pPr>
        <w:pStyle w:val="ListParagraph"/>
        <w:numPr>
          <w:ilvl w:val="0"/>
          <w:numId w:val="6"/>
        </w:numPr>
        <w:spacing w:after="0" w:line="259" w:lineRule="auto"/>
        <w:ind w:left="360"/>
        <w:rPr>
          <w:rFonts w:asciiTheme="minorHAnsi" w:hAnsiTheme="minorHAnsi" w:cstheme="minorHAnsi"/>
          <w:sz w:val="22"/>
          <w:szCs w:val="22"/>
          <w:lang w:val="en-CA"/>
        </w:rPr>
      </w:pPr>
      <w:r w:rsidRPr="00714032">
        <w:rPr>
          <w:rFonts w:asciiTheme="minorHAnsi" w:hAnsiTheme="minorHAnsi" w:cstheme="minorHAnsi"/>
          <w:sz w:val="22"/>
          <w:szCs w:val="22"/>
          <w:lang w:val="en-CA"/>
        </w:rPr>
        <w:t>96% of managers agreed that appointees meet the performance expectations of the positions for which they were hired, compared to 94.4% in organizations of similar size, and 91.9% in the federal public service.</w:t>
      </w:r>
    </w:p>
    <w:p w14:paraId="112864C3" w14:textId="77777777" w:rsidR="00591DC8" w:rsidRPr="00714032" w:rsidRDefault="00591DC8" w:rsidP="00C7278E">
      <w:pPr>
        <w:pStyle w:val="ListParagraph"/>
        <w:numPr>
          <w:ilvl w:val="0"/>
          <w:numId w:val="6"/>
        </w:numPr>
        <w:spacing w:after="0" w:line="259" w:lineRule="auto"/>
        <w:ind w:left="360"/>
        <w:rPr>
          <w:rFonts w:asciiTheme="minorHAnsi" w:hAnsiTheme="minorHAnsi" w:cstheme="minorHAnsi"/>
          <w:sz w:val="22"/>
          <w:szCs w:val="22"/>
          <w:lang w:val="en-CA"/>
        </w:rPr>
      </w:pPr>
      <w:r w:rsidRPr="00714032">
        <w:rPr>
          <w:rFonts w:asciiTheme="minorHAnsi" w:hAnsiTheme="minorHAnsi" w:cstheme="minorHAnsi"/>
          <w:sz w:val="22"/>
          <w:szCs w:val="22"/>
          <w:lang w:val="en-CA"/>
        </w:rPr>
        <w:t>56.2% of employees agreed that people hired can do the job, compared to 67.6% in organizations of similar size, and 53.8% in the federal public service.</w:t>
      </w:r>
    </w:p>
    <w:p w14:paraId="55AE597E" w14:textId="77777777" w:rsidR="00591DC8" w:rsidRPr="00714032" w:rsidRDefault="00591DC8" w:rsidP="00C7278E">
      <w:pPr>
        <w:pStyle w:val="ListParagraph"/>
        <w:numPr>
          <w:ilvl w:val="0"/>
          <w:numId w:val="6"/>
        </w:numPr>
        <w:spacing w:after="0" w:line="259" w:lineRule="auto"/>
        <w:ind w:left="360"/>
        <w:rPr>
          <w:rFonts w:asciiTheme="minorHAnsi" w:hAnsiTheme="minorHAnsi" w:cstheme="minorHAnsi"/>
          <w:sz w:val="22"/>
          <w:szCs w:val="22"/>
          <w:lang w:val="en-CA"/>
        </w:rPr>
      </w:pPr>
      <w:r w:rsidRPr="00714032">
        <w:rPr>
          <w:rFonts w:asciiTheme="minorHAnsi" w:hAnsiTheme="minorHAnsi" w:cstheme="minorHAnsi"/>
          <w:sz w:val="22"/>
          <w:szCs w:val="22"/>
          <w:lang w:val="en-CA"/>
        </w:rPr>
        <w:t>63.4% of managers agreed that the NDS has improved the way they hire and appoint persons to and within their organization, compared to 69.4% in organizations of similar size, and 56.1% in the federal public service.</w:t>
      </w:r>
    </w:p>
    <w:p w14:paraId="1CAC09A6" w14:textId="77777777" w:rsidR="00591DC8" w:rsidRPr="00DA5DF3" w:rsidRDefault="00591DC8" w:rsidP="00C7278E">
      <w:pPr>
        <w:pStyle w:val="ListParagraph"/>
        <w:numPr>
          <w:ilvl w:val="0"/>
          <w:numId w:val="6"/>
        </w:numPr>
        <w:spacing w:after="120" w:line="259" w:lineRule="auto"/>
        <w:ind w:left="360"/>
        <w:rPr>
          <w:rFonts w:asciiTheme="minorHAnsi" w:hAnsiTheme="minorHAnsi" w:cstheme="minorHAnsi"/>
          <w:sz w:val="22"/>
          <w:szCs w:val="22"/>
          <w:lang w:val="en-CA"/>
        </w:rPr>
      </w:pPr>
      <w:r w:rsidRPr="00DA5DF3">
        <w:rPr>
          <w:rFonts w:asciiTheme="minorHAnsi" w:hAnsiTheme="minorHAnsi" w:cstheme="minorHAnsi"/>
          <w:sz w:val="22"/>
          <w:szCs w:val="22"/>
          <w:lang w:val="en-CA"/>
        </w:rPr>
        <w:t>91.7% of managers agreed that within their organization, the administrative process to staff a position is burdensome, compared to 84.0% in organizations of similar size, and 87.9% in the federal public service.</w:t>
      </w:r>
    </w:p>
    <w:p w14:paraId="0EFAD4BD" w14:textId="77777777" w:rsidR="00591DC8" w:rsidRPr="000640FD" w:rsidRDefault="00591DC8" w:rsidP="000640FD">
      <w:pPr>
        <w:pStyle w:val="Heading2"/>
        <w:rPr>
          <w:rStyle w:val="Heading1Char"/>
          <w:rFonts w:ascii="Segoe UI" w:hAnsi="Segoe UI" w:cs="Segoe UI"/>
          <w:color w:val="5B315E" w:themeColor="accent2"/>
          <w:sz w:val="32"/>
          <w:szCs w:val="32"/>
          <w:lang w:val="en-US"/>
        </w:rPr>
      </w:pPr>
      <w:r w:rsidRPr="000640FD">
        <w:rPr>
          <w:rStyle w:val="Heading1Char"/>
          <w:rFonts w:ascii="Segoe UI" w:hAnsi="Segoe UI" w:cs="Segoe UI"/>
          <w:color w:val="5B315E" w:themeColor="accent2"/>
          <w:sz w:val="32"/>
          <w:szCs w:val="32"/>
          <w:lang w:val="en-US"/>
        </w:rPr>
        <w:t>Diversity Profile </w:t>
      </w:r>
    </w:p>
    <w:p w14:paraId="47C00950" w14:textId="77777777" w:rsidR="00591DC8" w:rsidRPr="00DA5DF3" w:rsidRDefault="00591DC8" w:rsidP="00C7278E">
      <w:pPr>
        <w:pStyle w:val="NoSpacing"/>
        <w:spacing w:after="120"/>
        <w:rPr>
          <w:rFonts w:asciiTheme="minorHAnsi" w:hAnsiTheme="minorHAnsi" w:cstheme="minorHAnsi"/>
          <w:sz w:val="22"/>
          <w:szCs w:val="22"/>
          <w:lang w:val="en-CA"/>
        </w:rPr>
      </w:pPr>
      <w:r w:rsidRPr="00DA5DF3">
        <w:rPr>
          <w:rFonts w:asciiTheme="minorHAnsi" w:hAnsiTheme="minorHAnsi" w:cstheme="minorHAnsi"/>
          <w:sz w:val="22"/>
          <w:szCs w:val="22"/>
          <w:lang w:val="en-CA"/>
        </w:rPr>
        <w:t>PS is currently above workforce availability (WFA) for all designated groups (based on 2018 data). The WFA estimates in the public service for 2019 have been updated in the Workforce Profile although they have not been officially released yet.</w:t>
      </w:r>
    </w:p>
    <w:p w14:paraId="2D88262E" w14:textId="2B3620AD" w:rsidR="00442F1B" w:rsidRPr="00ED0A38" w:rsidRDefault="00442F1B" w:rsidP="00442F1B">
      <w:pPr>
        <w:pStyle w:val="Caption"/>
        <w:keepNext/>
        <w:spacing w:after="0"/>
        <w:rPr>
          <w:rFonts w:asciiTheme="minorHAnsi" w:hAnsiTheme="minorHAnsi" w:cstheme="minorHAnsi"/>
          <w:i w:val="0"/>
          <w:color w:val="auto"/>
        </w:rPr>
      </w:pPr>
      <w:r w:rsidRPr="00ED0A38">
        <w:rPr>
          <w:rFonts w:asciiTheme="minorHAnsi" w:hAnsiTheme="minorHAnsi" w:cstheme="minorHAnsi"/>
          <w:i w:val="0"/>
          <w:color w:val="auto"/>
        </w:rPr>
        <w:t xml:space="preserve">Table </w:t>
      </w:r>
      <w:r w:rsidRPr="00ED0A38">
        <w:rPr>
          <w:rFonts w:asciiTheme="minorHAnsi" w:hAnsiTheme="minorHAnsi" w:cstheme="minorHAnsi"/>
          <w:i w:val="0"/>
          <w:color w:val="auto"/>
        </w:rPr>
        <w:fldChar w:fldCharType="begin"/>
      </w:r>
      <w:r w:rsidRPr="00ED0A38">
        <w:rPr>
          <w:rFonts w:asciiTheme="minorHAnsi" w:hAnsiTheme="minorHAnsi" w:cstheme="minorHAnsi"/>
          <w:i w:val="0"/>
          <w:color w:val="auto"/>
        </w:rPr>
        <w:instrText xml:space="preserve"> SEQ Table \* ARABIC </w:instrText>
      </w:r>
      <w:r w:rsidRPr="00ED0A38">
        <w:rPr>
          <w:rFonts w:asciiTheme="minorHAnsi" w:hAnsiTheme="minorHAnsi" w:cstheme="minorHAnsi"/>
          <w:i w:val="0"/>
          <w:color w:val="auto"/>
        </w:rPr>
        <w:fldChar w:fldCharType="separate"/>
      </w:r>
      <w:r w:rsidR="00B76E9C">
        <w:rPr>
          <w:rFonts w:asciiTheme="minorHAnsi" w:hAnsiTheme="minorHAnsi" w:cstheme="minorHAnsi"/>
          <w:i w:val="0"/>
          <w:noProof/>
          <w:color w:val="auto"/>
        </w:rPr>
        <w:t>2</w:t>
      </w:r>
      <w:r w:rsidRPr="00ED0A38">
        <w:rPr>
          <w:rFonts w:asciiTheme="minorHAnsi" w:hAnsiTheme="minorHAnsi" w:cstheme="minorHAnsi"/>
          <w:i w:val="0"/>
          <w:color w:val="auto"/>
        </w:rPr>
        <w:fldChar w:fldCharType="end"/>
      </w:r>
      <w:r w:rsidRPr="00ED0A38">
        <w:rPr>
          <w:rFonts w:asciiTheme="minorHAnsi" w:hAnsiTheme="minorHAnsi" w:cstheme="minorHAnsi"/>
          <w:i w:val="0"/>
          <w:color w:val="auto"/>
        </w:rPr>
        <w:t xml:space="preserve"> - Diversity Profile</w:t>
      </w:r>
    </w:p>
    <w:tbl>
      <w:tblPr>
        <w:tblStyle w:val="TableGrid"/>
        <w:tblW w:w="5000" w:type="pct"/>
        <w:jc w:val="center"/>
        <w:tblLook w:val="04A0" w:firstRow="1" w:lastRow="0" w:firstColumn="1" w:lastColumn="0" w:noHBand="0" w:noVBand="1"/>
        <w:tblDescription w:val="Diversity Profile"/>
      </w:tblPr>
      <w:tblGrid>
        <w:gridCol w:w="1670"/>
        <w:gridCol w:w="1679"/>
        <w:gridCol w:w="2459"/>
        <w:gridCol w:w="1853"/>
        <w:gridCol w:w="1689"/>
      </w:tblGrid>
      <w:tr w:rsidR="00C75731" w:rsidRPr="00184E55" w14:paraId="1F5E6B33" w14:textId="77777777" w:rsidTr="00C75731">
        <w:trPr>
          <w:cantSplit/>
          <w:trHeight w:val="759"/>
          <w:tblHeader/>
          <w:jc w:val="center"/>
        </w:trPr>
        <w:tc>
          <w:tcPr>
            <w:tcW w:w="893"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0062B3DC" w14:textId="77777777" w:rsidR="00C75731" w:rsidRPr="00184E55" w:rsidRDefault="00C75731" w:rsidP="00C75731">
            <w:pPr>
              <w:pStyle w:val="TableTitle"/>
              <w:rPr>
                <w:rFonts w:cs="Segoe UI Semibold"/>
                <w:color w:val="FFFFFF" w:themeColor="background1"/>
                <w:lang w:val="en-CA"/>
              </w:rPr>
            </w:pPr>
            <w:r w:rsidRPr="00184E55">
              <w:rPr>
                <w:rFonts w:cs="Segoe UI Semibold"/>
                <w:color w:val="FFFFFF" w:themeColor="background1"/>
                <w:lang w:val="en-CA"/>
              </w:rPr>
              <w:t>Designated Group</w:t>
            </w:r>
          </w:p>
        </w:tc>
        <w:tc>
          <w:tcPr>
            <w:tcW w:w="898"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659A9F5D" w14:textId="77777777" w:rsidR="00C75731" w:rsidRPr="00184E55" w:rsidRDefault="00C75731" w:rsidP="00C75731">
            <w:pPr>
              <w:pStyle w:val="TableTitle"/>
              <w:rPr>
                <w:rFonts w:cs="Segoe UI Semibold"/>
                <w:color w:val="FFFFFF" w:themeColor="background1"/>
                <w:lang w:val="en-CA"/>
              </w:rPr>
            </w:pPr>
            <w:r w:rsidRPr="00184E55">
              <w:rPr>
                <w:rFonts w:cs="Segoe UI Semibold"/>
                <w:color w:val="FFFFFF" w:themeColor="background1"/>
                <w:lang w:val="en-CA"/>
              </w:rPr>
              <w:t>Public Service</w:t>
            </w:r>
          </w:p>
          <w:p w14:paraId="77E0A593" w14:textId="77777777" w:rsidR="00C75731" w:rsidRPr="00184E55" w:rsidRDefault="00C75731" w:rsidP="00C75731">
            <w:pPr>
              <w:pStyle w:val="TableTitle"/>
              <w:rPr>
                <w:rFonts w:cs="Segoe UI Semibold"/>
                <w:color w:val="FFFFFF" w:themeColor="background1"/>
                <w:lang w:val="en-CA"/>
              </w:rPr>
            </w:pPr>
            <w:r w:rsidRPr="00184E55">
              <w:rPr>
                <w:rFonts w:cs="Segoe UI Semibold"/>
                <w:color w:val="FFFFFF" w:themeColor="background1"/>
                <w:lang w:val="en-CA"/>
              </w:rPr>
              <w:t>Work Force Availability (WFA)</w:t>
            </w:r>
          </w:p>
        </w:tc>
        <w:tc>
          <w:tcPr>
            <w:tcW w:w="1315" w:type="pct"/>
            <w:tcBorders>
              <w:top w:val="single" w:sz="4" w:space="0" w:color="auto"/>
              <w:left w:val="single" w:sz="4" w:space="0" w:color="auto"/>
              <w:right w:val="single" w:sz="4" w:space="0" w:color="auto"/>
            </w:tcBorders>
            <w:shd w:val="clear" w:color="auto" w:fill="BF3C00" w:themeFill="accent4" w:themeFillShade="BF"/>
            <w:vAlign w:val="center"/>
            <w:hideMark/>
          </w:tcPr>
          <w:p w14:paraId="003CEB1F" w14:textId="77777777" w:rsidR="00C75731" w:rsidRPr="00184E55" w:rsidRDefault="00C75731" w:rsidP="00C75731">
            <w:pPr>
              <w:pStyle w:val="TableTitle"/>
              <w:rPr>
                <w:rFonts w:cs="Segoe UI Semibold"/>
                <w:color w:val="FFFFFF" w:themeColor="background1"/>
                <w:lang w:val="en-CA"/>
              </w:rPr>
            </w:pPr>
            <w:r w:rsidRPr="00184E55">
              <w:rPr>
                <w:rFonts w:cs="Segoe UI Semibold"/>
                <w:color w:val="FFFFFF" w:themeColor="background1"/>
                <w:lang w:val="en-CA"/>
              </w:rPr>
              <w:t>Public Safety Canada</w:t>
            </w:r>
          </w:p>
        </w:tc>
        <w:tc>
          <w:tcPr>
            <w:tcW w:w="991"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02639921" w14:textId="026AA983" w:rsidR="00C75731" w:rsidRPr="00184E55" w:rsidRDefault="00C75731" w:rsidP="00C75731">
            <w:pPr>
              <w:pStyle w:val="TableTitle"/>
              <w:rPr>
                <w:rFonts w:cs="Segoe UI Semibold"/>
                <w:color w:val="FFFFFF" w:themeColor="background1"/>
                <w:lang w:val="en-CA"/>
              </w:rPr>
            </w:pPr>
            <w:r w:rsidRPr="00184E55">
              <w:rPr>
                <w:rFonts w:cs="Segoe UI Semibold"/>
                <w:color w:val="FFFFFF" w:themeColor="background1"/>
                <w:lang w:val="en-CA"/>
              </w:rPr>
              <w:t>Representation across the Public Service of Canada</w:t>
            </w:r>
          </w:p>
        </w:tc>
        <w:tc>
          <w:tcPr>
            <w:tcW w:w="903" w:type="pct"/>
            <w:shd w:val="clear" w:color="auto" w:fill="54575A" w:themeFill="text1"/>
            <w:vAlign w:val="center"/>
          </w:tcPr>
          <w:p w14:paraId="41F64268" w14:textId="77777777" w:rsidR="00C75731" w:rsidRPr="00184E55" w:rsidRDefault="00C75731" w:rsidP="00C75731">
            <w:pPr>
              <w:pStyle w:val="TableTitle"/>
              <w:rPr>
                <w:rFonts w:cs="Segoe UI Semibold"/>
                <w:color w:val="FFFFFF" w:themeColor="background1"/>
                <w:lang w:val="en-CA"/>
              </w:rPr>
            </w:pPr>
            <w:r w:rsidRPr="00184E55">
              <w:rPr>
                <w:rFonts w:cs="Segoe UI Semibold"/>
                <w:color w:val="FFFFFF" w:themeColor="background1"/>
                <w:lang w:val="en-CA"/>
              </w:rPr>
              <w:t xml:space="preserve">New WFA </w:t>
            </w:r>
            <w:r w:rsidRPr="00184E55">
              <w:rPr>
                <w:rFonts w:cs="Segoe UI Semibold"/>
                <w:color w:val="FFFFFF" w:themeColor="background1"/>
                <w:lang w:val="en-CA"/>
              </w:rPr>
              <w:br/>
              <w:t xml:space="preserve">2019 </w:t>
            </w:r>
          </w:p>
        </w:tc>
      </w:tr>
      <w:tr w:rsidR="00C75731" w:rsidRPr="00C75731" w14:paraId="70CD884B" w14:textId="77777777" w:rsidTr="00C75731">
        <w:trPr>
          <w:cantSplit/>
          <w:trHeight w:val="391"/>
          <w:tblHeader/>
          <w:jc w:val="center"/>
        </w:trPr>
        <w:tc>
          <w:tcPr>
            <w:tcW w:w="893"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04433EBA" w14:textId="77777777" w:rsidR="00C75731" w:rsidRPr="00C75731" w:rsidRDefault="00C75731" w:rsidP="00926DA5">
            <w:pPr>
              <w:rPr>
                <w:rFonts w:asciiTheme="minorHAnsi" w:hAnsiTheme="minorHAnsi" w:cstheme="minorHAnsi"/>
                <w:color w:val="FFFFFF" w:themeColor="background1"/>
                <w:sz w:val="22"/>
                <w:szCs w:val="22"/>
                <w:lang w:val="en-CA"/>
              </w:rPr>
            </w:pPr>
            <w:r w:rsidRPr="00C75731">
              <w:rPr>
                <w:rFonts w:asciiTheme="minorHAnsi" w:hAnsiTheme="minorHAnsi" w:cstheme="minorHAnsi"/>
                <w:color w:val="FFFFFF" w:themeColor="background1"/>
                <w:sz w:val="22"/>
                <w:szCs w:val="22"/>
                <w:lang w:val="en-CA"/>
              </w:rPr>
              <w:t>Women</w:t>
            </w:r>
          </w:p>
        </w:tc>
        <w:tc>
          <w:tcPr>
            <w:tcW w:w="898" w:type="pct"/>
            <w:tcBorders>
              <w:top w:val="single" w:sz="4" w:space="0" w:color="auto"/>
              <w:left w:val="single" w:sz="4" w:space="0" w:color="auto"/>
              <w:bottom w:val="single" w:sz="4" w:space="0" w:color="auto"/>
              <w:right w:val="single" w:sz="4" w:space="0" w:color="auto"/>
            </w:tcBorders>
            <w:vAlign w:val="center"/>
            <w:hideMark/>
          </w:tcPr>
          <w:p w14:paraId="22CA05B7" w14:textId="77777777" w:rsidR="00C75731" w:rsidRPr="00C75731" w:rsidRDefault="00C75731" w:rsidP="00926DA5">
            <w:pPr>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52.5%</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3B4A1466"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60.3%</w:t>
            </w:r>
          </w:p>
        </w:tc>
        <w:tc>
          <w:tcPr>
            <w:tcW w:w="991" w:type="pct"/>
            <w:tcBorders>
              <w:top w:val="single" w:sz="4" w:space="0" w:color="auto"/>
              <w:left w:val="single" w:sz="4" w:space="0" w:color="auto"/>
              <w:bottom w:val="single" w:sz="4" w:space="0" w:color="auto"/>
              <w:right w:val="single" w:sz="4" w:space="0" w:color="auto"/>
            </w:tcBorders>
            <w:hideMark/>
          </w:tcPr>
          <w:p w14:paraId="23FD5B82"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54.8%</w:t>
            </w:r>
          </w:p>
        </w:tc>
        <w:tc>
          <w:tcPr>
            <w:tcW w:w="903" w:type="pct"/>
            <w:vAlign w:val="center"/>
          </w:tcPr>
          <w:p w14:paraId="49AC4485"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52.6%</w:t>
            </w:r>
          </w:p>
        </w:tc>
      </w:tr>
      <w:tr w:rsidR="00C75731" w:rsidRPr="00C75731" w14:paraId="68AE412C" w14:textId="77777777" w:rsidTr="00C75731">
        <w:trPr>
          <w:cantSplit/>
          <w:tblHeader/>
          <w:jc w:val="center"/>
        </w:trPr>
        <w:tc>
          <w:tcPr>
            <w:tcW w:w="893"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17F28741" w14:textId="77777777" w:rsidR="00C75731" w:rsidRPr="00C75731" w:rsidRDefault="00C75731" w:rsidP="00926DA5">
            <w:pPr>
              <w:rPr>
                <w:rFonts w:asciiTheme="minorHAnsi" w:hAnsiTheme="minorHAnsi" w:cstheme="minorHAnsi"/>
                <w:color w:val="FFFFFF" w:themeColor="background1"/>
                <w:sz w:val="22"/>
                <w:szCs w:val="22"/>
                <w:lang w:val="en-CA"/>
              </w:rPr>
            </w:pPr>
            <w:r w:rsidRPr="00C75731">
              <w:rPr>
                <w:rFonts w:asciiTheme="minorHAnsi" w:hAnsiTheme="minorHAnsi" w:cstheme="minorHAnsi"/>
                <w:color w:val="FFFFFF" w:themeColor="background1"/>
                <w:sz w:val="22"/>
                <w:szCs w:val="22"/>
                <w:lang w:val="en-CA"/>
              </w:rPr>
              <w:t>Aboriginal Peoples</w:t>
            </w:r>
          </w:p>
        </w:tc>
        <w:tc>
          <w:tcPr>
            <w:tcW w:w="898" w:type="pct"/>
            <w:tcBorders>
              <w:top w:val="single" w:sz="4" w:space="0" w:color="auto"/>
              <w:left w:val="single" w:sz="4" w:space="0" w:color="auto"/>
              <w:bottom w:val="single" w:sz="4" w:space="0" w:color="auto"/>
              <w:right w:val="single" w:sz="4" w:space="0" w:color="auto"/>
            </w:tcBorders>
            <w:vAlign w:val="center"/>
            <w:hideMark/>
          </w:tcPr>
          <w:p w14:paraId="4E3B9291" w14:textId="77777777" w:rsidR="00C75731" w:rsidRPr="00C75731" w:rsidRDefault="00C75731" w:rsidP="00926DA5">
            <w:pPr>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3.4%</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5E72A93A"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5.1%</w:t>
            </w:r>
          </w:p>
        </w:tc>
        <w:tc>
          <w:tcPr>
            <w:tcW w:w="991" w:type="pct"/>
            <w:tcBorders>
              <w:top w:val="single" w:sz="4" w:space="0" w:color="auto"/>
              <w:left w:val="single" w:sz="4" w:space="0" w:color="auto"/>
              <w:bottom w:val="single" w:sz="4" w:space="0" w:color="auto"/>
              <w:right w:val="single" w:sz="4" w:space="0" w:color="auto"/>
            </w:tcBorders>
            <w:hideMark/>
          </w:tcPr>
          <w:p w14:paraId="6FD30D21"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5.1%</w:t>
            </w:r>
          </w:p>
        </w:tc>
        <w:tc>
          <w:tcPr>
            <w:tcW w:w="903" w:type="pct"/>
            <w:vAlign w:val="center"/>
          </w:tcPr>
          <w:p w14:paraId="0EAB9CE2"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4.0%</w:t>
            </w:r>
          </w:p>
        </w:tc>
      </w:tr>
      <w:tr w:rsidR="00C75731" w:rsidRPr="00C75731" w14:paraId="5EB69B36" w14:textId="77777777" w:rsidTr="00C75731">
        <w:trPr>
          <w:cantSplit/>
          <w:trHeight w:val="598"/>
          <w:tblHeader/>
          <w:jc w:val="center"/>
        </w:trPr>
        <w:tc>
          <w:tcPr>
            <w:tcW w:w="893"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0007223C" w14:textId="77777777" w:rsidR="00C75731" w:rsidRPr="00C75731" w:rsidRDefault="00C75731" w:rsidP="00926DA5">
            <w:pPr>
              <w:rPr>
                <w:rFonts w:asciiTheme="minorHAnsi" w:hAnsiTheme="minorHAnsi" w:cstheme="minorHAnsi"/>
                <w:color w:val="FFFFFF" w:themeColor="background1"/>
                <w:sz w:val="22"/>
                <w:szCs w:val="22"/>
                <w:lang w:val="en-CA"/>
              </w:rPr>
            </w:pPr>
            <w:r w:rsidRPr="00C75731">
              <w:rPr>
                <w:rFonts w:asciiTheme="minorHAnsi" w:hAnsiTheme="minorHAnsi" w:cstheme="minorHAnsi"/>
                <w:color w:val="FFFFFF" w:themeColor="background1"/>
                <w:sz w:val="22"/>
                <w:szCs w:val="22"/>
                <w:lang w:val="en-CA"/>
              </w:rPr>
              <w:t>Persons with Disabilities</w:t>
            </w:r>
          </w:p>
        </w:tc>
        <w:tc>
          <w:tcPr>
            <w:tcW w:w="898" w:type="pct"/>
            <w:tcBorders>
              <w:top w:val="single" w:sz="4" w:space="0" w:color="auto"/>
              <w:left w:val="single" w:sz="4" w:space="0" w:color="auto"/>
              <w:bottom w:val="single" w:sz="4" w:space="0" w:color="auto"/>
              <w:right w:val="single" w:sz="4" w:space="0" w:color="auto"/>
            </w:tcBorders>
            <w:vAlign w:val="center"/>
            <w:hideMark/>
          </w:tcPr>
          <w:p w14:paraId="2CB904D5" w14:textId="77777777" w:rsidR="00C75731" w:rsidRPr="00C75731" w:rsidRDefault="00C75731" w:rsidP="00926DA5">
            <w:pPr>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4.4%</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50FB1939"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7.0%</w:t>
            </w:r>
          </w:p>
        </w:tc>
        <w:tc>
          <w:tcPr>
            <w:tcW w:w="991" w:type="pct"/>
            <w:tcBorders>
              <w:top w:val="single" w:sz="4" w:space="0" w:color="auto"/>
              <w:left w:val="single" w:sz="4" w:space="0" w:color="auto"/>
              <w:bottom w:val="single" w:sz="4" w:space="0" w:color="auto"/>
              <w:right w:val="single" w:sz="4" w:space="0" w:color="auto"/>
            </w:tcBorders>
            <w:vAlign w:val="center"/>
            <w:hideMark/>
          </w:tcPr>
          <w:p w14:paraId="4C038FE0"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5.3%</w:t>
            </w:r>
          </w:p>
        </w:tc>
        <w:tc>
          <w:tcPr>
            <w:tcW w:w="903" w:type="pct"/>
            <w:vAlign w:val="center"/>
          </w:tcPr>
          <w:p w14:paraId="3FB35AFE"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9.0%</w:t>
            </w:r>
          </w:p>
        </w:tc>
      </w:tr>
      <w:tr w:rsidR="00C75731" w:rsidRPr="00C75731" w14:paraId="3C97D53A" w14:textId="77777777" w:rsidTr="00C75731">
        <w:trPr>
          <w:cantSplit/>
          <w:tblHeader/>
          <w:jc w:val="center"/>
        </w:trPr>
        <w:tc>
          <w:tcPr>
            <w:tcW w:w="893"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1E6D57C3" w14:textId="77777777" w:rsidR="00C75731" w:rsidRPr="00C75731" w:rsidRDefault="00C75731" w:rsidP="00926DA5">
            <w:pPr>
              <w:rPr>
                <w:rFonts w:asciiTheme="minorHAnsi" w:hAnsiTheme="minorHAnsi" w:cstheme="minorHAnsi"/>
                <w:color w:val="FFFFFF" w:themeColor="background1"/>
                <w:sz w:val="22"/>
                <w:szCs w:val="22"/>
                <w:lang w:val="en-CA"/>
              </w:rPr>
            </w:pPr>
            <w:r w:rsidRPr="00C75731">
              <w:rPr>
                <w:rFonts w:asciiTheme="minorHAnsi" w:hAnsiTheme="minorHAnsi" w:cstheme="minorHAnsi"/>
                <w:color w:val="FFFFFF" w:themeColor="background1"/>
                <w:sz w:val="22"/>
                <w:szCs w:val="22"/>
                <w:lang w:val="en-CA"/>
              </w:rPr>
              <w:t>Members of Visible Minorities</w:t>
            </w:r>
          </w:p>
        </w:tc>
        <w:tc>
          <w:tcPr>
            <w:tcW w:w="898" w:type="pct"/>
            <w:tcBorders>
              <w:top w:val="single" w:sz="4" w:space="0" w:color="auto"/>
              <w:left w:val="single" w:sz="4" w:space="0" w:color="auto"/>
              <w:bottom w:val="single" w:sz="4" w:space="0" w:color="auto"/>
              <w:right w:val="single" w:sz="4" w:space="0" w:color="auto"/>
            </w:tcBorders>
            <w:vAlign w:val="center"/>
            <w:hideMark/>
          </w:tcPr>
          <w:p w14:paraId="63CC91F4" w14:textId="77777777" w:rsidR="00C75731" w:rsidRPr="00C75731" w:rsidRDefault="00C75731" w:rsidP="00926DA5">
            <w:pPr>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13.0%</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3A082DBC"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15.2%</w:t>
            </w:r>
          </w:p>
        </w:tc>
        <w:tc>
          <w:tcPr>
            <w:tcW w:w="991" w:type="pct"/>
            <w:tcBorders>
              <w:top w:val="single" w:sz="4" w:space="0" w:color="auto"/>
              <w:left w:val="single" w:sz="4" w:space="0" w:color="auto"/>
              <w:bottom w:val="single" w:sz="4" w:space="0" w:color="auto"/>
              <w:right w:val="single" w:sz="4" w:space="0" w:color="auto"/>
            </w:tcBorders>
            <w:vAlign w:val="center"/>
            <w:hideMark/>
          </w:tcPr>
          <w:p w14:paraId="66CF54F2"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15.7%</w:t>
            </w:r>
          </w:p>
        </w:tc>
        <w:tc>
          <w:tcPr>
            <w:tcW w:w="903" w:type="pct"/>
            <w:vAlign w:val="center"/>
          </w:tcPr>
          <w:p w14:paraId="3AFAA4FA" w14:textId="77777777" w:rsidR="00C75731" w:rsidRPr="00C75731" w:rsidRDefault="00C75731" w:rsidP="00926DA5">
            <w:pPr>
              <w:autoSpaceDE w:val="0"/>
              <w:autoSpaceDN w:val="0"/>
              <w:adjustRightInd w:val="0"/>
              <w:jc w:val="center"/>
              <w:rPr>
                <w:rFonts w:asciiTheme="minorHAnsi" w:hAnsiTheme="minorHAnsi" w:cstheme="minorHAnsi"/>
                <w:sz w:val="22"/>
                <w:szCs w:val="22"/>
                <w:lang w:val="en-CA"/>
              </w:rPr>
            </w:pPr>
            <w:r w:rsidRPr="00C75731">
              <w:rPr>
                <w:rFonts w:asciiTheme="minorHAnsi" w:hAnsiTheme="minorHAnsi" w:cstheme="minorHAnsi"/>
                <w:sz w:val="22"/>
                <w:szCs w:val="22"/>
                <w:lang w:val="en-CA"/>
              </w:rPr>
              <w:t>15.3%</w:t>
            </w:r>
          </w:p>
        </w:tc>
      </w:tr>
    </w:tbl>
    <w:p w14:paraId="27DBD3B6" w14:textId="77777777" w:rsidR="00C75731" w:rsidRPr="00C75731" w:rsidRDefault="00C75731" w:rsidP="00C75731">
      <w:pPr>
        <w:rPr>
          <w:rFonts w:asciiTheme="minorHAnsi" w:hAnsiTheme="minorHAnsi" w:cstheme="minorHAnsi"/>
          <w:sz w:val="22"/>
          <w:szCs w:val="22"/>
          <w:lang w:val="en-CA"/>
        </w:rPr>
      </w:pPr>
      <w:r w:rsidRPr="00C75731">
        <w:rPr>
          <w:rFonts w:asciiTheme="minorHAnsi" w:hAnsiTheme="minorHAnsi" w:cstheme="minorHAnsi"/>
          <w:sz w:val="22"/>
          <w:szCs w:val="22"/>
          <w:lang w:val="en-CA"/>
        </w:rPr>
        <w:t xml:space="preserve">Source: </w:t>
      </w:r>
      <w:hyperlink r:id="rId10" w:history="1">
        <w:r w:rsidRPr="00C75731">
          <w:rPr>
            <w:rStyle w:val="Hyperlink"/>
            <w:rFonts w:asciiTheme="minorHAnsi" w:hAnsiTheme="minorHAnsi" w:cstheme="minorHAnsi"/>
            <w:sz w:val="22"/>
            <w:szCs w:val="22"/>
            <w:lang w:val="en-CA"/>
          </w:rPr>
          <w:t>Employment Equity in the Public Service of Canada, 2017-2018</w:t>
        </w:r>
      </w:hyperlink>
    </w:p>
    <w:p w14:paraId="3755A517" w14:textId="7C760DCD" w:rsidR="00C75731" w:rsidRPr="00C75731" w:rsidRDefault="00C75731" w:rsidP="00C75731">
      <w:pPr>
        <w:rPr>
          <w:rFonts w:asciiTheme="minorHAnsi" w:hAnsiTheme="minorHAnsi" w:cstheme="minorHAnsi"/>
          <w:sz w:val="22"/>
          <w:szCs w:val="22"/>
          <w:lang w:val="en-CA"/>
        </w:rPr>
      </w:pPr>
      <w:r w:rsidRPr="00C75731">
        <w:rPr>
          <w:rFonts w:asciiTheme="minorHAnsi" w:hAnsiTheme="minorHAnsi" w:cstheme="minorHAnsi"/>
          <w:sz w:val="22"/>
          <w:szCs w:val="22"/>
          <w:lang w:val="en-CA"/>
        </w:rPr>
        <w:t>Note: Organizational E</w:t>
      </w:r>
      <w:r w:rsidR="00C26E6E">
        <w:rPr>
          <w:rFonts w:asciiTheme="minorHAnsi" w:hAnsiTheme="minorHAnsi" w:cstheme="minorHAnsi"/>
          <w:sz w:val="22"/>
          <w:szCs w:val="22"/>
          <w:lang w:val="en-CA"/>
        </w:rPr>
        <w:t xml:space="preserve">mployment </w:t>
      </w:r>
      <w:r w:rsidRPr="00C75731">
        <w:rPr>
          <w:rFonts w:asciiTheme="minorHAnsi" w:hAnsiTheme="minorHAnsi" w:cstheme="minorHAnsi"/>
          <w:sz w:val="22"/>
          <w:szCs w:val="22"/>
          <w:lang w:val="en-CA"/>
        </w:rPr>
        <w:t>E</w:t>
      </w:r>
      <w:r w:rsidR="00C26E6E">
        <w:rPr>
          <w:rFonts w:asciiTheme="minorHAnsi" w:hAnsiTheme="minorHAnsi" w:cstheme="minorHAnsi"/>
          <w:sz w:val="22"/>
          <w:szCs w:val="22"/>
          <w:lang w:val="en-CA"/>
        </w:rPr>
        <w:t>quity</w:t>
      </w:r>
      <w:r w:rsidRPr="00C75731">
        <w:rPr>
          <w:rFonts w:asciiTheme="minorHAnsi" w:hAnsiTheme="minorHAnsi" w:cstheme="minorHAnsi"/>
          <w:sz w:val="22"/>
          <w:szCs w:val="22"/>
          <w:lang w:val="en-CA"/>
        </w:rPr>
        <w:t xml:space="preserve"> data for 2019 is not yet available</w:t>
      </w:r>
    </w:p>
    <w:p w14:paraId="1F6A540E" w14:textId="77777777" w:rsidR="00591DC8" w:rsidRPr="000640FD" w:rsidRDefault="00591DC8" w:rsidP="000640FD">
      <w:pPr>
        <w:pStyle w:val="Heading2"/>
        <w:rPr>
          <w:rStyle w:val="Heading1Char"/>
          <w:rFonts w:ascii="Segoe UI" w:hAnsi="Segoe UI" w:cs="Segoe UI"/>
          <w:color w:val="5B315E" w:themeColor="accent2"/>
          <w:sz w:val="32"/>
          <w:szCs w:val="32"/>
          <w:lang w:val="en-US"/>
        </w:rPr>
      </w:pPr>
      <w:r w:rsidRPr="000640FD">
        <w:rPr>
          <w:rStyle w:val="Heading1Char"/>
          <w:rFonts w:ascii="Segoe UI" w:hAnsi="Segoe UI" w:cs="Segoe UI"/>
          <w:color w:val="5B315E" w:themeColor="accent2"/>
          <w:sz w:val="32"/>
          <w:szCs w:val="32"/>
          <w:lang w:val="en-US"/>
        </w:rPr>
        <w:t>Priority Entitlements and Veterans</w:t>
      </w:r>
    </w:p>
    <w:p w14:paraId="4D27694A" w14:textId="77777777" w:rsidR="00591DC8" w:rsidRPr="00C75731" w:rsidRDefault="00591DC8" w:rsidP="00C7278E">
      <w:pPr>
        <w:pStyle w:val="NoSpacing"/>
        <w:spacing w:after="120"/>
        <w:rPr>
          <w:rFonts w:asciiTheme="minorHAnsi" w:hAnsiTheme="minorHAnsi" w:cstheme="minorHAnsi"/>
          <w:sz w:val="22"/>
          <w:szCs w:val="22"/>
          <w:lang w:val="en-CA" w:eastAsia="en-CA"/>
        </w:rPr>
      </w:pPr>
      <w:r w:rsidRPr="00C75731">
        <w:rPr>
          <w:rFonts w:asciiTheme="minorHAnsi" w:hAnsiTheme="minorHAnsi" w:cstheme="minorHAnsi"/>
          <w:color w:val="222222"/>
          <w:sz w:val="22"/>
          <w:szCs w:val="22"/>
          <w:lang w:val="en-CA" w:eastAsia="en-CA"/>
        </w:rPr>
        <w:t>As of December 28, 2019, there were 10 Persons with Priority Entitlements (PPE) in PS.</w:t>
      </w:r>
    </w:p>
    <w:p w14:paraId="02619DDC" w14:textId="77777777" w:rsidR="00591DC8" w:rsidRPr="00C75731" w:rsidRDefault="00591DC8" w:rsidP="00C7278E">
      <w:pPr>
        <w:pStyle w:val="NoSpacing"/>
        <w:spacing w:after="120"/>
        <w:rPr>
          <w:rFonts w:asciiTheme="minorHAnsi" w:hAnsiTheme="minorHAnsi" w:cstheme="minorHAnsi"/>
          <w:sz w:val="22"/>
          <w:szCs w:val="22"/>
          <w:lang w:val="en-CA" w:eastAsia="en-CA"/>
        </w:rPr>
      </w:pPr>
      <w:r w:rsidRPr="00C75731">
        <w:rPr>
          <w:rFonts w:asciiTheme="minorHAnsi" w:hAnsiTheme="minorHAnsi" w:cstheme="minorHAnsi"/>
          <w:sz w:val="22"/>
          <w:szCs w:val="22"/>
          <w:lang w:val="en-CA" w:eastAsia="en-CA"/>
        </w:rPr>
        <w:lastRenderedPageBreak/>
        <w:t xml:space="preserve">From April 1, 2019, to December 16, 2019, PS has submitted 304 </w:t>
      </w:r>
      <w:r w:rsidRPr="00C75731">
        <w:rPr>
          <w:rFonts w:asciiTheme="minorHAnsi" w:hAnsiTheme="minorHAnsi" w:cstheme="minorHAnsi"/>
          <w:color w:val="222222"/>
          <w:sz w:val="22"/>
          <w:szCs w:val="22"/>
          <w:lang w:val="en-CA"/>
        </w:rPr>
        <w:t>priority clearance requests, which included one priority appointment</w:t>
      </w:r>
      <w:r w:rsidRPr="00C75731">
        <w:rPr>
          <w:rFonts w:asciiTheme="minorHAnsi" w:hAnsiTheme="minorHAnsi" w:cstheme="minorHAnsi"/>
          <w:sz w:val="22"/>
          <w:szCs w:val="22"/>
          <w:lang w:val="en-CA" w:eastAsia="en-CA"/>
        </w:rPr>
        <w:t>.</w:t>
      </w:r>
    </w:p>
    <w:p w14:paraId="542F83E7" w14:textId="77777777" w:rsidR="00591DC8" w:rsidRPr="00C75731" w:rsidRDefault="00591DC8" w:rsidP="00C7278E">
      <w:pPr>
        <w:pStyle w:val="NoSpacing"/>
        <w:spacing w:after="120"/>
        <w:rPr>
          <w:rFonts w:asciiTheme="minorHAnsi" w:hAnsiTheme="minorHAnsi" w:cstheme="minorHAnsi"/>
          <w:sz w:val="22"/>
          <w:szCs w:val="22"/>
          <w:lang w:val="en-CA" w:eastAsia="en-CA"/>
        </w:rPr>
      </w:pPr>
      <w:r w:rsidRPr="00C75731">
        <w:rPr>
          <w:rFonts w:asciiTheme="minorHAnsi" w:hAnsiTheme="minorHAnsi" w:cstheme="minorHAnsi"/>
          <w:color w:val="000000"/>
          <w:sz w:val="22"/>
          <w:szCs w:val="22"/>
          <w:lang w:val="en-CA"/>
        </w:rPr>
        <w:t xml:space="preserve">PS has appointed one Canadian Armed Forces statutory PPE (attributable to service) since the coming into force of the </w:t>
      </w:r>
      <w:r w:rsidRPr="005707A4">
        <w:rPr>
          <w:rStyle w:val="Emphasis"/>
          <w:sz w:val="22"/>
        </w:rPr>
        <w:t>Veterans Hiring Act</w:t>
      </w:r>
      <w:r w:rsidRPr="005707A4">
        <w:rPr>
          <w:rFonts w:asciiTheme="minorHAnsi" w:hAnsiTheme="minorHAnsi" w:cstheme="minorHAnsi"/>
          <w:color w:val="000000"/>
          <w:sz w:val="28"/>
          <w:szCs w:val="22"/>
          <w:lang w:val="en-CA"/>
        </w:rPr>
        <w:t xml:space="preserve"> </w:t>
      </w:r>
      <w:r w:rsidRPr="00C75731">
        <w:rPr>
          <w:rFonts w:asciiTheme="minorHAnsi" w:hAnsiTheme="minorHAnsi" w:cstheme="minorHAnsi"/>
          <w:color w:val="000000"/>
          <w:sz w:val="22"/>
          <w:szCs w:val="22"/>
          <w:lang w:val="en-CA"/>
        </w:rPr>
        <w:t>on July 1, 2015.</w:t>
      </w:r>
    </w:p>
    <w:p w14:paraId="5D823879" w14:textId="40124FB6" w:rsidR="00442F1B" w:rsidRPr="005707A4" w:rsidRDefault="00442F1B" w:rsidP="00442F1B">
      <w:pPr>
        <w:pStyle w:val="Caption"/>
        <w:keepNext/>
        <w:spacing w:after="0"/>
        <w:rPr>
          <w:rFonts w:asciiTheme="minorHAnsi" w:hAnsiTheme="minorHAnsi" w:cstheme="minorHAnsi"/>
          <w:i w:val="0"/>
          <w:color w:val="auto"/>
        </w:rPr>
      </w:pPr>
      <w:r w:rsidRPr="005707A4">
        <w:rPr>
          <w:rFonts w:asciiTheme="minorHAnsi" w:hAnsiTheme="minorHAnsi" w:cstheme="minorHAnsi"/>
          <w:i w:val="0"/>
          <w:color w:val="auto"/>
        </w:rPr>
        <w:t xml:space="preserve">Table </w:t>
      </w:r>
      <w:r w:rsidRPr="005707A4">
        <w:rPr>
          <w:rFonts w:asciiTheme="minorHAnsi" w:hAnsiTheme="minorHAnsi" w:cstheme="minorHAnsi"/>
          <w:i w:val="0"/>
          <w:color w:val="auto"/>
        </w:rPr>
        <w:fldChar w:fldCharType="begin"/>
      </w:r>
      <w:r w:rsidRPr="005707A4">
        <w:rPr>
          <w:rFonts w:asciiTheme="minorHAnsi" w:hAnsiTheme="minorHAnsi" w:cstheme="minorHAnsi"/>
          <w:i w:val="0"/>
          <w:color w:val="auto"/>
        </w:rPr>
        <w:instrText xml:space="preserve"> SEQ Table \* ARABIC </w:instrText>
      </w:r>
      <w:r w:rsidRPr="005707A4">
        <w:rPr>
          <w:rFonts w:asciiTheme="minorHAnsi" w:hAnsiTheme="minorHAnsi" w:cstheme="minorHAnsi"/>
          <w:i w:val="0"/>
          <w:color w:val="auto"/>
        </w:rPr>
        <w:fldChar w:fldCharType="separate"/>
      </w:r>
      <w:r w:rsidR="00B76E9C">
        <w:rPr>
          <w:rFonts w:asciiTheme="minorHAnsi" w:hAnsiTheme="minorHAnsi" w:cstheme="minorHAnsi"/>
          <w:i w:val="0"/>
          <w:noProof/>
          <w:color w:val="auto"/>
        </w:rPr>
        <w:t>3</w:t>
      </w:r>
      <w:r w:rsidRPr="005707A4">
        <w:rPr>
          <w:rFonts w:asciiTheme="minorHAnsi" w:hAnsiTheme="minorHAnsi" w:cstheme="minorHAnsi"/>
          <w:i w:val="0"/>
          <w:color w:val="auto"/>
        </w:rPr>
        <w:fldChar w:fldCharType="end"/>
      </w:r>
      <w:r w:rsidRPr="005707A4">
        <w:rPr>
          <w:rFonts w:asciiTheme="minorHAnsi" w:hAnsiTheme="minorHAnsi" w:cstheme="minorHAnsi"/>
          <w:i w:val="0"/>
          <w:color w:val="auto"/>
        </w:rPr>
        <w:t xml:space="preserve"> - Priority Entitlements and Veterans</w:t>
      </w:r>
    </w:p>
    <w:tbl>
      <w:tblPr>
        <w:tblStyle w:val="TableGrid"/>
        <w:tblW w:w="5000" w:type="pct"/>
        <w:jc w:val="center"/>
        <w:tblLook w:val="04A0" w:firstRow="1" w:lastRow="0" w:firstColumn="1" w:lastColumn="0" w:noHBand="0" w:noVBand="1"/>
        <w:tblDescription w:val="Priority Entitlements and Veterans"/>
      </w:tblPr>
      <w:tblGrid>
        <w:gridCol w:w="2753"/>
        <w:gridCol w:w="2964"/>
        <w:gridCol w:w="3633"/>
      </w:tblGrid>
      <w:tr w:rsidR="00442F1B" w:rsidRPr="00442F1B" w14:paraId="3F67CEC7" w14:textId="77777777" w:rsidTr="005707A4">
        <w:trPr>
          <w:cantSplit/>
          <w:tblHeader/>
          <w:jc w:val="center"/>
        </w:trPr>
        <w:tc>
          <w:tcPr>
            <w:tcW w:w="1472" w:type="pct"/>
            <w:shd w:val="clear" w:color="auto" w:fill="0070C0"/>
            <w:vAlign w:val="center"/>
          </w:tcPr>
          <w:p w14:paraId="651B7480" w14:textId="635B798D" w:rsidR="00C75731" w:rsidRPr="00442F1B" w:rsidRDefault="00C75731" w:rsidP="00442F1B">
            <w:pPr>
              <w:pStyle w:val="TableTitle"/>
              <w:rPr>
                <w:rFonts w:cs="Segoe UI Semibold"/>
                <w:color w:val="FFFFFF" w:themeColor="background1"/>
                <w:lang w:val="en-CA"/>
              </w:rPr>
            </w:pPr>
            <w:r w:rsidRPr="00442F1B">
              <w:rPr>
                <w:rFonts w:cs="Segoe UI Semibold"/>
                <w:color w:val="FFFFFF" w:themeColor="background1"/>
                <w:lang w:val="en-CA"/>
              </w:rPr>
              <w:t>P</w:t>
            </w:r>
            <w:r w:rsidR="00442F1B" w:rsidRPr="00442F1B">
              <w:rPr>
                <w:rFonts w:cs="Segoe UI Semibold"/>
                <w:color w:val="FFFFFF" w:themeColor="background1"/>
                <w:lang w:val="en-CA"/>
              </w:rPr>
              <w:t>eriod</w:t>
            </w:r>
          </w:p>
        </w:tc>
        <w:tc>
          <w:tcPr>
            <w:tcW w:w="1585" w:type="pct"/>
            <w:shd w:val="clear" w:color="auto" w:fill="0070C0"/>
            <w:vAlign w:val="center"/>
          </w:tcPr>
          <w:p w14:paraId="69514A15" w14:textId="33AE2B16" w:rsidR="00C75731" w:rsidRPr="00442F1B" w:rsidRDefault="00442F1B" w:rsidP="00442F1B">
            <w:pPr>
              <w:pStyle w:val="TableTitle"/>
              <w:rPr>
                <w:rFonts w:cs="Segoe UI Semibold"/>
                <w:color w:val="FFFFFF" w:themeColor="background1"/>
                <w:lang w:val="en-CA"/>
              </w:rPr>
            </w:pPr>
            <w:r w:rsidRPr="00442F1B">
              <w:rPr>
                <w:rFonts w:cs="Segoe UI Semibold"/>
                <w:color w:val="FFFFFF" w:themeColor="background1"/>
                <w:lang w:val="en-CA"/>
              </w:rPr>
              <w:t>Attributable To Service (S</w:t>
            </w:r>
            <w:r w:rsidR="00C75731" w:rsidRPr="00442F1B">
              <w:rPr>
                <w:rFonts w:cs="Segoe UI Semibold"/>
                <w:color w:val="FFFFFF" w:themeColor="background1"/>
                <w:lang w:val="en-CA"/>
              </w:rPr>
              <w:t>tatutory)</w:t>
            </w:r>
          </w:p>
        </w:tc>
        <w:tc>
          <w:tcPr>
            <w:tcW w:w="1943" w:type="pct"/>
            <w:shd w:val="clear" w:color="auto" w:fill="0070C0"/>
            <w:vAlign w:val="center"/>
          </w:tcPr>
          <w:p w14:paraId="6E9403EF" w14:textId="4F82ECC4" w:rsidR="00C75731" w:rsidRPr="00442F1B" w:rsidRDefault="00442F1B" w:rsidP="00442F1B">
            <w:pPr>
              <w:pStyle w:val="TableTitle"/>
              <w:rPr>
                <w:rFonts w:cs="Segoe UI Semibold"/>
                <w:color w:val="FFFFFF" w:themeColor="background1"/>
                <w:lang w:val="en-CA"/>
              </w:rPr>
            </w:pPr>
            <w:r w:rsidRPr="00442F1B">
              <w:rPr>
                <w:rFonts w:cs="Segoe UI Semibold"/>
                <w:color w:val="FFFFFF" w:themeColor="background1"/>
                <w:lang w:val="en-CA"/>
              </w:rPr>
              <w:t>Not Attributable To Service (R</w:t>
            </w:r>
            <w:r w:rsidR="00C75731" w:rsidRPr="00442F1B">
              <w:rPr>
                <w:rFonts w:cs="Segoe UI Semibold"/>
                <w:color w:val="FFFFFF" w:themeColor="background1"/>
                <w:lang w:val="en-CA"/>
              </w:rPr>
              <w:t>egulatory)</w:t>
            </w:r>
          </w:p>
        </w:tc>
      </w:tr>
      <w:tr w:rsidR="00442F1B" w:rsidRPr="00442F1B" w14:paraId="2BC0AA78" w14:textId="77777777" w:rsidTr="005707A4">
        <w:trPr>
          <w:cantSplit/>
          <w:tblHeader/>
          <w:jc w:val="center"/>
        </w:trPr>
        <w:tc>
          <w:tcPr>
            <w:tcW w:w="1472" w:type="pct"/>
            <w:shd w:val="clear" w:color="auto" w:fill="0070C0"/>
            <w:vAlign w:val="center"/>
          </w:tcPr>
          <w:p w14:paraId="0C7471F3" w14:textId="77777777" w:rsidR="00C75731" w:rsidRPr="00442F1B" w:rsidRDefault="00C75731" w:rsidP="00442F1B">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442F1B">
              <w:rPr>
                <w:rFonts w:asciiTheme="minorHAnsi" w:hAnsiTheme="minorHAnsi" w:cstheme="minorHAnsi"/>
                <w:color w:val="FFFFFF" w:themeColor="background1"/>
                <w:sz w:val="22"/>
                <w:szCs w:val="22"/>
                <w:lang w:val="en-CA"/>
              </w:rPr>
              <w:t>2015 (July 1) - 2016</w:t>
            </w:r>
          </w:p>
        </w:tc>
        <w:tc>
          <w:tcPr>
            <w:tcW w:w="1585" w:type="pct"/>
            <w:shd w:val="clear" w:color="auto" w:fill="auto"/>
            <w:vAlign w:val="center"/>
          </w:tcPr>
          <w:p w14:paraId="6A443FF5" w14:textId="77777777" w:rsidR="00C75731" w:rsidRPr="00442F1B" w:rsidRDefault="00C75731" w:rsidP="00926DA5">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442F1B">
              <w:rPr>
                <w:rFonts w:asciiTheme="minorHAnsi" w:hAnsiTheme="minorHAnsi" w:cstheme="minorHAnsi"/>
                <w:sz w:val="22"/>
                <w:szCs w:val="22"/>
                <w:lang w:val="en-CA"/>
              </w:rPr>
              <w:t>0</w:t>
            </w:r>
          </w:p>
        </w:tc>
        <w:tc>
          <w:tcPr>
            <w:tcW w:w="1943" w:type="pct"/>
            <w:shd w:val="clear" w:color="auto" w:fill="auto"/>
            <w:vAlign w:val="center"/>
          </w:tcPr>
          <w:p w14:paraId="57567B2F" w14:textId="77777777" w:rsidR="00C75731" w:rsidRPr="00442F1B" w:rsidRDefault="00C75731" w:rsidP="00926DA5">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442F1B">
              <w:rPr>
                <w:rFonts w:asciiTheme="minorHAnsi" w:hAnsiTheme="minorHAnsi" w:cstheme="minorHAnsi"/>
                <w:sz w:val="22"/>
                <w:szCs w:val="22"/>
                <w:lang w:val="en-CA"/>
              </w:rPr>
              <w:t>0</w:t>
            </w:r>
          </w:p>
        </w:tc>
      </w:tr>
      <w:tr w:rsidR="00442F1B" w:rsidRPr="00442F1B" w14:paraId="016D70E2" w14:textId="77777777" w:rsidTr="005707A4">
        <w:trPr>
          <w:cantSplit/>
          <w:tblHeader/>
          <w:jc w:val="center"/>
        </w:trPr>
        <w:tc>
          <w:tcPr>
            <w:tcW w:w="1472" w:type="pct"/>
            <w:shd w:val="clear" w:color="auto" w:fill="0070C0"/>
            <w:vAlign w:val="center"/>
          </w:tcPr>
          <w:p w14:paraId="195882C1" w14:textId="77777777" w:rsidR="00C75731" w:rsidRPr="00442F1B" w:rsidRDefault="00C75731" w:rsidP="00442F1B">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442F1B">
              <w:rPr>
                <w:rFonts w:asciiTheme="minorHAnsi" w:hAnsiTheme="minorHAnsi" w:cstheme="minorHAnsi"/>
                <w:color w:val="FFFFFF" w:themeColor="background1"/>
                <w:sz w:val="22"/>
                <w:szCs w:val="22"/>
                <w:lang w:val="en-CA"/>
              </w:rPr>
              <w:t>2016 - 2017</w:t>
            </w:r>
          </w:p>
        </w:tc>
        <w:tc>
          <w:tcPr>
            <w:tcW w:w="1585" w:type="pct"/>
            <w:shd w:val="clear" w:color="auto" w:fill="auto"/>
            <w:vAlign w:val="center"/>
          </w:tcPr>
          <w:p w14:paraId="739CF2B0" w14:textId="77777777" w:rsidR="00C75731" w:rsidRPr="00442F1B" w:rsidRDefault="00C75731" w:rsidP="00926DA5">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442F1B">
              <w:rPr>
                <w:rFonts w:asciiTheme="minorHAnsi" w:hAnsiTheme="minorHAnsi" w:cstheme="minorHAnsi"/>
                <w:sz w:val="22"/>
                <w:szCs w:val="22"/>
                <w:lang w:val="en-CA"/>
              </w:rPr>
              <w:t>0</w:t>
            </w:r>
          </w:p>
        </w:tc>
        <w:tc>
          <w:tcPr>
            <w:tcW w:w="1943" w:type="pct"/>
            <w:shd w:val="clear" w:color="auto" w:fill="auto"/>
            <w:vAlign w:val="center"/>
          </w:tcPr>
          <w:p w14:paraId="67173C33" w14:textId="77777777" w:rsidR="00C75731" w:rsidRPr="00442F1B" w:rsidRDefault="00C75731" w:rsidP="00926DA5">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442F1B">
              <w:rPr>
                <w:rFonts w:asciiTheme="minorHAnsi" w:hAnsiTheme="minorHAnsi" w:cstheme="minorHAnsi"/>
                <w:sz w:val="22"/>
                <w:szCs w:val="22"/>
                <w:lang w:val="en-CA"/>
              </w:rPr>
              <w:t>0</w:t>
            </w:r>
          </w:p>
        </w:tc>
      </w:tr>
      <w:tr w:rsidR="00442F1B" w:rsidRPr="00442F1B" w14:paraId="5EE20F51" w14:textId="77777777" w:rsidTr="005707A4">
        <w:trPr>
          <w:cantSplit/>
          <w:tblHeader/>
          <w:jc w:val="center"/>
        </w:trPr>
        <w:tc>
          <w:tcPr>
            <w:tcW w:w="1472" w:type="pct"/>
            <w:shd w:val="clear" w:color="auto" w:fill="0070C0"/>
            <w:vAlign w:val="center"/>
          </w:tcPr>
          <w:p w14:paraId="5E904758" w14:textId="77777777" w:rsidR="00C75731" w:rsidRPr="00442F1B" w:rsidRDefault="00C75731" w:rsidP="00442F1B">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442F1B">
              <w:rPr>
                <w:rFonts w:asciiTheme="minorHAnsi" w:hAnsiTheme="minorHAnsi" w:cstheme="minorHAnsi"/>
                <w:color w:val="FFFFFF" w:themeColor="background1"/>
                <w:sz w:val="22"/>
                <w:szCs w:val="22"/>
                <w:lang w:val="en-CA"/>
              </w:rPr>
              <w:t>2017 - 2018</w:t>
            </w:r>
          </w:p>
        </w:tc>
        <w:tc>
          <w:tcPr>
            <w:tcW w:w="1585" w:type="pct"/>
            <w:shd w:val="clear" w:color="auto" w:fill="auto"/>
            <w:vAlign w:val="center"/>
          </w:tcPr>
          <w:p w14:paraId="600DF27B" w14:textId="77777777" w:rsidR="00C75731" w:rsidRPr="00442F1B" w:rsidRDefault="00C75731" w:rsidP="00926DA5">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442F1B">
              <w:rPr>
                <w:rFonts w:asciiTheme="minorHAnsi" w:hAnsiTheme="minorHAnsi" w:cstheme="minorHAnsi"/>
                <w:sz w:val="22"/>
                <w:szCs w:val="22"/>
                <w:lang w:val="en-CA"/>
              </w:rPr>
              <w:t>0</w:t>
            </w:r>
          </w:p>
        </w:tc>
        <w:tc>
          <w:tcPr>
            <w:tcW w:w="1943" w:type="pct"/>
            <w:shd w:val="clear" w:color="auto" w:fill="auto"/>
            <w:vAlign w:val="center"/>
          </w:tcPr>
          <w:p w14:paraId="121C3320" w14:textId="77777777" w:rsidR="00C75731" w:rsidRPr="00442F1B" w:rsidRDefault="00C75731" w:rsidP="00926DA5">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442F1B">
              <w:rPr>
                <w:rFonts w:asciiTheme="minorHAnsi" w:hAnsiTheme="minorHAnsi" w:cstheme="minorHAnsi"/>
                <w:sz w:val="22"/>
                <w:szCs w:val="22"/>
                <w:lang w:val="en-CA"/>
              </w:rPr>
              <w:t>0</w:t>
            </w:r>
          </w:p>
        </w:tc>
      </w:tr>
      <w:tr w:rsidR="00442F1B" w:rsidRPr="00442F1B" w14:paraId="76D73A4F" w14:textId="77777777" w:rsidTr="005707A4">
        <w:trPr>
          <w:cantSplit/>
          <w:tblHeader/>
          <w:jc w:val="center"/>
        </w:trPr>
        <w:tc>
          <w:tcPr>
            <w:tcW w:w="1472" w:type="pct"/>
            <w:shd w:val="clear" w:color="auto" w:fill="0070C0"/>
            <w:vAlign w:val="center"/>
          </w:tcPr>
          <w:p w14:paraId="21727536" w14:textId="77777777" w:rsidR="00C75731" w:rsidRPr="00442F1B" w:rsidRDefault="00C75731" w:rsidP="00442F1B">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442F1B">
              <w:rPr>
                <w:rFonts w:asciiTheme="minorHAnsi" w:hAnsiTheme="minorHAnsi" w:cstheme="minorHAnsi"/>
                <w:color w:val="FFFFFF" w:themeColor="background1"/>
                <w:sz w:val="22"/>
                <w:szCs w:val="22"/>
                <w:lang w:val="en-CA"/>
              </w:rPr>
              <w:t>2018 - 2019</w:t>
            </w:r>
          </w:p>
        </w:tc>
        <w:tc>
          <w:tcPr>
            <w:tcW w:w="1585" w:type="pct"/>
            <w:shd w:val="clear" w:color="auto" w:fill="auto"/>
            <w:vAlign w:val="center"/>
          </w:tcPr>
          <w:p w14:paraId="3F0769D7" w14:textId="77777777" w:rsidR="00C75731" w:rsidRPr="00442F1B" w:rsidRDefault="00C75731" w:rsidP="00926DA5">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442F1B">
              <w:rPr>
                <w:rFonts w:asciiTheme="minorHAnsi" w:hAnsiTheme="minorHAnsi" w:cstheme="minorHAnsi"/>
                <w:sz w:val="22"/>
                <w:szCs w:val="22"/>
                <w:lang w:val="en-CA"/>
              </w:rPr>
              <w:t>1</w:t>
            </w:r>
          </w:p>
        </w:tc>
        <w:tc>
          <w:tcPr>
            <w:tcW w:w="1943" w:type="pct"/>
            <w:shd w:val="clear" w:color="auto" w:fill="auto"/>
            <w:vAlign w:val="center"/>
          </w:tcPr>
          <w:p w14:paraId="1A74330D" w14:textId="77777777" w:rsidR="00C75731" w:rsidRPr="00442F1B" w:rsidRDefault="00C75731" w:rsidP="00926DA5">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442F1B">
              <w:rPr>
                <w:rFonts w:asciiTheme="minorHAnsi" w:hAnsiTheme="minorHAnsi" w:cstheme="minorHAnsi"/>
                <w:sz w:val="22"/>
                <w:szCs w:val="22"/>
                <w:lang w:val="en-CA"/>
              </w:rPr>
              <w:t>0</w:t>
            </w:r>
          </w:p>
        </w:tc>
      </w:tr>
      <w:tr w:rsidR="00442F1B" w:rsidRPr="00442F1B" w14:paraId="37495DCD" w14:textId="77777777" w:rsidTr="005707A4">
        <w:trPr>
          <w:cantSplit/>
          <w:tblHeader/>
          <w:jc w:val="center"/>
        </w:trPr>
        <w:tc>
          <w:tcPr>
            <w:tcW w:w="1472" w:type="pct"/>
            <w:shd w:val="clear" w:color="auto" w:fill="BAF8FF" w:themeFill="accent3" w:themeFillTint="33"/>
            <w:vAlign w:val="center"/>
          </w:tcPr>
          <w:p w14:paraId="39E4D891" w14:textId="742DC823" w:rsidR="00C75731" w:rsidRPr="00442F1B" w:rsidRDefault="00C75731" w:rsidP="00442F1B">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en-CA"/>
              </w:rPr>
            </w:pPr>
            <w:r w:rsidRPr="00442F1B">
              <w:rPr>
                <w:rFonts w:asciiTheme="minorHAnsi" w:hAnsiTheme="minorHAnsi" w:cstheme="minorHAnsi"/>
                <w:sz w:val="22"/>
                <w:szCs w:val="22"/>
                <w:lang w:val="en-CA"/>
              </w:rPr>
              <w:t>T</w:t>
            </w:r>
            <w:r w:rsidR="00442F1B">
              <w:rPr>
                <w:rFonts w:asciiTheme="minorHAnsi" w:hAnsiTheme="minorHAnsi" w:cstheme="minorHAnsi"/>
                <w:sz w:val="22"/>
                <w:szCs w:val="22"/>
                <w:lang w:val="en-CA"/>
              </w:rPr>
              <w:t>otal</w:t>
            </w:r>
          </w:p>
        </w:tc>
        <w:tc>
          <w:tcPr>
            <w:tcW w:w="1585" w:type="pct"/>
            <w:shd w:val="clear" w:color="auto" w:fill="BAF8FF" w:themeFill="accent3" w:themeFillTint="33"/>
            <w:vAlign w:val="center"/>
          </w:tcPr>
          <w:p w14:paraId="1B5513DC" w14:textId="77777777" w:rsidR="00C75731" w:rsidRPr="00442F1B" w:rsidRDefault="00C75731" w:rsidP="00926DA5">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442F1B">
              <w:rPr>
                <w:rFonts w:asciiTheme="minorHAnsi" w:hAnsiTheme="minorHAnsi" w:cstheme="minorHAnsi"/>
                <w:sz w:val="22"/>
                <w:szCs w:val="22"/>
                <w:lang w:val="en-CA"/>
              </w:rPr>
              <w:t>1</w:t>
            </w:r>
          </w:p>
        </w:tc>
        <w:tc>
          <w:tcPr>
            <w:tcW w:w="1943" w:type="pct"/>
            <w:shd w:val="clear" w:color="auto" w:fill="BAF8FF" w:themeFill="accent3" w:themeFillTint="33"/>
            <w:vAlign w:val="center"/>
          </w:tcPr>
          <w:p w14:paraId="29E7A8F4" w14:textId="77777777" w:rsidR="00C75731" w:rsidRPr="00442F1B" w:rsidRDefault="00C75731" w:rsidP="00926DA5">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en-CA"/>
              </w:rPr>
            </w:pPr>
            <w:r w:rsidRPr="00442F1B">
              <w:rPr>
                <w:rFonts w:asciiTheme="minorHAnsi" w:hAnsiTheme="minorHAnsi" w:cstheme="minorHAnsi"/>
                <w:sz w:val="22"/>
                <w:szCs w:val="22"/>
                <w:lang w:val="en-CA"/>
              </w:rPr>
              <w:t>0</w:t>
            </w:r>
          </w:p>
        </w:tc>
      </w:tr>
    </w:tbl>
    <w:p w14:paraId="14A04E0D" w14:textId="77777777" w:rsidR="00C75731" w:rsidRPr="00C75731" w:rsidRDefault="00C75731" w:rsidP="00442F1B">
      <w:pPr>
        <w:keepLines/>
        <w:spacing w:after="120" w:line="259" w:lineRule="auto"/>
        <w:rPr>
          <w:rFonts w:asciiTheme="minorHAnsi" w:hAnsiTheme="minorHAnsi" w:cstheme="minorHAnsi"/>
          <w:sz w:val="22"/>
          <w:szCs w:val="22"/>
          <w:lang w:val="en-CA"/>
        </w:rPr>
      </w:pPr>
      <w:r w:rsidRPr="00C75731">
        <w:rPr>
          <w:rFonts w:asciiTheme="minorHAnsi" w:eastAsiaTheme="minorHAnsi" w:hAnsiTheme="minorHAnsi" w:cstheme="minorHAnsi"/>
          <w:sz w:val="22"/>
          <w:szCs w:val="22"/>
          <w:lang w:val="en-CA"/>
        </w:rPr>
        <w:t>Source</w:t>
      </w:r>
      <w:r w:rsidRPr="00C75731">
        <w:rPr>
          <w:rFonts w:asciiTheme="minorHAnsi" w:hAnsiTheme="minorHAnsi" w:cstheme="minorHAnsi"/>
          <w:sz w:val="22"/>
          <w:szCs w:val="22"/>
          <w:lang w:val="en-CA"/>
        </w:rPr>
        <w:t>: PSC Priority Information Management System</w:t>
      </w:r>
    </w:p>
    <w:p w14:paraId="1D935F8A" w14:textId="77777777" w:rsidR="00591DC8" w:rsidRPr="000640FD" w:rsidRDefault="00591DC8" w:rsidP="000640FD">
      <w:pPr>
        <w:pStyle w:val="Heading2"/>
        <w:rPr>
          <w:rStyle w:val="Heading1Char"/>
          <w:rFonts w:ascii="Segoe UI" w:hAnsi="Segoe UI" w:cs="Segoe UI"/>
          <w:color w:val="5B315E" w:themeColor="accent2"/>
          <w:sz w:val="32"/>
          <w:szCs w:val="32"/>
          <w:lang w:val="en-US"/>
        </w:rPr>
      </w:pPr>
      <w:r w:rsidRPr="000640FD">
        <w:rPr>
          <w:rStyle w:val="Heading1Char"/>
          <w:rFonts w:ascii="Segoe UI" w:hAnsi="Segoe UI" w:cs="Segoe UI"/>
          <w:color w:val="5B315E" w:themeColor="accent2"/>
          <w:sz w:val="32"/>
          <w:szCs w:val="32"/>
          <w:lang w:val="en-US"/>
        </w:rPr>
        <w:t xml:space="preserve">Non-Partisanship in the Public Service </w:t>
      </w:r>
    </w:p>
    <w:p w14:paraId="39C4E9B4" w14:textId="77777777" w:rsidR="00591DC8" w:rsidRPr="00714032" w:rsidRDefault="00591DC8" w:rsidP="00C7278E">
      <w:pPr>
        <w:pStyle w:val="NoSpacing"/>
        <w:spacing w:after="120"/>
        <w:rPr>
          <w:rFonts w:asciiTheme="minorHAnsi" w:hAnsiTheme="minorHAnsi" w:cstheme="minorHAnsi"/>
          <w:sz w:val="22"/>
          <w:szCs w:val="22"/>
          <w:lang w:val="en-CA" w:eastAsia="en-CA"/>
        </w:rPr>
      </w:pPr>
      <w:r w:rsidRPr="00714032">
        <w:rPr>
          <w:rFonts w:asciiTheme="minorHAnsi" w:hAnsiTheme="minorHAnsi" w:cstheme="minorHAnsi"/>
          <w:sz w:val="22"/>
          <w:szCs w:val="22"/>
          <w:lang w:val="en-CA" w:eastAsia="en-CA"/>
        </w:rPr>
        <w:t>Since April 1, 2015, the PSC has processed two candidacy requests (1 federal and 1 municipal) from PS. None of them were elected.</w:t>
      </w:r>
    </w:p>
    <w:p w14:paraId="754B57EC" w14:textId="77777777" w:rsidR="00591DC8" w:rsidRPr="00714032" w:rsidRDefault="00591DC8" w:rsidP="00C7278E">
      <w:pPr>
        <w:pStyle w:val="ListParagraph"/>
        <w:spacing w:after="120"/>
        <w:rPr>
          <w:rFonts w:asciiTheme="minorHAnsi" w:hAnsiTheme="minorHAnsi" w:cstheme="minorHAnsi"/>
          <w:sz w:val="22"/>
          <w:szCs w:val="22"/>
          <w:lang w:val="en-CA"/>
        </w:rPr>
      </w:pPr>
      <w:r w:rsidRPr="00714032">
        <w:rPr>
          <w:rFonts w:asciiTheme="minorHAnsi" w:hAnsiTheme="minorHAnsi" w:cstheme="minorHAnsi"/>
          <w:sz w:val="22"/>
          <w:szCs w:val="22"/>
          <w:lang w:val="en-CA" w:eastAsia="en-CA"/>
        </w:rPr>
        <w:t>The 2018 SNPS results indicate that PS’s employees’ level of awareness regarding their legal rights and responsibilities for engaging in political activities is 85.</w:t>
      </w:r>
      <w:r w:rsidRPr="00F679DE">
        <w:rPr>
          <w:rFonts w:asciiTheme="minorHAnsi" w:hAnsiTheme="minorHAnsi" w:cstheme="minorHAnsi"/>
          <w:sz w:val="22"/>
          <w:szCs w:val="22"/>
          <w:lang w:val="en-CA" w:eastAsia="en-CA"/>
        </w:rPr>
        <w:t>2</w:t>
      </w:r>
      <w:r w:rsidRPr="00F679DE">
        <w:rPr>
          <w:rFonts w:asciiTheme="minorHAnsi" w:hAnsiTheme="minorHAnsi" w:cstheme="minorHAnsi"/>
          <w:bCs/>
          <w:sz w:val="22"/>
          <w:szCs w:val="22"/>
          <w:lang w:val="en-CA" w:eastAsia="en-CA"/>
        </w:rPr>
        <w:t>%</w:t>
      </w:r>
      <w:r w:rsidRPr="00F679DE">
        <w:rPr>
          <w:rFonts w:asciiTheme="minorHAnsi" w:hAnsiTheme="minorHAnsi" w:cstheme="minorHAnsi"/>
          <w:sz w:val="22"/>
          <w:szCs w:val="22"/>
          <w:lang w:val="en-CA" w:eastAsia="en-CA"/>
        </w:rPr>
        <w:t>,</w:t>
      </w:r>
      <w:r w:rsidRPr="00714032">
        <w:rPr>
          <w:rFonts w:asciiTheme="minorHAnsi" w:hAnsiTheme="minorHAnsi" w:cstheme="minorHAnsi"/>
          <w:sz w:val="22"/>
          <w:szCs w:val="22"/>
          <w:lang w:val="en-CA" w:eastAsia="en-CA"/>
        </w:rPr>
        <w:t xml:space="preserve"> compared to 80.1% for the public service as a whole, which is similar. In addition, </w:t>
      </w:r>
      <w:r w:rsidRPr="00714032">
        <w:rPr>
          <w:rFonts w:asciiTheme="minorHAnsi" w:hAnsiTheme="minorHAnsi" w:cstheme="minorHAnsi"/>
          <w:sz w:val="22"/>
          <w:szCs w:val="22"/>
          <w:lang w:val="en-CA"/>
        </w:rPr>
        <w:t>92.9% of employees indicated that they are able to make informed decisions about engaging in political activities, compared to 92.4% in organizations of similar size, and 88.5% in the federal public service.</w:t>
      </w:r>
    </w:p>
    <w:p w14:paraId="6678E06F" w14:textId="77777777" w:rsidR="00591DC8" w:rsidRPr="000640FD" w:rsidRDefault="00591DC8" w:rsidP="000640FD">
      <w:pPr>
        <w:pStyle w:val="Heading2"/>
        <w:rPr>
          <w:rStyle w:val="Heading1Char"/>
          <w:rFonts w:ascii="Segoe UI" w:hAnsi="Segoe UI" w:cs="Segoe UI"/>
          <w:color w:val="5B315E" w:themeColor="accent2"/>
          <w:sz w:val="32"/>
          <w:szCs w:val="32"/>
          <w:lang w:val="en-US"/>
        </w:rPr>
      </w:pPr>
      <w:r w:rsidRPr="000640FD">
        <w:rPr>
          <w:rStyle w:val="Heading1Char"/>
          <w:rFonts w:ascii="Segoe UI" w:hAnsi="Segoe UI" w:cs="Segoe UI"/>
          <w:color w:val="5B315E" w:themeColor="accent2"/>
          <w:sz w:val="32"/>
          <w:szCs w:val="32"/>
          <w:lang w:val="en-US"/>
        </w:rPr>
        <w:t>Public Service Commission Initiatives</w:t>
      </w:r>
    </w:p>
    <w:p w14:paraId="4646EB26" w14:textId="77777777" w:rsidR="00591DC8" w:rsidRPr="00714032" w:rsidRDefault="00591DC8" w:rsidP="00C7278E">
      <w:pPr>
        <w:pStyle w:val="NoSpacing"/>
        <w:spacing w:after="120"/>
        <w:rPr>
          <w:rFonts w:asciiTheme="minorHAnsi" w:hAnsiTheme="minorHAnsi" w:cstheme="minorHAnsi"/>
          <w:i/>
          <w:sz w:val="22"/>
          <w:szCs w:val="22"/>
          <w:lang w:val="en-CA"/>
        </w:rPr>
      </w:pPr>
      <w:r w:rsidRPr="00714032">
        <w:rPr>
          <w:rFonts w:asciiTheme="minorHAnsi" w:hAnsiTheme="minorHAnsi" w:cstheme="minorHAnsi"/>
          <w:color w:val="000000"/>
          <w:sz w:val="22"/>
          <w:szCs w:val="22"/>
          <w:lang w:val="en-CA"/>
        </w:rPr>
        <w:t>PS has not participated in any PSC-led initiatives</w:t>
      </w:r>
      <w:r w:rsidRPr="00714032">
        <w:rPr>
          <w:rFonts w:asciiTheme="minorHAnsi" w:hAnsiTheme="minorHAnsi" w:cstheme="minorHAnsi"/>
          <w:sz w:val="22"/>
          <w:szCs w:val="22"/>
          <w:lang w:val="en-CA"/>
        </w:rPr>
        <w:t>.</w:t>
      </w:r>
    </w:p>
    <w:p w14:paraId="29B7EF11" w14:textId="77777777" w:rsidR="00591DC8" w:rsidRPr="000640FD" w:rsidRDefault="00591DC8" w:rsidP="000640FD">
      <w:pPr>
        <w:pStyle w:val="Heading3"/>
        <w:rPr>
          <w:rStyle w:val="Heading1Char"/>
          <w:rFonts w:ascii="Segoe UI Semibold" w:hAnsi="Segoe UI Semibold" w:cs="Segoe UI Semibold"/>
          <w:color w:val="auto"/>
          <w:sz w:val="24"/>
          <w:szCs w:val="24"/>
          <w:lang w:val="en-US"/>
        </w:rPr>
      </w:pPr>
      <w:r w:rsidRPr="000640FD">
        <w:rPr>
          <w:rStyle w:val="Heading1Char"/>
          <w:rFonts w:ascii="Segoe UI Semibold" w:hAnsi="Segoe UI Semibold" w:cs="Segoe UI Semibold"/>
          <w:color w:val="auto"/>
          <w:sz w:val="24"/>
          <w:szCs w:val="24"/>
          <w:lang w:val="en-US"/>
        </w:rPr>
        <w:t>Recruitment Programs</w:t>
      </w:r>
    </w:p>
    <w:p w14:paraId="105B25FC" w14:textId="77777777" w:rsidR="00591DC8" w:rsidRPr="00714032" w:rsidRDefault="00591DC8" w:rsidP="00591DC8">
      <w:pPr>
        <w:pStyle w:val="NoSpacing"/>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Regarding the use of PSC targeted programs:</w:t>
      </w:r>
    </w:p>
    <w:p w14:paraId="13CD00FA" w14:textId="77777777" w:rsidR="00591DC8" w:rsidRPr="00714032" w:rsidRDefault="00591DC8" w:rsidP="00591DC8">
      <w:pPr>
        <w:pStyle w:val="NoSpacing"/>
        <w:numPr>
          <w:ilvl w:val="0"/>
          <w:numId w:val="7"/>
        </w:numPr>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PS did not identify any positions for the Federal Internship Program for Canadians with Disabilities.</w:t>
      </w:r>
    </w:p>
    <w:p w14:paraId="3AAB34C9" w14:textId="77777777" w:rsidR="00591DC8" w:rsidRPr="00714032" w:rsidRDefault="00591DC8" w:rsidP="00591DC8">
      <w:pPr>
        <w:pStyle w:val="NoSpacing"/>
        <w:numPr>
          <w:ilvl w:val="0"/>
          <w:numId w:val="7"/>
        </w:numPr>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PS submitted three requests through the Employment Opportunity for Students with Disabilities in 2019, and hired one student through this inventory.</w:t>
      </w:r>
    </w:p>
    <w:p w14:paraId="5514E52D" w14:textId="77777777" w:rsidR="00591DC8" w:rsidRPr="00714032" w:rsidRDefault="00591DC8" w:rsidP="00C7278E">
      <w:pPr>
        <w:pStyle w:val="NoSpacing"/>
        <w:numPr>
          <w:ilvl w:val="0"/>
          <w:numId w:val="7"/>
        </w:numPr>
        <w:spacing w:after="120"/>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PS submitted three requests through the Indigenous Student Employment inventory in 2019, but no one was hired from this inventory.</w:t>
      </w:r>
    </w:p>
    <w:p w14:paraId="6EF04B78" w14:textId="77777777" w:rsidR="00591DC8" w:rsidRPr="00714032" w:rsidRDefault="00591DC8" w:rsidP="00C7278E">
      <w:pPr>
        <w:pStyle w:val="NoSpacing"/>
        <w:spacing w:after="120"/>
        <w:rPr>
          <w:rFonts w:asciiTheme="minorHAnsi" w:hAnsiTheme="minorHAnsi" w:cstheme="minorHAnsi"/>
          <w:color w:val="000000"/>
          <w:sz w:val="22"/>
          <w:szCs w:val="22"/>
          <w:lang w:val="en-CA"/>
        </w:rPr>
      </w:pPr>
      <w:r w:rsidRPr="00714032">
        <w:rPr>
          <w:rFonts w:asciiTheme="minorHAnsi" w:hAnsiTheme="minorHAnsi" w:cstheme="minorHAnsi"/>
          <w:color w:val="000000"/>
          <w:sz w:val="22"/>
          <w:szCs w:val="22"/>
          <w:lang w:val="en-CA"/>
        </w:rPr>
        <w:t xml:space="preserve">PS is leading the Young Women in Public Safety (YWPS) Student Employment Opportunity, which is a one-week internship that targets grade eleven or secondary four female high school students from all across Canada, and encourages them to explore various career paths in the field of public safety and security. The YWPS does not lead to any hires, it is only an opportunity to discover different types of careers. This year, YWPS took place from July 15, 2019, to July 19, 2019, in seven cities across the country. Throughout the week, 145 young women learned about the everyday operations of the portfolio agencies including border security at different ports of entry such as </w:t>
      </w:r>
      <w:r w:rsidRPr="00714032">
        <w:rPr>
          <w:rFonts w:asciiTheme="minorHAnsi" w:hAnsiTheme="minorHAnsi" w:cstheme="minorHAnsi"/>
          <w:color w:val="000000"/>
          <w:sz w:val="22"/>
          <w:szCs w:val="22"/>
          <w:lang w:val="en-CA"/>
        </w:rPr>
        <w:lastRenderedPageBreak/>
        <w:t>land or air; crime prevention programs within PS and some of the organizations PS partners with; correctional services; surveillance techniques; forensic investigation; and front line law enforcement from influential female leaders within these institutions. Some participants had the chance to visit penitentiaries, take part in emergency simulation exercises, and test their crime solving skills.</w:t>
      </w:r>
    </w:p>
    <w:p w14:paraId="138C3268" w14:textId="77777777" w:rsidR="00591DC8" w:rsidRPr="000640FD" w:rsidRDefault="00591DC8" w:rsidP="000640FD">
      <w:pPr>
        <w:pStyle w:val="Heading2"/>
        <w:rPr>
          <w:rStyle w:val="Heading1Char"/>
          <w:rFonts w:ascii="Segoe UI" w:hAnsi="Segoe UI" w:cs="Segoe UI"/>
          <w:color w:val="5B315E" w:themeColor="accent2"/>
          <w:sz w:val="32"/>
          <w:szCs w:val="32"/>
          <w:lang w:val="en-US"/>
        </w:rPr>
      </w:pPr>
      <w:r w:rsidRPr="000640FD">
        <w:rPr>
          <w:rStyle w:val="Heading1Char"/>
          <w:rFonts w:ascii="Segoe UI" w:hAnsi="Segoe UI" w:cs="Segoe UI"/>
          <w:color w:val="5B315E" w:themeColor="accent2"/>
          <w:sz w:val="32"/>
          <w:szCs w:val="32"/>
          <w:lang w:val="en-US"/>
        </w:rPr>
        <w:t>Staffing Support</w:t>
      </w:r>
    </w:p>
    <w:p w14:paraId="04768458" w14:textId="77777777" w:rsidR="00591DC8" w:rsidRPr="00714032" w:rsidRDefault="00591DC8" w:rsidP="000640FD">
      <w:pPr>
        <w:pStyle w:val="Heading3"/>
        <w:rPr>
          <w:u w:val="single"/>
          <w:lang w:val="en-CA"/>
        </w:rPr>
      </w:pPr>
      <w:r w:rsidRPr="00714032">
        <w:rPr>
          <w:lang w:val="en-CA"/>
        </w:rPr>
        <w:t xml:space="preserve">Public Service of Commission Representatives and Organizational Contacts </w:t>
      </w:r>
    </w:p>
    <w:p w14:paraId="48E114C4" w14:textId="4C6561DE" w:rsidR="00591DC8" w:rsidRPr="00C7278E" w:rsidRDefault="00591DC8" w:rsidP="00C7278E">
      <w:pPr>
        <w:rPr>
          <w:rFonts w:asciiTheme="minorHAnsi" w:hAnsiTheme="minorHAnsi" w:cstheme="minorHAnsi"/>
          <w:sz w:val="22"/>
          <w:szCs w:val="22"/>
          <w:lang w:val="en-CA"/>
        </w:rPr>
      </w:pPr>
      <w:r w:rsidRPr="00714032">
        <w:rPr>
          <w:rFonts w:asciiTheme="minorHAnsi" w:hAnsiTheme="minorHAnsi" w:cstheme="minorHAnsi"/>
          <w:sz w:val="22"/>
          <w:szCs w:val="22"/>
          <w:lang w:val="en-CA" w:eastAsia="en-CA"/>
        </w:rPr>
        <w:t>The SSA assigned to this organization is Véronique Geoffroy, the primary organizational contact is Diane Chicoine, Manager, Policy and Programs, Talent Acquisition, and the Head of Human Resources is Nancy Sanders, Director General, Human Resources.</w:t>
      </w:r>
      <w:r w:rsidRPr="00714032">
        <w:rPr>
          <w:rFonts w:ascii="Arial" w:hAnsi="Arial" w:cs="Arial"/>
          <w:b/>
          <w:bCs/>
          <w:sz w:val="22"/>
          <w:szCs w:val="22"/>
          <w:lang w:val="en-CA"/>
        </w:rPr>
        <w:br w:type="page"/>
      </w:r>
    </w:p>
    <w:p w14:paraId="7DE67A1E" w14:textId="77777777" w:rsidR="00591DC8" w:rsidRPr="005707A4" w:rsidRDefault="00591DC8" w:rsidP="00C7278E">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59" w:lineRule="auto"/>
        <w:rPr>
          <w:rStyle w:val="Strong"/>
          <w:rFonts w:eastAsiaTheme="minorHAnsi"/>
        </w:rPr>
      </w:pPr>
      <w:r w:rsidRPr="005707A4">
        <w:rPr>
          <w:rStyle w:val="Strong"/>
          <w:rFonts w:eastAsiaTheme="minorHAnsi"/>
        </w:rPr>
        <w:lastRenderedPageBreak/>
        <w:t>PREPARED BY:</w:t>
      </w:r>
    </w:p>
    <w:p w14:paraId="0DE7C5B7" w14:textId="77777777" w:rsidR="00591DC8" w:rsidRPr="00714032" w:rsidRDefault="00591DC8" w:rsidP="00C7278E">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asciiTheme="minorHAnsi" w:eastAsiaTheme="minorHAnsi" w:hAnsiTheme="minorHAnsi" w:cstheme="minorHAnsi"/>
          <w:sz w:val="22"/>
          <w:szCs w:val="22"/>
          <w:lang w:val="en-CA"/>
        </w:rPr>
      </w:pPr>
      <w:r w:rsidRPr="00714032">
        <w:rPr>
          <w:rFonts w:asciiTheme="minorHAnsi" w:eastAsiaTheme="minorHAnsi" w:hAnsiTheme="minorHAnsi" w:cstheme="minorHAnsi"/>
          <w:sz w:val="22"/>
          <w:szCs w:val="22"/>
          <w:lang w:val="en-CA"/>
        </w:rPr>
        <w:t xml:space="preserve">Véronique Geoffroy, </w:t>
      </w:r>
    </w:p>
    <w:p w14:paraId="0F98B7DA" w14:textId="77777777" w:rsidR="00591DC8" w:rsidRPr="00714032" w:rsidRDefault="00591DC8" w:rsidP="00591DC8">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59" w:lineRule="auto"/>
        <w:rPr>
          <w:rFonts w:asciiTheme="minorHAnsi" w:eastAsiaTheme="minorHAnsi" w:hAnsiTheme="minorHAnsi" w:cstheme="minorHAnsi"/>
          <w:sz w:val="22"/>
          <w:szCs w:val="22"/>
          <w:lang w:val="en-CA"/>
        </w:rPr>
      </w:pPr>
      <w:r w:rsidRPr="00714032">
        <w:rPr>
          <w:rFonts w:asciiTheme="minorHAnsi" w:eastAsiaTheme="minorHAnsi" w:hAnsiTheme="minorHAnsi" w:cstheme="minorHAnsi"/>
          <w:sz w:val="22"/>
          <w:szCs w:val="22"/>
          <w:lang w:val="en-CA"/>
        </w:rPr>
        <w:t>Staffing Support Advisor</w:t>
      </w:r>
    </w:p>
    <w:p w14:paraId="4983D997" w14:textId="77777777" w:rsidR="00591DC8" w:rsidRPr="00714032" w:rsidRDefault="00591DC8" w:rsidP="001B4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heme="minorHAnsi" w:hAnsiTheme="minorHAnsi" w:cstheme="minorHAnsi"/>
          <w:sz w:val="22"/>
          <w:szCs w:val="22"/>
          <w:lang w:val="en-CA"/>
        </w:rPr>
      </w:pPr>
      <w:r w:rsidRPr="00714032">
        <w:rPr>
          <w:rFonts w:asciiTheme="minorHAnsi" w:hAnsiTheme="minorHAnsi" w:cstheme="minorHAnsi"/>
          <w:sz w:val="22"/>
          <w:szCs w:val="22"/>
          <w:lang w:val="en-CA"/>
        </w:rPr>
        <w:t>Annexes:</w:t>
      </w:r>
    </w:p>
    <w:p w14:paraId="1F2EDB3B" w14:textId="729CA822" w:rsidR="00DA5DF3" w:rsidRPr="00374A6E" w:rsidRDefault="000640FD" w:rsidP="00DA5DF3">
      <w:pPr>
        <w:numPr>
          <w:ilvl w:val="0"/>
          <w:numId w:val="3"/>
        </w:numPr>
        <w:spacing w:after="120"/>
        <w:ind w:left="723"/>
        <w:rPr>
          <w:rFonts w:asciiTheme="minorHAnsi" w:hAnsiTheme="minorHAnsi" w:cstheme="minorHAnsi"/>
          <w:bCs/>
          <w:sz w:val="22"/>
          <w:szCs w:val="22"/>
          <w:lang w:val="en-CA"/>
        </w:rPr>
      </w:pPr>
      <w:hyperlink w:anchor="Annex_A" w:history="1">
        <w:r w:rsidR="00DA5DF3">
          <w:rPr>
            <w:rStyle w:val="Hyperlink"/>
            <w:rFonts w:asciiTheme="minorHAnsi" w:hAnsiTheme="minorHAnsi" w:cstheme="minorHAnsi"/>
            <w:sz w:val="22"/>
            <w:szCs w:val="22"/>
            <w:lang w:val="en-CA"/>
          </w:rPr>
          <w:t>Annex A – A New Direction in Staffing (NDS)</w:t>
        </w:r>
        <w:r w:rsidR="00DA5DF3" w:rsidRPr="00374A6E">
          <w:rPr>
            <w:rStyle w:val="Hyperlink"/>
            <w:rFonts w:asciiTheme="minorHAnsi" w:hAnsiTheme="minorHAnsi" w:cstheme="minorHAnsi"/>
            <w:sz w:val="22"/>
            <w:szCs w:val="22"/>
            <w:lang w:val="en-CA"/>
          </w:rPr>
          <w:t xml:space="preserve"> highlights for </w:t>
        </w:r>
        <w:r w:rsidR="00DA5DF3">
          <w:rPr>
            <w:rStyle w:val="Hyperlink"/>
            <w:rFonts w:asciiTheme="minorHAnsi" w:hAnsiTheme="minorHAnsi" w:cstheme="minorHAnsi"/>
            <w:sz w:val="22"/>
            <w:szCs w:val="22"/>
            <w:lang w:val="en-CA"/>
          </w:rPr>
          <w:t>DHs</w:t>
        </w:r>
      </w:hyperlink>
    </w:p>
    <w:p w14:paraId="37270562" w14:textId="2A90DE04" w:rsidR="00C7278E" w:rsidRDefault="000640FD" w:rsidP="00DA5DF3">
      <w:pPr>
        <w:numPr>
          <w:ilvl w:val="0"/>
          <w:numId w:val="3"/>
        </w:numPr>
        <w:rPr>
          <w:rFonts w:asciiTheme="minorHAnsi" w:hAnsiTheme="minorHAnsi" w:cstheme="minorHAnsi"/>
          <w:sz w:val="22"/>
          <w:szCs w:val="22"/>
          <w:lang w:val="en-CA"/>
        </w:rPr>
        <w:sectPr w:rsidR="00C7278E" w:rsidSect="003F1018">
          <w:headerReference w:type="default" r:id="rId11"/>
          <w:footerReference w:type="default" r:id="rId12"/>
          <w:footerReference w:type="first" r:id="rId13"/>
          <w:footnotePr>
            <w:numFmt w:val="lowerLetter"/>
          </w:footnotePr>
          <w:endnotePr>
            <w:numFmt w:val="lowerLetter"/>
          </w:endnotePr>
          <w:pgSz w:w="12240" w:h="15840" w:code="1"/>
          <w:pgMar w:top="1440" w:right="1440" w:bottom="1440" w:left="1440" w:header="284" w:footer="284" w:gutter="0"/>
          <w:cols w:space="720"/>
          <w:docGrid w:linePitch="326"/>
        </w:sectPr>
      </w:pPr>
      <w:hyperlink w:anchor="Annex_B" w:history="1">
        <w:r w:rsidR="00DA5DF3">
          <w:rPr>
            <w:rStyle w:val="Hyperlink"/>
            <w:rFonts w:asciiTheme="minorHAnsi" w:hAnsiTheme="minorHAnsi" w:cstheme="minorHAnsi"/>
            <w:sz w:val="22"/>
            <w:szCs w:val="22"/>
            <w:lang w:val="en-CA"/>
          </w:rPr>
          <w:t>Annex B</w:t>
        </w:r>
        <w:r w:rsidR="00DA5DF3" w:rsidRPr="00374A6E">
          <w:rPr>
            <w:rStyle w:val="Hyperlink"/>
            <w:rFonts w:asciiTheme="minorHAnsi" w:hAnsiTheme="minorHAnsi" w:cstheme="minorHAnsi"/>
            <w:sz w:val="22"/>
            <w:szCs w:val="22"/>
            <w:lang w:val="en-CA"/>
          </w:rPr>
          <w:t xml:space="preserve"> - Data on Population and Staffing Activities</w:t>
        </w:r>
      </w:hyperlink>
      <w:r w:rsidR="00591DC8" w:rsidRPr="00714032">
        <w:rPr>
          <w:rFonts w:asciiTheme="minorHAnsi" w:hAnsiTheme="minorHAnsi" w:cstheme="minorHAnsi"/>
          <w:sz w:val="22"/>
          <w:szCs w:val="22"/>
          <w:lang w:val="en-CA"/>
        </w:rPr>
        <w:t xml:space="preserve"> </w:t>
      </w:r>
    </w:p>
    <w:p w14:paraId="6EA28D9A" w14:textId="34477934" w:rsidR="00591DC8" w:rsidRPr="00714032" w:rsidRDefault="00442F1B" w:rsidP="00FC2046">
      <w:pPr>
        <w:pStyle w:val="Heading3"/>
        <w:jc w:val="right"/>
        <w:rPr>
          <w:lang w:val="en-CA"/>
        </w:rPr>
      </w:pPr>
      <w:bookmarkStart w:id="0" w:name="Annex_A"/>
      <w:r>
        <w:rPr>
          <w:lang w:val="en-CA"/>
        </w:rPr>
        <w:lastRenderedPageBreak/>
        <w:t>Annex A</w:t>
      </w:r>
    </w:p>
    <w:bookmarkEnd w:id="0"/>
    <w:p w14:paraId="338ED934" w14:textId="77777777" w:rsidR="00151C0C" w:rsidRPr="000640FD" w:rsidRDefault="00151C0C" w:rsidP="000640FD">
      <w:pPr>
        <w:pStyle w:val="Heading2"/>
      </w:pPr>
      <w:r w:rsidRPr="000640FD">
        <w:t xml:space="preserve">A New direction in Staffing – A merit-based system that is effective, </w:t>
      </w:r>
      <w:proofErr w:type="gramStart"/>
      <w:r w:rsidRPr="000640FD">
        <w:t>efficient</w:t>
      </w:r>
      <w:proofErr w:type="gramEnd"/>
      <w:r w:rsidRPr="000640FD">
        <w:t xml:space="preserve"> and fair</w:t>
      </w:r>
    </w:p>
    <w:p w14:paraId="0A2F7BAE" w14:textId="77777777" w:rsidR="00151C0C" w:rsidRPr="000640FD" w:rsidRDefault="00151C0C" w:rsidP="000640FD">
      <w:pPr>
        <w:pStyle w:val="Heading3"/>
      </w:pPr>
      <w:r w:rsidRPr="000640FD">
        <w:t>Appointment Policy</w:t>
      </w:r>
    </w:p>
    <w:p w14:paraId="5AA8893E" w14:textId="77777777" w:rsidR="00151C0C" w:rsidRPr="00714032" w:rsidRDefault="00151C0C" w:rsidP="00151C0C">
      <w:pPr>
        <w:keepLines/>
        <w:tabs>
          <w:tab w:val="center" w:pos="4680"/>
          <w:tab w:val="right" w:pos="9360"/>
        </w:tabs>
        <w:rPr>
          <w:rFonts w:asciiTheme="minorHAnsi" w:eastAsiaTheme="minorHAnsi" w:hAnsiTheme="minorHAnsi" w:cstheme="minorHAnsi"/>
          <w:noProof/>
          <w:sz w:val="22"/>
          <w:szCs w:val="22"/>
          <w:lang w:val="en-CA" w:eastAsia="en-CA"/>
        </w:rPr>
      </w:pPr>
      <w:r w:rsidRPr="00714032">
        <w:rPr>
          <w:rStyle w:val="Strong"/>
          <w:rFonts w:eastAsiaTheme="minorHAnsi" w:cstheme="minorHAnsi"/>
          <w:szCs w:val="22"/>
          <w:lang w:val="en-CA"/>
        </w:rPr>
        <w:t>New focus on core requirements</w:t>
      </w:r>
      <w:r w:rsidRPr="00714032">
        <w:rPr>
          <w:rFonts w:asciiTheme="minorHAnsi" w:eastAsiaTheme="minorHAnsi" w:hAnsiTheme="minorHAnsi" w:cstheme="minorHAnsi"/>
          <w:noProof/>
          <w:sz w:val="22"/>
          <w:szCs w:val="22"/>
          <w:lang w:val="en-CA" w:eastAsia="en-CA"/>
        </w:rPr>
        <w:t xml:space="preserve"> to provide sub-delegated persons greater discretion in making an appointment</w:t>
      </w:r>
    </w:p>
    <w:p w14:paraId="0EA5F0DC" w14:textId="77777777" w:rsidR="00151C0C" w:rsidRPr="00714032" w:rsidRDefault="00151C0C" w:rsidP="00151C0C">
      <w:pPr>
        <w:keepLines/>
        <w:numPr>
          <w:ilvl w:val="0"/>
          <w:numId w:val="11"/>
        </w:numPr>
        <w:tabs>
          <w:tab w:val="center" w:pos="4680"/>
          <w:tab w:val="right" w:pos="9360"/>
        </w:tabs>
        <w:rPr>
          <w:rFonts w:asciiTheme="minorHAnsi" w:eastAsiaTheme="minorHAnsi" w:hAnsiTheme="minorHAnsi" w:cstheme="minorHAnsi"/>
          <w:sz w:val="22"/>
          <w:szCs w:val="22"/>
          <w:lang w:val="en-CA"/>
        </w:rPr>
      </w:pPr>
      <w:r w:rsidRPr="00714032">
        <w:rPr>
          <w:rStyle w:val="Strong"/>
          <w:rFonts w:eastAsiaTheme="minorHAnsi" w:cstheme="minorHAnsi"/>
          <w:szCs w:val="22"/>
          <w:lang w:val="en-CA"/>
        </w:rPr>
        <w:t>One Appointment Policy</w:t>
      </w:r>
      <w:r w:rsidRPr="00714032">
        <w:rPr>
          <w:rFonts w:asciiTheme="minorHAnsi" w:eastAsiaTheme="minorHAnsi" w:hAnsiTheme="minorHAnsi" w:cstheme="minorHAnsi"/>
          <w:sz w:val="22"/>
          <w:szCs w:val="22"/>
          <w:lang w:val="en-CA"/>
        </w:rPr>
        <w:t>, no duplication with legal requirements</w:t>
      </w:r>
    </w:p>
    <w:p w14:paraId="0F15D987" w14:textId="77777777" w:rsidR="00151C0C" w:rsidRPr="00714032" w:rsidRDefault="00151C0C" w:rsidP="00151C0C">
      <w:pPr>
        <w:keepLines/>
        <w:numPr>
          <w:ilvl w:val="0"/>
          <w:numId w:val="11"/>
        </w:numPr>
        <w:tabs>
          <w:tab w:val="center" w:pos="4680"/>
          <w:tab w:val="right" w:pos="9360"/>
        </w:tabs>
        <w:rPr>
          <w:rFonts w:asciiTheme="minorHAnsi" w:eastAsiaTheme="minorHAnsi" w:hAnsiTheme="minorHAnsi" w:cstheme="minorHAnsi"/>
          <w:sz w:val="22"/>
          <w:szCs w:val="22"/>
          <w:lang w:val="en-CA"/>
        </w:rPr>
      </w:pPr>
      <w:r w:rsidRPr="00714032">
        <w:rPr>
          <w:rStyle w:val="Strong"/>
          <w:rFonts w:eastAsiaTheme="minorHAnsi" w:cstheme="minorHAnsi"/>
          <w:szCs w:val="22"/>
          <w:lang w:val="en-CA"/>
        </w:rPr>
        <w:t>Broader focus on values-based system</w:t>
      </w:r>
      <w:r w:rsidRPr="00714032">
        <w:rPr>
          <w:rFonts w:asciiTheme="minorHAnsi" w:eastAsiaTheme="minorHAnsi" w:hAnsiTheme="minorHAnsi" w:cstheme="minorBidi"/>
          <w:bCs/>
          <w:sz w:val="22"/>
          <w:szCs w:val="22"/>
          <w:lang w:val="en-CA"/>
        </w:rPr>
        <w:t>,</w:t>
      </w:r>
      <w:r w:rsidRPr="00714032">
        <w:rPr>
          <w:rFonts w:asciiTheme="minorHAnsi" w:eastAsiaTheme="minorHAnsi" w:hAnsiTheme="minorHAnsi" w:cstheme="minorHAnsi"/>
          <w:sz w:val="22"/>
          <w:szCs w:val="22"/>
          <w:lang w:val="en-CA"/>
        </w:rPr>
        <w:t xml:space="preserve"> away from rules-based system</w:t>
      </w:r>
    </w:p>
    <w:p w14:paraId="5446CCF5" w14:textId="77777777" w:rsidR="00151C0C" w:rsidRPr="00714032" w:rsidRDefault="00151C0C" w:rsidP="00151C0C">
      <w:pPr>
        <w:keepLines/>
        <w:numPr>
          <w:ilvl w:val="0"/>
          <w:numId w:val="11"/>
        </w:numPr>
        <w:tabs>
          <w:tab w:val="center" w:pos="4680"/>
          <w:tab w:val="right" w:pos="9360"/>
        </w:tabs>
        <w:rPr>
          <w:rFonts w:asciiTheme="minorHAnsi" w:eastAsiaTheme="minorHAnsi" w:hAnsiTheme="minorHAnsi" w:cstheme="minorHAnsi"/>
          <w:sz w:val="22"/>
          <w:szCs w:val="22"/>
          <w:lang w:val="en-CA"/>
        </w:rPr>
      </w:pPr>
      <w:r w:rsidRPr="00714032">
        <w:rPr>
          <w:rFonts w:asciiTheme="minorHAnsi" w:eastAsiaTheme="minorHAnsi" w:hAnsiTheme="minorHAnsi" w:cstheme="minorHAnsi"/>
          <w:sz w:val="22"/>
          <w:szCs w:val="22"/>
          <w:lang w:val="en-CA"/>
        </w:rPr>
        <w:t xml:space="preserve">Appointments Policy supported by </w:t>
      </w:r>
      <w:r w:rsidRPr="00714032">
        <w:rPr>
          <w:rStyle w:val="Strong"/>
          <w:rFonts w:eastAsiaTheme="minorHAnsi" w:cstheme="minorHAnsi"/>
          <w:szCs w:val="22"/>
          <w:lang w:val="en-CA"/>
        </w:rPr>
        <w:t>streamlined guidance:</w:t>
      </w:r>
    </w:p>
    <w:p w14:paraId="3B31C6B2" w14:textId="77777777" w:rsidR="00151C0C" w:rsidRPr="00714032" w:rsidRDefault="00151C0C" w:rsidP="00151C0C">
      <w:pPr>
        <w:keepLines/>
        <w:numPr>
          <w:ilvl w:val="1"/>
          <w:numId w:val="40"/>
        </w:numPr>
        <w:tabs>
          <w:tab w:val="center" w:pos="4680"/>
          <w:tab w:val="right" w:pos="9360"/>
        </w:tabs>
        <w:rPr>
          <w:rFonts w:asciiTheme="minorHAnsi" w:eastAsiaTheme="minorHAnsi" w:hAnsiTheme="minorHAnsi" w:cstheme="minorHAnsi"/>
          <w:sz w:val="22"/>
          <w:szCs w:val="22"/>
          <w:lang w:val="en-CA"/>
        </w:rPr>
      </w:pPr>
      <w:r w:rsidRPr="00714032">
        <w:rPr>
          <w:rFonts w:asciiTheme="minorHAnsi" w:eastAsiaTheme="minorHAnsi" w:hAnsiTheme="minorHAnsi" w:cstheme="minorHAnsi"/>
          <w:sz w:val="22"/>
          <w:szCs w:val="22"/>
          <w:lang w:val="en-CA"/>
        </w:rPr>
        <w:t>A roadmap to the requirements in legislation, regulations and policy</w:t>
      </w:r>
    </w:p>
    <w:p w14:paraId="7FA05F85" w14:textId="77777777" w:rsidR="00151C0C" w:rsidRPr="00714032" w:rsidRDefault="00151C0C" w:rsidP="00151C0C">
      <w:pPr>
        <w:keepLines/>
        <w:numPr>
          <w:ilvl w:val="1"/>
          <w:numId w:val="40"/>
        </w:numPr>
        <w:tabs>
          <w:tab w:val="center" w:pos="4680"/>
          <w:tab w:val="right" w:pos="9360"/>
        </w:tabs>
        <w:rPr>
          <w:rFonts w:asciiTheme="minorHAnsi" w:eastAsiaTheme="minorHAnsi" w:hAnsiTheme="minorHAnsi" w:cstheme="minorHAnsi"/>
          <w:sz w:val="22"/>
          <w:szCs w:val="22"/>
          <w:lang w:val="en-CA"/>
        </w:rPr>
      </w:pPr>
      <w:r w:rsidRPr="00714032">
        <w:rPr>
          <w:rFonts w:asciiTheme="minorHAnsi" w:eastAsiaTheme="minorHAnsi" w:hAnsiTheme="minorHAnsi" w:cstheme="minorHAnsi"/>
          <w:sz w:val="22"/>
          <w:szCs w:val="22"/>
          <w:lang w:val="en-CA"/>
        </w:rPr>
        <w:t>Options and considerations for decision-making where there is discretion</w:t>
      </w:r>
    </w:p>
    <w:p w14:paraId="467D6EBF" w14:textId="77777777" w:rsidR="00151C0C" w:rsidRPr="00714032" w:rsidRDefault="00151C0C" w:rsidP="00151C0C">
      <w:pPr>
        <w:keepLines/>
        <w:numPr>
          <w:ilvl w:val="0"/>
          <w:numId w:val="12"/>
        </w:numPr>
        <w:tabs>
          <w:tab w:val="center" w:pos="4680"/>
          <w:tab w:val="right" w:pos="9360"/>
        </w:tabs>
        <w:rPr>
          <w:rFonts w:asciiTheme="minorHAnsi" w:eastAsiaTheme="minorHAnsi" w:hAnsiTheme="minorHAnsi" w:cstheme="minorHAnsi"/>
          <w:sz w:val="22"/>
          <w:szCs w:val="22"/>
          <w:lang w:val="en-CA"/>
        </w:rPr>
      </w:pPr>
      <w:r w:rsidRPr="00714032">
        <w:rPr>
          <w:rStyle w:val="Strong"/>
          <w:rFonts w:eastAsiaTheme="minorHAnsi" w:cstheme="minorHAnsi"/>
          <w:szCs w:val="22"/>
          <w:lang w:val="en-CA"/>
        </w:rPr>
        <w:t>Clear expectations</w:t>
      </w:r>
      <w:r w:rsidRPr="00714032">
        <w:rPr>
          <w:rFonts w:asciiTheme="minorHAnsi" w:eastAsiaTheme="minorHAnsi" w:hAnsiTheme="minorHAnsi" w:cstheme="minorHAnsi"/>
          <w:sz w:val="22"/>
          <w:szCs w:val="22"/>
          <w:lang w:val="en-CA"/>
        </w:rPr>
        <w:t xml:space="preserve"> for priority entitlements</w:t>
      </w:r>
    </w:p>
    <w:p w14:paraId="550E71EC" w14:textId="77777777" w:rsidR="00151C0C" w:rsidRPr="00714032" w:rsidRDefault="00151C0C" w:rsidP="00151C0C">
      <w:pPr>
        <w:keepLines/>
        <w:numPr>
          <w:ilvl w:val="0"/>
          <w:numId w:val="12"/>
        </w:numPr>
        <w:tabs>
          <w:tab w:val="center" w:pos="4680"/>
          <w:tab w:val="right" w:pos="9360"/>
        </w:tabs>
        <w:rPr>
          <w:rFonts w:asciiTheme="minorHAnsi" w:eastAsiaTheme="minorHAnsi" w:hAnsiTheme="minorHAnsi" w:cstheme="minorHAnsi"/>
          <w:sz w:val="22"/>
          <w:szCs w:val="22"/>
          <w:lang w:val="en-CA"/>
        </w:rPr>
      </w:pPr>
      <w:r w:rsidRPr="00714032">
        <w:rPr>
          <w:rFonts w:asciiTheme="minorHAnsi" w:eastAsiaTheme="minorHAnsi" w:hAnsiTheme="minorHAnsi" w:cstheme="minorHAnsi"/>
          <w:sz w:val="22"/>
          <w:szCs w:val="22"/>
          <w:lang w:val="en-CA"/>
        </w:rPr>
        <w:t>No restrictions to assessment methods for EX appointments</w:t>
      </w:r>
    </w:p>
    <w:p w14:paraId="26355117" w14:textId="77777777" w:rsidR="00151C0C" w:rsidRPr="00714032" w:rsidRDefault="00151C0C" w:rsidP="00151C0C">
      <w:pPr>
        <w:keepLines/>
        <w:numPr>
          <w:ilvl w:val="0"/>
          <w:numId w:val="12"/>
        </w:numPr>
        <w:tabs>
          <w:tab w:val="center" w:pos="4680"/>
          <w:tab w:val="right" w:pos="9360"/>
        </w:tabs>
        <w:spacing w:after="240"/>
        <w:ind w:left="714" w:hanging="357"/>
        <w:rPr>
          <w:rFonts w:asciiTheme="minorHAnsi" w:eastAsiaTheme="minorHAnsi" w:hAnsiTheme="minorHAnsi" w:cstheme="minorHAnsi"/>
          <w:sz w:val="22"/>
          <w:szCs w:val="22"/>
          <w:lang w:val="en-CA"/>
        </w:rPr>
      </w:pPr>
      <w:r w:rsidRPr="00714032">
        <w:rPr>
          <w:rFonts w:asciiTheme="minorHAnsi" w:eastAsiaTheme="minorHAnsi" w:hAnsiTheme="minorHAnsi" w:cstheme="minorHAnsi"/>
          <w:sz w:val="22"/>
          <w:szCs w:val="22"/>
          <w:lang w:val="en-CA"/>
        </w:rPr>
        <w:t>Exceptions to National Area of Selection approved by deputy head</w:t>
      </w:r>
    </w:p>
    <w:p w14:paraId="6674977A" w14:textId="77777777" w:rsidR="00151C0C" w:rsidRPr="00714032" w:rsidRDefault="00151C0C" w:rsidP="00151C0C">
      <w:pPr>
        <w:pStyle w:val="Heading3"/>
        <w:spacing w:after="120"/>
        <w:rPr>
          <w:lang w:val="en-CA"/>
        </w:rPr>
      </w:pPr>
      <w:r w:rsidRPr="00714032">
        <w:rPr>
          <w:lang w:val="en-CA"/>
        </w:rPr>
        <w:t>Delegation</w:t>
      </w:r>
    </w:p>
    <w:p w14:paraId="21E3FF09" w14:textId="77777777" w:rsidR="00151C0C" w:rsidRPr="00714032" w:rsidRDefault="00151C0C" w:rsidP="00151C0C">
      <w:pPr>
        <w:keepLines/>
        <w:numPr>
          <w:ilvl w:val="0"/>
          <w:numId w:val="14"/>
        </w:numPr>
        <w:spacing w:after="320" w:line="259" w:lineRule="auto"/>
        <w:contextualSpacing/>
        <w:rPr>
          <w:rFonts w:asciiTheme="minorHAnsi" w:eastAsiaTheme="minorHAnsi" w:hAnsiTheme="minorHAnsi" w:cstheme="minorBidi"/>
          <w:sz w:val="22"/>
          <w:szCs w:val="22"/>
          <w:lang w:val="en-CA"/>
        </w:rPr>
      </w:pPr>
      <w:r w:rsidRPr="00714032">
        <w:rPr>
          <w:rStyle w:val="Strong"/>
          <w:rFonts w:eastAsiaTheme="minorHAnsi" w:cstheme="minorHAnsi"/>
          <w:lang w:val="en-CA"/>
        </w:rPr>
        <w:t>New ability to customize organizational staffing system</w:t>
      </w:r>
      <w:r w:rsidRPr="00714032">
        <w:rPr>
          <w:rFonts w:asciiTheme="minorHAnsi" w:eastAsiaTheme="minorHAnsi" w:hAnsiTheme="minorHAnsi" w:cstheme="minorBidi"/>
          <w:sz w:val="22"/>
          <w:szCs w:val="22"/>
          <w:lang w:val="en-CA"/>
        </w:rPr>
        <w:t xml:space="preserve"> based on unique context and evolving business needs</w:t>
      </w:r>
    </w:p>
    <w:p w14:paraId="42BBBC55" w14:textId="77777777" w:rsidR="00151C0C" w:rsidRPr="00714032" w:rsidRDefault="00151C0C" w:rsidP="00151C0C">
      <w:pPr>
        <w:keepLines/>
        <w:numPr>
          <w:ilvl w:val="0"/>
          <w:numId w:val="13"/>
        </w:numPr>
        <w:spacing w:after="320" w:line="259" w:lineRule="auto"/>
        <w:contextualSpacing/>
        <w:rPr>
          <w:rFonts w:asciiTheme="minorHAnsi" w:eastAsiaTheme="minorHAnsi" w:hAnsiTheme="minorHAnsi" w:cstheme="minorBidi"/>
          <w:sz w:val="22"/>
          <w:szCs w:val="22"/>
          <w:lang w:val="en-CA"/>
        </w:rPr>
      </w:pPr>
      <w:r w:rsidRPr="00714032">
        <w:rPr>
          <w:rFonts w:asciiTheme="minorHAnsi" w:eastAsiaTheme="minorHAnsi" w:hAnsiTheme="minorHAnsi" w:cstheme="minorBidi"/>
          <w:sz w:val="22"/>
          <w:szCs w:val="22"/>
          <w:lang w:val="en-CA"/>
        </w:rPr>
        <w:t xml:space="preserve">Deputy head establish a direction on the </w:t>
      </w:r>
      <w:r w:rsidRPr="00714032">
        <w:rPr>
          <w:rStyle w:val="Strong"/>
          <w:rFonts w:eastAsiaTheme="minorHAnsi" w:cstheme="minorHAnsi"/>
          <w:lang w:val="en-CA"/>
        </w:rPr>
        <w:t>use of advertised and non-advertised</w:t>
      </w:r>
      <w:r w:rsidRPr="00714032">
        <w:rPr>
          <w:rFonts w:asciiTheme="minorHAnsi" w:eastAsiaTheme="minorHAnsi" w:hAnsiTheme="minorHAnsi" w:cstheme="minorBidi"/>
          <w:sz w:val="20"/>
          <w:szCs w:val="22"/>
          <w:lang w:val="en-CA"/>
        </w:rPr>
        <w:t xml:space="preserve"> </w:t>
      </w:r>
      <w:r w:rsidRPr="00714032">
        <w:rPr>
          <w:rFonts w:asciiTheme="minorHAnsi" w:eastAsiaTheme="minorHAnsi" w:hAnsiTheme="minorHAnsi" w:cstheme="minorBidi"/>
          <w:sz w:val="22"/>
          <w:szCs w:val="22"/>
          <w:lang w:val="en-CA"/>
        </w:rPr>
        <w:t>appointment processes</w:t>
      </w:r>
    </w:p>
    <w:p w14:paraId="3734EE55" w14:textId="77777777" w:rsidR="00151C0C" w:rsidRPr="00714032" w:rsidRDefault="00151C0C" w:rsidP="00151C0C">
      <w:pPr>
        <w:keepLines/>
        <w:numPr>
          <w:ilvl w:val="0"/>
          <w:numId w:val="13"/>
        </w:numPr>
        <w:spacing w:after="320" w:line="259" w:lineRule="auto"/>
        <w:contextualSpacing/>
        <w:rPr>
          <w:rStyle w:val="Strong"/>
          <w:rFonts w:eastAsiaTheme="minorHAnsi" w:cstheme="minorHAnsi"/>
          <w:lang w:val="en-CA"/>
        </w:rPr>
      </w:pPr>
      <w:r w:rsidRPr="00714032">
        <w:rPr>
          <w:rFonts w:asciiTheme="minorHAnsi" w:eastAsiaTheme="minorHAnsi" w:hAnsiTheme="minorHAnsi" w:cstheme="minorBidi"/>
          <w:sz w:val="22"/>
          <w:szCs w:val="22"/>
          <w:lang w:val="en-CA"/>
        </w:rPr>
        <w:t xml:space="preserve">Deputy heads to establish requirement(s) for sub-delegated persons to </w:t>
      </w:r>
      <w:r w:rsidRPr="00714032">
        <w:rPr>
          <w:rStyle w:val="Strong"/>
          <w:rFonts w:eastAsiaTheme="minorHAnsi" w:cstheme="minorHAnsi"/>
          <w:lang w:val="en-CA"/>
        </w:rPr>
        <w:t>articulate, in writing, their selection decision</w:t>
      </w:r>
    </w:p>
    <w:p w14:paraId="04A80A79" w14:textId="77777777" w:rsidR="00151C0C" w:rsidRPr="00714032" w:rsidRDefault="00151C0C" w:rsidP="00151C0C">
      <w:pPr>
        <w:keepLines/>
        <w:numPr>
          <w:ilvl w:val="0"/>
          <w:numId w:val="13"/>
        </w:numPr>
        <w:spacing w:after="320" w:line="259" w:lineRule="auto"/>
        <w:contextualSpacing/>
        <w:rPr>
          <w:rFonts w:asciiTheme="minorHAnsi" w:eastAsiaTheme="minorHAnsi" w:hAnsiTheme="minorHAnsi" w:cstheme="minorBidi"/>
          <w:sz w:val="22"/>
          <w:szCs w:val="22"/>
          <w:lang w:val="en-CA"/>
        </w:rPr>
      </w:pPr>
      <w:r w:rsidRPr="00714032">
        <w:rPr>
          <w:rFonts w:asciiTheme="minorHAnsi" w:eastAsiaTheme="minorHAnsi" w:hAnsiTheme="minorHAnsi" w:cstheme="minorBidi"/>
          <w:sz w:val="22"/>
          <w:szCs w:val="22"/>
          <w:lang w:val="en-CA"/>
        </w:rPr>
        <w:t>Clarity on requirements related to investigations</w:t>
      </w:r>
    </w:p>
    <w:p w14:paraId="3DA68465" w14:textId="77777777" w:rsidR="00151C0C" w:rsidRPr="00714032" w:rsidRDefault="00151C0C" w:rsidP="00151C0C">
      <w:pPr>
        <w:keepLines/>
        <w:numPr>
          <w:ilvl w:val="0"/>
          <w:numId w:val="13"/>
        </w:numPr>
        <w:spacing w:after="320" w:line="259" w:lineRule="auto"/>
        <w:contextualSpacing/>
        <w:rPr>
          <w:rFonts w:asciiTheme="minorHAnsi" w:eastAsiaTheme="minorHAnsi" w:hAnsiTheme="minorHAnsi" w:cstheme="minorBidi"/>
          <w:sz w:val="22"/>
          <w:szCs w:val="22"/>
          <w:lang w:val="en-CA"/>
        </w:rPr>
      </w:pPr>
      <w:r w:rsidRPr="00714032">
        <w:rPr>
          <w:rStyle w:val="Strong"/>
          <w:rFonts w:eastAsiaTheme="minorHAnsi" w:cstheme="minorHAnsi"/>
          <w:lang w:val="en-CA"/>
        </w:rPr>
        <w:t>Attestation form</w:t>
      </w:r>
      <w:r w:rsidRPr="00714032">
        <w:rPr>
          <w:rFonts w:asciiTheme="minorHAnsi" w:eastAsiaTheme="minorHAnsi" w:hAnsiTheme="minorHAnsi" w:cstheme="minorBidi"/>
          <w:sz w:val="20"/>
          <w:szCs w:val="22"/>
          <w:lang w:val="en-CA"/>
        </w:rPr>
        <w:t xml:space="preserve"> </w:t>
      </w:r>
      <w:r w:rsidRPr="00714032">
        <w:rPr>
          <w:rFonts w:asciiTheme="minorHAnsi" w:eastAsiaTheme="minorHAnsi" w:hAnsiTheme="minorHAnsi" w:cstheme="minorBidi"/>
          <w:sz w:val="22"/>
          <w:szCs w:val="22"/>
          <w:lang w:val="en-CA"/>
        </w:rPr>
        <w:t>to reinforce the accountabilities of sub-delegated persons</w:t>
      </w:r>
    </w:p>
    <w:p w14:paraId="3831F8A0" w14:textId="77777777" w:rsidR="00151C0C" w:rsidRPr="00714032" w:rsidRDefault="00151C0C" w:rsidP="00151C0C">
      <w:pPr>
        <w:keepLines/>
        <w:spacing w:after="360" w:line="259" w:lineRule="auto"/>
        <w:rPr>
          <w:rFonts w:asciiTheme="minorHAnsi" w:eastAsiaTheme="minorHAnsi" w:hAnsiTheme="minorHAnsi" w:cstheme="minorBidi"/>
          <w:sz w:val="22"/>
          <w:szCs w:val="22"/>
          <w:lang w:val="en-CA"/>
        </w:rPr>
      </w:pPr>
      <w:r w:rsidRPr="00714032">
        <w:rPr>
          <w:rFonts w:asciiTheme="minorHAnsi" w:eastAsiaTheme="minorHAnsi" w:hAnsiTheme="minorHAnsi" w:cstheme="minorBidi"/>
          <w:sz w:val="22"/>
          <w:szCs w:val="22"/>
          <w:lang w:val="en-CA"/>
        </w:rPr>
        <w:t>All PSC monitoring and reporting requirements now found in the Appointment Delegation and Accountability Instrument</w:t>
      </w:r>
    </w:p>
    <w:p w14:paraId="701BD51C" w14:textId="77777777" w:rsidR="00151C0C" w:rsidRPr="00714032" w:rsidRDefault="00151C0C" w:rsidP="00151C0C">
      <w:pPr>
        <w:pStyle w:val="Heading3"/>
        <w:spacing w:after="120"/>
        <w:rPr>
          <w:lang w:val="en-CA"/>
        </w:rPr>
      </w:pPr>
      <w:r w:rsidRPr="00714032">
        <w:rPr>
          <w:lang w:val="en-CA"/>
        </w:rPr>
        <w:t>Monitoring and Reporting</w:t>
      </w:r>
    </w:p>
    <w:p w14:paraId="76CB7BD8" w14:textId="77777777" w:rsidR="00151C0C" w:rsidRPr="00714032" w:rsidRDefault="00151C0C" w:rsidP="000640FD">
      <w:pPr>
        <w:pStyle w:val="Heading4"/>
        <w:rPr>
          <w:rFonts w:eastAsiaTheme="minorHAnsi" w:cstheme="minorBidi"/>
          <w:lang w:val="en-CA"/>
        </w:rPr>
      </w:pPr>
      <w:r w:rsidRPr="00714032">
        <w:rPr>
          <w:rStyle w:val="Strong"/>
          <w:rFonts w:eastAsiaTheme="minorHAnsi" w:cstheme="minorHAnsi"/>
          <w:szCs w:val="22"/>
          <w:lang w:val="en-CA"/>
        </w:rPr>
        <w:t>Monitoring built by organizations</w:t>
      </w:r>
      <w:r w:rsidRPr="00714032">
        <w:rPr>
          <w:rFonts w:eastAsiaTheme="minorHAnsi" w:cstheme="minorBidi"/>
          <w:lang w:val="en-CA"/>
        </w:rPr>
        <w:t>, targeted to their needs</w:t>
      </w:r>
    </w:p>
    <w:p w14:paraId="775B043A" w14:textId="77777777" w:rsidR="00151C0C" w:rsidRPr="00714032" w:rsidRDefault="00151C0C" w:rsidP="00151C0C">
      <w:pPr>
        <w:keepLines/>
        <w:numPr>
          <w:ilvl w:val="0"/>
          <w:numId w:val="15"/>
        </w:numPr>
        <w:spacing w:after="320" w:line="259" w:lineRule="auto"/>
        <w:contextualSpacing/>
        <w:rPr>
          <w:rFonts w:asciiTheme="minorHAnsi" w:eastAsiaTheme="minorHAnsi" w:hAnsiTheme="minorHAnsi" w:cstheme="minorBidi"/>
          <w:sz w:val="22"/>
          <w:szCs w:val="22"/>
          <w:lang w:val="en-CA"/>
        </w:rPr>
      </w:pPr>
      <w:r w:rsidRPr="00714032">
        <w:rPr>
          <w:rFonts w:asciiTheme="minorHAnsi" w:eastAsiaTheme="minorHAnsi" w:hAnsiTheme="minorHAnsi" w:cstheme="minorBidi"/>
          <w:sz w:val="22"/>
          <w:szCs w:val="22"/>
          <w:lang w:val="en-CA"/>
        </w:rPr>
        <w:t>Annual Departmental Staffing Accountability Report no longer required</w:t>
      </w:r>
    </w:p>
    <w:p w14:paraId="79BE2186" w14:textId="77777777" w:rsidR="00151C0C" w:rsidRPr="00714032" w:rsidRDefault="00151C0C" w:rsidP="00151C0C">
      <w:pPr>
        <w:keepLines/>
        <w:numPr>
          <w:ilvl w:val="0"/>
          <w:numId w:val="15"/>
        </w:numPr>
        <w:spacing w:after="320" w:line="259" w:lineRule="auto"/>
        <w:contextualSpacing/>
        <w:rPr>
          <w:rFonts w:asciiTheme="minorHAnsi" w:eastAsiaTheme="minorHAnsi" w:hAnsiTheme="minorHAnsi" w:cstheme="minorBidi"/>
          <w:sz w:val="22"/>
          <w:szCs w:val="22"/>
          <w:lang w:val="en-CA"/>
        </w:rPr>
      </w:pPr>
      <w:r w:rsidRPr="00714032">
        <w:rPr>
          <w:rStyle w:val="Strong"/>
          <w:rFonts w:eastAsiaTheme="minorHAnsi" w:cstheme="minorHAnsi"/>
          <w:szCs w:val="22"/>
          <w:lang w:val="en-CA"/>
        </w:rPr>
        <w:t>Annual reporting to the PSC limited</w:t>
      </w:r>
      <w:r w:rsidRPr="00714032">
        <w:rPr>
          <w:rFonts w:asciiTheme="minorHAnsi" w:eastAsiaTheme="minorHAnsi" w:hAnsiTheme="minorHAnsi" w:cstheme="minorBidi"/>
          <w:sz w:val="22"/>
          <w:szCs w:val="22"/>
          <w:lang w:val="en-CA"/>
        </w:rPr>
        <w:t xml:space="preserve"> to:</w:t>
      </w:r>
    </w:p>
    <w:p w14:paraId="0E1906A5" w14:textId="77777777" w:rsidR="00151C0C" w:rsidRPr="00714032" w:rsidRDefault="00151C0C" w:rsidP="00151C0C">
      <w:pPr>
        <w:keepLines/>
        <w:numPr>
          <w:ilvl w:val="1"/>
          <w:numId w:val="15"/>
        </w:numPr>
        <w:spacing w:after="320" w:line="259" w:lineRule="auto"/>
        <w:contextualSpacing/>
        <w:rPr>
          <w:rFonts w:asciiTheme="minorHAnsi" w:eastAsiaTheme="minorHAnsi" w:hAnsiTheme="minorHAnsi" w:cstheme="minorBidi"/>
          <w:sz w:val="22"/>
          <w:szCs w:val="22"/>
          <w:lang w:val="en-CA"/>
        </w:rPr>
      </w:pPr>
      <w:r w:rsidRPr="00714032">
        <w:rPr>
          <w:rFonts w:asciiTheme="minorHAnsi" w:eastAsiaTheme="minorHAnsi" w:hAnsiTheme="minorHAnsi" w:cstheme="minorBidi"/>
          <w:sz w:val="22"/>
          <w:szCs w:val="22"/>
          <w:lang w:val="en-CA"/>
        </w:rPr>
        <w:t>Use of Public Service Official Language Exclusion Approval Order</w:t>
      </w:r>
    </w:p>
    <w:p w14:paraId="7120B03F" w14:textId="77777777" w:rsidR="00151C0C" w:rsidRPr="00714032" w:rsidRDefault="00151C0C" w:rsidP="00151C0C">
      <w:pPr>
        <w:keepLines/>
        <w:numPr>
          <w:ilvl w:val="1"/>
          <w:numId w:val="15"/>
        </w:numPr>
        <w:spacing w:after="320" w:line="259" w:lineRule="auto"/>
        <w:contextualSpacing/>
        <w:rPr>
          <w:rFonts w:asciiTheme="minorHAnsi" w:eastAsiaTheme="minorHAnsi" w:hAnsiTheme="minorHAnsi" w:cstheme="minorBidi"/>
          <w:sz w:val="22"/>
          <w:szCs w:val="22"/>
          <w:lang w:val="en-CA"/>
        </w:rPr>
      </w:pPr>
      <w:r w:rsidRPr="00714032">
        <w:rPr>
          <w:rFonts w:asciiTheme="minorHAnsi" w:eastAsiaTheme="minorHAnsi" w:hAnsiTheme="minorHAnsi" w:cstheme="minorBidi"/>
          <w:sz w:val="22"/>
          <w:szCs w:val="22"/>
          <w:lang w:val="en-CA"/>
        </w:rPr>
        <w:t>Exceptions to the National Area of Selection approved by the deputy head</w:t>
      </w:r>
    </w:p>
    <w:p w14:paraId="0E164598" w14:textId="77777777" w:rsidR="00151C0C" w:rsidRPr="00714032" w:rsidRDefault="00151C0C" w:rsidP="00151C0C">
      <w:pPr>
        <w:keepLines/>
        <w:numPr>
          <w:ilvl w:val="1"/>
          <w:numId w:val="15"/>
        </w:numPr>
        <w:spacing w:after="320" w:line="259" w:lineRule="auto"/>
        <w:contextualSpacing/>
        <w:rPr>
          <w:rFonts w:asciiTheme="minorHAnsi" w:eastAsiaTheme="minorHAnsi" w:hAnsiTheme="minorHAnsi" w:cstheme="minorBidi"/>
          <w:sz w:val="22"/>
          <w:szCs w:val="22"/>
          <w:lang w:val="en-CA"/>
        </w:rPr>
      </w:pPr>
      <w:r w:rsidRPr="00714032">
        <w:rPr>
          <w:rFonts w:asciiTheme="minorHAnsi" w:eastAsiaTheme="minorHAnsi" w:hAnsiTheme="minorHAnsi" w:cstheme="minorBidi"/>
          <w:sz w:val="22"/>
          <w:szCs w:val="22"/>
          <w:lang w:val="en-CA"/>
        </w:rPr>
        <w:t>Results of any internal investigations</w:t>
      </w:r>
    </w:p>
    <w:p w14:paraId="0778907E" w14:textId="77777777" w:rsidR="00151C0C" w:rsidRPr="00714032" w:rsidRDefault="00151C0C" w:rsidP="00151C0C">
      <w:pPr>
        <w:keepLines/>
        <w:numPr>
          <w:ilvl w:val="1"/>
          <w:numId w:val="15"/>
        </w:numPr>
        <w:spacing w:after="320" w:line="259" w:lineRule="auto"/>
        <w:contextualSpacing/>
        <w:rPr>
          <w:rFonts w:asciiTheme="minorHAnsi" w:eastAsiaTheme="minorHAnsi" w:hAnsiTheme="minorHAnsi" w:cstheme="minorBidi"/>
          <w:sz w:val="22"/>
          <w:szCs w:val="22"/>
          <w:lang w:val="en-CA"/>
        </w:rPr>
      </w:pPr>
      <w:r w:rsidRPr="00714032">
        <w:rPr>
          <w:rFonts w:asciiTheme="minorHAnsi" w:eastAsiaTheme="minorHAnsi" w:hAnsiTheme="minorHAnsi" w:cstheme="minorBidi"/>
          <w:sz w:val="22"/>
          <w:szCs w:val="22"/>
          <w:lang w:val="en-CA"/>
        </w:rPr>
        <w:t>Actions taken following any PSC investigations or audits.</w:t>
      </w:r>
    </w:p>
    <w:p w14:paraId="374BF50F" w14:textId="77777777" w:rsidR="00151C0C" w:rsidRPr="00714032" w:rsidRDefault="00151C0C" w:rsidP="00151C0C">
      <w:pPr>
        <w:keepLines/>
        <w:numPr>
          <w:ilvl w:val="0"/>
          <w:numId w:val="16"/>
        </w:numPr>
        <w:spacing w:after="320" w:line="259" w:lineRule="auto"/>
        <w:contextualSpacing/>
        <w:rPr>
          <w:rFonts w:asciiTheme="minorHAnsi" w:eastAsiaTheme="minorHAnsi" w:hAnsiTheme="minorHAnsi" w:cstheme="minorBidi"/>
          <w:sz w:val="22"/>
          <w:szCs w:val="22"/>
          <w:lang w:val="en-CA"/>
        </w:rPr>
      </w:pPr>
      <w:r w:rsidRPr="00714032">
        <w:rPr>
          <w:rFonts w:asciiTheme="minorHAnsi" w:eastAsiaTheme="minorHAnsi" w:hAnsiTheme="minorHAnsi" w:cstheme="minorBidi"/>
          <w:sz w:val="22"/>
          <w:szCs w:val="22"/>
          <w:lang w:val="en-CA"/>
        </w:rPr>
        <w:t xml:space="preserve">Deputy head responsible for </w:t>
      </w:r>
      <w:r w:rsidRPr="00714032">
        <w:rPr>
          <w:rStyle w:val="Strong"/>
          <w:rFonts w:eastAsiaTheme="minorHAnsi" w:cstheme="minorHAnsi"/>
          <w:szCs w:val="22"/>
          <w:lang w:val="en-CA"/>
        </w:rPr>
        <w:t>ongoing monitoring of organizational staffing system</w:t>
      </w:r>
      <w:r w:rsidRPr="00714032">
        <w:rPr>
          <w:rFonts w:asciiTheme="minorHAnsi" w:eastAsiaTheme="minorHAnsi" w:hAnsiTheme="minorHAnsi" w:cstheme="minorBidi"/>
          <w:sz w:val="22"/>
          <w:szCs w:val="22"/>
          <w:lang w:val="en-CA"/>
        </w:rPr>
        <w:t xml:space="preserve"> based on the organization’s unique context</w:t>
      </w:r>
    </w:p>
    <w:p w14:paraId="78051EA2" w14:textId="77777777" w:rsidR="00151C0C" w:rsidRPr="00714032" w:rsidRDefault="00151C0C" w:rsidP="00151C0C">
      <w:pPr>
        <w:keepLines/>
        <w:numPr>
          <w:ilvl w:val="1"/>
          <w:numId w:val="16"/>
        </w:numPr>
        <w:spacing w:after="320" w:line="259" w:lineRule="auto"/>
        <w:contextualSpacing/>
        <w:rPr>
          <w:rFonts w:asciiTheme="minorHAnsi" w:eastAsiaTheme="minorHAnsi" w:hAnsiTheme="minorHAnsi" w:cstheme="minorBidi"/>
          <w:sz w:val="22"/>
          <w:szCs w:val="22"/>
          <w:lang w:val="en-CA"/>
        </w:rPr>
      </w:pPr>
      <w:r w:rsidRPr="00714032">
        <w:rPr>
          <w:rStyle w:val="Strong"/>
          <w:rFonts w:eastAsiaTheme="minorHAnsi" w:cstheme="minorHAnsi"/>
          <w:szCs w:val="22"/>
          <w:lang w:val="en-CA"/>
        </w:rPr>
        <w:t>Assessment of adherence to requirements</w:t>
      </w:r>
      <w:r w:rsidRPr="00714032">
        <w:rPr>
          <w:rFonts w:asciiTheme="minorHAnsi" w:eastAsiaTheme="minorHAnsi" w:hAnsiTheme="minorHAnsi" w:cstheme="minorBidi"/>
          <w:sz w:val="22"/>
          <w:szCs w:val="22"/>
          <w:lang w:val="en-CA"/>
        </w:rPr>
        <w:t>, based on organization’s own risks, at the minimum every five years</w:t>
      </w:r>
    </w:p>
    <w:p w14:paraId="7775130D" w14:textId="77777777" w:rsidR="00151C0C" w:rsidRPr="00714032" w:rsidRDefault="00151C0C" w:rsidP="00151C0C">
      <w:pPr>
        <w:pStyle w:val="Heading3"/>
        <w:spacing w:after="120"/>
        <w:rPr>
          <w:lang w:val="en-CA"/>
        </w:rPr>
      </w:pPr>
      <w:r w:rsidRPr="00714032">
        <w:rPr>
          <w:lang w:val="en-CA"/>
        </w:rPr>
        <w:lastRenderedPageBreak/>
        <w:t>PSC Oversight</w:t>
      </w:r>
    </w:p>
    <w:p w14:paraId="6168D0A2" w14:textId="77777777" w:rsidR="00151C0C" w:rsidRPr="00714032" w:rsidRDefault="00151C0C" w:rsidP="000640FD">
      <w:pPr>
        <w:pStyle w:val="Heading4"/>
        <w:rPr>
          <w:rFonts w:eastAsiaTheme="minorHAnsi"/>
          <w:lang w:val="en-CA"/>
        </w:rPr>
      </w:pPr>
      <w:r w:rsidRPr="00714032">
        <w:rPr>
          <w:rFonts w:eastAsiaTheme="minorHAnsi"/>
          <w:lang w:val="en-CA"/>
        </w:rPr>
        <w:t xml:space="preserve">System </w:t>
      </w:r>
      <w:proofErr w:type="gramStart"/>
      <w:r w:rsidRPr="00714032">
        <w:rPr>
          <w:rFonts w:eastAsiaTheme="minorHAnsi"/>
          <w:lang w:val="en-CA"/>
        </w:rPr>
        <w:t>wide-focus</w:t>
      </w:r>
      <w:proofErr w:type="gramEnd"/>
    </w:p>
    <w:p w14:paraId="0D18BAE2" w14:textId="77777777" w:rsidR="00151C0C" w:rsidRPr="00714032" w:rsidRDefault="00151C0C" w:rsidP="00151C0C">
      <w:pPr>
        <w:keepLines/>
        <w:numPr>
          <w:ilvl w:val="0"/>
          <w:numId w:val="17"/>
        </w:numPr>
        <w:spacing w:line="259" w:lineRule="auto"/>
        <w:rPr>
          <w:rStyle w:val="Strong"/>
          <w:rFonts w:eastAsiaTheme="minorHAnsi" w:cstheme="minorHAnsi"/>
          <w:lang w:val="en-CA"/>
        </w:rPr>
      </w:pPr>
      <w:r w:rsidRPr="00714032">
        <w:rPr>
          <w:rStyle w:val="Strong"/>
          <w:rFonts w:eastAsiaTheme="minorHAnsi" w:cstheme="minorHAnsi"/>
          <w:lang w:val="en-CA"/>
        </w:rPr>
        <w:t>Government-wide compliance audit every two years</w:t>
      </w:r>
    </w:p>
    <w:p w14:paraId="08C63663" w14:textId="77777777" w:rsidR="00151C0C" w:rsidRPr="00714032" w:rsidRDefault="00151C0C" w:rsidP="00151C0C">
      <w:pPr>
        <w:keepLines/>
        <w:numPr>
          <w:ilvl w:val="0"/>
          <w:numId w:val="17"/>
        </w:numPr>
        <w:spacing w:line="259" w:lineRule="auto"/>
        <w:rPr>
          <w:rFonts w:asciiTheme="minorHAnsi" w:eastAsiaTheme="minorHAnsi" w:hAnsiTheme="minorHAnsi" w:cstheme="minorBidi"/>
          <w:sz w:val="22"/>
          <w:szCs w:val="22"/>
          <w:lang w:val="en-CA"/>
        </w:rPr>
      </w:pPr>
      <w:r w:rsidRPr="00714032">
        <w:rPr>
          <w:rStyle w:val="Strong"/>
          <w:rFonts w:eastAsiaTheme="minorHAnsi" w:cstheme="minorHAnsi"/>
          <w:lang w:val="en-CA"/>
        </w:rPr>
        <w:t>Renewed Survey of Staffing</w:t>
      </w:r>
      <w:r w:rsidRPr="00714032">
        <w:rPr>
          <w:rFonts w:asciiTheme="minorHAnsi" w:eastAsiaTheme="minorHAnsi" w:hAnsiTheme="minorHAnsi" w:cstheme="minorBidi"/>
          <w:sz w:val="20"/>
          <w:szCs w:val="22"/>
          <w:lang w:val="en-CA"/>
        </w:rPr>
        <w:t xml:space="preserve"> </w:t>
      </w:r>
      <w:r w:rsidRPr="00714032">
        <w:rPr>
          <w:rFonts w:asciiTheme="minorHAnsi" w:eastAsiaTheme="minorHAnsi" w:hAnsiTheme="minorHAnsi" w:cstheme="minorBidi"/>
          <w:sz w:val="22"/>
          <w:szCs w:val="22"/>
          <w:lang w:val="en-CA"/>
        </w:rPr>
        <w:t>administered in alternating years with government-wide audit</w:t>
      </w:r>
    </w:p>
    <w:p w14:paraId="372135FA" w14:textId="77777777" w:rsidR="00151C0C" w:rsidRPr="00714032" w:rsidRDefault="00151C0C" w:rsidP="00151C0C">
      <w:pPr>
        <w:keepLines/>
        <w:numPr>
          <w:ilvl w:val="0"/>
          <w:numId w:val="17"/>
        </w:numPr>
        <w:spacing w:line="259" w:lineRule="auto"/>
        <w:rPr>
          <w:rFonts w:asciiTheme="minorHAnsi" w:eastAsiaTheme="minorHAnsi" w:hAnsiTheme="minorHAnsi" w:cstheme="minorBidi"/>
          <w:sz w:val="22"/>
          <w:szCs w:val="22"/>
          <w:lang w:val="en-CA"/>
        </w:rPr>
      </w:pPr>
      <w:r w:rsidRPr="00714032">
        <w:rPr>
          <w:rStyle w:val="Strong"/>
          <w:rFonts w:eastAsiaTheme="minorHAnsi" w:cstheme="minorHAnsi"/>
          <w:lang w:val="en-CA"/>
        </w:rPr>
        <w:t>System-wide effectiveness and efficiency reviews</w:t>
      </w:r>
      <w:r w:rsidRPr="00714032">
        <w:rPr>
          <w:rFonts w:asciiTheme="minorHAnsi" w:eastAsiaTheme="minorHAnsi" w:hAnsiTheme="minorHAnsi" w:cstheme="minorBidi"/>
          <w:sz w:val="20"/>
          <w:szCs w:val="22"/>
          <w:lang w:val="en-CA"/>
        </w:rPr>
        <w:t xml:space="preserve"> </w:t>
      </w:r>
      <w:r w:rsidRPr="00714032">
        <w:rPr>
          <w:rFonts w:asciiTheme="minorHAnsi" w:eastAsiaTheme="minorHAnsi" w:hAnsiTheme="minorHAnsi" w:cstheme="minorBidi"/>
          <w:sz w:val="22"/>
          <w:szCs w:val="22"/>
          <w:lang w:val="en-CA"/>
        </w:rPr>
        <w:t>to support continuous improvement</w:t>
      </w:r>
    </w:p>
    <w:p w14:paraId="102092A3" w14:textId="77777777" w:rsidR="00151C0C" w:rsidRPr="00714032" w:rsidRDefault="00151C0C" w:rsidP="00151C0C">
      <w:pPr>
        <w:keepLines/>
        <w:numPr>
          <w:ilvl w:val="0"/>
          <w:numId w:val="17"/>
        </w:numPr>
        <w:spacing w:line="259" w:lineRule="auto"/>
        <w:rPr>
          <w:rFonts w:asciiTheme="minorHAnsi" w:eastAsiaTheme="minorHAnsi" w:hAnsiTheme="minorHAnsi" w:cstheme="minorBidi"/>
          <w:sz w:val="22"/>
          <w:szCs w:val="22"/>
          <w:lang w:val="en-CA"/>
        </w:rPr>
      </w:pPr>
      <w:r w:rsidRPr="00714032">
        <w:rPr>
          <w:rStyle w:val="Strong"/>
          <w:rFonts w:eastAsiaTheme="minorHAnsi" w:cstheme="minorHAnsi"/>
          <w:lang w:val="en-CA"/>
        </w:rPr>
        <w:t>Targeted PSC audits</w:t>
      </w:r>
      <w:r w:rsidRPr="00714032">
        <w:rPr>
          <w:rFonts w:asciiTheme="minorHAnsi" w:eastAsiaTheme="minorHAnsi" w:hAnsiTheme="minorHAnsi" w:cstheme="minorBidi"/>
          <w:sz w:val="20"/>
          <w:szCs w:val="22"/>
          <w:lang w:val="en-CA"/>
        </w:rPr>
        <w:t xml:space="preserve"> </w:t>
      </w:r>
      <w:r w:rsidRPr="00714032">
        <w:rPr>
          <w:rFonts w:asciiTheme="minorHAnsi" w:eastAsiaTheme="minorHAnsi" w:hAnsiTheme="minorHAnsi" w:cstheme="minorBidi"/>
          <w:sz w:val="22"/>
          <w:szCs w:val="22"/>
          <w:lang w:val="en-CA"/>
        </w:rPr>
        <w:t>as a result of identified system-wide or organizational risks or at the deputy head request</w:t>
      </w:r>
    </w:p>
    <w:p w14:paraId="4CA63062" w14:textId="77777777" w:rsidR="00151C0C" w:rsidRPr="00714032" w:rsidRDefault="00151C0C" w:rsidP="00151C0C">
      <w:pPr>
        <w:keepLines/>
        <w:numPr>
          <w:ilvl w:val="0"/>
          <w:numId w:val="17"/>
        </w:numPr>
        <w:spacing w:after="320" w:line="259" w:lineRule="auto"/>
        <w:rPr>
          <w:rFonts w:asciiTheme="minorHAnsi" w:eastAsiaTheme="minorHAnsi" w:hAnsiTheme="minorHAnsi" w:cstheme="minorBidi"/>
          <w:sz w:val="22"/>
          <w:szCs w:val="22"/>
          <w:lang w:val="en-CA"/>
        </w:rPr>
      </w:pPr>
      <w:r w:rsidRPr="00714032">
        <w:rPr>
          <w:rStyle w:val="Strong"/>
          <w:rFonts w:eastAsiaTheme="minorHAnsi" w:cstheme="minorHAnsi"/>
          <w:lang w:val="en-CA"/>
        </w:rPr>
        <w:t>Investigations conducted</w:t>
      </w:r>
      <w:r w:rsidRPr="00714032">
        <w:rPr>
          <w:rFonts w:asciiTheme="minorHAnsi" w:eastAsiaTheme="minorHAnsi" w:hAnsiTheme="minorHAnsi" w:cstheme="minorBidi"/>
          <w:sz w:val="20"/>
          <w:szCs w:val="22"/>
          <w:lang w:val="en-CA"/>
        </w:rPr>
        <w:t xml:space="preserve"> </w:t>
      </w:r>
      <w:r w:rsidRPr="00714032">
        <w:rPr>
          <w:rFonts w:asciiTheme="minorHAnsi" w:eastAsiaTheme="minorHAnsi" w:hAnsiTheme="minorHAnsi" w:cstheme="minorBidi"/>
          <w:sz w:val="22"/>
          <w:szCs w:val="22"/>
          <w:lang w:val="en-CA"/>
        </w:rPr>
        <w:t>when there is a reason to believe there was political influence, fraud or improper conduct in an appointment process</w:t>
      </w:r>
    </w:p>
    <w:p w14:paraId="64F758B8" w14:textId="1E9B1025" w:rsidR="00AA6E5A" w:rsidRPr="005707A4" w:rsidRDefault="00151C0C" w:rsidP="00D700CA">
      <w:pPr>
        <w:keepLines/>
        <w:tabs>
          <w:tab w:val="center" w:pos="4680"/>
          <w:tab w:val="right" w:pos="9360"/>
        </w:tabs>
        <w:ind w:left="360"/>
        <w:rPr>
          <w:rFonts w:asciiTheme="minorHAnsi" w:eastAsiaTheme="minorHAnsi" w:hAnsiTheme="minorHAnsi" w:cstheme="minorBidi"/>
          <w:b/>
          <w:bCs/>
          <w:color w:val="0070C0"/>
          <w:sz w:val="22"/>
          <w:szCs w:val="22"/>
          <w:lang w:val="en-CA"/>
        </w:rPr>
      </w:pPr>
      <w:r w:rsidRPr="005707A4">
        <w:rPr>
          <w:rStyle w:val="Strong"/>
          <w:rFonts w:eastAsiaTheme="minorHAnsi" w:cstheme="minorHAnsi"/>
          <w:b w:val="0"/>
          <w:szCs w:val="22"/>
          <w:lang w:val="en-CA"/>
        </w:rPr>
        <w:t xml:space="preserve">This document should be read in conjunction with the </w:t>
      </w:r>
      <w:r w:rsidRPr="005707A4">
        <w:rPr>
          <w:rStyle w:val="Emphasis"/>
          <w:rFonts w:eastAsiaTheme="minorHAnsi"/>
          <w:sz w:val="22"/>
          <w:szCs w:val="22"/>
        </w:rPr>
        <w:t>Public Service Employment Act</w:t>
      </w:r>
      <w:r w:rsidRPr="005707A4">
        <w:rPr>
          <w:rStyle w:val="Strong"/>
          <w:rFonts w:eastAsiaTheme="minorHAnsi" w:cstheme="minorHAnsi"/>
          <w:b w:val="0"/>
          <w:szCs w:val="22"/>
          <w:lang w:val="en-CA"/>
        </w:rPr>
        <w:t xml:space="preserve">, the </w:t>
      </w:r>
      <w:r w:rsidRPr="005707A4">
        <w:rPr>
          <w:rStyle w:val="Emphasis"/>
          <w:rFonts w:eastAsiaTheme="minorHAnsi"/>
          <w:sz w:val="22"/>
          <w:szCs w:val="22"/>
        </w:rPr>
        <w:t>Public Service Employment Regulations</w:t>
      </w:r>
      <w:r w:rsidRPr="005707A4">
        <w:rPr>
          <w:rStyle w:val="Strong"/>
          <w:rFonts w:eastAsiaTheme="minorHAnsi" w:cstheme="minorHAnsi"/>
          <w:b w:val="0"/>
          <w:szCs w:val="22"/>
          <w:lang w:val="en-CA"/>
        </w:rPr>
        <w:t>, the PSC Appointment Policy and the PSC Appointment Delegation and Accountability Instrument.</w:t>
      </w:r>
    </w:p>
    <w:p w14:paraId="00138641" w14:textId="77777777" w:rsidR="00AA6E5A" w:rsidRPr="005707A4" w:rsidRDefault="00AA6E5A" w:rsidP="00AA6E5A">
      <w:pPr>
        <w:keepLines/>
        <w:tabs>
          <w:tab w:val="center" w:pos="4680"/>
          <w:tab w:val="right" w:pos="9360"/>
        </w:tabs>
        <w:ind w:left="360"/>
        <w:jc w:val="center"/>
        <w:rPr>
          <w:rFonts w:asciiTheme="minorHAnsi" w:eastAsiaTheme="minorHAnsi" w:hAnsiTheme="minorHAnsi" w:cstheme="minorBidi"/>
          <w:b/>
          <w:bCs/>
          <w:color w:val="0070C0"/>
          <w:sz w:val="22"/>
          <w:szCs w:val="22"/>
          <w:lang w:val="en-CA"/>
        </w:rPr>
        <w:sectPr w:rsidR="00AA6E5A" w:rsidRPr="005707A4" w:rsidSect="003F1018">
          <w:footnotePr>
            <w:numFmt w:val="lowerLetter"/>
          </w:footnotePr>
          <w:endnotePr>
            <w:numFmt w:val="lowerLetter"/>
          </w:endnotePr>
          <w:pgSz w:w="12240" w:h="15840" w:code="1"/>
          <w:pgMar w:top="1440" w:right="1440" w:bottom="1440" w:left="1440" w:header="284" w:footer="284" w:gutter="0"/>
          <w:cols w:space="720"/>
          <w:docGrid w:linePitch="326"/>
        </w:sectPr>
      </w:pPr>
    </w:p>
    <w:p w14:paraId="1F960F64" w14:textId="185A5B0E" w:rsidR="00C22E59" w:rsidRDefault="00C22E59" w:rsidP="00C22E59">
      <w:pPr>
        <w:pStyle w:val="Heading3"/>
        <w:jc w:val="right"/>
        <w:rPr>
          <w:rFonts w:eastAsia="Times New Roman"/>
          <w:noProof/>
          <w:lang w:val="en-CA" w:eastAsia="en-CA"/>
        </w:rPr>
      </w:pPr>
      <w:bookmarkStart w:id="1" w:name="Annex_B"/>
      <w:r>
        <w:rPr>
          <w:rFonts w:eastAsia="Times New Roman"/>
          <w:noProof/>
          <w:lang w:val="en-CA" w:eastAsia="en-CA"/>
        </w:rPr>
        <w:lastRenderedPageBreak/>
        <w:t>Annex B</w:t>
      </w:r>
    </w:p>
    <w:bookmarkEnd w:id="1"/>
    <w:p w14:paraId="25933D3D" w14:textId="77777777" w:rsidR="001E4E13" w:rsidRPr="001E4E13" w:rsidRDefault="001E4E13" w:rsidP="001E4E13">
      <w:pPr>
        <w:pStyle w:val="Heading1"/>
        <w:spacing w:before="120" w:after="120"/>
        <w:rPr>
          <w:noProof/>
          <w:sz w:val="40"/>
          <w:lang w:val="en-CA" w:eastAsia="en-CA"/>
        </w:rPr>
      </w:pPr>
      <w:r w:rsidRPr="001E4E13">
        <w:rPr>
          <w:rFonts w:eastAsia="Times New Roman"/>
          <w:noProof/>
          <w:sz w:val="40"/>
          <w:lang w:val="en-CA" w:eastAsia="en-CA"/>
        </w:rPr>
        <w:t>Population by tenure as of March 31</w:t>
      </w:r>
    </w:p>
    <w:p w14:paraId="1A4FA8E1" w14:textId="77777777" w:rsidR="001E4E13" w:rsidRDefault="00F679DE" w:rsidP="001E4E13">
      <w:pPr>
        <w:keepNext/>
        <w:tabs>
          <w:tab w:val="left" w:pos="7839"/>
        </w:tabs>
        <w:jc w:val="center"/>
      </w:pPr>
      <w:r>
        <w:rPr>
          <w:noProof/>
          <w:lang w:val="en-CA" w:eastAsia="en-CA"/>
        </w:rPr>
        <w:drawing>
          <wp:inline distT="0" distB="0" distL="0" distR="0" wp14:anchorId="723BEECC" wp14:editId="1D3F37BB">
            <wp:extent cx="5648400" cy="3049200"/>
            <wp:effectExtent l="0" t="0" r="9525" b="18415"/>
            <wp:docPr id="13" name="Chart 13" descr="Population by tenure as of March 3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BE6822" w14:textId="3427A526" w:rsidR="00F679DE" w:rsidRPr="001E4E13" w:rsidRDefault="001E4E13" w:rsidP="001E4E13">
      <w:pPr>
        <w:pStyle w:val="Caption"/>
        <w:spacing w:after="0"/>
        <w:jc w:val="center"/>
        <w:rPr>
          <w:rFonts w:asciiTheme="minorHAnsi" w:hAnsiTheme="minorHAnsi" w:cstheme="minorHAnsi"/>
          <w:i w:val="0"/>
          <w:noProof/>
          <w:color w:val="auto"/>
          <w:lang w:eastAsia="en-CA"/>
        </w:rPr>
      </w:pPr>
      <w:r w:rsidRPr="001E4E13">
        <w:rPr>
          <w:rFonts w:asciiTheme="minorHAnsi" w:hAnsiTheme="minorHAnsi" w:cstheme="minorHAnsi"/>
          <w:i w:val="0"/>
          <w:color w:val="auto"/>
        </w:rPr>
        <w:t xml:space="preserve">Figure </w:t>
      </w:r>
      <w:r w:rsidRPr="001E4E13">
        <w:rPr>
          <w:rFonts w:asciiTheme="minorHAnsi" w:hAnsiTheme="minorHAnsi" w:cstheme="minorHAnsi"/>
          <w:i w:val="0"/>
          <w:color w:val="auto"/>
        </w:rPr>
        <w:fldChar w:fldCharType="begin"/>
      </w:r>
      <w:r w:rsidRPr="001E4E13">
        <w:rPr>
          <w:rFonts w:asciiTheme="minorHAnsi" w:hAnsiTheme="minorHAnsi" w:cstheme="minorHAnsi"/>
          <w:i w:val="0"/>
          <w:color w:val="auto"/>
        </w:rPr>
        <w:instrText xml:space="preserve"> SEQ Figure \* ARABIC </w:instrText>
      </w:r>
      <w:r w:rsidRPr="001E4E13">
        <w:rPr>
          <w:rFonts w:asciiTheme="minorHAnsi" w:hAnsiTheme="minorHAnsi" w:cstheme="minorHAnsi"/>
          <w:i w:val="0"/>
          <w:color w:val="auto"/>
        </w:rPr>
        <w:fldChar w:fldCharType="separate"/>
      </w:r>
      <w:r w:rsidR="00C22E59">
        <w:rPr>
          <w:rFonts w:asciiTheme="minorHAnsi" w:hAnsiTheme="minorHAnsi" w:cstheme="minorHAnsi"/>
          <w:i w:val="0"/>
          <w:noProof/>
          <w:color w:val="auto"/>
        </w:rPr>
        <w:t>1</w:t>
      </w:r>
      <w:r w:rsidRPr="001E4E13">
        <w:rPr>
          <w:rFonts w:asciiTheme="minorHAnsi" w:hAnsiTheme="minorHAnsi" w:cstheme="minorHAnsi"/>
          <w:i w:val="0"/>
          <w:color w:val="auto"/>
        </w:rPr>
        <w:fldChar w:fldCharType="end"/>
      </w:r>
      <w:r w:rsidRPr="001E4E13">
        <w:rPr>
          <w:rFonts w:asciiTheme="minorHAnsi" w:hAnsiTheme="minorHAnsi" w:cstheme="minorHAnsi"/>
          <w:i w:val="0"/>
          <w:color w:val="auto"/>
        </w:rPr>
        <w:t xml:space="preserve"> - Population by tenure as of March 31</w:t>
      </w:r>
    </w:p>
    <w:p w14:paraId="527B0B10" w14:textId="68112CB4" w:rsidR="001E4E13" w:rsidRPr="001E4E13" w:rsidRDefault="001E4E13" w:rsidP="001E4E13">
      <w:pPr>
        <w:pStyle w:val="Caption"/>
        <w:keepNext/>
        <w:spacing w:before="240" w:after="0"/>
        <w:jc w:val="center"/>
        <w:rPr>
          <w:rFonts w:asciiTheme="minorHAnsi" w:hAnsiTheme="minorHAnsi" w:cstheme="minorHAnsi"/>
          <w:i w:val="0"/>
          <w:color w:val="auto"/>
        </w:rPr>
      </w:pPr>
      <w:r w:rsidRPr="001E4E13">
        <w:rPr>
          <w:rFonts w:asciiTheme="minorHAnsi" w:hAnsiTheme="minorHAnsi" w:cstheme="minorHAnsi"/>
          <w:i w:val="0"/>
          <w:color w:val="auto"/>
        </w:rPr>
        <w:t xml:space="preserve">Table </w:t>
      </w:r>
      <w:r w:rsidRPr="001E4E13">
        <w:rPr>
          <w:rFonts w:asciiTheme="minorHAnsi" w:hAnsiTheme="minorHAnsi" w:cstheme="minorHAnsi"/>
          <w:i w:val="0"/>
          <w:color w:val="auto"/>
        </w:rPr>
        <w:fldChar w:fldCharType="begin"/>
      </w:r>
      <w:r w:rsidRPr="001E4E13">
        <w:rPr>
          <w:rFonts w:asciiTheme="minorHAnsi" w:hAnsiTheme="minorHAnsi" w:cstheme="minorHAnsi"/>
          <w:i w:val="0"/>
          <w:color w:val="auto"/>
        </w:rPr>
        <w:instrText xml:space="preserve"> SEQ Table \* ARABIC </w:instrText>
      </w:r>
      <w:r w:rsidRPr="001E4E13">
        <w:rPr>
          <w:rFonts w:asciiTheme="minorHAnsi" w:hAnsiTheme="minorHAnsi" w:cstheme="minorHAnsi"/>
          <w:i w:val="0"/>
          <w:color w:val="auto"/>
        </w:rPr>
        <w:fldChar w:fldCharType="separate"/>
      </w:r>
      <w:r w:rsidR="00B76E9C">
        <w:rPr>
          <w:rFonts w:asciiTheme="minorHAnsi" w:hAnsiTheme="minorHAnsi" w:cstheme="minorHAnsi"/>
          <w:i w:val="0"/>
          <w:noProof/>
          <w:color w:val="auto"/>
        </w:rPr>
        <w:t>4</w:t>
      </w:r>
      <w:r w:rsidRPr="001E4E13">
        <w:rPr>
          <w:rFonts w:asciiTheme="minorHAnsi" w:hAnsiTheme="minorHAnsi" w:cstheme="minorHAnsi"/>
          <w:i w:val="0"/>
          <w:color w:val="auto"/>
        </w:rPr>
        <w:fldChar w:fldCharType="end"/>
      </w:r>
      <w:r w:rsidRPr="001E4E13">
        <w:rPr>
          <w:rFonts w:asciiTheme="minorHAnsi" w:hAnsiTheme="minorHAnsi" w:cstheme="minorHAnsi"/>
          <w:i w:val="0"/>
          <w:color w:val="auto"/>
        </w:rPr>
        <w:t xml:space="preserve"> - </w:t>
      </w:r>
      <w:r w:rsidRPr="001E4E13">
        <w:rPr>
          <w:rStyle w:val="Emphasis"/>
          <w:i/>
        </w:rPr>
        <w:t>Public Service Employment Act</w:t>
      </w:r>
      <w:r w:rsidRPr="001E4E13">
        <w:rPr>
          <w:rFonts w:asciiTheme="minorHAnsi" w:hAnsiTheme="minorHAnsi" w:cstheme="minorHAnsi"/>
          <w:i w:val="0"/>
          <w:color w:val="auto"/>
        </w:rPr>
        <w:t xml:space="preserve"> population by tenure as of March 31</w:t>
      </w:r>
    </w:p>
    <w:tbl>
      <w:tblPr>
        <w:tblStyle w:val="TableGrid"/>
        <w:tblW w:w="5000" w:type="pct"/>
        <w:jc w:val="center"/>
        <w:tblLook w:val="0020" w:firstRow="1" w:lastRow="0" w:firstColumn="0" w:lastColumn="0" w:noHBand="0" w:noVBand="0"/>
        <w:tblDescription w:val="Population by tenure as of March 31 from 2014 to 2019"/>
      </w:tblPr>
      <w:tblGrid>
        <w:gridCol w:w="2262"/>
        <w:gridCol w:w="2835"/>
        <w:gridCol w:w="2268"/>
        <w:gridCol w:w="2412"/>
        <w:gridCol w:w="2524"/>
        <w:gridCol w:w="2089"/>
      </w:tblGrid>
      <w:tr w:rsidR="00F679DE" w:rsidRPr="00906821" w14:paraId="04903076" w14:textId="77777777" w:rsidTr="00B31669">
        <w:trPr>
          <w:cantSplit/>
          <w:trHeight w:val="290"/>
          <w:tblHeader/>
          <w:jc w:val="center"/>
        </w:trPr>
        <w:tc>
          <w:tcPr>
            <w:tcW w:w="786" w:type="pct"/>
          </w:tcPr>
          <w:p w14:paraId="4DB28592" w14:textId="77777777" w:rsidR="00F679DE" w:rsidRPr="00A56930" w:rsidRDefault="00F679DE" w:rsidP="001E4E13">
            <w:pPr>
              <w:pStyle w:val="TableTitle"/>
            </w:pPr>
            <w:r w:rsidRPr="00A56930">
              <w:t xml:space="preserve"> Year</w:t>
            </w:r>
          </w:p>
        </w:tc>
        <w:tc>
          <w:tcPr>
            <w:tcW w:w="985" w:type="pct"/>
          </w:tcPr>
          <w:p w14:paraId="258D1661" w14:textId="2C4261A9" w:rsidR="00F679DE" w:rsidRPr="00A56930" w:rsidRDefault="00F679DE" w:rsidP="001E4E13">
            <w:pPr>
              <w:pStyle w:val="TableTitle"/>
            </w:pPr>
            <w:r w:rsidRPr="00A56930">
              <w:t>Indeterminate</w:t>
            </w:r>
            <w:r w:rsidR="001E4E13">
              <w:t xml:space="preserve"> </w:t>
            </w:r>
            <w:r>
              <w:t>population</w:t>
            </w:r>
          </w:p>
        </w:tc>
        <w:tc>
          <w:tcPr>
            <w:tcW w:w="788" w:type="pct"/>
          </w:tcPr>
          <w:p w14:paraId="115D6919" w14:textId="4F37CAF5" w:rsidR="00F679DE" w:rsidRPr="00A56930" w:rsidRDefault="00F679DE" w:rsidP="001E4E13">
            <w:pPr>
              <w:pStyle w:val="TableTitle"/>
            </w:pPr>
            <w:r w:rsidRPr="00A56930">
              <w:t>Term</w:t>
            </w:r>
            <w:r w:rsidR="001E4E13">
              <w:t xml:space="preserve"> </w:t>
            </w:r>
            <w:r>
              <w:t xml:space="preserve">population </w:t>
            </w:r>
          </w:p>
        </w:tc>
        <w:tc>
          <w:tcPr>
            <w:tcW w:w="838" w:type="pct"/>
          </w:tcPr>
          <w:p w14:paraId="5408F669" w14:textId="44A8A572" w:rsidR="00F679DE" w:rsidRPr="00A56930" w:rsidRDefault="00F679DE" w:rsidP="001E4E13">
            <w:pPr>
              <w:pStyle w:val="TableTitle"/>
            </w:pPr>
            <w:r w:rsidRPr="00A56930">
              <w:t>Casual</w:t>
            </w:r>
            <w:r w:rsidR="001E4E13">
              <w:t xml:space="preserve"> </w:t>
            </w:r>
            <w:r>
              <w:t>population</w:t>
            </w:r>
          </w:p>
        </w:tc>
        <w:tc>
          <w:tcPr>
            <w:tcW w:w="877" w:type="pct"/>
          </w:tcPr>
          <w:p w14:paraId="54D5A22B" w14:textId="4663BD33" w:rsidR="00F679DE" w:rsidRPr="00A56930" w:rsidRDefault="00F679DE" w:rsidP="001E4E13">
            <w:pPr>
              <w:pStyle w:val="TableTitle"/>
            </w:pPr>
            <w:r w:rsidRPr="00A56930">
              <w:t>Student</w:t>
            </w:r>
            <w:r w:rsidR="001E4E13">
              <w:t xml:space="preserve"> </w:t>
            </w:r>
            <w:r>
              <w:t>population</w:t>
            </w:r>
          </w:p>
        </w:tc>
        <w:tc>
          <w:tcPr>
            <w:tcW w:w="726" w:type="pct"/>
          </w:tcPr>
          <w:p w14:paraId="00317633" w14:textId="46F6FD70" w:rsidR="00F679DE" w:rsidRPr="00A56930" w:rsidRDefault="00F679DE" w:rsidP="001E4E13">
            <w:pPr>
              <w:pStyle w:val="TableTitle"/>
            </w:pPr>
            <w:r w:rsidRPr="00A56930">
              <w:t>Total</w:t>
            </w:r>
            <w:r w:rsidR="001E4E13">
              <w:t xml:space="preserve"> </w:t>
            </w:r>
            <w:r>
              <w:t>population</w:t>
            </w:r>
          </w:p>
        </w:tc>
      </w:tr>
      <w:tr w:rsidR="00F679DE" w:rsidRPr="001E4E13" w14:paraId="11C4EA2F" w14:textId="77777777" w:rsidTr="00B31669">
        <w:trPr>
          <w:cantSplit/>
          <w:trHeight w:val="290"/>
          <w:tblHeader/>
          <w:jc w:val="center"/>
        </w:trPr>
        <w:tc>
          <w:tcPr>
            <w:tcW w:w="786" w:type="pct"/>
          </w:tcPr>
          <w:p w14:paraId="2A9FDF9C" w14:textId="77777777" w:rsidR="00F679DE" w:rsidRPr="001E4E13" w:rsidRDefault="00F679DE" w:rsidP="001E4E13">
            <w:pPr>
              <w:autoSpaceDE w:val="0"/>
              <w:autoSpaceDN w:val="0"/>
              <w:adjustRightInd w:val="0"/>
              <w:rPr>
                <w:rFonts w:asciiTheme="minorHAnsi" w:hAnsiTheme="minorHAnsi" w:cstheme="minorHAnsi"/>
                <w:color w:val="000000"/>
                <w:sz w:val="22"/>
                <w:szCs w:val="24"/>
              </w:rPr>
            </w:pPr>
            <w:r w:rsidRPr="001E4E13">
              <w:rPr>
                <w:rFonts w:asciiTheme="minorHAnsi" w:hAnsiTheme="minorHAnsi" w:cstheme="minorHAnsi"/>
                <w:color w:val="000000"/>
                <w:sz w:val="22"/>
                <w:szCs w:val="24"/>
              </w:rPr>
              <w:t>As of March 31, 2014</w:t>
            </w:r>
          </w:p>
        </w:tc>
        <w:tc>
          <w:tcPr>
            <w:tcW w:w="985" w:type="pct"/>
          </w:tcPr>
          <w:p w14:paraId="5252231F"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936</w:t>
            </w:r>
          </w:p>
        </w:tc>
        <w:tc>
          <w:tcPr>
            <w:tcW w:w="788" w:type="pct"/>
          </w:tcPr>
          <w:p w14:paraId="341A3FCE"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25</w:t>
            </w:r>
          </w:p>
        </w:tc>
        <w:tc>
          <w:tcPr>
            <w:tcW w:w="838" w:type="pct"/>
          </w:tcPr>
          <w:p w14:paraId="6E0E9468"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61</w:t>
            </w:r>
          </w:p>
        </w:tc>
        <w:tc>
          <w:tcPr>
            <w:tcW w:w="877" w:type="pct"/>
          </w:tcPr>
          <w:p w14:paraId="40603A10"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32</w:t>
            </w:r>
          </w:p>
        </w:tc>
        <w:tc>
          <w:tcPr>
            <w:tcW w:w="726" w:type="pct"/>
          </w:tcPr>
          <w:p w14:paraId="46A06163"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1 054</w:t>
            </w:r>
          </w:p>
        </w:tc>
      </w:tr>
      <w:tr w:rsidR="00F679DE" w:rsidRPr="001E4E13" w14:paraId="360687FF" w14:textId="77777777" w:rsidTr="00B31669">
        <w:trPr>
          <w:cantSplit/>
          <w:trHeight w:val="290"/>
          <w:tblHeader/>
          <w:jc w:val="center"/>
        </w:trPr>
        <w:tc>
          <w:tcPr>
            <w:tcW w:w="786" w:type="pct"/>
          </w:tcPr>
          <w:p w14:paraId="4A58D109" w14:textId="77777777" w:rsidR="00F679DE" w:rsidRPr="001E4E13" w:rsidRDefault="00F679DE" w:rsidP="001E4E13">
            <w:pPr>
              <w:autoSpaceDE w:val="0"/>
              <w:autoSpaceDN w:val="0"/>
              <w:adjustRightInd w:val="0"/>
              <w:rPr>
                <w:rFonts w:asciiTheme="minorHAnsi" w:hAnsiTheme="minorHAnsi" w:cstheme="minorHAnsi"/>
                <w:color w:val="000000"/>
                <w:sz w:val="22"/>
                <w:szCs w:val="24"/>
              </w:rPr>
            </w:pPr>
            <w:r w:rsidRPr="001E4E13">
              <w:rPr>
                <w:rFonts w:asciiTheme="minorHAnsi" w:hAnsiTheme="minorHAnsi" w:cstheme="minorHAnsi"/>
                <w:color w:val="000000"/>
                <w:sz w:val="22"/>
                <w:szCs w:val="24"/>
              </w:rPr>
              <w:t>As of March 31, 2015</w:t>
            </w:r>
          </w:p>
        </w:tc>
        <w:tc>
          <w:tcPr>
            <w:tcW w:w="985" w:type="pct"/>
          </w:tcPr>
          <w:p w14:paraId="4C581671"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844</w:t>
            </w:r>
          </w:p>
        </w:tc>
        <w:tc>
          <w:tcPr>
            <w:tcW w:w="788" w:type="pct"/>
          </w:tcPr>
          <w:p w14:paraId="6A61D486"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17</w:t>
            </w:r>
          </w:p>
        </w:tc>
        <w:tc>
          <w:tcPr>
            <w:tcW w:w="838" w:type="pct"/>
          </w:tcPr>
          <w:p w14:paraId="462312F6"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74</w:t>
            </w:r>
          </w:p>
        </w:tc>
        <w:tc>
          <w:tcPr>
            <w:tcW w:w="877" w:type="pct"/>
          </w:tcPr>
          <w:p w14:paraId="4A9B51FD"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41</w:t>
            </w:r>
          </w:p>
        </w:tc>
        <w:tc>
          <w:tcPr>
            <w:tcW w:w="726" w:type="pct"/>
          </w:tcPr>
          <w:p w14:paraId="43A542F5"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976</w:t>
            </w:r>
          </w:p>
        </w:tc>
      </w:tr>
      <w:tr w:rsidR="00F679DE" w:rsidRPr="001E4E13" w14:paraId="2CFE8E0C" w14:textId="77777777" w:rsidTr="00B31669">
        <w:trPr>
          <w:cantSplit/>
          <w:trHeight w:val="290"/>
          <w:tblHeader/>
          <w:jc w:val="center"/>
        </w:trPr>
        <w:tc>
          <w:tcPr>
            <w:tcW w:w="786" w:type="pct"/>
          </w:tcPr>
          <w:p w14:paraId="339C170E" w14:textId="77777777" w:rsidR="00F679DE" w:rsidRPr="001E4E13" w:rsidRDefault="00F679DE" w:rsidP="001E4E13">
            <w:pPr>
              <w:autoSpaceDE w:val="0"/>
              <w:autoSpaceDN w:val="0"/>
              <w:adjustRightInd w:val="0"/>
              <w:rPr>
                <w:rFonts w:asciiTheme="minorHAnsi" w:hAnsiTheme="minorHAnsi" w:cstheme="minorHAnsi"/>
                <w:color w:val="000000"/>
                <w:sz w:val="22"/>
                <w:szCs w:val="24"/>
              </w:rPr>
            </w:pPr>
            <w:r w:rsidRPr="001E4E13">
              <w:rPr>
                <w:rFonts w:asciiTheme="minorHAnsi" w:hAnsiTheme="minorHAnsi" w:cstheme="minorHAnsi"/>
                <w:color w:val="000000"/>
                <w:sz w:val="22"/>
                <w:szCs w:val="24"/>
              </w:rPr>
              <w:t>As of March 31, 2016</w:t>
            </w:r>
          </w:p>
        </w:tc>
        <w:tc>
          <w:tcPr>
            <w:tcW w:w="985" w:type="pct"/>
          </w:tcPr>
          <w:p w14:paraId="062D50A0"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910</w:t>
            </w:r>
          </w:p>
        </w:tc>
        <w:tc>
          <w:tcPr>
            <w:tcW w:w="788" w:type="pct"/>
          </w:tcPr>
          <w:p w14:paraId="137ACA1E"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30</w:t>
            </w:r>
          </w:p>
        </w:tc>
        <w:tc>
          <w:tcPr>
            <w:tcW w:w="838" w:type="pct"/>
          </w:tcPr>
          <w:p w14:paraId="68A89904"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111</w:t>
            </w:r>
          </w:p>
        </w:tc>
        <w:tc>
          <w:tcPr>
            <w:tcW w:w="877" w:type="pct"/>
          </w:tcPr>
          <w:p w14:paraId="27033088"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68</w:t>
            </w:r>
          </w:p>
        </w:tc>
        <w:tc>
          <w:tcPr>
            <w:tcW w:w="726" w:type="pct"/>
          </w:tcPr>
          <w:p w14:paraId="40699178"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1 119</w:t>
            </w:r>
          </w:p>
        </w:tc>
      </w:tr>
      <w:tr w:rsidR="00F679DE" w:rsidRPr="001E4E13" w14:paraId="060ED499" w14:textId="77777777" w:rsidTr="00B31669">
        <w:trPr>
          <w:cantSplit/>
          <w:trHeight w:val="290"/>
          <w:tblHeader/>
          <w:jc w:val="center"/>
        </w:trPr>
        <w:tc>
          <w:tcPr>
            <w:tcW w:w="786" w:type="pct"/>
          </w:tcPr>
          <w:p w14:paraId="3C9C39F3" w14:textId="77777777" w:rsidR="00F679DE" w:rsidRPr="001E4E13" w:rsidRDefault="00F679DE" w:rsidP="001E4E13">
            <w:pPr>
              <w:autoSpaceDE w:val="0"/>
              <w:autoSpaceDN w:val="0"/>
              <w:adjustRightInd w:val="0"/>
              <w:rPr>
                <w:rFonts w:asciiTheme="minorHAnsi" w:hAnsiTheme="minorHAnsi" w:cstheme="minorHAnsi"/>
                <w:color w:val="000000"/>
                <w:sz w:val="22"/>
                <w:szCs w:val="24"/>
              </w:rPr>
            </w:pPr>
            <w:r w:rsidRPr="001E4E13">
              <w:rPr>
                <w:rFonts w:asciiTheme="minorHAnsi" w:hAnsiTheme="minorHAnsi" w:cstheme="minorHAnsi"/>
                <w:color w:val="000000"/>
                <w:sz w:val="22"/>
                <w:szCs w:val="24"/>
              </w:rPr>
              <w:t>As of March 31, 2017</w:t>
            </w:r>
          </w:p>
        </w:tc>
        <w:tc>
          <w:tcPr>
            <w:tcW w:w="985" w:type="pct"/>
          </w:tcPr>
          <w:p w14:paraId="50680614"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953</w:t>
            </w:r>
          </w:p>
        </w:tc>
        <w:tc>
          <w:tcPr>
            <w:tcW w:w="788" w:type="pct"/>
          </w:tcPr>
          <w:p w14:paraId="41BE0F32"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46</w:t>
            </w:r>
          </w:p>
        </w:tc>
        <w:tc>
          <w:tcPr>
            <w:tcW w:w="838" w:type="pct"/>
          </w:tcPr>
          <w:p w14:paraId="3359DA84"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109</w:t>
            </w:r>
          </w:p>
        </w:tc>
        <w:tc>
          <w:tcPr>
            <w:tcW w:w="877" w:type="pct"/>
          </w:tcPr>
          <w:p w14:paraId="1920BC44"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62</w:t>
            </w:r>
          </w:p>
        </w:tc>
        <w:tc>
          <w:tcPr>
            <w:tcW w:w="726" w:type="pct"/>
          </w:tcPr>
          <w:p w14:paraId="17E34D07"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1 170</w:t>
            </w:r>
          </w:p>
        </w:tc>
      </w:tr>
      <w:tr w:rsidR="00F679DE" w:rsidRPr="001E4E13" w14:paraId="6B577B8C" w14:textId="77777777" w:rsidTr="00B31669">
        <w:trPr>
          <w:cantSplit/>
          <w:trHeight w:val="290"/>
          <w:tblHeader/>
          <w:jc w:val="center"/>
        </w:trPr>
        <w:tc>
          <w:tcPr>
            <w:tcW w:w="786" w:type="pct"/>
          </w:tcPr>
          <w:p w14:paraId="01FE96E7" w14:textId="77777777" w:rsidR="00F679DE" w:rsidRPr="001E4E13" w:rsidRDefault="00F679DE" w:rsidP="001E4E13">
            <w:pPr>
              <w:autoSpaceDE w:val="0"/>
              <w:autoSpaceDN w:val="0"/>
              <w:adjustRightInd w:val="0"/>
              <w:rPr>
                <w:rFonts w:asciiTheme="minorHAnsi" w:hAnsiTheme="minorHAnsi" w:cstheme="minorHAnsi"/>
                <w:color w:val="000000"/>
                <w:sz w:val="22"/>
                <w:szCs w:val="24"/>
              </w:rPr>
            </w:pPr>
            <w:r w:rsidRPr="001E4E13">
              <w:rPr>
                <w:rFonts w:asciiTheme="minorHAnsi" w:hAnsiTheme="minorHAnsi" w:cstheme="minorHAnsi"/>
                <w:color w:val="000000"/>
                <w:sz w:val="22"/>
                <w:szCs w:val="24"/>
              </w:rPr>
              <w:t>As of March 31, 2018</w:t>
            </w:r>
          </w:p>
        </w:tc>
        <w:tc>
          <w:tcPr>
            <w:tcW w:w="985" w:type="pct"/>
          </w:tcPr>
          <w:p w14:paraId="1EEFBA91"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999</w:t>
            </w:r>
          </w:p>
        </w:tc>
        <w:tc>
          <w:tcPr>
            <w:tcW w:w="788" w:type="pct"/>
          </w:tcPr>
          <w:p w14:paraId="6DD50B51"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45</w:t>
            </w:r>
          </w:p>
        </w:tc>
        <w:tc>
          <w:tcPr>
            <w:tcW w:w="838" w:type="pct"/>
          </w:tcPr>
          <w:p w14:paraId="21200D93"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109</w:t>
            </w:r>
          </w:p>
        </w:tc>
        <w:tc>
          <w:tcPr>
            <w:tcW w:w="877" w:type="pct"/>
          </w:tcPr>
          <w:p w14:paraId="65B590A6"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65</w:t>
            </w:r>
          </w:p>
        </w:tc>
        <w:tc>
          <w:tcPr>
            <w:tcW w:w="726" w:type="pct"/>
          </w:tcPr>
          <w:p w14:paraId="017B1EC1"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1 218</w:t>
            </w:r>
          </w:p>
        </w:tc>
      </w:tr>
      <w:tr w:rsidR="00F679DE" w:rsidRPr="001E4E13" w14:paraId="682D376E" w14:textId="77777777" w:rsidTr="00B31669">
        <w:trPr>
          <w:cantSplit/>
          <w:trHeight w:val="290"/>
          <w:tblHeader/>
          <w:jc w:val="center"/>
        </w:trPr>
        <w:tc>
          <w:tcPr>
            <w:tcW w:w="786" w:type="pct"/>
          </w:tcPr>
          <w:p w14:paraId="162B94DC" w14:textId="77777777" w:rsidR="00F679DE" w:rsidRPr="001E4E13" w:rsidRDefault="00F679DE" w:rsidP="001E4E13">
            <w:pPr>
              <w:autoSpaceDE w:val="0"/>
              <w:autoSpaceDN w:val="0"/>
              <w:adjustRightInd w:val="0"/>
              <w:rPr>
                <w:rFonts w:asciiTheme="minorHAnsi" w:hAnsiTheme="minorHAnsi" w:cstheme="minorHAnsi"/>
                <w:color w:val="000000"/>
                <w:sz w:val="22"/>
                <w:szCs w:val="24"/>
              </w:rPr>
            </w:pPr>
            <w:r w:rsidRPr="001E4E13">
              <w:rPr>
                <w:rFonts w:asciiTheme="minorHAnsi" w:hAnsiTheme="minorHAnsi" w:cstheme="minorHAnsi"/>
                <w:color w:val="000000"/>
                <w:sz w:val="22"/>
                <w:szCs w:val="24"/>
              </w:rPr>
              <w:t>As of March 31, 2019</w:t>
            </w:r>
          </w:p>
        </w:tc>
        <w:tc>
          <w:tcPr>
            <w:tcW w:w="985" w:type="pct"/>
          </w:tcPr>
          <w:p w14:paraId="20FA89A0"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1 087</w:t>
            </w:r>
          </w:p>
        </w:tc>
        <w:tc>
          <w:tcPr>
            <w:tcW w:w="788" w:type="pct"/>
          </w:tcPr>
          <w:p w14:paraId="467E8076"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69</w:t>
            </w:r>
          </w:p>
        </w:tc>
        <w:tc>
          <w:tcPr>
            <w:tcW w:w="838" w:type="pct"/>
          </w:tcPr>
          <w:p w14:paraId="7E1317B0"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122</w:t>
            </w:r>
          </w:p>
        </w:tc>
        <w:tc>
          <w:tcPr>
            <w:tcW w:w="877" w:type="pct"/>
          </w:tcPr>
          <w:p w14:paraId="3D80BF90"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56</w:t>
            </w:r>
          </w:p>
        </w:tc>
        <w:tc>
          <w:tcPr>
            <w:tcW w:w="726" w:type="pct"/>
          </w:tcPr>
          <w:p w14:paraId="0F41BE46" w14:textId="77777777" w:rsidR="00F679DE" w:rsidRPr="001E4E13" w:rsidRDefault="00F679DE" w:rsidP="00F679DE">
            <w:pPr>
              <w:autoSpaceDE w:val="0"/>
              <w:autoSpaceDN w:val="0"/>
              <w:adjustRightInd w:val="0"/>
              <w:jc w:val="center"/>
              <w:rPr>
                <w:rFonts w:asciiTheme="minorHAnsi" w:hAnsiTheme="minorHAnsi" w:cstheme="minorHAnsi"/>
                <w:color w:val="000000"/>
                <w:sz w:val="22"/>
                <w:szCs w:val="24"/>
              </w:rPr>
            </w:pPr>
            <w:r w:rsidRPr="001E4E13">
              <w:rPr>
                <w:rFonts w:asciiTheme="minorHAnsi" w:hAnsiTheme="minorHAnsi" w:cstheme="minorHAnsi"/>
                <w:color w:val="000000"/>
                <w:sz w:val="22"/>
                <w:szCs w:val="24"/>
              </w:rPr>
              <w:t>1 334</w:t>
            </w:r>
          </w:p>
        </w:tc>
      </w:tr>
    </w:tbl>
    <w:p w14:paraId="486A1E50" w14:textId="77777777" w:rsidR="00F679DE" w:rsidRDefault="00F679DE" w:rsidP="00F679DE">
      <w:pPr>
        <w:tabs>
          <w:tab w:val="left" w:pos="7839"/>
        </w:tabs>
        <w:rPr>
          <w:noProof/>
          <w:lang w:eastAsia="en-CA"/>
        </w:rPr>
      </w:pPr>
    </w:p>
    <w:p w14:paraId="34855A22" w14:textId="77777777" w:rsidR="00F679DE" w:rsidRDefault="00F679DE" w:rsidP="00F679DE">
      <w:pPr>
        <w:tabs>
          <w:tab w:val="left" w:pos="7839"/>
        </w:tabs>
        <w:rPr>
          <w:noProof/>
          <w:lang w:eastAsia="en-CA"/>
        </w:rPr>
        <w:sectPr w:rsidR="00F679DE" w:rsidSect="00F679DE">
          <w:headerReference w:type="default" r:id="rId15"/>
          <w:footerReference w:type="even" r:id="rId16"/>
          <w:headerReference w:type="first" r:id="rId17"/>
          <w:footerReference w:type="first" r:id="rId18"/>
          <w:pgSz w:w="15840" w:h="12240" w:orient="landscape"/>
          <w:pgMar w:top="1025" w:right="720" w:bottom="720" w:left="720" w:header="708" w:footer="708" w:gutter="0"/>
          <w:cols w:space="708"/>
          <w:titlePg/>
          <w:docGrid w:linePitch="360"/>
        </w:sectPr>
      </w:pPr>
    </w:p>
    <w:p w14:paraId="2A19B82F" w14:textId="0A14C0C4" w:rsidR="00F679DE" w:rsidRPr="007B05F0" w:rsidRDefault="007B05F0" w:rsidP="007B05F0">
      <w:pPr>
        <w:pStyle w:val="Heading1"/>
        <w:spacing w:before="120" w:after="120"/>
        <w:rPr>
          <w:noProof/>
          <w:sz w:val="40"/>
          <w:lang w:eastAsia="en-CA"/>
        </w:rPr>
      </w:pPr>
      <w:r w:rsidRPr="007B05F0">
        <w:rPr>
          <w:noProof/>
          <w:sz w:val="40"/>
          <w:lang w:eastAsia="en-CA"/>
        </w:rPr>
        <w:lastRenderedPageBreak/>
        <w:t>Population by language requirements as of March 31, 2019</w:t>
      </w:r>
    </w:p>
    <w:p w14:paraId="1F0CD13A" w14:textId="77777777" w:rsidR="007B05F0" w:rsidRDefault="00F679DE" w:rsidP="007B05F0">
      <w:pPr>
        <w:keepNext/>
        <w:tabs>
          <w:tab w:val="left" w:pos="7839"/>
        </w:tabs>
        <w:jc w:val="center"/>
      </w:pPr>
      <w:r>
        <w:rPr>
          <w:noProof/>
          <w:lang w:val="en-CA" w:eastAsia="en-CA"/>
        </w:rPr>
        <w:drawing>
          <wp:inline distT="0" distB="0" distL="0" distR="0" wp14:anchorId="2D712397" wp14:editId="5B7E9B6A">
            <wp:extent cx="1980000" cy="3020400"/>
            <wp:effectExtent l="0" t="0" r="1270" b="8890"/>
            <wp:docPr id="8" name="Chart 8" descr="Population by language requirements as of March 31,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68387B" w14:textId="418E3D3D" w:rsidR="00F679DE" w:rsidRPr="007B05F0" w:rsidRDefault="007B05F0" w:rsidP="007B05F0">
      <w:pPr>
        <w:pStyle w:val="Caption"/>
        <w:spacing w:after="0"/>
        <w:jc w:val="center"/>
        <w:rPr>
          <w:rFonts w:asciiTheme="minorHAnsi" w:hAnsiTheme="minorHAnsi" w:cstheme="minorHAnsi"/>
          <w:i w:val="0"/>
          <w:noProof/>
          <w:color w:val="auto"/>
          <w:lang w:eastAsia="en-CA"/>
        </w:rPr>
      </w:pPr>
      <w:r w:rsidRPr="007B05F0">
        <w:rPr>
          <w:rFonts w:asciiTheme="minorHAnsi" w:hAnsiTheme="minorHAnsi" w:cstheme="minorHAnsi"/>
          <w:i w:val="0"/>
          <w:color w:val="auto"/>
        </w:rPr>
        <w:t xml:space="preserve">Figure </w:t>
      </w:r>
      <w:r w:rsidRPr="007B05F0">
        <w:rPr>
          <w:rFonts w:asciiTheme="minorHAnsi" w:hAnsiTheme="minorHAnsi" w:cstheme="minorHAnsi"/>
          <w:i w:val="0"/>
          <w:color w:val="auto"/>
        </w:rPr>
        <w:fldChar w:fldCharType="begin"/>
      </w:r>
      <w:r w:rsidRPr="007B05F0">
        <w:rPr>
          <w:rFonts w:asciiTheme="minorHAnsi" w:hAnsiTheme="minorHAnsi" w:cstheme="minorHAnsi"/>
          <w:i w:val="0"/>
          <w:color w:val="auto"/>
        </w:rPr>
        <w:instrText xml:space="preserve"> SEQ Figure \* ARABIC </w:instrText>
      </w:r>
      <w:r w:rsidRPr="007B05F0">
        <w:rPr>
          <w:rFonts w:asciiTheme="minorHAnsi" w:hAnsiTheme="minorHAnsi" w:cstheme="minorHAnsi"/>
          <w:i w:val="0"/>
          <w:color w:val="auto"/>
        </w:rPr>
        <w:fldChar w:fldCharType="separate"/>
      </w:r>
      <w:r w:rsidR="00C22E59">
        <w:rPr>
          <w:rFonts w:asciiTheme="minorHAnsi" w:hAnsiTheme="minorHAnsi" w:cstheme="minorHAnsi"/>
          <w:i w:val="0"/>
          <w:noProof/>
          <w:color w:val="auto"/>
        </w:rPr>
        <w:t>2</w:t>
      </w:r>
      <w:r w:rsidRPr="007B05F0">
        <w:rPr>
          <w:rFonts w:asciiTheme="minorHAnsi" w:hAnsiTheme="minorHAnsi" w:cstheme="minorHAnsi"/>
          <w:i w:val="0"/>
          <w:color w:val="auto"/>
        </w:rPr>
        <w:fldChar w:fldCharType="end"/>
      </w:r>
      <w:r w:rsidRPr="007B05F0">
        <w:rPr>
          <w:rFonts w:asciiTheme="minorHAnsi" w:hAnsiTheme="minorHAnsi" w:cstheme="minorHAnsi"/>
          <w:i w:val="0"/>
          <w:color w:val="auto"/>
        </w:rPr>
        <w:t xml:space="preserve"> - Population by language requirements as of March 31, 2019</w:t>
      </w:r>
    </w:p>
    <w:p w14:paraId="122BE49B" w14:textId="41CFCC5C" w:rsidR="007B05F0" w:rsidRPr="007B05F0" w:rsidRDefault="007B05F0" w:rsidP="007B05F0">
      <w:pPr>
        <w:pStyle w:val="Caption"/>
        <w:keepNext/>
        <w:spacing w:before="240" w:after="0"/>
        <w:jc w:val="center"/>
        <w:rPr>
          <w:rFonts w:asciiTheme="minorHAnsi" w:hAnsiTheme="minorHAnsi" w:cstheme="minorHAnsi"/>
          <w:i w:val="0"/>
          <w:color w:val="auto"/>
        </w:rPr>
      </w:pPr>
      <w:r w:rsidRPr="007B05F0">
        <w:rPr>
          <w:rFonts w:asciiTheme="minorHAnsi" w:hAnsiTheme="minorHAnsi" w:cstheme="minorHAnsi"/>
          <w:i w:val="0"/>
          <w:color w:val="auto"/>
        </w:rPr>
        <w:t xml:space="preserve">Table </w:t>
      </w:r>
      <w:r w:rsidRPr="007B05F0">
        <w:rPr>
          <w:rFonts w:asciiTheme="minorHAnsi" w:hAnsiTheme="minorHAnsi" w:cstheme="minorHAnsi"/>
          <w:i w:val="0"/>
          <w:color w:val="auto"/>
        </w:rPr>
        <w:fldChar w:fldCharType="begin"/>
      </w:r>
      <w:r w:rsidRPr="007B05F0">
        <w:rPr>
          <w:rFonts w:asciiTheme="minorHAnsi" w:hAnsiTheme="minorHAnsi" w:cstheme="minorHAnsi"/>
          <w:i w:val="0"/>
          <w:color w:val="auto"/>
        </w:rPr>
        <w:instrText xml:space="preserve"> SEQ Table \* ARABIC </w:instrText>
      </w:r>
      <w:r w:rsidRPr="007B05F0">
        <w:rPr>
          <w:rFonts w:asciiTheme="minorHAnsi" w:hAnsiTheme="minorHAnsi" w:cstheme="minorHAnsi"/>
          <w:i w:val="0"/>
          <w:color w:val="auto"/>
        </w:rPr>
        <w:fldChar w:fldCharType="separate"/>
      </w:r>
      <w:r w:rsidR="00B76E9C">
        <w:rPr>
          <w:rFonts w:asciiTheme="minorHAnsi" w:hAnsiTheme="minorHAnsi" w:cstheme="minorHAnsi"/>
          <w:i w:val="0"/>
          <w:noProof/>
          <w:color w:val="auto"/>
        </w:rPr>
        <w:t>5</w:t>
      </w:r>
      <w:r w:rsidRPr="007B05F0">
        <w:rPr>
          <w:rFonts w:asciiTheme="minorHAnsi" w:hAnsiTheme="minorHAnsi" w:cstheme="minorHAnsi"/>
          <w:i w:val="0"/>
          <w:color w:val="auto"/>
        </w:rPr>
        <w:fldChar w:fldCharType="end"/>
      </w:r>
      <w:r w:rsidRPr="007B05F0">
        <w:rPr>
          <w:rFonts w:asciiTheme="minorHAnsi" w:hAnsiTheme="minorHAnsi" w:cstheme="minorHAnsi"/>
          <w:i w:val="0"/>
          <w:color w:val="auto"/>
        </w:rPr>
        <w:t xml:space="preserve"> - </w:t>
      </w:r>
      <w:r w:rsidRPr="007B05F0">
        <w:rPr>
          <w:rStyle w:val="Emphasis"/>
          <w:i/>
        </w:rPr>
        <w:t>Public Service Employment Act</w:t>
      </w:r>
      <w:r w:rsidRPr="007B05F0">
        <w:rPr>
          <w:rFonts w:asciiTheme="minorHAnsi" w:hAnsiTheme="minorHAnsi" w:cstheme="minorHAnsi"/>
          <w:i w:val="0"/>
          <w:color w:val="auto"/>
        </w:rPr>
        <w:t xml:space="preserve"> population by language requirements of the position for fiscal year 2018 to 2019</w:t>
      </w:r>
    </w:p>
    <w:tbl>
      <w:tblPr>
        <w:tblStyle w:val="TableGrid"/>
        <w:tblW w:w="5000" w:type="pct"/>
        <w:jc w:val="center"/>
        <w:tblLook w:val="0020" w:firstRow="1" w:lastRow="0" w:firstColumn="0" w:lastColumn="0" w:noHBand="0" w:noVBand="0"/>
        <w:tblDescription w:val="Population by language requirements as of March 31, 2019"/>
      </w:tblPr>
      <w:tblGrid>
        <w:gridCol w:w="4781"/>
        <w:gridCol w:w="3954"/>
        <w:gridCol w:w="5655"/>
      </w:tblGrid>
      <w:tr w:rsidR="000558F2" w:rsidRPr="00964F30" w14:paraId="5EA3A268" w14:textId="77777777" w:rsidTr="00B31669">
        <w:trPr>
          <w:cantSplit/>
          <w:trHeight w:val="290"/>
          <w:tblHeader/>
          <w:jc w:val="center"/>
        </w:trPr>
        <w:tc>
          <w:tcPr>
            <w:tcW w:w="1661" w:type="pct"/>
          </w:tcPr>
          <w:p w14:paraId="48CC56B1" w14:textId="77777777" w:rsidR="000558F2" w:rsidRPr="00212307" w:rsidRDefault="000558F2" w:rsidP="007B05F0">
            <w:pPr>
              <w:pStyle w:val="TableTitle"/>
            </w:pPr>
            <w:r w:rsidRPr="00212307">
              <w:t xml:space="preserve">Linguistic </w:t>
            </w:r>
            <w:r>
              <w:t>r</w:t>
            </w:r>
            <w:r w:rsidRPr="00212307">
              <w:t>equirements</w:t>
            </w:r>
            <w:r>
              <w:t xml:space="preserve"> of the position</w:t>
            </w:r>
          </w:p>
        </w:tc>
        <w:tc>
          <w:tcPr>
            <w:tcW w:w="1374" w:type="pct"/>
          </w:tcPr>
          <w:p w14:paraId="6226A003" w14:textId="77777777" w:rsidR="000558F2" w:rsidRPr="00212307" w:rsidRDefault="000558F2" w:rsidP="007B05F0">
            <w:pPr>
              <w:pStyle w:val="TableTitle"/>
            </w:pPr>
            <w:r w:rsidRPr="00212307">
              <w:t>Population as of March</w:t>
            </w:r>
            <w:r>
              <w:t> </w:t>
            </w:r>
            <w:r w:rsidRPr="00212307">
              <w:t>31, 201</w:t>
            </w:r>
            <w:r>
              <w:t>9</w:t>
            </w:r>
          </w:p>
        </w:tc>
        <w:tc>
          <w:tcPr>
            <w:tcW w:w="1965" w:type="pct"/>
          </w:tcPr>
          <w:p w14:paraId="7ED57983" w14:textId="77777777" w:rsidR="000558F2" w:rsidRPr="00212307" w:rsidRDefault="000558F2" w:rsidP="007B05F0">
            <w:pPr>
              <w:pStyle w:val="TableTitle"/>
            </w:pPr>
            <w:r>
              <w:t>Percentage of population as of March 31, 2019</w:t>
            </w:r>
          </w:p>
        </w:tc>
      </w:tr>
      <w:tr w:rsidR="000558F2" w:rsidRPr="007B05F0" w14:paraId="06691E08" w14:textId="77777777" w:rsidTr="00B31669">
        <w:trPr>
          <w:cantSplit/>
          <w:trHeight w:val="290"/>
          <w:tblHeader/>
          <w:jc w:val="center"/>
        </w:trPr>
        <w:tc>
          <w:tcPr>
            <w:tcW w:w="1661" w:type="pct"/>
          </w:tcPr>
          <w:p w14:paraId="469A4786" w14:textId="77777777" w:rsidR="000558F2" w:rsidRPr="007B05F0" w:rsidRDefault="000558F2" w:rsidP="00E87A54">
            <w:pPr>
              <w:autoSpaceDE w:val="0"/>
              <w:autoSpaceDN w:val="0"/>
              <w:adjustRightInd w:val="0"/>
              <w:rPr>
                <w:rFonts w:asciiTheme="minorHAnsi" w:hAnsiTheme="minorHAnsi" w:cstheme="minorHAnsi"/>
                <w:color w:val="000000"/>
                <w:sz w:val="22"/>
                <w:szCs w:val="24"/>
              </w:rPr>
            </w:pPr>
            <w:r w:rsidRPr="007B05F0">
              <w:rPr>
                <w:rFonts w:asciiTheme="minorHAnsi" w:hAnsiTheme="minorHAnsi" w:cstheme="minorHAnsi"/>
                <w:color w:val="000000"/>
                <w:sz w:val="22"/>
                <w:szCs w:val="24"/>
              </w:rPr>
              <w:t xml:space="preserve">Bilingual </w:t>
            </w:r>
          </w:p>
        </w:tc>
        <w:tc>
          <w:tcPr>
            <w:tcW w:w="1374" w:type="pct"/>
          </w:tcPr>
          <w:p w14:paraId="27B6AE0E"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681</w:t>
            </w:r>
          </w:p>
        </w:tc>
        <w:tc>
          <w:tcPr>
            <w:tcW w:w="1965" w:type="pct"/>
            <w:shd w:val="clear" w:color="auto" w:fill="auto"/>
          </w:tcPr>
          <w:p w14:paraId="264028C7"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72%</w:t>
            </w:r>
          </w:p>
        </w:tc>
      </w:tr>
      <w:tr w:rsidR="000558F2" w:rsidRPr="007B05F0" w14:paraId="52195E9A" w14:textId="77777777" w:rsidTr="00B31669">
        <w:trPr>
          <w:cantSplit/>
          <w:trHeight w:val="290"/>
          <w:tblHeader/>
          <w:jc w:val="center"/>
        </w:trPr>
        <w:tc>
          <w:tcPr>
            <w:tcW w:w="1661" w:type="pct"/>
          </w:tcPr>
          <w:p w14:paraId="09B1D42E" w14:textId="77777777" w:rsidR="000558F2" w:rsidRPr="007B05F0" w:rsidRDefault="000558F2" w:rsidP="00E87A54">
            <w:pPr>
              <w:autoSpaceDE w:val="0"/>
              <w:autoSpaceDN w:val="0"/>
              <w:adjustRightInd w:val="0"/>
              <w:rPr>
                <w:rFonts w:asciiTheme="minorHAnsi" w:hAnsiTheme="minorHAnsi" w:cstheme="minorHAnsi"/>
                <w:color w:val="000000"/>
                <w:sz w:val="22"/>
                <w:szCs w:val="24"/>
              </w:rPr>
            </w:pPr>
            <w:r w:rsidRPr="007B05F0">
              <w:rPr>
                <w:rFonts w:asciiTheme="minorHAnsi" w:hAnsiTheme="minorHAnsi" w:cstheme="minorHAnsi"/>
                <w:color w:val="000000"/>
                <w:sz w:val="22"/>
                <w:szCs w:val="24"/>
              </w:rPr>
              <w:t>Unilingual</w:t>
            </w:r>
          </w:p>
        </w:tc>
        <w:tc>
          <w:tcPr>
            <w:tcW w:w="1374" w:type="pct"/>
          </w:tcPr>
          <w:p w14:paraId="06258FD4"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269</w:t>
            </w:r>
          </w:p>
        </w:tc>
        <w:tc>
          <w:tcPr>
            <w:tcW w:w="1965" w:type="pct"/>
            <w:shd w:val="clear" w:color="auto" w:fill="auto"/>
          </w:tcPr>
          <w:p w14:paraId="6A0B6472"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28%</w:t>
            </w:r>
          </w:p>
        </w:tc>
      </w:tr>
      <w:tr w:rsidR="000558F2" w:rsidRPr="007B05F0" w14:paraId="64F66F72" w14:textId="77777777" w:rsidTr="00B31669">
        <w:trPr>
          <w:cantSplit/>
          <w:trHeight w:val="290"/>
          <w:tblHeader/>
          <w:jc w:val="center"/>
        </w:trPr>
        <w:tc>
          <w:tcPr>
            <w:tcW w:w="1661" w:type="pct"/>
          </w:tcPr>
          <w:p w14:paraId="324F1715" w14:textId="77777777" w:rsidR="000558F2" w:rsidRPr="007B05F0" w:rsidRDefault="000558F2" w:rsidP="00E87A54">
            <w:pPr>
              <w:autoSpaceDE w:val="0"/>
              <w:autoSpaceDN w:val="0"/>
              <w:adjustRightInd w:val="0"/>
              <w:rPr>
                <w:rFonts w:asciiTheme="minorHAnsi" w:hAnsiTheme="minorHAnsi" w:cstheme="minorHAnsi"/>
                <w:color w:val="000000"/>
                <w:sz w:val="22"/>
                <w:szCs w:val="24"/>
              </w:rPr>
            </w:pPr>
            <w:r w:rsidRPr="007B05F0">
              <w:rPr>
                <w:rFonts w:asciiTheme="minorHAnsi" w:hAnsiTheme="minorHAnsi" w:cstheme="minorHAnsi"/>
                <w:color w:val="000000"/>
                <w:sz w:val="22"/>
                <w:szCs w:val="24"/>
              </w:rPr>
              <w:t>Unknown</w:t>
            </w:r>
          </w:p>
        </w:tc>
        <w:tc>
          <w:tcPr>
            <w:tcW w:w="1374" w:type="pct"/>
          </w:tcPr>
          <w:p w14:paraId="1F355201"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384</w:t>
            </w:r>
          </w:p>
        </w:tc>
        <w:tc>
          <w:tcPr>
            <w:tcW w:w="1965" w:type="pct"/>
            <w:shd w:val="clear" w:color="auto" w:fill="auto"/>
          </w:tcPr>
          <w:p w14:paraId="5B97ADE1" w14:textId="5BDFC60A" w:rsidR="000558F2" w:rsidRPr="007B05F0" w:rsidRDefault="007B05F0"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0%</w:t>
            </w:r>
          </w:p>
        </w:tc>
      </w:tr>
    </w:tbl>
    <w:p w14:paraId="38FF4725" w14:textId="77777777" w:rsidR="00F679DE" w:rsidRDefault="00F679DE" w:rsidP="00F679DE">
      <w:pPr>
        <w:tabs>
          <w:tab w:val="left" w:pos="7839"/>
        </w:tabs>
        <w:rPr>
          <w:noProof/>
          <w:lang w:eastAsia="en-CA"/>
        </w:rPr>
      </w:pPr>
    </w:p>
    <w:p w14:paraId="3DF34AC5" w14:textId="77777777" w:rsidR="00F679DE" w:rsidRDefault="00F679DE" w:rsidP="00F679DE">
      <w:pPr>
        <w:tabs>
          <w:tab w:val="left" w:pos="7839"/>
        </w:tabs>
        <w:rPr>
          <w:noProof/>
          <w:lang w:eastAsia="en-CA"/>
        </w:rPr>
        <w:sectPr w:rsidR="00F679DE" w:rsidSect="00F679DE">
          <w:pgSz w:w="15840" w:h="12240" w:orient="landscape"/>
          <w:pgMar w:top="1025" w:right="720" w:bottom="720" w:left="720" w:header="708" w:footer="708" w:gutter="0"/>
          <w:cols w:space="708"/>
          <w:titlePg/>
          <w:docGrid w:linePitch="360"/>
        </w:sectPr>
      </w:pPr>
    </w:p>
    <w:p w14:paraId="4F5C3B5C" w14:textId="77777777" w:rsidR="007B05F0" w:rsidRPr="007B05F0" w:rsidRDefault="007B05F0" w:rsidP="007B05F0">
      <w:pPr>
        <w:pStyle w:val="Heading1"/>
        <w:spacing w:before="120" w:after="120"/>
        <w:rPr>
          <w:noProof/>
          <w:sz w:val="40"/>
          <w:lang w:val="en-CA" w:eastAsia="en-CA"/>
        </w:rPr>
      </w:pPr>
      <w:r w:rsidRPr="007B05F0">
        <w:rPr>
          <w:rFonts w:eastAsia="Times New Roman"/>
          <w:noProof/>
          <w:sz w:val="40"/>
          <w:lang w:eastAsia="en-CA"/>
        </w:rPr>
        <w:lastRenderedPageBreak/>
        <w:t>Population by occupational group as of March 31, 2019</w:t>
      </w:r>
    </w:p>
    <w:p w14:paraId="21A632CB" w14:textId="77777777" w:rsidR="007B05F0" w:rsidRDefault="00F679DE" w:rsidP="007B05F0">
      <w:pPr>
        <w:keepNext/>
        <w:tabs>
          <w:tab w:val="left" w:pos="7839"/>
        </w:tabs>
        <w:jc w:val="center"/>
      </w:pPr>
      <w:r>
        <w:rPr>
          <w:noProof/>
          <w:lang w:val="en-CA" w:eastAsia="en-CA"/>
        </w:rPr>
        <w:drawing>
          <wp:inline distT="0" distB="0" distL="0" distR="0" wp14:anchorId="04ADEB63" wp14:editId="1CF30678">
            <wp:extent cx="1980000" cy="3020400"/>
            <wp:effectExtent l="0" t="0" r="1270" b="8890"/>
            <wp:docPr id="5" name="Chart 5" descr="Population by occupational group as of March 31,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5A79C7A" w14:textId="10B95EA0" w:rsidR="00F679DE" w:rsidRPr="007B05F0" w:rsidRDefault="007B05F0" w:rsidP="007B05F0">
      <w:pPr>
        <w:pStyle w:val="Caption"/>
        <w:spacing w:after="0"/>
        <w:jc w:val="center"/>
        <w:rPr>
          <w:rFonts w:asciiTheme="minorHAnsi" w:hAnsiTheme="minorHAnsi" w:cstheme="minorHAnsi"/>
          <w:i w:val="0"/>
          <w:noProof/>
          <w:color w:val="auto"/>
          <w:lang w:eastAsia="en-CA"/>
        </w:rPr>
      </w:pPr>
      <w:r w:rsidRPr="007B05F0">
        <w:rPr>
          <w:rFonts w:asciiTheme="minorHAnsi" w:hAnsiTheme="minorHAnsi" w:cstheme="minorHAnsi"/>
          <w:i w:val="0"/>
          <w:color w:val="auto"/>
        </w:rPr>
        <w:t xml:space="preserve">Figure </w:t>
      </w:r>
      <w:r w:rsidRPr="007B05F0">
        <w:rPr>
          <w:rFonts w:asciiTheme="minorHAnsi" w:hAnsiTheme="minorHAnsi" w:cstheme="minorHAnsi"/>
          <w:i w:val="0"/>
          <w:color w:val="auto"/>
        </w:rPr>
        <w:fldChar w:fldCharType="begin"/>
      </w:r>
      <w:r w:rsidRPr="007B05F0">
        <w:rPr>
          <w:rFonts w:asciiTheme="minorHAnsi" w:hAnsiTheme="minorHAnsi" w:cstheme="minorHAnsi"/>
          <w:i w:val="0"/>
          <w:color w:val="auto"/>
        </w:rPr>
        <w:instrText xml:space="preserve"> SEQ Figure \* ARABIC </w:instrText>
      </w:r>
      <w:r w:rsidRPr="007B05F0">
        <w:rPr>
          <w:rFonts w:asciiTheme="minorHAnsi" w:hAnsiTheme="minorHAnsi" w:cstheme="minorHAnsi"/>
          <w:i w:val="0"/>
          <w:color w:val="auto"/>
        </w:rPr>
        <w:fldChar w:fldCharType="separate"/>
      </w:r>
      <w:r w:rsidR="00C22E59">
        <w:rPr>
          <w:rFonts w:asciiTheme="minorHAnsi" w:hAnsiTheme="minorHAnsi" w:cstheme="minorHAnsi"/>
          <w:i w:val="0"/>
          <w:noProof/>
          <w:color w:val="auto"/>
        </w:rPr>
        <w:t>3</w:t>
      </w:r>
      <w:r w:rsidRPr="007B05F0">
        <w:rPr>
          <w:rFonts w:asciiTheme="minorHAnsi" w:hAnsiTheme="minorHAnsi" w:cstheme="minorHAnsi"/>
          <w:i w:val="0"/>
          <w:color w:val="auto"/>
        </w:rPr>
        <w:fldChar w:fldCharType="end"/>
      </w:r>
      <w:r w:rsidRPr="007B05F0">
        <w:rPr>
          <w:rFonts w:asciiTheme="minorHAnsi" w:hAnsiTheme="minorHAnsi" w:cstheme="minorHAnsi"/>
          <w:i w:val="0"/>
          <w:color w:val="auto"/>
        </w:rPr>
        <w:t xml:space="preserve"> - Population by occupational group as of March 31, 2019</w:t>
      </w:r>
    </w:p>
    <w:p w14:paraId="1496E6A9" w14:textId="2EC30E5F" w:rsidR="007B05F0" w:rsidRPr="007B05F0" w:rsidRDefault="007B05F0" w:rsidP="007B05F0">
      <w:pPr>
        <w:pStyle w:val="Caption"/>
        <w:keepNext/>
        <w:spacing w:before="240" w:after="0"/>
        <w:jc w:val="center"/>
        <w:rPr>
          <w:rFonts w:asciiTheme="minorHAnsi" w:hAnsiTheme="minorHAnsi" w:cstheme="minorHAnsi"/>
          <w:i w:val="0"/>
          <w:color w:val="auto"/>
        </w:rPr>
      </w:pPr>
      <w:r w:rsidRPr="007B05F0">
        <w:rPr>
          <w:rFonts w:asciiTheme="minorHAnsi" w:hAnsiTheme="minorHAnsi" w:cstheme="minorHAnsi"/>
          <w:i w:val="0"/>
          <w:color w:val="auto"/>
        </w:rPr>
        <w:t xml:space="preserve">Table </w:t>
      </w:r>
      <w:r w:rsidRPr="007B05F0">
        <w:rPr>
          <w:rFonts w:asciiTheme="minorHAnsi" w:hAnsiTheme="minorHAnsi" w:cstheme="minorHAnsi"/>
          <w:i w:val="0"/>
          <w:color w:val="auto"/>
        </w:rPr>
        <w:fldChar w:fldCharType="begin"/>
      </w:r>
      <w:r w:rsidRPr="007B05F0">
        <w:rPr>
          <w:rFonts w:asciiTheme="minorHAnsi" w:hAnsiTheme="minorHAnsi" w:cstheme="minorHAnsi"/>
          <w:i w:val="0"/>
          <w:color w:val="auto"/>
        </w:rPr>
        <w:instrText xml:space="preserve"> SEQ Table \* ARABIC </w:instrText>
      </w:r>
      <w:r w:rsidRPr="007B05F0">
        <w:rPr>
          <w:rFonts w:asciiTheme="minorHAnsi" w:hAnsiTheme="minorHAnsi" w:cstheme="minorHAnsi"/>
          <w:i w:val="0"/>
          <w:color w:val="auto"/>
        </w:rPr>
        <w:fldChar w:fldCharType="separate"/>
      </w:r>
      <w:r w:rsidR="00B76E9C">
        <w:rPr>
          <w:rFonts w:asciiTheme="minorHAnsi" w:hAnsiTheme="minorHAnsi" w:cstheme="minorHAnsi"/>
          <w:i w:val="0"/>
          <w:noProof/>
          <w:color w:val="auto"/>
        </w:rPr>
        <w:t>6</w:t>
      </w:r>
      <w:r w:rsidRPr="007B05F0">
        <w:rPr>
          <w:rFonts w:asciiTheme="minorHAnsi" w:hAnsiTheme="minorHAnsi" w:cstheme="minorHAnsi"/>
          <w:i w:val="0"/>
          <w:color w:val="auto"/>
        </w:rPr>
        <w:fldChar w:fldCharType="end"/>
      </w:r>
      <w:r w:rsidRPr="007B05F0">
        <w:rPr>
          <w:rFonts w:asciiTheme="minorHAnsi" w:hAnsiTheme="minorHAnsi" w:cstheme="minorHAnsi"/>
          <w:i w:val="0"/>
          <w:color w:val="auto"/>
        </w:rPr>
        <w:t xml:space="preserve"> - Top occupational groups, as a percentage of the </w:t>
      </w:r>
      <w:r w:rsidRPr="007B05F0">
        <w:rPr>
          <w:rStyle w:val="Emphasis"/>
          <w:i/>
        </w:rPr>
        <w:t>Public Service Employment Act</w:t>
      </w:r>
      <w:r w:rsidRPr="007B05F0">
        <w:rPr>
          <w:rFonts w:asciiTheme="minorHAnsi" w:hAnsiTheme="minorHAnsi" w:cstheme="minorHAnsi"/>
          <w:i w:val="0"/>
          <w:color w:val="auto"/>
        </w:rPr>
        <w:t xml:space="preserve"> population for fiscal year 2018 to 2019</w:t>
      </w:r>
    </w:p>
    <w:tbl>
      <w:tblPr>
        <w:tblStyle w:val="TableGrid"/>
        <w:tblW w:w="5000" w:type="pct"/>
        <w:jc w:val="center"/>
        <w:tblLook w:val="0020" w:firstRow="1" w:lastRow="0" w:firstColumn="0" w:lastColumn="0" w:noHBand="0" w:noVBand="0"/>
        <w:tblDescription w:val="Population by occupational group as of March 31, 2019"/>
      </w:tblPr>
      <w:tblGrid>
        <w:gridCol w:w="4530"/>
        <w:gridCol w:w="4962"/>
        <w:gridCol w:w="4898"/>
      </w:tblGrid>
      <w:tr w:rsidR="000558F2" w:rsidRPr="00906821" w14:paraId="7A7ED582" w14:textId="77777777" w:rsidTr="00B31669">
        <w:trPr>
          <w:cantSplit/>
          <w:trHeight w:val="290"/>
          <w:tblHeader/>
          <w:jc w:val="center"/>
        </w:trPr>
        <w:tc>
          <w:tcPr>
            <w:tcW w:w="1574" w:type="pct"/>
          </w:tcPr>
          <w:p w14:paraId="3E39B1BB" w14:textId="77777777" w:rsidR="000558F2" w:rsidRPr="00906821" w:rsidRDefault="000558F2" w:rsidP="007B05F0">
            <w:pPr>
              <w:pStyle w:val="TableTitle"/>
              <w:rPr>
                <w:color w:val="000000"/>
              </w:rPr>
            </w:pPr>
            <w:r w:rsidRPr="00906821">
              <w:t>Occupational group</w:t>
            </w:r>
          </w:p>
        </w:tc>
        <w:tc>
          <w:tcPr>
            <w:tcW w:w="1724" w:type="pct"/>
          </w:tcPr>
          <w:p w14:paraId="46643431" w14:textId="77777777" w:rsidR="000558F2" w:rsidRPr="00906821" w:rsidRDefault="000558F2" w:rsidP="007B05F0">
            <w:pPr>
              <w:pStyle w:val="TableTitle"/>
              <w:rPr>
                <w:color w:val="000000"/>
              </w:rPr>
            </w:pPr>
            <w:r>
              <w:t>Population as of March 31, 2019</w:t>
            </w:r>
          </w:p>
        </w:tc>
        <w:tc>
          <w:tcPr>
            <w:tcW w:w="1702" w:type="pct"/>
          </w:tcPr>
          <w:p w14:paraId="0D330CCD" w14:textId="77777777" w:rsidR="000558F2" w:rsidRPr="00906821" w:rsidRDefault="000558F2" w:rsidP="007B05F0">
            <w:pPr>
              <w:pStyle w:val="TableTitle"/>
            </w:pPr>
            <w:r>
              <w:t>Percentage of population as of March 31, 2019</w:t>
            </w:r>
          </w:p>
        </w:tc>
      </w:tr>
      <w:tr w:rsidR="000558F2" w:rsidRPr="007B05F0" w14:paraId="0229E0A4" w14:textId="77777777" w:rsidTr="00B31669">
        <w:trPr>
          <w:cantSplit/>
          <w:trHeight w:val="290"/>
          <w:tblHeader/>
          <w:jc w:val="center"/>
        </w:trPr>
        <w:tc>
          <w:tcPr>
            <w:tcW w:w="1574" w:type="pct"/>
          </w:tcPr>
          <w:p w14:paraId="6ED1CF8A" w14:textId="77777777" w:rsidR="000558F2" w:rsidRPr="007B05F0" w:rsidRDefault="000558F2" w:rsidP="00E87A54">
            <w:pPr>
              <w:autoSpaceDE w:val="0"/>
              <w:autoSpaceDN w:val="0"/>
              <w:adjustRightInd w:val="0"/>
              <w:rPr>
                <w:rFonts w:asciiTheme="minorHAnsi" w:hAnsiTheme="minorHAnsi" w:cstheme="minorHAnsi"/>
                <w:color w:val="000000"/>
                <w:sz w:val="22"/>
                <w:szCs w:val="24"/>
              </w:rPr>
            </w:pPr>
            <w:r w:rsidRPr="007B05F0">
              <w:rPr>
                <w:rFonts w:asciiTheme="minorHAnsi" w:hAnsiTheme="minorHAnsi" w:cstheme="minorHAnsi"/>
                <w:color w:val="000000"/>
                <w:sz w:val="22"/>
                <w:szCs w:val="24"/>
              </w:rPr>
              <w:t>EC – Economics and Social Science Services</w:t>
            </w:r>
          </w:p>
        </w:tc>
        <w:tc>
          <w:tcPr>
            <w:tcW w:w="1724" w:type="pct"/>
          </w:tcPr>
          <w:p w14:paraId="0213CFF5"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371</w:t>
            </w:r>
          </w:p>
        </w:tc>
        <w:tc>
          <w:tcPr>
            <w:tcW w:w="1702" w:type="pct"/>
          </w:tcPr>
          <w:p w14:paraId="4D1D8FFE"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29%</w:t>
            </w:r>
          </w:p>
        </w:tc>
      </w:tr>
      <w:tr w:rsidR="000558F2" w:rsidRPr="007B05F0" w14:paraId="5616AF43" w14:textId="77777777" w:rsidTr="00B31669">
        <w:trPr>
          <w:cantSplit/>
          <w:trHeight w:val="290"/>
          <w:tblHeader/>
          <w:jc w:val="center"/>
        </w:trPr>
        <w:tc>
          <w:tcPr>
            <w:tcW w:w="1574" w:type="pct"/>
          </w:tcPr>
          <w:p w14:paraId="1B9BA422" w14:textId="77777777" w:rsidR="000558F2" w:rsidRPr="007B05F0" w:rsidRDefault="000558F2" w:rsidP="00E87A54">
            <w:pPr>
              <w:autoSpaceDE w:val="0"/>
              <w:autoSpaceDN w:val="0"/>
              <w:adjustRightInd w:val="0"/>
              <w:rPr>
                <w:rFonts w:asciiTheme="minorHAnsi" w:hAnsiTheme="minorHAnsi" w:cstheme="minorHAnsi"/>
                <w:color w:val="000000"/>
                <w:sz w:val="22"/>
                <w:szCs w:val="24"/>
              </w:rPr>
            </w:pPr>
            <w:r w:rsidRPr="007B05F0">
              <w:rPr>
                <w:rFonts w:asciiTheme="minorHAnsi" w:hAnsiTheme="minorHAnsi" w:cstheme="minorHAnsi"/>
                <w:color w:val="000000"/>
                <w:sz w:val="22"/>
                <w:szCs w:val="24"/>
              </w:rPr>
              <w:t>AS – Administrative Services</w:t>
            </w:r>
          </w:p>
        </w:tc>
        <w:tc>
          <w:tcPr>
            <w:tcW w:w="1724" w:type="pct"/>
          </w:tcPr>
          <w:p w14:paraId="3CF47ACE"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279</w:t>
            </w:r>
          </w:p>
        </w:tc>
        <w:tc>
          <w:tcPr>
            <w:tcW w:w="1702" w:type="pct"/>
          </w:tcPr>
          <w:p w14:paraId="0A180223"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22%</w:t>
            </w:r>
          </w:p>
        </w:tc>
      </w:tr>
      <w:tr w:rsidR="000558F2" w:rsidRPr="007B05F0" w14:paraId="4E8117D4" w14:textId="77777777" w:rsidTr="00B31669">
        <w:trPr>
          <w:cantSplit/>
          <w:trHeight w:val="290"/>
          <w:tblHeader/>
          <w:jc w:val="center"/>
        </w:trPr>
        <w:tc>
          <w:tcPr>
            <w:tcW w:w="1574" w:type="pct"/>
          </w:tcPr>
          <w:p w14:paraId="3F4E802C" w14:textId="54C2A239" w:rsidR="000558F2" w:rsidRPr="007B05F0" w:rsidRDefault="000558F2" w:rsidP="00E87A54">
            <w:pPr>
              <w:autoSpaceDE w:val="0"/>
              <w:autoSpaceDN w:val="0"/>
              <w:adjustRightInd w:val="0"/>
              <w:rPr>
                <w:rFonts w:asciiTheme="minorHAnsi" w:hAnsiTheme="minorHAnsi" w:cstheme="minorHAnsi"/>
                <w:color w:val="000000"/>
                <w:sz w:val="22"/>
                <w:szCs w:val="24"/>
              </w:rPr>
            </w:pPr>
            <w:r w:rsidRPr="007B05F0">
              <w:rPr>
                <w:rFonts w:asciiTheme="minorHAnsi" w:hAnsiTheme="minorHAnsi" w:cstheme="minorHAnsi"/>
                <w:color w:val="000000"/>
                <w:sz w:val="22"/>
                <w:szCs w:val="24"/>
              </w:rPr>
              <w:t xml:space="preserve">PM – Program </w:t>
            </w:r>
            <w:r w:rsidR="00330605">
              <w:rPr>
                <w:rFonts w:asciiTheme="minorHAnsi" w:hAnsiTheme="minorHAnsi" w:cstheme="minorHAnsi"/>
                <w:color w:val="000000"/>
                <w:sz w:val="22"/>
                <w:szCs w:val="24"/>
              </w:rPr>
              <w:t>A</w:t>
            </w:r>
            <w:r w:rsidRPr="007B05F0">
              <w:rPr>
                <w:rFonts w:asciiTheme="minorHAnsi" w:hAnsiTheme="minorHAnsi" w:cstheme="minorHAnsi"/>
                <w:color w:val="000000"/>
                <w:sz w:val="22"/>
                <w:szCs w:val="24"/>
              </w:rPr>
              <w:t>dministration</w:t>
            </w:r>
          </w:p>
        </w:tc>
        <w:tc>
          <w:tcPr>
            <w:tcW w:w="1724" w:type="pct"/>
          </w:tcPr>
          <w:p w14:paraId="4197E1DD"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255</w:t>
            </w:r>
          </w:p>
        </w:tc>
        <w:tc>
          <w:tcPr>
            <w:tcW w:w="1702" w:type="pct"/>
          </w:tcPr>
          <w:p w14:paraId="7AC0B8DE"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20%</w:t>
            </w:r>
          </w:p>
        </w:tc>
      </w:tr>
      <w:tr w:rsidR="000558F2" w:rsidRPr="007B05F0" w14:paraId="668034F3" w14:textId="77777777" w:rsidTr="00B31669">
        <w:trPr>
          <w:cantSplit/>
          <w:trHeight w:val="290"/>
          <w:tblHeader/>
          <w:jc w:val="center"/>
        </w:trPr>
        <w:tc>
          <w:tcPr>
            <w:tcW w:w="1574" w:type="pct"/>
          </w:tcPr>
          <w:p w14:paraId="497C1188" w14:textId="77777777" w:rsidR="000558F2" w:rsidRPr="007B05F0" w:rsidRDefault="000558F2" w:rsidP="00E87A54">
            <w:pPr>
              <w:autoSpaceDE w:val="0"/>
              <w:autoSpaceDN w:val="0"/>
              <w:adjustRightInd w:val="0"/>
              <w:rPr>
                <w:rFonts w:asciiTheme="minorHAnsi" w:hAnsiTheme="minorHAnsi" w:cstheme="minorHAnsi"/>
                <w:color w:val="000000"/>
                <w:sz w:val="22"/>
                <w:szCs w:val="24"/>
              </w:rPr>
            </w:pPr>
            <w:r w:rsidRPr="007B05F0">
              <w:rPr>
                <w:rFonts w:asciiTheme="minorHAnsi" w:hAnsiTheme="minorHAnsi" w:cstheme="minorHAnsi"/>
                <w:color w:val="000000"/>
                <w:sz w:val="22"/>
                <w:szCs w:val="24"/>
              </w:rPr>
              <w:t>Other</w:t>
            </w:r>
          </w:p>
        </w:tc>
        <w:tc>
          <w:tcPr>
            <w:tcW w:w="1724" w:type="pct"/>
          </w:tcPr>
          <w:p w14:paraId="37B96F5D"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373</w:t>
            </w:r>
          </w:p>
        </w:tc>
        <w:tc>
          <w:tcPr>
            <w:tcW w:w="1702" w:type="pct"/>
          </w:tcPr>
          <w:p w14:paraId="5FF21E45"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29%</w:t>
            </w:r>
          </w:p>
        </w:tc>
      </w:tr>
    </w:tbl>
    <w:p w14:paraId="2091CBBC" w14:textId="77777777" w:rsidR="00F679DE" w:rsidRDefault="00F679DE" w:rsidP="00F679DE">
      <w:pPr>
        <w:tabs>
          <w:tab w:val="left" w:pos="7839"/>
        </w:tabs>
        <w:rPr>
          <w:noProof/>
          <w:lang w:eastAsia="en-CA"/>
        </w:rPr>
      </w:pPr>
    </w:p>
    <w:p w14:paraId="0818B9F9" w14:textId="77777777" w:rsidR="00F679DE" w:rsidRDefault="00F679DE" w:rsidP="00F679DE">
      <w:pPr>
        <w:tabs>
          <w:tab w:val="left" w:pos="7839"/>
        </w:tabs>
        <w:rPr>
          <w:noProof/>
          <w:lang w:eastAsia="en-CA"/>
        </w:rPr>
        <w:sectPr w:rsidR="00F679DE" w:rsidSect="00F679DE">
          <w:pgSz w:w="15840" w:h="12240" w:orient="landscape"/>
          <w:pgMar w:top="1025" w:right="720" w:bottom="720" w:left="720" w:header="708" w:footer="708" w:gutter="0"/>
          <w:cols w:space="708"/>
          <w:titlePg/>
          <w:docGrid w:linePitch="360"/>
        </w:sectPr>
      </w:pPr>
    </w:p>
    <w:p w14:paraId="1441C165" w14:textId="297DACD5" w:rsidR="00F679DE" w:rsidRPr="007B05F0" w:rsidRDefault="007B05F0" w:rsidP="007B05F0">
      <w:pPr>
        <w:pStyle w:val="Heading1"/>
        <w:spacing w:before="120" w:after="120"/>
        <w:rPr>
          <w:noProof/>
          <w:sz w:val="40"/>
          <w:lang w:eastAsia="en-CA"/>
        </w:rPr>
      </w:pPr>
      <w:r w:rsidRPr="007B05F0">
        <w:rPr>
          <w:noProof/>
          <w:sz w:val="40"/>
          <w:lang w:eastAsia="en-CA"/>
        </w:rPr>
        <w:lastRenderedPageBreak/>
        <w:t>Population by region as of March 31, 2019</w:t>
      </w:r>
    </w:p>
    <w:p w14:paraId="57709070" w14:textId="77777777" w:rsidR="007B05F0" w:rsidRDefault="00F679DE" w:rsidP="007B05F0">
      <w:pPr>
        <w:keepNext/>
        <w:tabs>
          <w:tab w:val="left" w:pos="7839"/>
        </w:tabs>
        <w:jc w:val="center"/>
      </w:pPr>
      <w:r>
        <w:rPr>
          <w:noProof/>
          <w:lang w:val="en-CA" w:eastAsia="en-CA"/>
        </w:rPr>
        <w:drawing>
          <wp:inline distT="0" distB="0" distL="0" distR="0" wp14:anchorId="23D9C90C" wp14:editId="66AC1A3C">
            <wp:extent cx="1980000" cy="3020400"/>
            <wp:effectExtent l="0" t="0" r="1270" b="8890"/>
            <wp:docPr id="12" name="Chart 12" descr="Population by region as of March 31,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84BC4B6" w14:textId="318B5CB8" w:rsidR="00F679DE" w:rsidRPr="007B05F0" w:rsidRDefault="007B05F0" w:rsidP="007B05F0">
      <w:pPr>
        <w:pStyle w:val="Caption"/>
        <w:spacing w:after="0"/>
        <w:jc w:val="center"/>
        <w:rPr>
          <w:rFonts w:asciiTheme="minorHAnsi" w:hAnsiTheme="minorHAnsi" w:cstheme="minorHAnsi"/>
          <w:i w:val="0"/>
          <w:noProof/>
          <w:color w:val="auto"/>
          <w:lang w:eastAsia="en-CA"/>
        </w:rPr>
      </w:pPr>
      <w:r w:rsidRPr="007B05F0">
        <w:rPr>
          <w:rFonts w:asciiTheme="minorHAnsi" w:hAnsiTheme="minorHAnsi" w:cstheme="minorHAnsi"/>
          <w:i w:val="0"/>
          <w:color w:val="auto"/>
        </w:rPr>
        <w:t xml:space="preserve">Figure </w:t>
      </w:r>
      <w:r w:rsidRPr="007B05F0">
        <w:rPr>
          <w:rFonts w:asciiTheme="minorHAnsi" w:hAnsiTheme="minorHAnsi" w:cstheme="minorHAnsi"/>
          <w:i w:val="0"/>
          <w:color w:val="auto"/>
        </w:rPr>
        <w:fldChar w:fldCharType="begin"/>
      </w:r>
      <w:r w:rsidRPr="007B05F0">
        <w:rPr>
          <w:rFonts w:asciiTheme="minorHAnsi" w:hAnsiTheme="minorHAnsi" w:cstheme="minorHAnsi"/>
          <w:i w:val="0"/>
          <w:color w:val="auto"/>
        </w:rPr>
        <w:instrText xml:space="preserve"> SEQ Figure \* ARABIC </w:instrText>
      </w:r>
      <w:r w:rsidRPr="007B05F0">
        <w:rPr>
          <w:rFonts w:asciiTheme="minorHAnsi" w:hAnsiTheme="minorHAnsi" w:cstheme="minorHAnsi"/>
          <w:i w:val="0"/>
          <w:color w:val="auto"/>
        </w:rPr>
        <w:fldChar w:fldCharType="separate"/>
      </w:r>
      <w:r w:rsidR="00C22E59">
        <w:rPr>
          <w:rFonts w:asciiTheme="minorHAnsi" w:hAnsiTheme="minorHAnsi" w:cstheme="minorHAnsi"/>
          <w:i w:val="0"/>
          <w:noProof/>
          <w:color w:val="auto"/>
        </w:rPr>
        <w:t>4</w:t>
      </w:r>
      <w:r w:rsidRPr="007B05F0">
        <w:rPr>
          <w:rFonts w:asciiTheme="minorHAnsi" w:hAnsiTheme="minorHAnsi" w:cstheme="minorHAnsi"/>
          <w:i w:val="0"/>
          <w:color w:val="auto"/>
        </w:rPr>
        <w:fldChar w:fldCharType="end"/>
      </w:r>
      <w:r w:rsidRPr="007B05F0">
        <w:rPr>
          <w:rFonts w:asciiTheme="minorHAnsi" w:hAnsiTheme="minorHAnsi" w:cstheme="minorHAnsi"/>
          <w:i w:val="0"/>
          <w:color w:val="auto"/>
        </w:rPr>
        <w:t xml:space="preserve"> - Population by region as of March 31, 2019</w:t>
      </w:r>
    </w:p>
    <w:p w14:paraId="1B1DD1A4" w14:textId="12A62615" w:rsidR="007B05F0" w:rsidRPr="007B05F0" w:rsidRDefault="007B05F0" w:rsidP="007B05F0">
      <w:pPr>
        <w:pStyle w:val="Caption"/>
        <w:keepNext/>
        <w:spacing w:before="240" w:after="0"/>
        <w:jc w:val="center"/>
        <w:rPr>
          <w:rFonts w:asciiTheme="minorHAnsi" w:hAnsiTheme="minorHAnsi" w:cstheme="minorHAnsi"/>
          <w:i w:val="0"/>
          <w:color w:val="auto"/>
        </w:rPr>
      </w:pPr>
      <w:r w:rsidRPr="007B05F0">
        <w:rPr>
          <w:rFonts w:asciiTheme="minorHAnsi" w:hAnsiTheme="minorHAnsi" w:cstheme="minorHAnsi"/>
          <w:i w:val="0"/>
          <w:color w:val="auto"/>
        </w:rPr>
        <w:t xml:space="preserve">Table </w:t>
      </w:r>
      <w:r w:rsidRPr="007B05F0">
        <w:rPr>
          <w:rFonts w:asciiTheme="minorHAnsi" w:hAnsiTheme="minorHAnsi" w:cstheme="minorHAnsi"/>
          <w:i w:val="0"/>
          <w:color w:val="auto"/>
        </w:rPr>
        <w:fldChar w:fldCharType="begin"/>
      </w:r>
      <w:r w:rsidRPr="007B05F0">
        <w:rPr>
          <w:rFonts w:asciiTheme="minorHAnsi" w:hAnsiTheme="minorHAnsi" w:cstheme="minorHAnsi"/>
          <w:i w:val="0"/>
          <w:color w:val="auto"/>
        </w:rPr>
        <w:instrText xml:space="preserve"> SEQ Table \* ARABIC </w:instrText>
      </w:r>
      <w:r w:rsidRPr="007B05F0">
        <w:rPr>
          <w:rFonts w:asciiTheme="minorHAnsi" w:hAnsiTheme="minorHAnsi" w:cstheme="minorHAnsi"/>
          <w:i w:val="0"/>
          <w:color w:val="auto"/>
        </w:rPr>
        <w:fldChar w:fldCharType="separate"/>
      </w:r>
      <w:r w:rsidR="00B76E9C">
        <w:rPr>
          <w:rFonts w:asciiTheme="minorHAnsi" w:hAnsiTheme="minorHAnsi" w:cstheme="minorHAnsi"/>
          <w:i w:val="0"/>
          <w:noProof/>
          <w:color w:val="auto"/>
        </w:rPr>
        <w:t>7</w:t>
      </w:r>
      <w:r w:rsidRPr="007B05F0">
        <w:rPr>
          <w:rFonts w:asciiTheme="minorHAnsi" w:hAnsiTheme="minorHAnsi" w:cstheme="minorHAnsi"/>
          <w:i w:val="0"/>
          <w:color w:val="auto"/>
        </w:rPr>
        <w:fldChar w:fldCharType="end"/>
      </w:r>
      <w:r w:rsidRPr="007B05F0">
        <w:rPr>
          <w:rFonts w:asciiTheme="minorHAnsi" w:hAnsiTheme="minorHAnsi" w:cstheme="minorHAnsi"/>
          <w:i w:val="0"/>
          <w:color w:val="auto"/>
        </w:rPr>
        <w:t xml:space="preserve"> - Distribution by region, as a percentage of the </w:t>
      </w:r>
      <w:r w:rsidRPr="007B05F0">
        <w:rPr>
          <w:rStyle w:val="Emphasis"/>
          <w:i/>
        </w:rPr>
        <w:t>Public Service Employment Act</w:t>
      </w:r>
      <w:r w:rsidRPr="007B05F0">
        <w:rPr>
          <w:rFonts w:asciiTheme="minorHAnsi" w:hAnsiTheme="minorHAnsi" w:cstheme="minorHAnsi"/>
          <w:i w:val="0"/>
          <w:color w:val="auto"/>
        </w:rPr>
        <w:t xml:space="preserve"> population for fiscal year 2018 to 2019</w:t>
      </w:r>
    </w:p>
    <w:tbl>
      <w:tblPr>
        <w:tblStyle w:val="TableGrid"/>
        <w:tblW w:w="5000" w:type="pct"/>
        <w:jc w:val="center"/>
        <w:tblLook w:val="0020" w:firstRow="1" w:lastRow="0" w:firstColumn="0" w:lastColumn="0" w:noHBand="0" w:noVBand="0"/>
        <w:tblDescription w:val="Population by region as of March 31, 2019"/>
      </w:tblPr>
      <w:tblGrid>
        <w:gridCol w:w="3540"/>
        <w:gridCol w:w="5103"/>
        <w:gridCol w:w="5747"/>
      </w:tblGrid>
      <w:tr w:rsidR="000558F2" w:rsidRPr="00906821" w14:paraId="4200943D" w14:textId="77777777" w:rsidTr="00B31669">
        <w:trPr>
          <w:cantSplit/>
          <w:trHeight w:val="290"/>
          <w:tblHeader/>
          <w:jc w:val="center"/>
        </w:trPr>
        <w:tc>
          <w:tcPr>
            <w:tcW w:w="1230" w:type="pct"/>
          </w:tcPr>
          <w:p w14:paraId="137045E1" w14:textId="77777777" w:rsidR="000558F2" w:rsidRPr="00A56930" w:rsidRDefault="000558F2" w:rsidP="007B05F0">
            <w:pPr>
              <w:pStyle w:val="TableTitle"/>
            </w:pPr>
            <w:r w:rsidRPr="00A56930">
              <w:t>Region</w:t>
            </w:r>
          </w:p>
        </w:tc>
        <w:tc>
          <w:tcPr>
            <w:tcW w:w="1773" w:type="pct"/>
          </w:tcPr>
          <w:p w14:paraId="55358D39" w14:textId="77777777" w:rsidR="000558F2" w:rsidRPr="00A56930" w:rsidRDefault="000558F2" w:rsidP="007B05F0">
            <w:pPr>
              <w:pStyle w:val="TableTitle"/>
            </w:pPr>
            <w:r>
              <w:t>Population as of March 31, 2019</w:t>
            </w:r>
          </w:p>
        </w:tc>
        <w:tc>
          <w:tcPr>
            <w:tcW w:w="1997" w:type="pct"/>
          </w:tcPr>
          <w:p w14:paraId="02779E4D" w14:textId="77777777" w:rsidR="000558F2" w:rsidRPr="00A56930" w:rsidRDefault="000558F2" w:rsidP="007B05F0">
            <w:pPr>
              <w:pStyle w:val="TableTitle"/>
            </w:pPr>
            <w:r>
              <w:t>Percentage of population as of March 31, 2019</w:t>
            </w:r>
          </w:p>
        </w:tc>
      </w:tr>
      <w:tr w:rsidR="000558F2" w:rsidRPr="007B05F0" w14:paraId="3163391D" w14:textId="77777777" w:rsidTr="00B31669">
        <w:trPr>
          <w:cantSplit/>
          <w:trHeight w:val="290"/>
          <w:tblHeader/>
          <w:jc w:val="center"/>
        </w:trPr>
        <w:tc>
          <w:tcPr>
            <w:tcW w:w="1230" w:type="pct"/>
          </w:tcPr>
          <w:p w14:paraId="2B43BEB5" w14:textId="77777777" w:rsidR="000558F2" w:rsidRPr="007B05F0" w:rsidRDefault="000558F2" w:rsidP="00E87A54">
            <w:pPr>
              <w:autoSpaceDE w:val="0"/>
              <w:autoSpaceDN w:val="0"/>
              <w:adjustRightInd w:val="0"/>
              <w:rPr>
                <w:rFonts w:asciiTheme="minorHAnsi" w:hAnsiTheme="minorHAnsi" w:cstheme="minorHAnsi"/>
                <w:color w:val="000000"/>
                <w:sz w:val="22"/>
                <w:szCs w:val="24"/>
              </w:rPr>
            </w:pPr>
            <w:r w:rsidRPr="007B05F0">
              <w:rPr>
                <w:rFonts w:asciiTheme="minorHAnsi" w:hAnsiTheme="minorHAnsi" w:cstheme="minorHAnsi"/>
                <w:color w:val="000000"/>
                <w:sz w:val="22"/>
                <w:szCs w:val="24"/>
              </w:rPr>
              <w:t>National Capital Region (NCR)</w:t>
            </w:r>
          </w:p>
        </w:tc>
        <w:tc>
          <w:tcPr>
            <w:tcW w:w="1773" w:type="pct"/>
          </w:tcPr>
          <w:p w14:paraId="60F7E85D"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1 217</w:t>
            </w:r>
          </w:p>
        </w:tc>
        <w:tc>
          <w:tcPr>
            <w:tcW w:w="1997" w:type="pct"/>
          </w:tcPr>
          <w:p w14:paraId="219A23FC"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91%</w:t>
            </w:r>
          </w:p>
        </w:tc>
      </w:tr>
      <w:tr w:rsidR="000558F2" w:rsidRPr="007B05F0" w14:paraId="028DCE36" w14:textId="77777777" w:rsidTr="00B31669">
        <w:trPr>
          <w:cantSplit/>
          <w:trHeight w:val="290"/>
          <w:tblHeader/>
          <w:jc w:val="center"/>
        </w:trPr>
        <w:tc>
          <w:tcPr>
            <w:tcW w:w="1230" w:type="pct"/>
          </w:tcPr>
          <w:p w14:paraId="4692DAB6" w14:textId="77777777" w:rsidR="000558F2" w:rsidRPr="007B05F0" w:rsidRDefault="000558F2" w:rsidP="00E87A54">
            <w:pPr>
              <w:autoSpaceDE w:val="0"/>
              <w:autoSpaceDN w:val="0"/>
              <w:adjustRightInd w:val="0"/>
              <w:rPr>
                <w:rFonts w:asciiTheme="minorHAnsi" w:hAnsiTheme="minorHAnsi" w:cstheme="minorHAnsi"/>
                <w:color w:val="000000"/>
                <w:sz w:val="22"/>
                <w:szCs w:val="24"/>
              </w:rPr>
            </w:pPr>
            <w:r w:rsidRPr="007B05F0">
              <w:rPr>
                <w:rFonts w:asciiTheme="minorHAnsi" w:hAnsiTheme="minorHAnsi" w:cstheme="minorHAnsi"/>
                <w:color w:val="000000"/>
                <w:sz w:val="22"/>
                <w:szCs w:val="24"/>
              </w:rPr>
              <w:t>Non-NCR</w:t>
            </w:r>
          </w:p>
        </w:tc>
        <w:tc>
          <w:tcPr>
            <w:tcW w:w="1773" w:type="pct"/>
          </w:tcPr>
          <w:p w14:paraId="0ADD5568"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114</w:t>
            </w:r>
          </w:p>
        </w:tc>
        <w:tc>
          <w:tcPr>
            <w:tcW w:w="1997" w:type="pct"/>
          </w:tcPr>
          <w:p w14:paraId="68222FBA"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9%</w:t>
            </w:r>
          </w:p>
        </w:tc>
      </w:tr>
      <w:tr w:rsidR="000558F2" w:rsidRPr="007B05F0" w14:paraId="7F7D18A5" w14:textId="77777777" w:rsidTr="00B31669">
        <w:trPr>
          <w:cantSplit/>
          <w:trHeight w:val="290"/>
          <w:tblHeader/>
          <w:jc w:val="center"/>
        </w:trPr>
        <w:tc>
          <w:tcPr>
            <w:tcW w:w="1230" w:type="pct"/>
          </w:tcPr>
          <w:p w14:paraId="152CA6B7" w14:textId="77777777" w:rsidR="000558F2" w:rsidRPr="007B05F0" w:rsidRDefault="000558F2" w:rsidP="00E87A54">
            <w:pPr>
              <w:autoSpaceDE w:val="0"/>
              <w:autoSpaceDN w:val="0"/>
              <w:adjustRightInd w:val="0"/>
              <w:rPr>
                <w:rFonts w:asciiTheme="minorHAnsi" w:hAnsiTheme="minorHAnsi" w:cstheme="minorHAnsi"/>
                <w:color w:val="000000"/>
                <w:sz w:val="22"/>
                <w:szCs w:val="24"/>
              </w:rPr>
            </w:pPr>
            <w:r w:rsidRPr="007B05F0">
              <w:rPr>
                <w:rFonts w:asciiTheme="minorHAnsi" w:hAnsiTheme="minorHAnsi" w:cstheme="minorHAnsi"/>
                <w:color w:val="000000"/>
                <w:sz w:val="22"/>
                <w:szCs w:val="24"/>
              </w:rPr>
              <w:t>Unknown</w:t>
            </w:r>
          </w:p>
        </w:tc>
        <w:tc>
          <w:tcPr>
            <w:tcW w:w="1773" w:type="pct"/>
          </w:tcPr>
          <w:p w14:paraId="6D047DB1" w14:textId="77777777" w:rsidR="000558F2" w:rsidRPr="007B05F0" w:rsidRDefault="000558F2" w:rsidP="00E87A54">
            <w:pPr>
              <w:autoSpaceDE w:val="0"/>
              <w:autoSpaceDN w:val="0"/>
              <w:adjustRightInd w:val="0"/>
              <w:jc w:val="center"/>
              <w:rPr>
                <w:rFonts w:asciiTheme="minorHAnsi" w:hAnsiTheme="minorHAnsi" w:cstheme="minorHAnsi"/>
                <w:color w:val="000000"/>
                <w:sz w:val="22"/>
                <w:szCs w:val="24"/>
              </w:rPr>
            </w:pPr>
            <w:r w:rsidRPr="007B05F0">
              <w:rPr>
                <w:rFonts w:asciiTheme="minorHAnsi" w:hAnsiTheme="minorHAnsi" w:cstheme="minorHAnsi"/>
                <w:color w:val="000000"/>
                <w:sz w:val="22"/>
                <w:szCs w:val="24"/>
              </w:rPr>
              <w:t>3</w:t>
            </w:r>
          </w:p>
        </w:tc>
        <w:tc>
          <w:tcPr>
            <w:tcW w:w="1997" w:type="pct"/>
          </w:tcPr>
          <w:p w14:paraId="6056DD85" w14:textId="6662958E" w:rsidR="000558F2" w:rsidRPr="007B05F0" w:rsidRDefault="00730520" w:rsidP="00E87A54">
            <w:pPr>
              <w:autoSpaceDE w:val="0"/>
              <w:autoSpaceDN w:val="0"/>
              <w:adjustRightInd w:val="0"/>
              <w:jc w:val="center"/>
              <w:rPr>
                <w:rFonts w:asciiTheme="minorHAnsi" w:hAnsiTheme="minorHAnsi" w:cstheme="minorHAnsi"/>
                <w:color w:val="000000"/>
                <w:sz w:val="22"/>
                <w:szCs w:val="24"/>
              </w:rPr>
            </w:pPr>
            <w:r>
              <w:rPr>
                <w:rFonts w:asciiTheme="minorHAnsi" w:hAnsiTheme="minorHAnsi" w:cstheme="minorHAnsi"/>
                <w:color w:val="000000"/>
                <w:sz w:val="22"/>
                <w:szCs w:val="24"/>
              </w:rPr>
              <w:t>0%</w:t>
            </w:r>
          </w:p>
        </w:tc>
      </w:tr>
    </w:tbl>
    <w:p w14:paraId="22DD0384" w14:textId="77777777" w:rsidR="00F679DE" w:rsidRDefault="00F679DE" w:rsidP="00F679DE">
      <w:pPr>
        <w:tabs>
          <w:tab w:val="left" w:pos="7839"/>
        </w:tabs>
        <w:rPr>
          <w:noProof/>
          <w:lang w:eastAsia="en-CA"/>
        </w:rPr>
      </w:pPr>
    </w:p>
    <w:p w14:paraId="2950EE53" w14:textId="77777777" w:rsidR="00F679DE" w:rsidRDefault="00F679DE" w:rsidP="00F679DE">
      <w:pPr>
        <w:tabs>
          <w:tab w:val="left" w:pos="7839"/>
        </w:tabs>
        <w:rPr>
          <w:noProof/>
          <w:lang w:eastAsia="en-CA"/>
        </w:rPr>
        <w:sectPr w:rsidR="00F679DE" w:rsidSect="00F679DE">
          <w:pgSz w:w="15840" w:h="12240" w:orient="landscape"/>
          <w:pgMar w:top="1025" w:right="720" w:bottom="720" w:left="720" w:header="708" w:footer="708" w:gutter="0"/>
          <w:cols w:space="708"/>
          <w:titlePg/>
          <w:docGrid w:linePitch="360"/>
        </w:sectPr>
      </w:pPr>
    </w:p>
    <w:p w14:paraId="13DCB6B2" w14:textId="251EB46B" w:rsidR="00F679DE" w:rsidRPr="00DE6C83" w:rsidRDefault="00DE6C83" w:rsidP="00DE6C83">
      <w:pPr>
        <w:pStyle w:val="Heading1"/>
        <w:spacing w:before="120" w:after="120"/>
        <w:rPr>
          <w:noProof/>
          <w:sz w:val="40"/>
          <w:lang w:eastAsia="en-CA"/>
        </w:rPr>
      </w:pPr>
      <w:r w:rsidRPr="00DE6C83">
        <w:rPr>
          <w:rFonts w:eastAsia="Times New Roman"/>
          <w:noProof/>
          <w:sz w:val="40"/>
          <w:lang w:eastAsia="en-CA"/>
        </w:rPr>
        <w:lastRenderedPageBreak/>
        <w:t>External indeterminate hires by occupational group, 2018-</w:t>
      </w:r>
      <w:r w:rsidRPr="00DE6C83">
        <w:rPr>
          <w:noProof/>
          <w:sz w:val="40"/>
          <w:lang w:eastAsia="en-CA"/>
        </w:rPr>
        <w:t>201</w:t>
      </w:r>
      <w:r w:rsidRPr="00DE6C83">
        <w:rPr>
          <w:rFonts w:eastAsia="Times New Roman"/>
          <w:noProof/>
          <w:sz w:val="40"/>
          <w:lang w:eastAsia="en-CA"/>
        </w:rPr>
        <w:t>9</w:t>
      </w:r>
    </w:p>
    <w:p w14:paraId="58B4B7F0" w14:textId="77777777" w:rsidR="00DE6C83" w:rsidRDefault="00F679DE" w:rsidP="00DE6C83">
      <w:pPr>
        <w:keepNext/>
        <w:tabs>
          <w:tab w:val="left" w:pos="7839"/>
        </w:tabs>
        <w:jc w:val="center"/>
      </w:pPr>
      <w:r w:rsidRPr="00466AB8">
        <w:rPr>
          <w:noProof/>
          <w:lang w:val="en-CA" w:eastAsia="en-CA"/>
        </w:rPr>
        <w:drawing>
          <wp:inline distT="0" distB="0" distL="0" distR="0" wp14:anchorId="64E03B93" wp14:editId="6021F8C9">
            <wp:extent cx="1980000" cy="3020400"/>
            <wp:effectExtent l="0" t="0" r="1270" b="8890"/>
            <wp:docPr id="7" name="Chart 7" descr="External indeterminate hires by occupational group, 2018-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4B412A7" w14:textId="08144BC4" w:rsidR="00F679DE" w:rsidRPr="00DE6C83" w:rsidRDefault="00DE6C83" w:rsidP="00DE6C83">
      <w:pPr>
        <w:pStyle w:val="Caption"/>
        <w:spacing w:after="0"/>
        <w:jc w:val="center"/>
        <w:rPr>
          <w:rFonts w:asciiTheme="minorHAnsi" w:hAnsiTheme="minorHAnsi" w:cstheme="minorHAnsi"/>
          <w:i w:val="0"/>
          <w:noProof/>
          <w:color w:val="auto"/>
          <w:lang w:eastAsia="en-CA"/>
        </w:rPr>
      </w:pPr>
      <w:r w:rsidRPr="00DE6C83">
        <w:rPr>
          <w:rFonts w:asciiTheme="minorHAnsi" w:hAnsiTheme="minorHAnsi" w:cstheme="minorHAnsi"/>
          <w:i w:val="0"/>
          <w:color w:val="auto"/>
        </w:rPr>
        <w:t xml:space="preserve">Figure </w:t>
      </w:r>
      <w:r w:rsidRPr="00DE6C83">
        <w:rPr>
          <w:rFonts w:asciiTheme="minorHAnsi" w:hAnsiTheme="minorHAnsi" w:cstheme="minorHAnsi"/>
          <w:i w:val="0"/>
          <w:color w:val="auto"/>
        </w:rPr>
        <w:fldChar w:fldCharType="begin"/>
      </w:r>
      <w:r w:rsidRPr="00DE6C83">
        <w:rPr>
          <w:rFonts w:asciiTheme="minorHAnsi" w:hAnsiTheme="minorHAnsi" w:cstheme="minorHAnsi"/>
          <w:i w:val="0"/>
          <w:color w:val="auto"/>
        </w:rPr>
        <w:instrText xml:space="preserve"> SEQ Figure \* ARABIC </w:instrText>
      </w:r>
      <w:r w:rsidRPr="00DE6C83">
        <w:rPr>
          <w:rFonts w:asciiTheme="minorHAnsi" w:hAnsiTheme="minorHAnsi" w:cstheme="minorHAnsi"/>
          <w:i w:val="0"/>
          <w:color w:val="auto"/>
        </w:rPr>
        <w:fldChar w:fldCharType="separate"/>
      </w:r>
      <w:r w:rsidR="00C22E59">
        <w:rPr>
          <w:rFonts w:asciiTheme="minorHAnsi" w:hAnsiTheme="minorHAnsi" w:cstheme="minorHAnsi"/>
          <w:i w:val="0"/>
          <w:noProof/>
          <w:color w:val="auto"/>
        </w:rPr>
        <w:t>5</w:t>
      </w:r>
      <w:r w:rsidRPr="00DE6C83">
        <w:rPr>
          <w:rFonts w:asciiTheme="minorHAnsi" w:hAnsiTheme="minorHAnsi" w:cstheme="minorHAnsi"/>
          <w:i w:val="0"/>
          <w:color w:val="auto"/>
        </w:rPr>
        <w:fldChar w:fldCharType="end"/>
      </w:r>
      <w:r w:rsidRPr="00DE6C83">
        <w:rPr>
          <w:rFonts w:asciiTheme="minorHAnsi" w:hAnsiTheme="minorHAnsi" w:cstheme="minorHAnsi"/>
          <w:i w:val="0"/>
          <w:color w:val="auto"/>
        </w:rPr>
        <w:t xml:space="preserve"> - External indeterminate hires by occupational group, 2018-2019</w:t>
      </w:r>
    </w:p>
    <w:p w14:paraId="4029D54D" w14:textId="528FDE8E" w:rsidR="00DE6C83" w:rsidRPr="00DE6C83" w:rsidRDefault="00DE6C83" w:rsidP="00DE6C83">
      <w:pPr>
        <w:pStyle w:val="Caption"/>
        <w:keepNext/>
        <w:spacing w:before="240" w:after="0"/>
        <w:jc w:val="center"/>
        <w:rPr>
          <w:rFonts w:asciiTheme="minorHAnsi" w:hAnsiTheme="minorHAnsi" w:cstheme="minorHAnsi"/>
          <w:i w:val="0"/>
          <w:color w:val="auto"/>
        </w:rPr>
      </w:pPr>
      <w:r w:rsidRPr="00DE6C83">
        <w:rPr>
          <w:rFonts w:asciiTheme="minorHAnsi" w:hAnsiTheme="minorHAnsi" w:cstheme="minorHAnsi"/>
          <w:i w:val="0"/>
          <w:color w:val="auto"/>
        </w:rPr>
        <w:t xml:space="preserve">Table </w:t>
      </w:r>
      <w:r w:rsidRPr="00DE6C83">
        <w:rPr>
          <w:rFonts w:asciiTheme="minorHAnsi" w:hAnsiTheme="minorHAnsi" w:cstheme="minorHAnsi"/>
          <w:i w:val="0"/>
          <w:color w:val="auto"/>
        </w:rPr>
        <w:fldChar w:fldCharType="begin"/>
      </w:r>
      <w:r w:rsidRPr="00DE6C83">
        <w:rPr>
          <w:rFonts w:asciiTheme="minorHAnsi" w:hAnsiTheme="minorHAnsi" w:cstheme="minorHAnsi"/>
          <w:i w:val="0"/>
          <w:color w:val="auto"/>
        </w:rPr>
        <w:instrText xml:space="preserve"> SEQ Table \* ARABIC </w:instrText>
      </w:r>
      <w:r w:rsidRPr="00DE6C83">
        <w:rPr>
          <w:rFonts w:asciiTheme="minorHAnsi" w:hAnsiTheme="minorHAnsi" w:cstheme="minorHAnsi"/>
          <w:i w:val="0"/>
          <w:color w:val="auto"/>
        </w:rPr>
        <w:fldChar w:fldCharType="separate"/>
      </w:r>
      <w:r w:rsidR="00B76E9C">
        <w:rPr>
          <w:rFonts w:asciiTheme="minorHAnsi" w:hAnsiTheme="minorHAnsi" w:cstheme="minorHAnsi"/>
          <w:i w:val="0"/>
          <w:noProof/>
          <w:color w:val="auto"/>
        </w:rPr>
        <w:t>8</w:t>
      </w:r>
      <w:r w:rsidRPr="00DE6C83">
        <w:rPr>
          <w:rFonts w:asciiTheme="minorHAnsi" w:hAnsiTheme="minorHAnsi" w:cstheme="minorHAnsi"/>
          <w:i w:val="0"/>
          <w:color w:val="auto"/>
        </w:rPr>
        <w:fldChar w:fldCharType="end"/>
      </w:r>
      <w:r w:rsidRPr="00DE6C83">
        <w:rPr>
          <w:rFonts w:asciiTheme="minorHAnsi" w:hAnsiTheme="minorHAnsi" w:cstheme="minorHAnsi"/>
          <w:i w:val="0"/>
          <w:color w:val="auto"/>
        </w:rPr>
        <w:t xml:space="preserve"> - External indeterminate hires by top occupational groups, for fiscal year 2018 to 2019</w:t>
      </w:r>
    </w:p>
    <w:tbl>
      <w:tblPr>
        <w:tblStyle w:val="TableGrid"/>
        <w:tblW w:w="5000" w:type="pct"/>
        <w:jc w:val="center"/>
        <w:tblLook w:val="0020" w:firstRow="1" w:lastRow="0" w:firstColumn="0" w:lastColumn="0" w:noHBand="0" w:noVBand="0"/>
        <w:tblDescription w:val="External indeterminate hires by occupational group, 2019-2020"/>
      </w:tblPr>
      <w:tblGrid>
        <w:gridCol w:w="4389"/>
        <w:gridCol w:w="4962"/>
        <w:gridCol w:w="5039"/>
      </w:tblGrid>
      <w:tr w:rsidR="000558F2" w:rsidRPr="00906821" w14:paraId="74206081" w14:textId="77777777" w:rsidTr="00B31669">
        <w:trPr>
          <w:cantSplit/>
          <w:trHeight w:val="290"/>
          <w:tblHeader/>
          <w:jc w:val="center"/>
        </w:trPr>
        <w:tc>
          <w:tcPr>
            <w:tcW w:w="1525" w:type="pct"/>
          </w:tcPr>
          <w:p w14:paraId="1956E920" w14:textId="77777777" w:rsidR="000558F2" w:rsidRPr="00A56930" w:rsidRDefault="000558F2" w:rsidP="00DE6C83">
            <w:pPr>
              <w:pStyle w:val="TableTitle"/>
              <w:rPr>
                <w:color w:val="000000"/>
              </w:rPr>
            </w:pPr>
            <w:r w:rsidRPr="00A56930">
              <w:t>Occupational group</w:t>
            </w:r>
          </w:p>
        </w:tc>
        <w:tc>
          <w:tcPr>
            <w:tcW w:w="1724" w:type="pct"/>
          </w:tcPr>
          <w:p w14:paraId="363A400D" w14:textId="77777777" w:rsidR="000558F2" w:rsidRPr="00A56930" w:rsidRDefault="000558F2" w:rsidP="00DE6C83">
            <w:pPr>
              <w:pStyle w:val="TableTitle"/>
              <w:rPr>
                <w:color w:val="000000"/>
              </w:rPr>
            </w:pPr>
            <w:r>
              <w:rPr>
                <w:color w:val="000000"/>
              </w:rPr>
              <w:t xml:space="preserve">Number of indeterminate hiring activities </w:t>
            </w:r>
          </w:p>
        </w:tc>
        <w:tc>
          <w:tcPr>
            <w:tcW w:w="1751" w:type="pct"/>
          </w:tcPr>
          <w:p w14:paraId="73B7FAE0" w14:textId="77777777" w:rsidR="000558F2" w:rsidRPr="00A56930" w:rsidRDefault="000558F2" w:rsidP="00DE6C83">
            <w:pPr>
              <w:pStyle w:val="TableTitle"/>
              <w:rPr>
                <w:color w:val="000000"/>
              </w:rPr>
            </w:pPr>
            <w:r>
              <w:rPr>
                <w:color w:val="000000"/>
              </w:rPr>
              <w:t>Percentage of all indeterminate hiring activities</w:t>
            </w:r>
          </w:p>
        </w:tc>
      </w:tr>
      <w:tr w:rsidR="000558F2" w:rsidRPr="00DE6C83" w14:paraId="7872B2D7" w14:textId="77777777" w:rsidTr="00B31669">
        <w:trPr>
          <w:cantSplit/>
          <w:trHeight w:val="290"/>
          <w:tblHeader/>
          <w:jc w:val="center"/>
        </w:trPr>
        <w:tc>
          <w:tcPr>
            <w:tcW w:w="1525" w:type="pct"/>
          </w:tcPr>
          <w:p w14:paraId="19231BE4" w14:textId="77777777" w:rsidR="000558F2" w:rsidRPr="00DE6C83" w:rsidRDefault="000558F2" w:rsidP="00E87A54">
            <w:pPr>
              <w:autoSpaceDE w:val="0"/>
              <w:autoSpaceDN w:val="0"/>
              <w:adjustRightInd w:val="0"/>
              <w:rPr>
                <w:rFonts w:asciiTheme="minorHAnsi" w:hAnsiTheme="minorHAnsi" w:cstheme="minorHAnsi"/>
                <w:color w:val="000000"/>
                <w:sz w:val="22"/>
                <w:szCs w:val="24"/>
                <w:highlight w:val="yellow"/>
              </w:rPr>
            </w:pPr>
            <w:r w:rsidRPr="00DE6C83">
              <w:rPr>
                <w:rFonts w:asciiTheme="minorHAnsi" w:hAnsiTheme="minorHAnsi" w:cstheme="minorHAnsi"/>
                <w:color w:val="000000"/>
                <w:sz w:val="22"/>
                <w:szCs w:val="24"/>
              </w:rPr>
              <w:t>EC – Economics and Social Science Services</w:t>
            </w:r>
          </w:p>
        </w:tc>
        <w:tc>
          <w:tcPr>
            <w:tcW w:w="1724" w:type="pct"/>
          </w:tcPr>
          <w:p w14:paraId="72F1CA60"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29</w:t>
            </w:r>
          </w:p>
        </w:tc>
        <w:tc>
          <w:tcPr>
            <w:tcW w:w="1751" w:type="pct"/>
          </w:tcPr>
          <w:p w14:paraId="40EDA8D4"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36%</w:t>
            </w:r>
          </w:p>
        </w:tc>
      </w:tr>
      <w:tr w:rsidR="000558F2" w:rsidRPr="00DE6C83" w14:paraId="6904134F" w14:textId="77777777" w:rsidTr="00B31669">
        <w:trPr>
          <w:cantSplit/>
          <w:trHeight w:val="290"/>
          <w:tblHeader/>
          <w:jc w:val="center"/>
        </w:trPr>
        <w:tc>
          <w:tcPr>
            <w:tcW w:w="1525" w:type="pct"/>
          </w:tcPr>
          <w:p w14:paraId="6343DC89" w14:textId="77777777" w:rsidR="000558F2" w:rsidRPr="00DE6C83" w:rsidRDefault="000558F2" w:rsidP="00E87A54">
            <w:pPr>
              <w:autoSpaceDE w:val="0"/>
              <w:autoSpaceDN w:val="0"/>
              <w:adjustRightInd w:val="0"/>
              <w:rPr>
                <w:rFonts w:asciiTheme="minorHAnsi" w:hAnsiTheme="minorHAnsi" w:cstheme="minorHAnsi"/>
                <w:color w:val="000000"/>
                <w:sz w:val="22"/>
                <w:szCs w:val="24"/>
              </w:rPr>
            </w:pPr>
            <w:r w:rsidRPr="00DE6C83">
              <w:rPr>
                <w:rFonts w:asciiTheme="minorHAnsi" w:hAnsiTheme="minorHAnsi" w:cstheme="minorHAnsi"/>
                <w:color w:val="000000"/>
                <w:sz w:val="22"/>
                <w:szCs w:val="24"/>
              </w:rPr>
              <w:t>AS – Administrative Services</w:t>
            </w:r>
          </w:p>
        </w:tc>
        <w:tc>
          <w:tcPr>
            <w:tcW w:w="1724" w:type="pct"/>
          </w:tcPr>
          <w:p w14:paraId="3D706C7B"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21</w:t>
            </w:r>
          </w:p>
        </w:tc>
        <w:tc>
          <w:tcPr>
            <w:tcW w:w="1751" w:type="pct"/>
          </w:tcPr>
          <w:p w14:paraId="1CFE7610"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26%</w:t>
            </w:r>
          </w:p>
        </w:tc>
      </w:tr>
      <w:tr w:rsidR="000558F2" w:rsidRPr="00DE6C83" w14:paraId="224A9C1E" w14:textId="77777777" w:rsidTr="00B31669">
        <w:trPr>
          <w:cantSplit/>
          <w:trHeight w:val="290"/>
          <w:tblHeader/>
          <w:jc w:val="center"/>
        </w:trPr>
        <w:tc>
          <w:tcPr>
            <w:tcW w:w="1525" w:type="pct"/>
          </w:tcPr>
          <w:p w14:paraId="5C65B32F" w14:textId="58BD8168" w:rsidR="000558F2" w:rsidRPr="00DE6C83" w:rsidRDefault="00CF0D03" w:rsidP="00E87A54">
            <w:pPr>
              <w:autoSpaceDE w:val="0"/>
              <w:autoSpaceDN w:val="0"/>
              <w:adjustRightInd w:val="0"/>
              <w:rPr>
                <w:rFonts w:asciiTheme="minorHAnsi" w:hAnsiTheme="minorHAnsi" w:cstheme="minorHAnsi"/>
                <w:color w:val="000000"/>
                <w:sz w:val="22"/>
                <w:szCs w:val="24"/>
              </w:rPr>
            </w:pPr>
            <w:r>
              <w:rPr>
                <w:rFonts w:asciiTheme="minorHAnsi" w:hAnsiTheme="minorHAnsi" w:cstheme="minorHAnsi"/>
                <w:color w:val="000000"/>
                <w:sz w:val="22"/>
                <w:szCs w:val="24"/>
              </w:rPr>
              <w:t>PM – Program</w:t>
            </w:r>
            <w:r w:rsidR="000558F2" w:rsidRPr="00DE6C83">
              <w:rPr>
                <w:rFonts w:asciiTheme="minorHAnsi" w:hAnsiTheme="minorHAnsi" w:cstheme="minorHAnsi"/>
                <w:color w:val="000000"/>
                <w:sz w:val="22"/>
                <w:szCs w:val="24"/>
              </w:rPr>
              <w:t xml:space="preserve"> </w:t>
            </w:r>
            <w:r w:rsidR="00EF7B6B">
              <w:rPr>
                <w:rFonts w:asciiTheme="minorHAnsi" w:hAnsiTheme="minorHAnsi" w:cstheme="minorHAnsi"/>
                <w:color w:val="000000"/>
                <w:sz w:val="22"/>
                <w:szCs w:val="24"/>
              </w:rPr>
              <w:t>A</w:t>
            </w:r>
            <w:r w:rsidR="000558F2" w:rsidRPr="00DE6C83">
              <w:rPr>
                <w:rFonts w:asciiTheme="minorHAnsi" w:hAnsiTheme="minorHAnsi" w:cstheme="minorHAnsi"/>
                <w:color w:val="000000"/>
                <w:sz w:val="22"/>
                <w:szCs w:val="24"/>
              </w:rPr>
              <w:t>dministration</w:t>
            </w:r>
          </w:p>
        </w:tc>
        <w:tc>
          <w:tcPr>
            <w:tcW w:w="1724" w:type="pct"/>
          </w:tcPr>
          <w:p w14:paraId="44980B15"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13</w:t>
            </w:r>
          </w:p>
        </w:tc>
        <w:tc>
          <w:tcPr>
            <w:tcW w:w="1751" w:type="pct"/>
          </w:tcPr>
          <w:p w14:paraId="17EE0BE2"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16%</w:t>
            </w:r>
          </w:p>
        </w:tc>
      </w:tr>
      <w:tr w:rsidR="000558F2" w:rsidRPr="00DE6C83" w14:paraId="58A1725A" w14:textId="77777777" w:rsidTr="00B31669">
        <w:trPr>
          <w:cantSplit/>
          <w:trHeight w:val="70"/>
          <w:tblHeader/>
          <w:jc w:val="center"/>
        </w:trPr>
        <w:tc>
          <w:tcPr>
            <w:tcW w:w="1525" w:type="pct"/>
          </w:tcPr>
          <w:p w14:paraId="2353FB86" w14:textId="77777777" w:rsidR="000558F2" w:rsidRPr="00DE6C83" w:rsidRDefault="000558F2" w:rsidP="00E87A54">
            <w:pPr>
              <w:autoSpaceDE w:val="0"/>
              <w:autoSpaceDN w:val="0"/>
              <w:adjustRightInd w:val="0"/>
              <w:rPr>
                <w:rFonts w:asciiTheme="minorHAnsi" w:hAnsiTheme="minorHAnsi" w:cstheme="minorHAnsi"/>
                <w:color w:val="000000"/>
                <w:sz w:val="22"/>
                <w:szCs w:val="24"/>
              </w:rPr>
            </w:pPr>
            <w:r w:rsidRPr="00DE6C83">
              <w:rPr>
                <w:rFonts w:asciiTheme="minorHAnsi" w:hAnsiTheme="minorHAnsi" w:cstheme="minorHAnsi"/>
                <w:color w:val="000000"/>
                <w:sz w:val="22"/>
                <w:szCs w:val="24"/>
              </w:rPr>
              <w:t>Other</w:t>
            </w:r>
          </w:p>
        </w:tc>
        <w:tc>
          <w:tcPr>
            <w:tcW w:w="1724" w:type="pct"/>
          </w:tcPr>
          <w:p w14:paraId="67E5083D"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17</w:t>
            </w:r>
          </w:p>
        </w:tc>
        <w:tc>
          <w:tcPr>
            <w:tcW w:w="1751" w:type="pct"/>
          </w:tcPr>
          <w:p w14:paraId="5879EDB7"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21%</w:t>
            </w:r>
          </w:p>
        </w:tc>
      </w:tr>
      <w:tr w:rsidR="000558F2" w:rsidRPr="00DE6C83" w14:paraId="4042CE5E" w14:textId="77777777" w:rsidTr="00B31669">
        <w:trPr>
          <w:cantSplit/>
          <w:trHeight w:val="290"/>
          <w:tblHeader/>
          <w:jc w:val="center"/>
        </w:trPr>
        <w:tc>
          <w:tcPr>
            <w:tcW w:w="1525" w:type="pct"/>
          </w:tcPr>
          <w:p w14:paraId="44ACBD9D" w14:textId="77777777" w:rsidR="000558F2" w:rsidRPr="00DE6C83" w:rsidRDefault="000558F2" w:rsidP="00E87A54">
            <w:pPr>
              <w:autoSpaceDE w:val="0"/>
              <w:autoSpaceDN w:val="0"/>
              <w:adjustRightInd w:val="0"/>
              <w:rPr>
                <w:rFonts w:asciiTheme="minorHAnsi" w:hAnsiTheme="minorHAnsi" w:cstheme="minorHAnsi"/>
                <w:color w:val="000000"/>
                <w:sz w:val="22"/>
                <w:szCs w:val="24"/>
              </w:rPr>
            </w:pPr>
            <w:r w:rsidRPr="00DE6C83">
              <w:rPr>
                <w:rFonts w:asciiTheme="minorHAnsi" w:hAnsiTheme="minorHAnsi" w:cstheme="minorHAnsi"/>
                <w:color w:val="000000"/>
                <w:sz w:val="22"/>
                <w:szCs w:val="24"/>
              </w:rPr>
              <w:t>Total</w:t>
            </w:r>
          </w:p>
        </w:tc>
        <w:tc>
          <w:tcPr>
            <w:tcW w:w="1724" w:type="pct"/>
          </w:tcPr>
          <w:p w14:paraId="31F2FE7C"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80</w:t>
            </w:r>
          </w:p>
        </w:tc>
        <w:tc>
          <w:tcPr>
            <w:tcW w:w="1751" w:type="pct"/>
          </w:tcPr>
          <w:p w14:paraId="5219BBB4"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100%</w:t>
            </w:r>
          </w:p>
        </w:tc>
      </w:tr>
    </w:tbl>
    <w:p w14:paraId="4AC243D9" w14:textId="77777777" w:rsidR="000558F2" w:rsidRDefault="000558F2" w:rsidP="00F679DE">
      <w:pPr>
        <w:tabs>
          <w:tab w:val="left" w:pos="7839"/>
        </w:tabs>
        <w:rPr>
          <w:noProof/>
          <w:lang w:eastAsia="en-CA"/>
        </w:rPr>
      </w:pPr>
    </w:p>
    <w:p w14:paraId="171B80BB" w14:textId="77777777" w:rsidR="000558F2" w:rsidRDefault="000558F2" w:rsidP="00F679DE">
      <w:pPr>
        <w:tabs>
          <w:tab w:val="left" w:pos="7839"/>
        </w:tabs>
        <w:rPr>
          <w:noProof/>
          <w:lang w:eastAsia="en-CA"/>
        </w:rPr>
        <w:sectPr w:rsidR="000558F2" w:rsidSect="00F679DE">
          <w:pgSz w:w="15840" w:h="12240" w:orient="landscape"/>
          <w:pgMar w:top="1025" w:right="720" w:bottom="720" w:left="720" w:header="708" w:footer="708" w:gutter="0"/>
          <w:cols w:space="708"/>
          <w:titlePg/>
          <w:docGrid w:linePitch="360"/>
        </w:sectPr>
      </w:pPr>
    </w:p>
    <w:p w14:paraId="4E9E07BE" w14:textId="77777777" w:rsidR="00DE6C83" w:rsidRPr="00BB48D7" w:rsidRDefault="00DE6C83" w:rsidP="00DE6C83">
      <w:pPr>
        <w:pStyle w:val="Heading1"/>
        <w:spacing w:before="120" w:after="120"/>
        <w:rPr>
          <w:noProof/>
          <w:sz w:val="40"/>
          <w:lang w:val="en-CA" w:eastAsia="en-CA"/>
        </w:rPr>
      </w:pPr>
      <w:r w:rsidRPr="00BB48D7">
        <w:rPr>
          <w:rFonts w:eastAsia="Times New Roman"/>
          <w:noProof/>
          <w:sz w:val="40"/>
          <w:lang w:val="en-CA" w:eastAsia="en-CA"/>
        </w:rPr>
        <w:lastRenderedPageBreak/>
        <w:t>Staffing by region</w:t>
      </w:r>
    </w:p>
    <w:p w14:paraId="1F223406" w14:textId="77777777" w:rsidR="00DE6C83" w:rsidRDefault="00F679DE" w:rsidP="00DE6C83">
      <w:pPr>
        <w:keepNext/>
        <w:tabs>
          <w:tab w:val="left" w:pos="7839"/>
        </w:tabs>
        <w:jc w:val="center"/>
      </w:pPr>
      <w:r>
        <w:rPr>
          <w:noProof/>
          <w:lang w:val="en-CA" w:eastAsia="en-CA"/>
        </w:rPr>
        <w:drawing>
          <wp:inline distT="0" distB="0" distL="0" distR="0" wp14:anchorId="6A9F84D7" wp14:editId="06FDAC1D">
            <wp:extent cx="5648400" cy="3049200"/>
            <wp:effectExtent l="0" t="0" r="9525" b="18415"/>
            <wp:docPr id="6" name="Chart 6" descr="Staffing by re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32CB90" w14:textId="5193D401" w:rsidR="00F679DE" w:rsidRPr="00DE6C83" w:rsidRDefault="00DE6C83" w:rsidP="00DE6C83">
      <w:pPr>
        <w:pStyle w:val="Caption"/>
        <w:spacing w:after="0"/>
        <w:jc w:val="center"/>
        <w:rPr>
          <w:rFonts w:asciiTheme="minorHAnsi" w:hAnsiTheme="minorHAnsi" w:cstheme="minorHAnsi"/>
          <w:i w:val="0"/>
          <w:noProof/>
          <w:color w:val="auto"/>
          <w:lang w:eastAsia="en-CA"/>
        </w:rPr>
      </w:pPr>
      <w:r w:rsidRPr="00DE6C83">
        <w:rPr>
          <w:rFonts w:asciiTheme="minorHAnsi" w:hAnsiTheme="minorHAnsi" w:cstheme="minorHAnsi"/>
          <w:i w:val="0"/>
          <w:color w:val="auto"/>
        </w:rPr>
        <w:t xml:space="preserve">Figure </w:t>
      </w:r>
      <w:r w:rsidRPr="00DE6C83">
        <w:rPr>
          <w:rFonts w:asciiTheme="minorHAnsi" w:hAnsiTheme="minorHAnsi" w:cstheme="minorHAnsi"/>
          <w:i w:val="0"/>
          <w:color w:val="auto"/>
        </w:rPr>
        <w:fldChar w:fldCharType="begin"/>
      </w:r>
      <w:r w:rsidRPr="00DE6C83">
        <w:rPr>
          <w:rFonts w:asciiTheme="minorHAnsi" w:hAnsiTheme="minorHAnsi" w:cstheme="minorHAnsi"/>
          <w:i w:val="0"/>
          <w:color w:val="auto"/>
        </w:rPr>
        <w:instrText xml:space="preserve"> SEQ Figure \* ARABIC </w:instrText>
      </w:r>
      <w:r w:rsidRPr="00DE6C83">
        <w:rPr>
          <w:rFonts w:asciiTheme="minorHAnsi" w:hAnsiTheme="minorHAnsi" w:cstheme="minorHAnsi"/>
          <w:i w:val="0"/>
          <w:color w:val="auto"/>
        </w:rPr>
        <w:fldChar w:fldCharType="separate"/>
      </w:r>
      <w:r w:rsidR="00C22E59">
        <w:rPr>
          <w:rFonts w:asciiTheme="minorHAnsi" w:hAnsiTheme="minorHAnsi" w:cstheme="minorHAnsi"/>
          <w:i w:val="0"/>
          <w:noProof/>
          <w:color w:val="auto"/>
        </w:rPr>
        <w:t>6</w:t>
      </w:r>
      <w:r w:rsidRPr="00DE6C83">
        <w:rPr>
          <w:rFonts w:asciiTheme="minorHAnsi" w:hAnsiTheme="minorHAnsi" w:cstheme="minorHAnsi"/>
          <w:i w:val="0"/>
          <w:color w:val="auto"/>
        </w:rPr>
        <w:fldChar w:fldCharType="end"/>
      </w:r>
      <w:r w:rsidRPr="00DE6C83">
        <w:rPr>
          <w:rFonts w:asciiTheme="minorHAnsi" w:hAnsiTheme="minorHAnsi" w:cstheme="minorHAnsi"/>
          <w:i w:val="0"/>
          <w:color w:val="auto"/>
        </w:rPr>
        <w:t xml:space="preserve"> - Staffing by region</w:t>
      </w:r>
    </w:p>
    <w:p w14:paraId="2AB89571" w14:textId="214C9A8C" w:rsidR="00DE6C83" w:rsidRPr="00DE6C83" w:rsidRDefault="00DE6C83" w:rsidP="00DE6C83">
      <w:pPr>
        <w:pStyle w:val="Caption"/>
        <w:keepNext/>
        <w:spacing w:before="240" w:after="0"/>
        <w:jc w:val="center"/>
        <w:rPr>
          <w:rFonts w:asciiTheme="minorHAnsi" w:hAnsiTheme="minorHAnsi" w:cstheme="minorHAnsi"/>
          <w:i w:val="0"/>
          <w:color w:val="auto"/>
        </w:rPr>
      </w:pPr>
      <w:r w:rsidRPr="00DE6C83">
        <w:rPr>
          <w:rFonts w:asciiTheme="minorHAnsi" w:hAnsiTheme="minorHAnsi" w:cstheme="minorHAnsi"/>
          <w:i w:val="0"/>
          <w:color w:val="auto"/>
        </w:rPr>
        <w:t xml:space="preserve">Table </w:t>
      </w:r>
      <w:r w:rsidRPr="00DE6C83">
        <w:rPr>
          <w:rFonts w:asciiTheme="minorHAnsi" w:hAnsiTheme="minorHAnsi" w:cstheme="minorHAnsi"/>
          <w:i w:val="0"/>
          <w:color w:val="auto"/>
        </w:rPr>
        <w:fldChar w:fldCharType="begin"/>
      </w:r>
      <w:r w:rsidRPr="00DE6C83">
        <w:rPr>
          <w:rFonts w:asciiTheme="minorHAnsi" w:hAnsiTheme="minorHAnsi" w:cstheme="minorHAnsi"/>
          <w:i w:val="0"/>
          <w:color w:val="auto"/>
        </w:rPr>
        <w:instrText xml:space="preserve"> SEQ Table \* ARABIC </w:instrText>
      </w:r>
      <w:r w:rsidRPr="00DE6C83">
        <w:rPr>
          <w:rFonts w:asciiTheme="minorHAnsi" w:hAnsiTheme="minorHAnsi" w:cstheme="minorHAnsi"/>
          <w:i w:val="0"/>
          <w:color w:val="auto"/>
        </w:rPr>
        <w:fldChar w:fldCharType="separate"/>
      </w:r>
      <w:r w:rsidR="00B76E9C">
        <w:rPr>
          <w:rFonts w:asciiTheme="minorHAnsi" w:hAnsiTheme="minorHAnsi" w:cstheme="minorHAnsi"/>
          <w:i w:val="0"/>
          <w:noProof/>
          <w:color w:val="auto"/>
        </w:rPr>
        <w:t>9</w:t>
      </w:r>
      <w:r w:rsidRPr="00DE6C83">
        <w:rPr>
          <w:rFonts w:asciiTheme="minorHAnsi" w:hAnsiTheme="minorHAnsi" w:cstheme="minorHAnsi"/>
          <w:i w:val="0"/>
          <w:color w:val="auto"/>
        </w:rPr>
        <w:fldChar w:fldCharType="end"/>
      </w:r>
      <w:r w:rsidRPr="00DE6C83">
        <w:rPr>
          <w:rFonts w:asciiTheme="minorHAnsi" w:hAnsiTheme="minorHAnsi" w:cstheme="minorHAnsi"/>
          <w:i w:val="0"/>
          <w:color w:val="auto"/>
        </w:rPr>
        <w:t xml:space="preserve"> - Percentage of staffing activities in the National Capital Region compared with all other regions by fiscal year</w:t>
      </w:r>
    </w:p>
    <w:tbl>
      <w:tblPr>
        <w:tblStyle w:val="TableGrid"/>
        <w:tblW w:w="5000" w:type="pct"/>
        <w:jc w:val="center"/>
        <w:tblLook w:val="0020" w:firstRow="1" w:lastRow="0" w:firstColumn="0" w:lastColumn="0" w:noHBand="0" w:noVBand="0"/>
        <w:tblDescription w:val="Staffing by region from 2014 to 2019"/>
      </w:tblPr>
      <w:tblGrid>
        <w:gridCol w:w="2190"/>
        <w:gridCol w:w="5742"/>
        <w:gridCol w:w="6458"/>
      </w:tblGrid>
      <w:tr w:rsidR="000558F2" w:rsidRPr="00906821" w14:paraId="5A00C961" w14:textId="77777777" w:rsidTr="00B31669">
        <w:trPr>
          <w:cantSplit/>
          <w:trHeight w:val="290"/>
          <w:tblHeader/>
          <w:jc w:val="center"/>
        </w:trPr>
        <w:tc>
          <w:tcPr>
            <w:tcW w:w="761" w:type="pct"/>
          </w:tcPr>
          <w:p w14:paraId="55C8C7F2" w14:textId="77777777" w:rsidR="000558F2" w:rsidRPr="00A56930" w:rsidRDefault="000558F2" w:rsidP="00DE6C83">
            <w:pPr>
              <w:pStyle w:val="TableTitle"/>
            </w:pPr>
            <w:r w:rsidRPr="00A56930">
              <w:t xml:space="preserve">Fiscal </w:t>
            </w:r>
            <w:r>
              <w:t>y</w:t>
            </w:r>
            <w:r w:rsidRPr="00A56930">
              <w:t>ear</w:t>
            </w:r>
          </w:p>
        </w:tc>
        <w:tc>
          <w:tcPr>
            <w:tcW w:w="1995" w:type="pct"/>
          </w:tcPr>
          <w:p w14:paraId="12AB7100" w14:textId="77777777" w:rsidR="000558F2" w:rsidRPr="00A56930" w:rsidRDefault="000558F2" w:rsidP="00DE6C83">
            <w:pPr>
              <w:pStyle w:val="TableTitle"/>
            </w:pPr>
            <w:r w:rsidRPr="00A56930">
              <w:t xml:space="preserve">Percentage of </w:t>
            </w:r>
            <w:r>
              <w:t>staffing</w:t>
            </w:r>
            <w:r w:rsidRPr="00A56930">
              <w:t xml:space="preserve"> activities in the National Capital Region (NCR)</w:t>
            </w:r>
          </w:p>
        </w:tc>
        <w:tc>
          <w:tcPr>
            <w:tcW w:w="2244" w:type="pct"/>
          </w:tcPr>
          <w:p w14:paraId="561AB78F" w14:textId="77777777" w:rsidR="000558F2" w:rsidRPr="00A56930" w:rsidRDefault="000558F2" w:rsidP="00DE6C83">
            <w:pPr>
              <w:pStyle w:val="TableTitle"/>
            </w:pPr>
            <w:r w:rsidRPr="00A56930">
              <w:t xml:space="preserve">Percentage of </w:t>
            </w:r>
            <w:r>
              <w:t>staffing</w:t>
            </w:r>
            <w:r w:rsidRPr="00A56930">
              <w:t xml:space="preserve"> activities in all other regions (Non-NCR)</w:t>
            </w:r>
          </w:p>
        </w:tc>
      </w:tr>
      <w:tr w:rsidR="000558F2" w:rsidRPr="00DE6C83" w14:paraId="5EDF83F4" w14:textId="77777777" w:rsidTr="00B31669">
        <w:trPr>
          <w:cantSplit/>
          <w:trHeight w:val="290"/>
          <w:tblHeader/>
          <w:jc w:val="center"/>
        </w:trPr>
        <w:tc>
          <w:tcPr>
            <w:tcW w:w="761" w:type="pct"/>
          </w:tcPr>
          <w:p w14:paraId="6B3A85AC" w14:textId="77777777" w:rsidR="000558F2" w:rsidRPr="00DE6C83" w:rsidRDefault="000558F2" w:rsidP="00E87A54">
            <w:pPr>
              <w:autoSpaceDE w:val="0"/>
              <w:autoSpaceDN w:val="0"/>
              <w:adjustRightInd w:val="0"/>
              <w:rPr>
                <w:rFonts w:asciiTheme="minorHAnsi" w:hAnsiTheme="minorHAnsi" w:cstheme="minorHAnsi"/>
                <w:color w:val="000000"/>
                <w:sz w:val="22"/>
                <w:szCs w:val="24"/>
              </w:rPr>
            </w:pPr>
            <w:r w:rsidRPr="00DE6C83">
              <w:rPr>
                <w:rFonts w:asciiTheme="minorHAnsi" w:hAnsiTheme="minorHAnsi" w:cstheme="minorHAnsi"/>
                <w:color w:val="000000"/>
                <w:sz w:val="22"/>
                <w:szCs w:val="24"/>
              </w:rPr>
              <w:t>2014 to 2015</w:t>
            </w:r>
          </w:p>
        </w:tc>
        <w:tc>
          <w:tcPr>
            <w:tcW w:w="1995" w:type="pct"/>
          </w:tcPr>
          <w:p w14:paraId="3F2705DB"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93%</w:t>
            </w:r>
          </w:p>
        </w:tc>
        <w:tc>
          <w:tcPr>
            <w:tcW w:w="2244" w:type="pct"/>
          </w:tcPr>
          <w:p w14:paraId="57186B76"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7%</w:t>
            </w:r>
          </w:p>
        </w:tc>
      </w:tr>
      <w:tr w:rsidR="000558F2" w:rsidRPr="00DE6C83" w14:paraId="036EF695" w14:textId="77777777" w:rsidTr="00B31669">
        <w:trPr>
          <w:cantSplit/>
          <w:trHeight w:val="290"/>
          <w:tblHeader/>
          <w:jc w:val="center"/>
        </w:trPr>
        <w:tc>
          <w:tcPr>
            <w:tcW w:w="761" w:type="pct"/>
          </w:tcPr>
          <w:p w14:paraId="3FD60BAC" w14:textId="77777777" w:rsidR="000558F2" w:rsidRPr="00DE6C83" w:rsidRDefault="000558F2" w:rsidP="00E87A54">
            <w:pPr>
              <w:autoSpaceDE w:val="0"/>
              <w:autoSpaceDN w:val="0"/>
              <w:adjustRightInd w:val="0"/>
              <w:rPr>
                <w:rFonts w:asciiTheme="minorHAnsi" w:hAnsiTheme="minorHAnsi" w:cstheme="minorHAnsi"/>
                <w:color w:val="000000"/>
                <w:sz w:val="22"/>
                <w:szCs w:val="24"/>
              </w:rPr>
            </w:pPr>
            <w:r w:rsidRPr="00DE6C83">
              <w:rPr>
                <w:rFonts w:asciiTheme="minorHAnsi" w:hAnsiTheme="minorHAnsi" w:cstheme="minorHAnsi"/>
                <w:color w:val="000000"/>
                <w:sz w:val="22"/>
                <w:szCs w:val="24"/>
              </w:rPr>
              <w:t>2015 to 2016</w:t>
            </w:r>
          </w:p>
        </w:tc>
        <w:tc>
          <w:tcPr>
            <w:tcW w:w="1995" w:type="pct"/>
          </w:tcPr>
          <w:p w14:paraId="118A8BC5"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92%</w:t>
            </w:r>
          </w:p>
        </w:tc>
        <w:tc>
          <w:tcPr>
            <w:tcW w:w="2244" w:type="pct"/>
          </w:tcPr>
          <w:p w14:paraId="0B20C695"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8%</w:t>
            </w:r>
          </w:p>
        </w:tc>
      </w:tr>
      <w:tr w:rsidR="000558F2" w:rsidRPr="00DE6C83" w14:paraId="71C71F09" w14:textId="77777777" w:rsidTr="00B31669">
        <w:trPr>
          <w:cantSplit/>
          <w:trHeight w:val="290"/>
          <w:tblHeader/>
          <w:jc w:val="center"/>
        </w:trPr>
        <w:tc>
          <w:tcPr>
            <w:tcW w:w="761" w:type="pct"/>
          </w:tcPr>
          <w:p w14:paraId="52F66B4C" w14:textId="77777777" w:rsidR="000558F2" w:rsidRPr="00DE6C83" w:rsidRDefault="000558F2" w:rsidP="00E87A54">
            <w:pPr>
              <w:autoSpaceDE w:val="0"/>
              <w:autoSpaceDN w:val="0"/>
              <w:adjustRightInd w:val="0"/>
              <w:rPr>
                <w:rFonts w:asciiTheme="minorHAnsi" w:hAnsiTheme="minorHAnsi" w:cstheme="minorHAnsi"/>
                <w:color w:val="000000"/>
                <w:sz w:val="22"/>
                <w:szCs w:val="24"/>
              </w:rPr>
            </w:pPr>
            <w:r w:rsidRPr="00DE6C83">
              <w:rPr>
                <w:rFonts w:asciiTheme="minorHAnsi" w:hAnsiTheme="minorHAnsi" w:cstheme="minorHAnsi"/>
                <w:color w:val="000000"/>
                <w:sz w:val="22"/>
                <w:szCs w:val="24"/>
              </w:rPr>
              <w:t>2016 to 2017</w:t>
            </w:r>
          </w:p>
        </w:tc>
        <w:tc>
          <w:tcPr>
            <w:tcW w:w="1995" w:type="pct"/>
          </w:tcPr>
          <w:p w14:paraId="527F3327"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92%</w:t>
            </w:r>
          </w:p>
        </w:tc>
        <w:tc>
          <w:tcPr>
            <w:tcW w:w="2244" w:type="pct"/>
          </w:tcPr>
          <w:p w14:paraId="74DA3243"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8%</w:t>
            </w:r>
          </w:p>
        </w:tc>
      </w:tr>
      <w:tr w:rsidR="000558F2" w:rsidRPr="00DE6C83" w14:paraId="08F1F80B" w14:textId="77777777" w:rsidTr="00B31669">
        <w:trPr>
          <w:cantSplit/>
          <w:trHeight w:val="290"/>
          <w:tblHeader/>
          <w:jc w:val="center"/>
        </w:trPr>
        <w:tc>
          <w:tcPr>
            <w:tcW w:w="761" w:type="pct"/>
          </w:tcPr>
          <w:p w14:paraId="7EFE8F48" w14:textId="77777777" w:rsidR="000558F2" w:rsidRPr="00DE6C83" w:rsidRDefault="000558F2" w:rsidP="00E87A54">
            <w:pPr>
              <w:autoSpaceDE w:val="0"/>
              <w:autoSpaceDN w:val="0"/>
              <w:adjustRightInd w:val="0"/>
              <w:rPr>
                <w:rFonts w:asciiTheme="minorHAnsi" w:hAnsiTheme="minorHAnsi" w:cstheme="minorHAnsi"/>
                <w:color w:val="000000"/>
                <w:sz w:val="22"/>
                <w:szCs w:val="24"/>
              </w:rPr>
            </w:pPr>
            <w:r w:rsidRPr="00DE6C83">
              <w:rPr>
                <w:rFonts w:asciiTheme="minorHAnsi" w:hAnsiTheme="minorHAnsi" w:cstheme="minorHAnsi"/>
                <w:color w:val="000000"/>
                <w:sz w:val="22"/>
                <w:szCs w:val="24"/>
              </w:rPr>
              <w:t>2017 to 2018</w:t>
            </w:r>
          </w:p>
        </w:tc>
        <w:tc>
          <w:tcPr>
            <w:tcW w:w="1995" w:type="pct"/>
          </w:tcPr>
          <w:p w14:paraId="06CBB678"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94%</w:t>
            </w:r>
          </w:p>
        </w:tc>
        <w:tc>
          <w:tcPr>
            <w:tcW w:w="2244" w:type="pct"/>
          </w:tcPr>
          <w:p w14:paraId="5023D011"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6%</w:t>
            </w:r>
          </w:p>
        </w:tc>
      </w:tr>
      <w:tr w:rsidR="000558F2" w:rsidRPr="00DE6C83" w14:paraId="1D507AEE" w14:textId="77777777" w:rsidTr="00B31669">
        <w:trPr>
          <w:cantSplit/>
          <w:trHeight w:val="290"/>
          <w:tblHeader/>
          <w:jc w:val="center"/>
        </w:trPr>
        <w:tc>
          <w:tcPr>
            <w:tcW w:w="761" w:type="pct"/>
          </w:tcPr>
          <w:p w14:paraId="45C565A2" w14:textId="77777777" w:rsidR="000558F2" w:rsidRPr="00DE6C83" w:rsidRDefault="000558F2" w:rsidP="00E87A54">
            <w:pPr>
              <w:autoSpaceDE w:val="0"/>
              <w:autoSpaceDN w:val="0"/>
              <w:adjustRightInd w:val="0"/>
              <w:rPr>
                <w:rFonts w:asciiTheme="minorHAnsi" w:hAnsiTheme="minorHAnsi" w:cstheme="minorHAnsi"/>
                <w:color w:val="000000"/>
                <w:sz w:val="22"/>
                <w:szCs w:val="24"/>
              </w:rPr>
            </w:pPr>
            <w:r w:rsidRPr="00DE6C83">
              <w:rPr>
                <w:rFonts w:asciiTheme="minorHAnsi" w:hAnsiTheme="minorHAnsi" w:cstheme="minorHAnsi"/>
                <w:color w:val="000000"/>
                <w:sz w:val="22"/>
                <w:szCs w:val="24"/>
              </w:rPr>
              <w:t>2018 to 2019</w:t>
            </w:r>
          </w:p>
        </w:tc>
        <w:tc>
          <w:tcPr>
            <w:tcW w:w="1995" w:type="pct"/>
          </w:tcPr>
          <w:p w14:paraId="40D8D510"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95%</w:t>
            </w:r>
          </w:p>
        </w:tc>
        <w:tc>
          <w:tcPr>
            <w:tcW w:w="2244" w:type="pct"/>
          </w:tcPr>
          <w:p w14:paraId="59729F27" w14:textId="77777777" w:rsidR="000558F2" w:rsidRPr="00DE6C83" w:rsidRDefault="000558F2" w:rsidP="00E87A54">
            <w:pPr>
              <w:autoSpaceDE w:val="0"/>
              <w:autoSpaceDN w:val="0"/>
              <w:adjustRightInd w:val="0"/>
              <w:jc w:val="center"/>
              <w:rPr>
                <w:rFonts w:asciiTheme="minorHAnsi" w:hAnsiTheme="minorHAnsi" w:cstheme="minorHAnsi"/>
                <w:color w:val="000000"/>
                <w:sz w:val="22"/>
                <w:szCs w:val="24"/>
              </w:rPr>
            </w:pPr>
            <w:r w:rsidRPr="00DE6C83">
              <w:rPr>
                <w:rFonts w:asciiTheme="minorHAnsi" w:hAnsiTheme="minorHAnsi" w:cstheme="minorHAnsi"/>
                <w:color w:val="000000"/>
                <w:sz w:val="22"/>
                <w:szCs w:val="24"/>
              </w:rPr>
              <w:t>5%</w:t>
            </w:r>
          </w:p>
        </w:tc>
      </w:tr>
    </w:tbl>
    <w:p w14:paraId="5DC5F2E6" w14:textId="5745EF31" w:rsidR="000558F2" w:rsidRPr="00BB48D7" w:rsidRDefault="000558F2" w:rsidP="00BB48D7">
      <w:pPr>
        <w:pStyle w:val="ListParagraph"/>
        <w:numPr>
          <w:ilvl w:val="0"/>
          <w:numId w:val="38"/>
        </w:numPr>
        <w:spacing w:after="100" w:afterAutospacing="1"/>
        <w:contextualSpacing w:val="0"/>
        <w:rPr>
          <w:rFonts w:asciiTheme="minorHAnsi" w:hAnsiTheme="minorHAnsi" w:cstheme="minorHAnsi"/>
          <w:sz w:val="22"/>
        </w:rPr>
      </w:pPr>
      <w:r w:rsidRPr="00DE6C83">
        <w:rPr>
          <w:rFonts w:asciiTheme="minorHAnsi" w:hAnsiTheme="minorHAnsi" w:cstheme="minorHAnsi"/>
          <w:sz w:val="22"/>
        </w:rPr>
        <w:t>Regional distribution excludes unknowns</w:t>
      </w:r>
    </w:p>
    <w:p w14:paraId="4743EA7A" w14:textId="77777777" w:rsidR="00F679DE" w:rsidRDefault="00F679DE" w:rsidP="00F679DE">
      <w:pPr>
        <w:tabs>
          <w:tab w:val="left" w:pos="7839"/>
        </w:tabs>
        <w:rPr>
          <w:noProof/>
          <w:lang w:eastAsia="en-CA"/>
        </w:rPr>
        <w:sectPr w:rsidR="00F679DE" w:rsidSect="00F679DE">
          <w:pgSz w:w="15840" w:h="12240" w:orient="landscape"/>
          <w:pgMar w:top="1025" w:right="720" w:bottom="720" w:left="720" w:header="708" w:footer="708" w:gutter="0"/>
          <w:cols w:space="708"/>
          <w:titlePg/>
          <w:docGrid w:linePitch="360"/>
        </w:sectPr>
      </w:pPr>
    </w:p>
    <w:p w14:paraId="155CDA34" w14:textId="77777777" w:rsidR="00BB48D7" w:rsidRPr="00BB48D7" w:rsidRDefault="00BB48D7" w:rsidP="00BB48D7">
      <w:pPr>
        <w:pStyle w:val="Heading1"/>
        <w:spacing w:before="120" w:after="120"/>
        <w:rPr>
          <w:noProof/>
          <w:sz w:val="40"/>
          <w:lang w:val="en-CA" w:eastAsia="en-CA"/>
        </w:rPr>
      </w:pPr>
      <w:r w:rsidRPr="00BB48D7">
        <w:rPr>
          <w:rFonts w:eastAsia="Times New Roman"/>
          <w:noProof/>
          <w:sz w:val="40"/>
          <w:lang w:val="en-CA" w:eastAsia="en-CA"/>
        </w:rPr>
        <w:lastRenderedPageBreak/>
        <w:t>Staffing by process type</w:t>
      </w:r>
    </w:p>
    <w:p w14:paraId="2322E220" w14:textId="77777777" w:rsidR="00BB48D7" w:rsidRDefault="00F679DE" w:rsidP="00BB48D7">
      <w:pPr>
        <w:keepNext/>
        <w:tabs>
          <w:tab w:val="left" w:pos="7839"/>
        </w:tabs>
        <w:jc w:val="center"/>
      </w:pPr>
      <w:r>
        <w:rPr>
          <w:noProof/>
          <w:lang w:val="en-CA" w:eastAsia="en-CA"/>
        </w:rPr>
        <w:drawing>
          <wp:inline distT="0" distB="0" distL="0" distR="0" wp14:anchorId="10F77C56" wp14:editId="32335FDD">
            <wp:extent cx="5648400" cy="3049200"/>
            <wp:effectExtent l="0" t="0" r="9525" b="18415"/>
            <wp:docPr id="1" name="Chart 1" descr="Staffing by process typ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B7FFE5" w14:textId="0E373219" w:rsidR="00F679DE" w:rsidRPr="00BB48D7" w:rsidRDefault="00BB48D7" w:rsidP="00BB48D7">
      <w:pPr>
        <w:pStyle w:val="Caption"/>
        <w:spacing w:after="0"/>
        <w:jc w:val="center"/>
        <w:rPr>
          <w:rFonts w:asciiTheme="minorHAnsi" w:hAnsiTheme="minorHAnsi" w:cstheme="minorHAnsi"/>
          <w:i w:val="0"/>
          <w:color w:val="auto"/>
        </w:rPr>
      </w:pPr>
      <w:r w:rsidRPr="00BB48D7">
        <w:rPr>
          <w:rFonts w:asciiTheme="minorHAnsi" w:hAnsiTheme="minorHAnsi" w:cstheme="minorHAnsi"/>
          <w:i w:val="0"/>
          <w:color w:val="auto"/>
        </w:rPr>
        <w:t xml:space="preserve">Figure </w:t>
      </w:r>
      <w:r w:rsidRPr="00BB48D7">
        <w:rPr>
          <w:rFonts w:asciiTheme="minorHAnsi" w:hAnsiTheme="minorHAnsi" w:cstheme="minorHAnsi"/>
          <w:i w:val="0"/>
          <w:color w:val="auto"/>
        </w:rPr>
        <w:fldChar w:fldCharType="begin"/>
      </w:r>
      <w:r w:rsidRPr="00BB48D7">
        <w:rPr>
          <w:rFonts w:asciiTheme="minorHAnsi" w:hAnsiTheme="minorHAnsi" w:cstheme="minorHAnsi"/>
          <w:i w:val="0"/>
          <w:color w:val="auto"/>
        </w:rPr>
        <w:instrText xml:space="preserve"> SEQ Figure \* ARABIC </w:instrText>
      </w:r>
      <w:r w:rsidRPr="00BB48D7">
        <w:rPr>
          <w:rFonts w:asciiTheme="minorHAnsi" w:hAnsiTheme="minorHAnsi" w:cstheme="minorHAnsi"/>
          <w:i w:val="0"/>
          <w:color w:val="auto"/>
        </w:rPr>
        <w:fldChar w:fldCharType="separate"/>
      </w:r>
      <w:r w:rsidR="00C22E59">
        <w:rPr>
          <w:rFonts w:asciiTheme="minorHAnsi" w:hAnsiTheme="minorHAnsi" w:cstheme="minorHAnsi"/>
          <w:i w:val="0"/>
          <w:noProof/>
          <w:color w:val="auto"/>
        </w:rPr>
        <w:t>7</w:t>
      </w:r>
      <w:r w:rsidRPr="00BB48D7">
        <w:rPr>
          <w:rFonts w:asciiTheme="minorHAnsi" w:hAnsiTheme="minorHAnsi" w:cstheme="minorHAnsi"/>
          <w:i w:val="0"/>
          <w:color w:val="auto"/>
        </w:rPr>
        <w:fldChar w:fldCharType="end"/>
      </w:r>
      <w:r w:rsidRPr="00BB48D7">
        <w:rPr>
          <w:rFonts w:asciiTheme="minorHAnsi" w:hAnsiTheme="minorHAnsi" w:cstheme="minorHAnsi"/>
          <w:i w:val="0"/>
          <w:color w:val="auto"/>
        </w:rPr>
        <w:t xml:space="preserve"> - Staffing by process type</w:t>
      </w:r>
    </w:p>
    <w:p w14:paraId="43BE631C" w14:textId="0C2E1AB8" w:rsidR="00BB48D7" w:rsidRPr="00BB48D7" w:rsidRDefault="00BB48D7" w:rsidP="00BB48D7">
      <w:pPr>
        <w:pStyle w:val="Caption"/>
        <w:keepNext/>
        <w:spacing w:before="240" w:after="0"/>
        <w:jc w:val="center"/>
        <w:rPr>
          <w:rFonts w:asciiTheme="minorHAnsi" w:hAnsiTheme="minorHAnsi" w:cstheme="minorHAnsi"/>
          <w:i w:val="0"/>
          <w:color w:val="auto"/>
        </w:rPr>
      </w:pPr>
      <w:r w:rsidRPr="00BB48D7">
        <w:rPr>
          <w:rFonts w:asciiTheme="minorHAnsi" w:hAnsiTheme="minorHAnsi" w:cstheme="minorHAnsi"/>
          <w:i w:val="0"/>
          <w:color w:val="auto"/>
        </w:rPr>
        <w:t xml:space="preserve">Table </w:t>
      </w:r>
      <w:r w:rsidRPr="00BB48D7">
        <w:rPr>
          <w:rFonts w:asciiTheme="minorHAnsi" w:hAnsiTheme="minorHAnsi" w:cstheme="minorHAnsi"/>
          <w:i w:val="0"/>
          <w:color w:val="auto"/>
        </w:rPr>
        <w:fldChar w:fldCharType="begin"/>
      </w:r>
      <w:r w:rsidRPr="00BB48D7">
        <w:rPr>
          <w:rFonts w:asciiTheme="minorHAnsi" w:hAnsiTheme="minorHAnsi" w:cstheme="minorHAnsi"/>
          <w:i w:val="0"/>
          <w:color w:val="auto"/>
        </w:rPr>
        <w:instrText xml:space="preserve"> SEQ Table \* ARABIC </w:instrText>
      </w:r>
      <w:r w:rsidRPr="00BB48D7">
        <w:rPr>
          <w:rFonts w:asciiTheme="minorHAnsi" w:hAnsiTheme="minorHAnsi" w:cstheme="minorHAnsi"/>
          <w:i w:val="0"/>
          <w:color w:val="auto"/>
        </w:rPr>
        <w:fldChar w:fldCharType="separate"/>
      </w:r>
      <w:r w:rsidR="00B76E9C">
        <w:rPr>
          <w:rFonts w:asciiTheme="minorHAnsi" w:hAnsiTheme="minorHAnsi" w:cstheme="minorHAnsi"/>
          <w:i w:val="0"/>
          <w:noProof/>
          <w:color w:val="auto"/>
        </w:rPr>
        <w:t>10</w:t>
      </w:r>
      <w:r w:rsidRPr="00BB48D7">
        <w:rPr>
          <w:rFonts w:asciiTheme="minorHAnsi" w:hAnsiTheme="minorHAnsi" w:cstheme="minorHAnsi"/>
          <w:i w:val="0"/>
          <w:color w:val="auto"/>
        </w:rPr>
        <w:fldChar w:fldCharType="end"/>
      </w:r>
      <w:r w:rsidRPr="00BB48D7">
        <w:rPr>
          <w:rFonts w:asciiTheme="minorHAnsi" w:hAnsiTheme="minorHAnsi" w:cstheme="minorHAnsi"/>
          <w:i w:val="0"/>
          <w:color w:val="auto"/>
        </w:rPr>
        <w:t xml:space="preserve"> - Number and percentage of staffing activities by type of process and fiscal year</w:t>
      </w:r>
    </w:p>
    <w:tbl>
      <w:tblPr>
        <w:tblStyle w:val="TableGrid"/>
        <w:tblW w:w="5000" w:type="pct"/>
        <w:jc w:val="center"/>
        <w:tblLook w:val="0020" w:firstRow="1" w:lastRow="0" w:firstColumn="0" w:lastColumn="0" w:noHBand="0" w:noVBand="0"/>
        <w:tblDescription w:val="Staffing by process type from 2014 to 2019"/>
      </w:tblPr>
      <w:tblGrid>
        <w:gridCol w:w="2121"/>
        <w:gridCol w:w="4962"/>
        <w:gridCol w:w="3402"/>
        <w:gridCol w:w="3905"/>
      </w:tblGrid>
      <w:tr w:rsidR="000558F2" w:rsidRPr="00906821" w14:paraId="4489FA69" w14:textId="77777777" w:rsidTr="00B31669">
        <w:trPr>
          <w:cantSplit/>
          <w:trHeight w:val="290"/>
          <w:tblHeader/>
          <w:jc w:val="center"/>
        </w:trPr>
        <w:tc>
          <w:tcPr>
            <w:tcW w:w="737" w:type="pct"/>
          </w:tcPr>
          <w:p w14:paraId="21F27295" w14:textId="77777777" w:rsidR="000558F2" w:rsidRPr="00A56930" w:rsidRDefault="000558F2" w:rsidP="00BB48D7">
            <w:pPr>
              <w:pStyle w:val="TableTitle"/>
            </w:pPr>
            <w:r w:rsidRPr="00A56930">
              <w:t>Fiscal year</w:t>
            </w:r>
          </w:p>
        </w:tc>
        <w:tc>
          <w:tcPr>
            <w:tcW w:w="1724" w:type="pct"/>
          </w:tcPr>
          <w:p w14:paraId="6D2282FC" w14:textId="77777777" w:rsidR="000558F2" w:rsidRPr="00A56930" w:rsidRDefault="000558F2" w:rsidP="00BB48D7">
            <w:pPr>
              <w:pStyle w:val="TableTitle"/>
            </w:pPr>
            <w:r w:rsidRPr="00A56930">
              <w:t>Non-</w:t>
            </w:r>
            <w:r>
              <w:t>a</w:t>
            </w:r>
            <w:r w:rsidRPr="00A56930">
              <w:t xml:space="preserve">dvertised </w:t>
            </w:r>
            <w:r>
              <w:t>p</w:t>
            </w:r>
            <w:r w:rsidRPr="00A56930">
              <w:t>rocesses (excludes unknowns)</w:t>
            </w:r>
          </w:p>
        </w:tc>
        <w:tc>
          <w:tcPr>
            <w:tcW w:w="1182" w:type="pct"/>
          </w:tcPr>
          <w:p w14:paraId="6007FAFA" w14:textId="77777777" w:rsidR="000558F2" w:rsidRPr="00A56930" w:rsidRDefault="000558F2" w:rsidP="00BB48D7">
            <w:pPr>
              <w:pStyle w:val="TableTitle"/>
            </w:pPr>
            <w:r w:rsidRPr="00A56930">
              <w:t xml:space="preserve">Advertised </w:t>
            </w:r>
            <w:r>
              <w:t>p</w:t>
            </w:r>
            <w:r w:rsidRPr="00A56930">
              <w:t>rocesses</w:t>
            </w:r>
          </w:p>
        </w:tc>
        <w:tc>
          <w:tcPr>
            <w:tcW w:w="1357" w:type="pct"/>
          </w:tcPr>
          <w:p w14:paraId="2D34255C" w14:textId="77777777" w:rsidR="000558F2" w:rsidRPr="00A56930" w:rsidRDefault="000558F2" w:rsidP="00BB48D7">
            <w:pPr>
              <w:pStyle w:val="TableTitle"/>
            </w:pPr>
            <w:r w:rsidRPr="00A56930">
              <w:t xml:space="preserve">% of Non- </w:t>
            </w:r>
            <w:r>
              <w:t>a</w:t>
            </w:r>
            <w:r w:rsidRPr="00A56930">
              <w:t>dvertised</w:t>
            </w:r>
            <w:r>
              <w:t xml:space="preserve"> processes</w:t>
            </w:r>
          </w:p>
        </w:tc>
      </w:tr>
      <w:tr w:rsidR="000558F2" w:rsidRPr="00BB48D7" w14:paraId="6ECBC075" w14:textId="77777777" w:rsidTr="00B31669">
        <w:trPr>
          <w:cantSplit/>
          <w:trHeight w:val="290"/>
          <w:tblHeader/>
          <w:jc w:val="center"/>
        </w:trPr>
        <w:tc>
          <w:tcPr>
            <w:tcW w:w="737" w:type="pct"/>
          </w:tcPr>
          <w:p w14:paraId="7C586CA0"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 xml:space="preserve">2014 to 2015 </w:t>
            </w:r>
          </w:p>
        </w:tc>
        <w:tc>
          <w:tcPr>
            <w:tcW w:w="1724" w:type="pct"/>
          </w:tcPr>
          <w:p w14:paraId="674C3833"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50</w:t>
            </w:r>
          </w:p>
        </w:tc>
        <w:tc>
          <w:tcPr>
            <w:tcW w:w="1182" w:type="pct"/>
          </w:tcPr>
          <w:p w14:paraId="7214E2F4"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62</w:t>
            </w:r>
          </w:p>
        </w:tc>
        <w:tc>
          <w:tcPr>
            <w:tcW w:w="1357" w:type="pct"/>
          </w:tcPr>
          <w:p w14:paraId="26539018"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45%</w:t>
            </w:r>
          </w:p>
        </w:tc>
      </w:tr>
      <w:tr w:rsidR="000558F2" w:rsidRPr="00BB48D7" w14:paraId="3A7B666B" w14:textId="77777777" w:rsidTr="00B31669">
        <w:trPr>
          <w:cantSplit/>
          <w:trHeight w:val="290"/>
          <w:tblHeader/>
          <w:jc w:val="center"/>
        </w:trPr>
        <w:tc>
          <w:tcPr>
            <w:tcW w:w="737" w:type="pct"/>
          </w:tcPr>
          <w:p w14:paraId="19A33D3F"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 xml:space="preserve">2015 to 2016 </w:t>
            </w:r>
          </w:p>
        </w:tc>
        <w:tc>
          <w:tcPr>
            <w:tcW w:w="1724" w:type="pct"/>
          </w:tcPr>
          <w:p w14:paraId="26714D5D"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87</w:t>
            </w:r>
          </w:p>
        </w:tc>
        <w:tc>
          <w:tcPr>
            <w:tcW w:w="1182" w:type="pct"/>
          </w:tcPr>
          <w:p w14:paraId="63B1BA75"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118</w:t>
            </w:r>
          </w:p>
        </w:tc>
        <w:tc>
          <w:tcPr>
            <w:tcW w:w="1357" w:type="pct"/>
          </w:tcPr>
          <w:p w14:paraId="344AF3E5"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42%</w:t>
            </w:r>
          </w:p>
        </w:tc>
      </w:tr>
      <w:tr w:rsidR="000558F2" w:rsidRPr="00BB48D7" w14:paraId="5CE7E3E9" w14:textId="77777777" w:rsidTr="00B31669">
        <w:trPr>
          <w:cantSplit/>
          <w:trHeight w:val="290"/>
          <w:tblHeader/>
          <w:jc w:val="center"/>
        </w:trPr>
        <w:tc>
          <w:tcPr>
            <w:tcW w:w="737" w:type="pct"/>
          </w:tcPr>
          <w:p w14:paraId="2B14E2A0"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2016 to 2017</w:t>
            </w:r>
          </w:p>
        </w:tc>
        <w:tc>
          <w:tcPr>
            <w:tcW w:w="1724" w:type="pct"/>
          </w:tcPr>
          <w:p w14:paraId="5B46E01A"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106</w:t>
            </w:r>
          </w:p>
        </w:tc>
        <w:tc>
          <w:tcPr>
            <w:tcW w:w="1182" w:type="pct"/>
          </w:tcPr>
          <w:p w14:paraId="49102654"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113</w:t>
            </w:r>
          </w:p>
        </w:tc>
        <w:tc>
          <w:tcPr>
            <w:tcW w:w="1357" w:type="pct"/>
          </w:tcPr>
          <w:p w14:paraId="0B9B390A"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48%</w:t>
            </w:r>
          </w:p>
        </w:tc>
      </w:tr>
      <w:tr w:rsidR="000558F2" w:rsidRPr="00BB48D7" w14:paraId="372BC42B" w14:textId="77777777" w:rsidTr="00B31669">
        <w:trPr>
          <w:cantSplit/>
          <w:trHeight w:val="290"/>
          <w:tblHeader/>
          <w:jc w:val="center"/>
        </w:trPr>
        <w:tc>
          <w:tcPr>
            <w:tcW w:w="737" w:type="pct"/>
          </w:tcPr>
          <w:p w14:paraId="471F5316"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2017 to 2018</w:t>
            </w:r>
          </w:p>
        </w:tc>
        <w:tc>
          <w:tcPr>
            <w:tcW w:w="1724" w:type="pct"/>
          </w:tcPr>
          <w:p w14:paraId="17C34CFC"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163</w:t>
            </w:r>
          </w:p>
        </w:tc>
        <w:tc>
          <w:tcPr>
            <w:tcW w:w="1182" w:type="pct"/>
          </w:tcPr>
          <w:p w14:paraId="3A6D18CB"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134</w:t>
            </w:r>
          </w:p>
        </w:tc>
        <w:tc>
          <w:tcPr>
            <w:tcW w:w="1357" w:type="pct"/>
          </w:tcPr>
          <w:p w14:paraId="065CF4E6"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55%</w:t>
            </w:r>
          </w:p>
        </w:tc>
      </w:tr>
      <w:tr w:rsidR="000558F2" w:rsidRPr="00BB48D7" w14:paraId="5A7899FA" w14:textId="77777777" w:rsidTr="00B31669">
        <w:trPr>
          <w:cantSplit/>
          <w:trHeight w:val="290"/>
          <w:tblHeader/>
          <w:jc w:val="center"/>
        </w:trPr>
        <w:tc>
          <w:tcPr>
            <w:tcW w:w="737" w:type="pct"/>
          </w:tcPr>
          <w:p w14:paraId="25116A55"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2018 to 2019</w:t>
            </w:r>
          </w:p>
        </w:tc>
        <w:tc>
          <w:tcPr>
            <w:tcW w:w="1724" w:type="pct"/>
          </w:tcPr>
          <w:p w14:paraId="28290803"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179</w:t>
            </w:r>
          </w:p>
        </w:tc>
        <w:tc>
          <w:tcPr>
            <w:tcW w:w="1182" w:type="pct"/>
          </w:tcPr>
          <w:p w14:paraId="4925195B"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164</w:t>
            </w:r>
          </w:p>
        </w:tc>
        <w:tc>
          <w:tcPr>
            <w:tcW w:w="1357" w:type="pct"/>
          </w:tcPr>
          <w:p w14:paraId="2F4A8FBA"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52%</w:t>
            </w:r>
          </w:p>
        </w:tc>
      </w:tr>
    </w:tbl>
    <w:p w14:paraId="5FB7E9A1" w14:textId="77777777" w:rsidR="000558F2" w:rsidRPr="00BB48D7" w:rsidRDefault="000558F2" w:rsidP="00CF0D03">
      <w:pPr>
        <w:pStyle w:val="ListParagraph"/>
        <w:numPr>
          <w:ilvl w:val="0"/>
          <w:numId w:val="34"/>
        </w:numPr>
        <w:spacing w:after="0"/>
        <w:contextualSpacing w:val="0"/>
        <w:rPr>
          <w:rFonts w:asciiTheme="minorHAnsi" w:hAnsiTheme="minorHAnsi" w:cstheme="minorHAnsi"/>
          <w:sz w:val="22"/>
        </w:rPr>
      </w:pPr>
      <w:r w:rsidRPr="00BB48D7">
        <w:rPr>
          <w:rFonts w:asciiTheme="minorHAnsi" w:hAnsiTheme="minorHAnsi" w:cstheme="minorHAnsi"/>
          <w:sz w:val="22"/>
        </w:rPr>
        <w:t>Includes indeterminate and specified term appointments</w:t>
      </w:r>
    </w:p>
    <w:p w14:paraId="2D8AAF37" w14:textId="77777777" w:rsidR="000558F2" w:rsidRPr="00BB48D7" w:rsidRDefault="000558F2" w:rsidP="00CF0D03">
      <w:pPr>
        <w:pStyle w:val="ListParagraph"/>
        <w:numPr>
          <w:ilvl w:val="0"/>
          <w:numId w:val="34"/>
        </w:numPr>
        <w:spacing w:after="0"/>
        <w:contextualSpacing w:val="0"/>
        <w:rPr>
          <w:rFonts w:asciiTheme="minorHAnsi" w:hAnsiTheme="minorHAnsi" w:cstheme="minorHAnsi"/>
          <w:sz w:val="22"/>
        </w:rPr>
      </w:pPr>
      <w:r w:rsidRPr="00BB48D7">
        <w:rPr>
          <w:rFonts w:asciiTheme="minorHAnsi" w:hAnsiTheme="minorHAnsi" w:cstheme="minorHAnsi"/>
          <w:sz w:val="22"/>
        </w:rPr>
        <w:t>Excludes lateral and downward movements, deployments and acting appointments of less than 4 months</w:t>
      </w:r>
    </w:p>
    <w:p w14:paraId="10EB69BB" w14:textId="6F889E0C" w:rsidR="00F679DE" w:rsidRPr="00BB48D7" w:rsidRDefault="000558F2" w:rsidP="00CF0D03">
      <w:pPr>
        <w:pStyle w:val="ListParagraph"/>
        <w:numPr>
          <w:ilvl w:val="0"/>
          <w:numId w:val="34"/>
        </w:numPr>
        <w:spacing w:after="0"/>
        <w:contextualSpacing w:val="0"/>
        <w:rPr>
          <w:rFonts w:asciiTheme="minorHAnsi" w:hAnsiTheme="minorHAnsi" w:cstheme="minorHAnsi"/>
          <w:sz w:val="22"/>
        </w:rPr>
        <w:sectPr w:rsidR="00F679DE" w:rsidRPr="00BB48D7" w:rsidSect="00F679DE">
          <w:pgSz w:w="15840" w:h="12240" w:orient="landscape"/>
          <w:pgMar w:top="1025" w:right="720" w:bottom="720" w:left="720" w:header="708" w:footer="708" w:gutter="0"/>
          <w:cols w:space="708"/>
          <w:titlePg/>
          <w:docGrid w:linePitch="360"/>
        </w:sectPr>
      </w:pPr>
      <w:r w:rsidRPr="00BB48D7">
        <w:rPr>
          <w:rFonts w:asciiTheme="minorHAnsi" w:hAnsiTheme="minorHAnsi" w:cstheme="minorHAnsi"/>
          <w:sz w:val="22"/>
        </w:rPr>
        <w:t>Includes only appointments where the staffing process type is known (63% to 83% of appointments)</w:t>
      </w:r>
    </w:p>
    <w:p w14:paraId="152C8475" w14:textId="77777777" w:rsidR="00BB48D7" w:rsidRPr="00BB48D7" w:rsidRDefault="00BB48D7" w:rsidP="00BB48D7">
      <w:pPr>
        <w:pStyle w:val="Heading1"/>
        <w:spacing w:before="120" w:after="120"/>
        <w:rPr>
          <w:sz w:val="40"/>
          <w:lang w:val="en-CA"/>
        </w:rPr>
      </w:pPr>
      <w:r w:rsidRPr="00BB48D7">
        <w:rPr>
          <w:rFonts w:eastAsia="Times New Roman"/>
          <w:sz w:val="40"/>
          <w:lang w:val="en-CA"/>
        </w:rPr>
        <w:lastRenderedPageBreak/>
        <w:t>Staffing by appointment type</w:t>
      </w:r>
    </w:p>
    <w:p w14:paraId="5C992289" w14:textId="77777777" w:rsidR="00BB48D7" w:rsidRDefault="00F679DE" w:rsidP="00BB48D7">
      <w:pPr>
        <w:keepNext/>
        <w:jc w:val="center"/>
      </w:pPr>
      <w:r>
        <w:rPr>
          <w:noProof/>
          <w:lang w:val="en-CA" w:eastAsia="en-CA"/>
        </w:rPr>
        <w:drawing>
          <wp:inline distT="0" distB="0" distL="0" distR="0" wp14:anchorId="48668255" wp14:editId="439C2EDF">
            <wp:extent cx="5648400" cy="3049200"/>
            <wp:effectExtent l="0" t="0" r="9525" b="18415"/>
            <wp:docPr id="9" name="Chart 9" descr="Staffing by appointment typ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3C7DB0" w14:textId="06BEE015" w:rsidR="00F679DE" w:rsidRPr="00BB48D7" w:rsidRDefault="00BB48D7" w:rsidP="00BB48D7">
      <w:pPr>
        <w:pStyle w:val="Caption"/>
        <w:spacing w:after="0"/>
        <w:jc w:val="center"/>
        <w:rPr>
          <w:rFonts w:asciiTheme="minorHAnsi" w:hAnsiTheme="minorHAnsi" w:cstheme="minorHAnsi"/>
          <w:i w:val="0"/>
          <w:color w:val="auto"/>
        </w:rPr>
      </w:pPr>
      <w:r w:rsidRPr="00BB48D7">
        <w:rPr>
          <w:rFonts w:asciiTheme="minorHAnsi" w:hAnsiTheme="minorHAnsi" w:cstheme="minorHAnsi"/>
          <w:i w:val="0"/>
          <w:color w:val="auto"/>
        </w:rPr>
        <w:t xml:space="preserve">Figure </w:t>
      </w:r>
      <w:r w:rsidRPr="00BB48D7">
        <w:rPr>
          <w:rFonts w:asciiTheme="minorHAnsi" w:hAnsiTheme="minorHAnsi" w:cstheme="minorHAnsi"/>
          <w:i w:val="0"/>
          <w:color w:val="auto"/>
        </w:rPr>
        <w:fldChar w:fldCharType="begin"/>
      </w:r>
      <w:r w:rsidRPr="00BB48D7">
        <w:rPr>
          <w:rFonts w:asciiTheme="minorHAnsi" w:hAnsiTheme="minorHAnsi" w:cstheme="minorHAnsi"/>
          <w:i w:val="0"/>
          <w:color w:val="auto"/>
        </w:rPr>
        <w:instrText xml:space="preserve"> SEQ Figure \* ARABIC </w:instrText>
      </w:r>
      <w:r w:rsidRPr="00BB48D7">
        <w:rPr>
          <w:rFonts w:asciiTheme="minorHAnsi" w:hAnsiTheme="minorHAnsi" w:cstheme="minorHAnsi"/>
          <w:i w:val="0"/>
          <w:color w:val="auto"/>
        </w:rPr>
        <w:fldChar w:fldCharType="separate"/>
      </w:r>
      <w:r w:rsidR="00C22E59">
        <w:rPr>
          <w:rFonts w:asciiTheme="minorHAnsi" w:hAnsiTheme="minorHAnsi" w:cstheme="minorHAnsi"/>
          <w:i w:val="0"/>
          <w:noProof/>
          <w:color w:val="auto"/>
        </w:rPr>
        <w:t>8</w:t>
      </w:r>
      <w:r w:rsidRPr="00BB48D7">
        <w:rPr>
          <w:rFonts w:asciiTheme="minorHAnsi" w:hAnsiTheme="minorHAnsi" w:cstheme="minorHAnsi"/>
          <w:i w:val="0"/>
          <w:color w:val="auto"/>
        </w:rPr>
        <w:fldChar w:fldCharType="end"/>
      </w:r>
      <w:r w:rsidRPr="00BB48D7">
        <w:rPr>
          <w:rFonts w:asciiTheme="minorHAnsi" w:hAnsiTheme="minorHAnsi" w:cstheme="minorHAnsi"/>
          <w:i w:val="0"/>
          <w:color w:val="auto"/>
        </w:rPr>
        <w:t xml:space="preserve"> - Staffing by appointment type</w:t>
      </w:r>
    </w:p>
    <w:p w14:paraId="12AAA0C4" w14:textId="3504521F" w:rsidR="00BB48D7" w:rsidRPr="00BB48D7" w:rsidRDefault="00BB48D7" w:rsidP="00BB48D7">
      <w:pPr>
        <w:pStyle w:val="Caption"/>
        <w:keepNext/>
        <w:spacing w:before="240" w:after="0"/>
        <w:jc w:val="center"/>
        <w:rPr>
          <w:rFonts w:asciiTheme="minorHAnsi" w:hAnsiTheme="minorHAnsi" w:cstheme="minorHAnsi"/>
          <w:i w:val="0"/>
          <w:color w:val="auto"/>
        </w:rPr>
      </w:pPr>
      <w:r w:rsidRPr="00BB48D7">
        <w:rPr>
          <w:rFonts w:asciiTheme="minorHAnsi" w:hAnsiTheme="minorHAnsi" w:cstheme="minorHAnsi"/>
          <w:i w:val="0"/>
          <w:color w:val="auto"/>
        </w:rPr>
        <w:t xml:space="preserve">Table </w:t>
      </w:r>
      <w:r w:rsidRPr="00BB48D7">
        <w:rPr>
          <w:rFonts w:asciiTheme="minorHAnsi" w:hAnsiTheme="minorHAnsi" w:cstheme="minorHAnsi"/>
          <w:i w:val="0"/>
          <w:color w:val="auto"/>
        </w:rPr>
        <w:fldChar w:fldCharType="begin"/>
      </w:r>
      <w:r w:rsidRPr="00BB48D7">
        <w:rPr>
          <w:rFonts w:asciiTheme="minorHAnsi" w:hAnsiTheme="minorHAnsi" w:cstheme="minorHAnsi"/>
          <w:i w:val="0"/>
          <w:color w:val="auto"/>
        </w:rPr>
        <w:instrText xml:space="preserve"> SEQ Table \* ARABIC </w:instrText>
      </w:r>
      <w:r w:rsidRPr="00BB48D7">
        <w:rPr>
          <w:rFonts w:asciiTheme="minorHAnsi" w:hAnsiTheme="minorHAnsi" w:cstheme="minorHAnsi"/>
          <w:i w:val="0"/>
          <w:color w:val="auto"/>
        </w:rPr>
        <w:fldChar w:fldCharType="separate"/>
      </w:r>
      <w:r w:rsidR="00B76E9C">
        <w:rPr>
          <w:rFonts w:asciiTheme="minorHAnsi" w:hAnsiTheme="minorHAnsi" w:cstheme="minorHAnsi"/>
          <w:i w:val="0"/>
          <w:noProof/>
          <w:color w:val="auto"/>
        </w:rPr>
        <w:t>11</w:t>
      </w:r>
      <w:r w:rsidRPr="00BB48D7">
        <w:rPr>
          <w:rFonts w:asciiTheme="minorHAnsi" w:hAnsiTheme="minorHAnsi" w:cstheme="minorHAnsi"/>
          <w:i w:val="0"/>
          <w:color w:val="auto"/>
        </w:rPr>
        <w:fldChar w:fldCharType="end"/>
      </w:r>
      <w:r w:rsidRPr="00BB48D7">
        <w:rPr>
          <w:rFonts w:asciiTheme="minorHAnsi" w:hAnsiTheme="minorHAnsi" w:cstheme="minorHAnsi"/>
          <w:i w:val="0"/>
          <w:color w:val="auto"/>
        </w:rPr>
        <w:t xml:space="preserve"> - Staffing activities by appointment type and fiscal year</w:t>
      </w:r>
    </w:p>
    <w:tbl>
      <w:tblPr>
        <w:tblStyle w:val="TableGrid"/>
        <w:tblW w:w="5000" w:type="pct"/>
        <w:jc w:val="center"/>
        <w:tblLook w:val="0020" w:firstRow="1" w:lastRow="0" w:firstColumn="0" w:lastColumn="0" w:noHBand="0" w:noVBand="0"/>
        <w:tblDescription w:val="Staffing by appointment type from 2014 to 2019"/>
      </w:tblPr>
      <w:tblGrid>
        <w:gridCol w:w="1839"/>
        <w:gridCol w:w="1698"/>
        <w:gridCol w:w="2553"/>
        <w:gridCol w:w="3920"/>
        <w:gridCol w:w="3045"/>
        <w:gridCol w:w="1335"/>
      </w:tblGrid>
      <w:tr w:rsidR="000558F2" w:rsidRPr="00906821" w14:paraId="6ECD5F7B" w14:textId="77777777" w:rsidTr="00B31669">
        <w:trPr>
          <w:cantSplit/>
          <w:tblHeader/>
          <w:jc w:val="center"/>
        </w:trPr>
        <w:tc>
          <w:tcPr>
            <w:tcW w:w="639" w:type="pct"/>
          </w:tcPr>
          <w:p w14:paraId="743E7E48" w14:textId="77777777" w:rsidR="000558F2" w:rsidRPr="00A56930" w:rsidRDefault="000558F2" w:rsidP="00BB48D7">
            <w:pPr>
              <w:pStyle w:val="TableTitle"/>
            </w:pPr>
            <w:r w:rsidRPr="00A56930">
              <w:t>Fiscal year</w:t>
            </w:r>
          </w:p>
        </w:tc>
        <w:tc>
          <w:tcPr>
            <w:tcW w:w="590" w:type="pct"/>
          </w:tcPr>
          <w:p w14:paraId="1C7F7862" w14:textId="77777777" w:rsidR="000558F2" w:rsidRPr="00A56930" w:rsidRDefault="000558F2" w:rsidP="00BB48D7">
            <w:pPr>
              <w:pStyle w:val="TableTitle"/>
            </w:pPr>
            <w:r w:rsidRPr="00A56930">
              <w:t>Promotions</w:t>
            </w:r>
          </w:p>
        </w:tc>
        <w:tc>
          <w:tcPr>
            <w:tcW w:w="887" w:type="pct"/>
          </w:tcPr>
          <w:p w14:paraId="613A148D" w14:textId="77777777" w:rsidR="000558F2" w:rsidRPr="00A56930" w:rsidRDefault="000558F2" w:rsidP="00BB48D7">
            <w:pPr>
              <w:pStyle w:val="TableTitle"/>
            </w:pPr>
            <w:r w:rsidRPr="00A56930">
              <w:t>Lateral and downward movements</w:t>
            </w:r>
          </w:p>
        </w:tc>
        <w:tc>
          <w:tcPr>
            <w:tcW w:w="1362" w:type="pct"/>
          </w:tcPr>
          <w:p w14:paraId="0C3353F8" w14:textId="77777777" w:rsidR="000558F2" w:rsidRPr="00A56930" w:rsidRDefault="000558F2" w:rsidP="00BB48D7">
            <w:pPr>
              <w:pStyle w:val="TableTitle"/>
            </w:pPr>
            <w:r w:rsidRPr="00A56930">
              <w:t>Appointments to the public service (includes casuals and students)</w:t>
            </w:r>
          </w:p>
        </w:tc>
        <w:tc>
          <w:tcPr>
            <w:tcW w:w="1058" w:type="pct"/>
          </w:tcPr>
          <w:p w14:paraId="28291667" w14:textId="77777777" w:rsidR="000558F2" w:rsidRPr="00A56930" w:rsidRDefault="000558F2" w:rsidP="00BB48D7">
            <w:pPr>
              <w:pStyle w:val="TableTitle"/>
            </w:pPr>
            <w:r w:rsidRPr="00A56930">
              <w:t xml:space="preserve">Acting </w:t>
            </w:r>
            <w:r>
              <w:t>a</w:t>
            </w:r>
            <w:r w:rsidRPr="00A56930">
              <w:t>ppointments (excludes appointments of less than 4 months)</w:t>
            </w:r>
          </w:p>
        </w:tc>
        <w:tc>
          <w:tcPr>
            <w:tcW w:w="464" w:type="pct"/>
          </w:tcPr>
          <w:p w14:paraId="4B4D47EE" w14:textId="77777777" w:rsidR="000558F2" w:rsidRPr="00A56930" w:rsidRDefault="000558F2" w:rsidP="00BB48D7">
            <w:pPr>
              <w:pStyle w:val="TableTitle"/>
            </w:pPr>
            <w:r w:rsidRPr="00A56930">
              <w:t>Total</w:t>
            </w:r>
          </w:p>
        </w:tc>
      </w:tr>
      <w:tr w:rsidR="000558F2" w:rsidRPr="00BB48D7" w14:paraId="2DC6DEED" w14:textId="77777777" w:rsidTr="00B31669">
        <w:trPr>
          <w:cantSplit/>
          <w:tblHeader/>
          <w:jc w:val="center"/>
        </w:trPr>
        <w:tc>
          <w:tcPr>
            <w:tcW w:w="639" w:type="pct"/>
          </w:tcPr>
          <w:p w14:paraId="57D4F2B6"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 xml:space="preserve">2014 to 2015 </w:t>
            </w:r>
          </w:p>
        </w:tc>
        <w:tc>
          <w:tcPr>
            <w:tcW w:w="590" w:type="pct"/>
          </w:tcPr>
          <w:p w14:paraId="1F7001DE"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59</w:t>
            </w:r>
          </w:p>
        </w:tc>
        <w:tc>
          <w:tcPr>
            <w:tcW w:w="887" w:type="pct"/>
          </w:tcPr>
          <w:p w14:paraId="27045BA5"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132</w:t>
            </w:r>
          </w:p>
        </w:tc>
        <w:tc>
          <w:tcPr>
            <w:tcW w:w="1362" w:type="pct"/>
          </w:tcPr>
          <w:p w14:paraId="6D3C930B"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257</w:t>
            </w:r>
          </w:p>
        </w:tc>
        <w:tc>
          <w:tcPr>
            <w:tcW w:w="1058" w:type="pct"/>
          </w:tcPr>
          <w:p w14:paraId="47E1FF7D"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63</w:t>
            </w:r>
          </w:p>
        </w:tc>
        <w:tc>
          <w:tcPr>
            <w:tcW w:w="464" w:type="pct"/>
          </w:tcPr>
          <w:p w14:paraId="441326DE"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511</w:t>
            </w:r>
          </w:p>
        </w:tc>
      </w:tr>
      <w:tr w:rsidR="000558F2" w:rsidRPr="00BB48D7" w14:paraId="2FA6E394" w14:textId="77777777" w:rsidTr="00B31669">
        <w:trPr>
          <w:cantSplit/>
          <w:tblHeader/>
          <w:jc w:val="center"/>
        </w:trPr>
        <w:tc>
          <w:tcPr>
            <w:tcW w:w="639" w:type="pct"/>
          </w:tcPr>
          <w:p w14:paraId="4163007D"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2015 to 2016</w:t>
            </w:r>
          </w:p>
        </w:tc>
        <w:tc>
          <w:tcPr>
            <w:tcW w:w="590" w:type="pct"/>
          </w:tcPr>
          <w:p w14:paraId="0E16A5D0"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114</w:t>
            </w:r>
          </w:p>
        </w:tc>
        <w:tc>
          <w:tcPr>
            <w:tcW w:w="887" w:type="pct"/>
          </w:tcPr>
          <w:p w14:paraId="15E3CD58"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332</w:t>
            </w:r>
          </w:p>
        </w:tc>
        <w:tc>
          <w:tcPr>
            <w:tcW w:w="1362" w:type="pct"/>
          </w:tcPr>
          <w:p w14:paraId="5F4965F5"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479</w:t>
            </w:r>
          </w:p>
        </w:tc>
        <w:tc>
          <w:tcPr>
            <w:tcW w:w="1058" w:type="pct"/>
          </w:tcPr>
          <w:p w14:paraId="1DD962AA"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101</w:t>
            </w:r>
          </w:p>
        </w:tc>
        <w:tc>
          <w:tcPr>
            <w:tcW w:w="464" w:type="pct"/>
          </w:tcPr>
          <w:p w14:paraId="37AAD47F"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1 026</w:t>
            </w:r>
          </w:p>
        </w:tc>
      </w:tr>
      <w:tr w:rsidR="000558F2" w:rsidRPr="00BB48D7" w14:paraId="68A3935F" w14:textId="77777777" w:rsidTr="00B31669">
        <w:trPr>
          <w:cantSplit/>
          <w:tblHeader/>
          <w:jc w:val="center"/>
        </w:trPr>
        <w:tc>
          <w:tcPr>
            <w:tcW w:w="639" w:type="pct"/>
          </w:tcPr>
          <w:p w14:paraId="30757DA2"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 xml:space="preserve">2016 to 2017 </w:t>
            </w:r>
          </w:p>
        </w:tc>
        <w:tc>
          <w:tcPr>
            <w:tcW w:w="590" w:type="pct"/>
          </w:tcPr>
          <w:p w14:paraId="266173AA"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139</w:t>
            </w:r>
          </w:p>
        </w:tc>
        <w:tc>
          <w:tcPr>
            <w:tcW w:w="887" w:type="pct"/>
          </w:tcPr>
          <w:p w14:paraId="039F0300"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200</w:t>
            </w:r>
          </w:p>
        </w:tc>
        <w:tc>
          <w:tcPr>
            <w:tcW w:w="1362" w:type="pct"/>
          </w:tcPr>
          <w:p w14:paraId="0642B9FF"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445</w:t>
            </w:r>
          </w:p>
        </w:tc>
        <w:tc>
          <w:tcPr>
            <w:tcW w:w="1058" w:type="pct"/>
          </w:tcPr>
          <w:p w14:paraId="48E61872"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77</w:t>
            </w:r>
          </w:p>
        </w:tc>
        <w:tc>
          <w:tcPr>
            <w:tcW w:w="464" w:type="pct"/>
          </w:tcPr>
          <w:p w14:paraId="3E4498B8"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861</w:t>
            </w:r>
          </w:p>
        </w:tc>
      </w:tr>
      <w:tr w:rsidR="000558F2" w:rsidRPr="00BB48D7" w14:paraId="1289A7AD" w14:textId="77777777" w:rsidTr="00B31669">
        <w:trPr>
          <w:cantSplit/>
          <w:tblHeader/>
          <w:jc w:val="center"/>
        </w:trPr>
        <w:tc>
          <w:tcPr>
            <w:tcW w:w="639" w:type="pct"/>
          </w:tcPr>
          <w:p w14:paraId="66599D1E"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2017 to 2018</w:t>
            </w:r>
          </w:p>
        </w:tc>
        <w:tc>
          <w:tcPr>
            <w:tcW w:w="590" w:type="pct"/>
          </w:tcPr>
          <w:p w14:paraId="16ED8089"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150</w:t>
            </w:r>
          </w:p>
        </w:tc>
        <w:tc>
          <w:tcPr>
            <w:tcW w:w="887" w:type="pct"/>
          </w:tcPr>
          <w:p w14:paraId="3068CC2E"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169</w:t>
            </w:r>
          </w:p>
        </w:tc>
        <w:tc>
          <w:tcPr>
            <w:tcW w:w="1362" w:type="pct"/>
          </w:tcPr>
          <w:p w14:paraId="3F6DD455"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407</w:t>
            </w:r>
          </w:p>
        </w:tc>
        <w:tc>
          <w:tcPr>
            <w:tcW w:w="1058" w:type="pct"/>
          </w:tcPr>
          <w:p w14:paraId="73778FA0"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95</w:t>
            </w:r>
          </w:p>
        </w:tc>
        <w:tc>
          <w:tcPr>
            <w:tcW w:w="464" w:type="pct"/>
          </w:tcPr>
          <w:p w14:paraId="4CCDE9A8"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821</w:t>
            </w:r>
          </w:p>
        </w:tc>
      </w:tr>
      <w:tr w:rsidR="000558F2" w:rsidRPr="00BB48D7" w14:paraId="16574402" w14:textId="77777777" w:rsidTr="00B31669">
        <w:trPr>
          <w:cantSplit/>
          <w:tblHeader/>
          <w:jc w:val="center"/>
        </w:trPr>
        <w:tc>
          <w:tcPr>
            <w:tcW w:w="639" w:type="pct"/>
          </w:tcPr>
          <w:p w14:paraId="45F262ED"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2018 to 2019</w:t>
            </w:r>
          </w:p>
        </w:tc>
        <w:tc>
          <w:tcPr>
            <w:tcW w:w="590" w:type="pct"/>
          </w:tcPr>
          <w:p w14:paraId="7EC9F815"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194</w:t>
            </w:r>
          </w:p>
        </w:tc>
        <w:tc>
          <w:tcPr>
            <w:tcW w:w="887" w:type="pct"/>
          </w:tcPr>
          <w:p w14:paraId="253F439A"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218</w:t>
            </w:r>
          </w:p>
        </w:tc>
        <w:tc>
          <w:tcPr>
            <w:tcW w:w="1362" w:type="pct"/>
          </w:tcPr>
          <w:p w14:paraId="07113C19"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513</w:t>
            </w:r>
          </w:p>
        </w:tc>
        <w:tc>
          <w:tcPr>
            <w:tcW w:w="1058" w:type="pct"/>
          </w:tcPr>
          <w:p w14:paraId="3B3B33B2"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68</w:t>
            </w:r>
          </w:p>
        </w:tc>
        <w:tc>
          <w:tcPr>
            <w:tcW w:w="464" w:type="pct"/>
          </w:tcPr>
          <w:p w14:paraId="693AF85F"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993</w:t>
            </w:r>
          </w:p>
        </w:tc>
      </w:tr>
    </w:tbl>
    <w:p w14:paraId="5830025A" w14:textId="77777777" w:rsidR="00F679DE" w:rsidRDefault="00F679DE" w:rsidP="00F679DE"/>
    <w:p w14:paraId="123636BA" w14:textId="77777777" w:rsidR="00F679DE" w:rsidRDefault="00F679DE" w:rsidP="00F679DE">
      <w:pPr>
        <w:sectPr w:rsidR="00F679DE" w:rsidSect="00F679DE">
          <w:pgSz w:w="15840" w:h="12240" w:orient="landscape"/>
          <w:pgMar w:top="1025" w:right="720" w:bottom="720" w:left="720" w:header="708" w:footer="708" w:gutter="0"/>
          <w:cols w:space="708"/>
          <w:titlePg/>
          <w:docGrid w:linePitch="360"/>
        </w:sectPr>
      </w:pPr>
    </w:p>
    <w:p w14:paraId="2551E14A" w14:textId="77777777" w:rsidR="00BB48D7" w:rsidRPr="00BB48D7" w:rsidRDefault="00BB48D7" w:rsidP="00BB48D7">
      <w:pPr>
        <w:pStyle w:val="Heading1"/>
        <w:spacing w:before="120" w:after="120"/>
        <w:rPr>
          <w:sz w:val="40"/>
          <w:lang w:val="en-CA"/>
        </w:rPr>
      </w:pPr>
      <w:r w:rsidRPr="00BB48D7">
        <w:rPr>
          <w:rFonts w:eastAsia="Times New Roman"/>
          <w:sz w:val="40"/>
          <w:lang w:val="en-CA"/>
        </w:rPr>
        <w:lastRenderedPageBreak/>
        <w:t>Staffing by tenure</w:t>
      </w:r>
    </w:p>
    <w:p w14:paraId="2555BFCB" w14:textId="77777777" w:rsidR="00BB48D7" w:rsidRDefault="00F679DE" w:rsidP="00BB48D7">
      <w:pPr>
        <w:pStyle w:val="Numberedlist"/>
        <w:keepNext/>
        <w:spacing w:after="0"/>
        <w:jc w:val="center"/>
      </w:pPr>
      <w:r>
        <w:rPr>
          <w:noProof/>
          <w:lang w:val="en-CA" w:eastAsia="en-CA"/>
        </w:rPr>
        <w:drawing>
          <wp:inline distT="0" distB="0" distL="0" distR="0" wp14:anchorId="39862D6F" wp14:editId="7420C41A">
            <wp:extent cx="5648400" cy="3049200"/>
            <wp:effectExtent l="0" t="0" r="9525" b="18415"/>
            <wp:docPr id="3" name="Chart 3" descr="Staffing by tenur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B5F185" w14:textId="4D12AA3A" w:rsidR="00F679DE" w:rsidRPr="00BB48D7" w:rsidRDefault="00BB48D7" w:rsidP="00BB48D7">
      <w:pPr>
        <w:pStyle w:val="Caption"/>
        <w:spacing w:after="0"/>
        <w:jc w:val="center"/>
        <w:rPr>
          <w:rFonts w:asciiTheme="minorHAnsi" w:hAnsiTheme="minorHAnsi" w:cstheme="minorHAnsi"/>
          <w:i w:val="0"/>
          <w:color w:val="auto"/>
        </w:rPr>
      </w:pPr>
      <w:r w:rsidRPr="00BB48D7">
        <w:rPr>
          <w:rFonts w:asciiTheme="minorHAnsi" w:hAnsiTheme="minorHAnsi" w:cstheme="minorHAnsi"/>
          <w:i w:val="0"/>
          <w:color w:val="auto"/>
        </w:rPr>
        <w:t xml:space="preserve">Figure </w:t>
      </w:r>
      <w:r w:rsidRPr="00BB48D7">
        <w:rPr>
          <w:rFonts w:asciiTheme="minorHAnsi" w:hAnsiTheme="minorHAnsi" w:cstheme="minorHAnsi"/>
          <w:i w:val="0"/>
          <w:color w:val="auto"/>
        </w:rPr>
        <w:fldChar w:fldCharType="begin"/>
      </w:r>
      <w:r w:rsidRPr="00BB48D7">
        <w:rPr>
          <w:rFonts w:asciiTheme="minorHAnsi" w:hAnsiTheme="minorHAnsi" w:cstheme="minorHAnsi"/>
          <w:i w:val="0"/>
          <w:color w:val="auto"/>
        </w:rPr>
        <w:instrText xml:space="preserve"> SEQ Figure \* ARABIC </w:instrText>
      </w:r>
      <w:r w:rsidRPr="00BB48D7">
        <w:rPr>
          <w:rFonts w:asciiTheme="minorHAnsi" w:hAnsiTheme="minorHAnsi" w:cstheme="minorHAnsi"/>
          <w:i w:val="0"/>
          <w:color w:val="auto"/>
        </w:rPr>
        <w:fldChar w:fldCharType="separate"/>
      </w:r>
      <w:r w:rsidR="00C22E59">
        <w:rPr>
          <w:rFonts w:asciiTheme="minorHAnsi" w:hAnsiTheme="minorHAnsi" w:cstheme="minorHAnsi"/>
          <w:i w:val="0"/>
          <w:noProof/>
          <w:color w:val="auto"/>
        </w:rPr>
        <w:t>9</w:t>
      </w:r>
      <w:r w:rsidRPr="00BB48D7">
        <w:rPr>
          <w:rFonts w:asciiTheme="minorHAnsi" w:hAnsiTheme="minorHAnsi" w:cstheme="minorHAnsi"/>
          <w:i w:val="0"/>
          <w:color w:val="auto"/>
        </w:rPr>
        <w:fldChar w:fldCharType="end"/>
      </w:r>
      <w:r w:rsidRPr="00BB48D7">
        <w:rPr>
          <w:rFonts w:asciiTheme="minorHAnsi" w:hAnsiTheme="minorHAnsi" w:cstheme="minorHAnsi"/>
          <w:i w:val="0"/>
          <w:color w:val="auto"/>
        </w:rPr>
        <w:t xml:space="preserve"> - Staffing by tenure</w:t>
      </w:r>
    </w:p>
    <w:p w14:paraId="1D4CE452" w14:textId="46462612" w:rsidR="00BB48D7" w:rsidRPr="00BB48D7" w:rsidRDefault="00BB48D7" w:rsidP="00386FDE">
      <w:pPr>
        <w:pStyle w:val="Caption"/>
        <w:keepNext/>
        <w:spacing w:before="240" w:after="0"/>
        <w:jc w:val="center"/>
        <w:rPr>
          <w:rFonts w:asciiTheme="minorHAnsi" w:hAnsiTheme="minorHAnsi" w:cstheme="minorHAnsi"/>
          <w:i w:val="0"/>
          <w:color w:val="auto"/>
        </w:rPr>
      </w:pPr>
      <w:r w:rsidRPr="00BB48D7">
        <w:rPr>
          <w:rFonts w:asciiTheme="minorHAnsi" w:hAnsiTheme="minorHAnsi" w:cstheme="minorHAnsi"/>
          <w:i w:val="0"/>
          <w:color w:val="auto"/>
        </w:rPr>
        <w:t xml:space="preserve">Table </w:t>
      </w:r>
      <w:r w:rsidRPr="00BB48D7">
        <w:rPr>
          <w:rFonts w:asciiTheme="minorHAnsi" w:hAnsiTheme="minorHAnsi" w:cstheme="minorHAnsi"/>
          <w:i w:val="0"/>
          <w:color w:val="auto"/>
        </w:rPr>
        <w:fldChar w:fldCharType="begin"/>
      </w:r>
      <w:r w:rsidRPr="00BB48D7">
        <w:rPr>
          <w:rFonts w:asciiTheme="minorHAnsi" w:hAnsiTheme="minorHAnsi" w:cstheme="minorHAnsi"/>
          <w:i w:val="0"/>
          <w:color w:val="auto"/>
        </w:rPr>
        <w:instrText xml:space="preserve"> SEQ Table \* ARABIC </w:instrText>
      </w:r>
      <w:r w:rsidRPr="00BB48D7">
        <w:rPr>
          <w:rFonts w:asciiTheme="minorHAnsi" w:hAnsiTheme="minorHAnsi" w:cstheme="minorHAnsi"/>
          <w:i w:val="0"/>
          <w:color w:val="auto"/>
        </w:rPr>
        <w:fldChar w:fldCharType="separate"/>
      </w:r>
      <w:r w:rsidR="00B76E9C">
        <w:rPr>
          <w:rFonts w:asciiTheme="minorHAnsi" w:hAnsiTheme="minorHAnsi" w:cstheme="minorHAnsi"/>
          <w:i w:val="0"/>
          <w:noProof/>
          <w:color w:val="auto"/>
        </w:rPr>
        <w:t>12</w:t>
      </w:r>
      <w:r w:rsidRPr="00BB48D7">
        <w:rPr>
          <w:rFonts w:asciiTheme="minorHAnsi" w:hAnsiTheme="minorHAnsi" w:cstheme="minorHAnsi"/>
          <w:i w:val="0"/>
          <w:color w:val="auto"/>
        </w:rPr>
        <w:fldChar w:fldCharType="end"/>
      </w:r>
      <w:r w:rsidRPr="00BB48D7">
        <w:rPr>
          <w:rFonts w:asciiTheme="minorHAnsi" w:hAnsiTheme="minorHAnsi" w:cstheme="minorHAnsi"/>
          <w:i w:val="0"/>
          <w:color w:val="auto"/>
        </w:rPr>
        <w:t xml:space="preserve"> - Staffing activities by tenure and fiscal year</w:t>
      </w:r>
    </w:p>
    <w:tbl>
      <w:tblPr>
        <w:tblStyle w:val="TableGrid"/>
        <w:tblW w:w="5000" w:type="pct"/>
        <w:jc w:val="center"/>
        <w:tblLook w:val="0020" w:firstRow="1" w:lastRow="0" w:firstColumn="0" w:lastColumn="0" w:noHBand="0" w:noVBand="0"/>
        <w:tblDescription w:val="Staffing by tenure from 2014 to 2019"/>
      </w:tblPr>
      <w:tblGrid>
        <w:gridCol w:w="1979"/>
        <w:gridCol w:w="2835"/>
        <w:gridCol w:w="2409"/>
        <w:gridCol w:w="2409"/>
        <w:gridCol w:w="2553"/>
        <w:gridCol w:w="2205"/>
      </w:tblGrid>
      <w:tr w:rsidR="00BB48D7" w:rsidRPr="00906821" w14:paraId="6B0E79CE" w14:textId="77777777" w:rsidTr="00B31669">
        <w:trPr>
          <w:cantSplit/>
          <w:tblHeader/>
          <w:jc w:val="center"/>
        </w:trPr>
        <w:tc>
          <w:tcPr>
            <w:tcW w:w="688" w:type="pct"/>
          </w:tcPr>
          <w:p w14:paraId="5E91E129" w14:textId="77777777" w:rsidR="000558F2" w:rsidRPr="00906821" w:rsidRDefault="000558F2" w:rsidP="00BB48D7">
            <w:pPr>
              <w:pStyle w:val="TableTitle"/>
            </w:pPr>
            <w:r>
              <w:t>Fiscal year</w:t>
            </w:r>
          </w:p>
        </w:tc>
        <w:tc>
          <w:tcPr>
            <w:tcW w:w="985" w:type="pct"/>
          </w:tcPr>
          <w:p w14:paraId="1D77D729" w14:textId="77777777" w:rsidR="000558F2" w:rsidRPr="00906821" w:rsidRDefault="000558F2" w:rsidP="00BB48D7">
            <w:pPr>
              <w:pStyle w:val="TableTitle"/>
            </w:pPr>
            <w:r w:rsidRPr="00906821">
              <w:t>Indeterminate</w:t>
            </w:r>
            <w:r>
              <w:t xml:space="preserve"> staffing activities</w:t>
            </w:r>
          </w:p>
        </w:tc>
        <w:tc>
          <w:tcPr>
            <w:tcW w:w="837" w:type="pct"/>
          </w:tcPr>
          <w:p w14:paraId="1985FDA3" w14:textId="77777777" w:rsidR="000558F2" w:rsidRPr="00906821" w:rsidRDefault="000558F2" w:rsidP="00BB48D7">
            <w:pPr>
              <w:pStyle w:val="TableTitle"/>
            </w:pPr>
            <w:r w:rsidRPr="00906821">
              <w:t>Term</w:t>
            </w:r>
            <w:r>
              <w:t xml:space="preserve"> staffing activities</w:t>
            </w:r>
          </w:p>
        </w:tc>
        <w:tc>
          <w:tcPr>
            <w:tcW w:w="837" w:type="pct"/>
          </w:tcPr>
          <w:p w14:paraId="44602377" w14:textId="77777777" w:rsidR="000558F2" w:rsidRPr="00906821" w:rsidRDefault="000558F2" w:rsidP="00BB48D7">
            <w:pPr>
              <w:pStyle w:val="TableTitle"/>
            </w:pPr>
            <w:r w:rsidRPr="00906821">
              <w:t>Casual</w:t>
            </w:r>
            <w:r>
              <w:t xml:space="preserve"> staffing activities</w:t>
            </w:r>
          </w:p>
        </w:tc>
        <w:tc>
          <w:tcPr>
            <w:tcW w:w="887" w:type="pct"/>
          </w:tcPr>
          <w:p w14:paraId="373D707C" w14:textId="77777777" w:rsidR="000558F2" w:rsidRPr="00906821" w:rsidRDefault="000558F2" w:rsidP="00BB48D7">
            <w:pPr>
              <w:pStyle w:val="TableTitle"/>
            </w:pPr>
            <w:r w:rsidRPr="00906821">
              <w:t>Student</w:t>
            </w:r>
            <w:r>
              <w:t xml:space="preserve"> staffing activities</w:t>
            </w:r>
          </w:p>
        </w:tc>
        <w:tc>
          <w:tcPr>
            <w:tcW w:w="766" w:type="pct"/>
          </w:tcPr>
          <w:p w14:paraId="4B11203C" w14:textId="77777777" w:rsidR="000558F2" w:rsidRPr="00906821" w:rsidRDefault="000558F2" w:rsidP="00BB48D7">
            <w:pPr>
              <w:pStyle w:val="TableTitle"/>
            </w:pPr>
            <w:r>
              <w:t>Total staffing activities</w:t>
            </w:r>
          </w:p>
        </w:tc>
      </w:tr>
      <w:tr w:rsidR="00BB48D7" w:rsidRPr="00BB48D7" w14:paraId="0D2920E4" w14:textId="77777777" w:rsidTr="00B31669">
        <w:trPr>
          <w:cantSplit/>
          <w:tblHeader/>
          <w:jc w:val="center"/>
        </w:trPr>
        <w:tc>
          <w:tcPr>
            <w:tcW w:w="688" w:type="pct"/>
          </w:tcPr>
          <w:p w14:paraId="2563D623"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2014 to 2015</w:t>
            </w:r>
          </w:p>
        </w:tc>
        <w:tc>
          <w:tcPr>
            <w:tcW w:w="985" w:type="pct"/>
          </w:tcPr>
          <w:p w14:paraId="021AD1C3"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268</w:t>
            </w:r>
          </w:p>
        </w:tc>
        <w:tc>
          <w:tcPr>
            <w:tcW w:w="837" w:type="pct"/>
          </w:tcPr>
          <w:p w14:paraId="59EDDF89"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21</w:t>
            </w:r>
          </w:p>
        </w:tc>
        <w:tc>
          <w:tcPr>
            <w:tcW w:w="837" w:type="pct"/>
          </w:tcPr>
          <w:p w14:paraId="15A55F5E"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140</w:t>
            </w:r>
          </w:p>
        </w:tc>
        <w:tc>
          <w:tcPr>
            <w:tcW w:w="887" w:type="pct"/>
          </w:tcPr>
          <w:p w14:paraId="04486667"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82</w:t>
            </w:r>
          </w:p>
        </w:tc>
        <w:tc>
          <w:tcPr>
            <w:tcW w:w="766" w:type="pct"/>
          </w:tcPr>
          <w:p w14:paraId="688D3B4E"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511</w:t>
            </w:r>
          </w:p>
        </w:tc>
      </w:tr>
      <w:tr w:rsidR="00BB48D7" w:rsidRPr="00BB48D7" w14:paraId="0A375626" w14:textId="77777777" w:rsidTr="00B31669">
        <w:trPr>
          <w:cantSplit/>
          <w:tblHeader/>
          <w:jc w:val="center"/>
        </w:trPr>
        <w:tc>
          <w:tcPr>
            <w:tcW w:w="688" w:type="pct"/>
          </w:tcPr>
          <w:p w14:paraId="7DDF8079"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2015 to 2016</w:t>
            </w:r>
          </w:p>
        </w:tc>
        <w:tc>
          <w:tcPr>
            <w:tcW w:w="985" w:type="pct"/>
          </w:tcPr>
          <w:p w14:paraId="0250A443"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580</w:t>
            </w:r>
          </w:p>
        </w:tc>
        <w:tc>
          <w:tcPr>
            <w:tcW w:w="837" w:type="pct"/>
          </w:tcPr>
          <w:p w14:paraId="6ABA4D05"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79</w:t>
            </w:r>
          </w:p>
        </w:tc>
        <w:tc>
          <w:tcPr>
            <w:tcW w:w="837" w:type="pct"/>
          </w:tcPr>
          <w:p w14:paraId="082998E1"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225</w:t>
            </w:r>
          </w:p>
        </w:tc>
        <w:tc>
          <w:tcPr>
            <w:tcW w:w="887" w:type="pct"/>
          </w:tcPr>
          <w:p w14:paraId="3EDAB4F9"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142</w:t>
            </w:r>
          </w:p>
        </w:tc>
        <w:tc>
          <w:tcPr>
            <w:tcW w:w="766" w:type="pct"/>
          </w:tcPr>
          <w:p w14:paraId="675D8800"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1 026</w:t>
            </w:r>
          </w:p>
        </w:tc>
      </w:tr>
      <w:tr w:rsidR="00BB48D7" w:rsidRPr="00BB48D7" w14:paraId="0DE1FB35" w14:textId="77777777" w:rsidTr="00B31669">
        <w:trPr>
          <w:cantSplit/>
          <w:tblHeader/>
          <w:jc w:val="center"/>
        </w:trPr>
        <w:tc>
          <w:tcPr>
            <w:tcW w:w="688" w:type="pct"/>
          </w:tcPr>
          <w:p w14:paraId="07F0A3BC"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2016 to 2017</w:t>
            </w:r>
          </w:p>
        </w:tc>
        <w:tc>
          <w:tcPr>
            <w:tcW w:w="985" w:type="pct"/>
          </w:tcPr>
          <w:p w14:paraId="35C6120E"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468</w:t>
            </w:r>
          </w:p>
        </w:tc>
        <w:tc>
          <w:tcPr>
            <w:tcW w:w="837" w:type="pct"/>
          </w:tcPr>
          <w:p w14:paraId="0AAF63C1"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61</w:t>
            </w:r>
          </w:p>
        </w:tc>
        <w:tc>
          <w:tcPr>
            <w:tcW w:w="837" w:type="pct"/>
          </w:tcPr>
          <w:p w14:paraId="05928D3A"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217</w:t>
            </w:r>
          </w:p>
        </w:tc>
        <w:tc>
          <w:tcPr>
            <w:tcW w:w="887" w:type="pct"/>
          </w:tcPr>
          <w:p w14:paraId="6240A0B1"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115</w:t>
            </w:r>
          </w:p>
        </w:tc>
        <w:tc>
          <w:tcPr>
            <w:tcW w:w="766" w:type="pct"/>
          </w:tcPr>
          <w:p w14:paraId="64619019"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861</w:t>
            </w:r>
          </w:p>
        </w:tc>
      </w:tr>
      <w:tr w:rsidR="00BB48D7" w:rsidRPr="00BB48D7" w14:paraId="0149EE02" w14:textId="77777777" w:rsidTr="00B31669">
        <w:trPr>
          <w:cantSplit/>
          <w:tblHeader/>
          <w:jc w:val="center"/>
        </w:trPr>
        <w:tc>
          <w:tcPr>
            <w:tcW w:w="688" w:type="pct"/>
          </w:tcPr>
          <w:p w14:paraId="316ED7DA"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2017 to 2018</w:t>
            </w:r>
          </w:p>
        </w:tc>
        <w:tc>
          <w:tcPr>
            <w:tcW w:w="985" w:type="pct"/>
          </w:tcPr>
          <w:p w14:paraId="045B977F"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461</w:t>
            </w:r>
          </w:p>
        </w:tc>
        <w:tc>
          <w:tcPr>
            <w:tcW w:w="837" w:type="pct"/>
          </w:tcPr>
          <w:p w14:paraId="48CF99AF"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68</w:t>
            </w:r>
          </w:p>
        </w:tc>
        <w:tc>
          <w:tcPr>
            <w:tcW w:w="837" w:type="pct"/>
          </w:tcPr>
          <w:p w14:paraId="5F47B167"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185</w:t>
            </w:r>
          </w:p>
        </w:tc>
        <w:tc>
          <w:tcPr>
            <w:tcW w:w="887" w:type="pct"/>
          </w:tcPr>
          <w:p w14:paraId="5C6DACA9"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107</w:t>
            </w:r>
          </w:p>
        </w:tc>
        <w:tc>
          <w:tcPr>
            <w:tcW w:w="766" w:type="pct"/>
          </w:tcPr>
          <w:p w14:paraId="7685ACFA"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821</w:t>
            </w:r>
          </w:p>
        </w:tc>
      </w:tr>
      <w:tr w:rsidR="00BB48D7" w:rsidRPr="00BB48D7" w14:paraId="5D33A33F" w14:textId="77777777" w:rsidTr="00B31669">
        <w:trPr>
          <w:cantSplit/>
          <w:tblHeader/>
          <w:jc w:val="center"/>
        </w:trPr>
        <w:tc>
          <w:tcPr>
            <w:tcW w:w="688" w:type="pct"/>
          </w:tcPr>
          <w:p w14:paraId="0C3C6785" w14:textId="77777777" w:rsidR="000558F2" w:rsidRPr="00BB48D7" w:rsidRDefault="000558F2" w:rsidP="00E87A54">
            <w:pPr>
              <w:autoSpaceDE w:val="0"/>
              <w:autoSpaceDN w:val="0"/>
              <w:adjustRightInd w:val="0"/>
              <w:rPr>
                <w:rFonts w:asciiTheme="minorHAnsi" w:hAnsiTheme="minorHAnsi" w:cstheme="minorHAnsi"/>
                <w:color w:val="000000"/>
                <w:sz w:val="22"/>
                <w:szCs w:val="24"/>
              </w:rPr>
            </w:pPr>
            <w:r w:rsidRPr="00BB48D7">
              <w:rPr>
                <w:rFonts w:asciiTheme="minorHAnsi" w:hAnsiTheme="minorHAnsi" w:cstheme="minorHAnsi"/>
                <w:color w:val="000000"/>
                <w:sz w:val="22"/>
                <w:szCs w:val="24"/>
              </w:rPr>
              <w:t>2018 to 2019</w:t>
            </w:r>
          </w:p>
        </w:tc>
        <w:tc>
          <w:tcPr>
            <w:tcW w:w="985" w:type="pct"/>
          </w:tcPr>
          <w:p w14:paraId="045C13EA"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549</w:t>
            </w:r>
          </w:p>
        </w:tc>
        <w:tc>
          <w:tcPr>
            <w:tcW w:w="837" w:type="pct"/>
          </w:tcPr>
          <w:p w14:paraId="5B74B8A2"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94</w:t>
            </w:r>
          </w:p>
        </w:tc>
        <w:tc>
          <w:tcPr>
            <w:tcW w:w="837" w:type="pct"/>
          </w:tcPr>
          <w:p w14:paraId="27DBFF06"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241</w:t>
            </w:r>
          </w:p>
        </w:tc>
        <w:tc>
          <w:tcPr>
            <w:tcW w:w="887" w:type="pct"/>
          </w:tcPr>
          <w:p w14:paraId="3DD35502"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109</w:t>
            </w:r>
          </w:p>
        </w:tc>
        <w:tc>
          <w:tcPr>
            <w:tcW w:w="766" w:type="pct"/>
          </w:tcPr>
          <w:p w14:paraId="6F7100AB" w14:textId="77777777" w:rsidR="000558F2" w:rsidRPr="00BB48D7" w:rsidRDefault="000558F2" w:rsidP="00E87A54">
            <w:pPr>
              <w:autoSpaceDE w:val="0"/>
              <w:autoSpaceDN w:val="0"/>
              <w:adjustRightInd w:val="0"/>
              <w:jc w:val="center"/>
              <w:rPr>
                <w:rFonts w:asciiTheme="minorHAnsi" w:hAnsiTheme="minorHAnsi" w:cstheme="minorHAnsi"/>
                <w:color w:val="000000"/>
                <w:sz w:val="22"/>
                <w:szCs w:val="24"/>
              </w:rPr>
            </w:pPr>
            <w:r w:rsidRPr="00BB48D7">
              <w:rPr>
                <w:rFonts w:asciiTheme="minorHAnsi" w:hAnsiTheme="minorHAnsi" w:cstheme="minorHAnsi"/>
                <w:color w:val="000000"/>
                <w:sz w:val="22"/>
                <w:szCs w:val="24"/>
              </w:rPr>
              <w:t>993</w:t>
            </w:r>
          </w:p>
        </w:tc>
      </w:tr>
    </w:tbl>
    <w:p w14:paraId="21988B49" w14:textId="77777777" w:rsidR="00EF7B6B" w:rsidRDefault="00EF7B6B" w:rsidP="00386FDE">
      <w:pPr>
        <w:rPr>
          <w:rStyle w:val="Strong"/>
        </w:rPr>
      </w:pPr>
    </w:p>
    <w:p w14:paraId="630640E9" w14:textId="1346E3A9" w:rsidR="000558F2" w:rsidRPr="00BB48D7" w:rsidRDefault="000558F2" w:rsidP="000640FD">
      <w:pPr>
        <w:pStyle w:val="Heading3"/>
        <w:rPr>
          <w:rStyle w:val="Strong"/>
        </w:rPr>
      </w:pPr>
      <w:r w:rsidRPr="00BB48D7">
        <w:rPr>
          <w:rStyle w:val="Strong"/>
        </w:rPr>
        <w:t>Key findings - Staffing and non-partisanship survey (2018)</w:t>
      </w:r>
    </w:p>
    <w:p w14:paraId="01F50743" w14:textId="1EB84784" w:rsidR="000558F2" w:rsidRPr="00BB48D7" w:rsidRDefault="000558F2" w:rsidP="00386FDE">
      <w:pPr>
        <w:pStyle w:val="ListParagraph"/>
        <w:numPr>
          <w:ilvl w:val="0"/>
          <w:numId w:val="35"/>
        </w:numPr>
        <w:spacing w:after="0"/>
        <w:contextualSpacing w:val="0"/>
        <w:rPr>
          <w:rFonts w:asciiTheme="minorHAnsi" w:hAnsiTheme="minorHAnsi" w:cstheme="minorHAnsi"/>
          <w:sz w:val="22"/>
        </w:rPr>
      </w:pPr>
      <w:r w:rsidRPr="00BB48D7">
        <w:rPr>
          <w:rFonts w:asciiTheme="minorHAnsi" w:hAnsiTheme="minorHAnsi" w:cstheme="minorHAnsi"/>
          <w:sz w:val="22"/>
        </w:rPr>
        <w:t xml:space="preserve">56.2% of </w:t>
      </w:r>
      <w:r w:rsidRPr="00BB48D7">
        <w:rPr>
          <w:rStyle w:val="Strong"/>
        </w:rPr>
        <w:t>employees</w:t>
      </w:r>
      <w:r w:rsidRPr="00BB48D7">
        <w:rPr>
          <w:rFonts w:asciiTheme="minorHAnsi" w:hAnsiTheme="minorHAnsi" w:cstheme="minorHAnsi"/>
          <w:sz w:val="22"/>
        </w:rPr>
        <w:t xml:space="preserve"> agreed that people hired can do the job, compared to 67.6% in organizations of similar size, and 53.8% in the federal public service</w:t>
      </w:r>
      <w:r w:rsidR="00386FDE">
        <w:rPr>
          <w:rFonts w:asciiTheme="minorHAnsi" w:hAnsiTheme="minorHAnsi" w:cstheme="minorHAnsi"/>
          <w:sz w:val="22"/>
        </w:rPr>
        <w:t>.</w:t>
      </w:r>
    </w:p>
    <w:p w14:paraId="302435EF" w14:textId="1E9C4708" w:rsidR="000558F2" w:rsidRPr="00BB48D7" w:rsidRDefault="000558F2" w:rsidP="00386FDE">
      <w:pPr>
        <w:pStyle w:val="ListParagraph"/>
        <w:numPr>
          <w:ilvl w:val="0"/>
          <w:numId w:val="35"/>
        </w:numPr>
        <w:spacing w:after="0"/>
        <w:contextualSpacing w:val="0"/>
        <w:rPr>
          <w:rFonts w:asciiTheme="minorHAnsi" w:hAnsiTheme="minorHAnsi" w:cstheme="minorHAnsi"/>
          <w:sz w:val="22"/>
        </w:rPr>
      </w:pPr>
      <w:r w:rsidRPr="00BB48D7">
        <w:rPr>
          <w:rFonts w:asciiTheme="minorHAnsi" w:hAnsiTheme="minorHAnsi" w:cstheme="minorHAnsi"/>
          <w:sz w:val="22"/>
        </w:rPr>
        <w:lastRenderedPageBreak/>
        <w:t xml:space="preserve">63.4% of </w:t>
      </w:r>
      <w:r w:rsidRPr="00BB48D7">
        <w:rPr>
          <w:rStyle w:val="Strong"/>
        </w:rPr>
        <w:t xml:space="preserve">managers </w:t>
      </w:r>
      <w:r w:rsidRPr="00BB48D7">
        <w:rPr>
          <w:rFonts w:asciiTheme="minorHAnsi" w:hAnsiTheme="minorHAnsi" w:cstheme="minorHAnsi"/>
          <w:sz w:val="22"/>
        </w:rPr>
        <w:t>agreed that the New Direction in Staffing has improved the way they hire and appoint persons to and within their organization, compared to 69.4% in organizations of similar size, and 56.1% in the federal public service</w:t>
      </w:r>
      <w:r w:rsidR="00386FDE">
        <w:rPr>
          <w:rFonts w:asciiTheme="minorHAnsi" w:hAnsiTheme="minorHAnsi" w:cstheme="minorHAnsi"/>
          <w:sz w:val="22"/>
        </w:rPr>
        <w:t>.</w:t>
      </w:r>
    </w:p>
    <w:p w14:paraId="7835EC30" w14:textId="6C5DBA99" w:rsidR="000558F2" w:rsidRPr="00BB48D7" w:rsidRDefault="000558F2" w:rsidP="00386FDE">
      <w:pPr>
        <w:pStyle w:val="ListParagraph"/>
        <w:numPr>
          <w:ilvl w:val="0"/>
          <w:numId w:val="35"/>
        </w:numPr>
        <w:spacing w:after="0"/>
        <w:contextualSpacing w:val="0"/>
        <w:rPr>
          <w:rFonts w:asciiTheme="minorHAnsi" w:hAnsiTheme="minorHAnsi" w:cstheme="minorHAnsi"/>
          <w:sz w:val="22"/>
        </w:rPr>
      </w:pPr>
      <w:r w:rsidRPr="00BB48D7">
        <w:rPr>
          <w:rFonts w:asciiTheme="minorHAnsi" w:hAnsiTheme="minorHAnsi" w:cstheme="minorHAnsi"/>
          <w:sz w:val="22"/>
        </w:rPr>
        <w:t xml:space="preserve">91.7% of </w:t>
      </w:r>
      <w:r w:rsidRPr="00BB48D7">
        <w:rPr>
          <w:rStyle w:val="Strong"/>
        </w:rPr>
        <w:t xml:space="preserve">managers </w:t>
      </w:r>
      <w:r w:rsidRPr="00BB48D7">
        <w:rPr>
          <w:rFonts w:asciiTheme="minorHAnsi" w:hAnsiTheme="minorHAnsi" w:cstheme="minorHAnsi"/>
          <w:sz w:val="22"/>
        </w:rPr>
        <w:t xml:space="preserve">agreed that within their organization, the administrative to staff a position is </w:t>
      </w:r>
      <w:r w:rsidRPr="00BB48D7">
        <w:rPr>
          <w:rStyle w:val="Strong"/>
        </w:rPr>
        <w:t>burdensome</w:t>
      </w:r>
      <w:r w:rsidRPr="00BB48D7">
        <w:rPr>
          <w:rFonts w:asciiTheme="minorHAnsi" w:hAnsiTheme="minorHAnsi" w:cstheme="minorHAnsi"/>
          <w:sz w:val="22"/>
        </w:rPr>
        <w:t>, compared to 84.0% in organizations of similar size, and 87.9% in the federal public service</w:t>
      </w:r>
      <w:r w:rsidR="00386FDE">
        <w:rPr>
          <w:rFonts w:asciiTheme="minorHAnsi" w:hAnsiTheme="minorHAnsi" w:cstheme="minorHAnsi"/>
          <w:sz w:val="22"/>
        </w:rPr>
        <w:t>.</w:t>
      </w:r>
    </w:p>
    <w:p w14:paraId="613F2E6D" w14:textId="77777777" w:rsidR="00F679DE" w:rsidRDefault="00F679DE" w:rsidP="00F679DE">
      <w:pPr>
        <w:sectPr w:rsidR="00F679DE" w:rsidSect="00F679DE">
          <w:pgSz w:w="15840" w:h="12240" w:orient="landscape"/>
          <w:pgMar w:top="1025" w:right="720" w:bottom="720" w:left="720" w:header="708" w:footer="708" w:gutter="0"/>
          <w:cols w:space="708"/>
          <w:titlePg/>
          <w:docGrid w:linePitch="360"/>
        </w:sectPr>
      </w:pPr>
    </w:p>
    <w:p w14:paraId="1A25E227" w14:textId="77777777" w:rsidR="003E71DF" w:rsidRPr="003E71DF" w:rsidRDefault="003E71DF" w:rsidP="000640FD">
      <w:pPr>
        <w:pStyle w:val="Heading2"/>
        <w:rPr>
          <w:lang w:val="en-CA"/>
        </w:rPr>
      </w:pPr>
      <w:r w:rsidRPr="003E71DF">
        <w:rPr>
          <w:rFonts w:eastAsia="Times New Roman"/>
          <w:lang w:val="en-CA"/>
        </w:rPr>
        <w:lastRenderedPageBreak/>
        <w:t>Student program hires</w:t>
      </w:r>
    </w:p>
    <w:p w14:paraId="05BC6395" w14:textId="77777777" w:rsidR="003E71DF" w:rsidRDefault="00F679DE" w:rsidP="003E71DF">
      <w:pPr>
        <w:keepNext/>
        <w:jc w:val="center"/>
      </w:pPr>
      <w:r>
        <w:rPr>
          <w:noProof/>
          <w:lang w:val="en-CA" w:eastAsia="en-CA"/>
        </w:rPr>
        <w:drawing>
          <wp:inline distT="0" distB="0" distL="0" distR="0" wp14:anchorId="6FEF9B7F" wp14:editId="3571551F">
            <wp:extent cx="5648400" cy="3049200"/>
            <wp:effectExtent l="0" t="0" r="9525" b="18415"/>
            <wp:docPr id="17" name="Chart 17" descr="Student program hire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AAEADDE" w14:textId="55647D71" w:rsidR="00F679DE" w:rsidRPr="003E71DF" w:rsidRDefault="003E71DF" w:rsidP="003E71DF">
      <w:pPr>
        <w:pStyle w:val="Caption"/>
        <w:spacing w:after="0"/>
        <w:jc w:val="center"/>
        <w:rPr>
          <w:rFonts w:asciiTheme="minorHAnsi" w:hAnsiTheme="minorHAnsi" w:cstheme="minorHAnsi"/>
          <w:i w:val="0"/>
          <w:color w:val="auto"/>
        </w:rPr>
      </w:pPr>
      <w:r w:rsidRPr="003E71DF">
        <w:rPr>
          <w:rFonts w:asciiTheme="minorHAnsi" w:hAnsiTheme="minorHAnsi" w:cstheme="minorHAnsi"/>
          <w:i w:val="0"/>
          <w:color w:val="auto"/>
        </w:rPr>
        <w:t xml:space="preserve">Figure </w:t>
      </w:r>
      <w:r w:rsidRPr="003E71DF">
        <w:rPr>
          <w:rFonts w:asciiTheme="minorHAnsi" w:hAnsiTheme="minorHAnsi" w:cstheme="minorHAnsi"/>
          <w:i w:val="0"/>
          <w:color w:val="auto"/>
        </w:rPr>
        <w:fldChar w:fldCharType="begin"/>
      </w:r>
      <w:r w:rsidRPr="003E71DF">
        <w:rPr>
          <w:rFonts w:asciiTheme="minorHAnsi" w:hAnsiTheme="minorHAnsi" w:cstheme="minorHAnsi"/>
          <w:i w:val="0"/>
          <w:color w:val="auto"/>
        </w:rPr>
        <w:instrText xml:space="preserve"> SEQ Figure \* ARABIC </w:instrText>
      </w:r>
      <w:r w:rsidRPr="003E71DF">
        <w:rPr>
          <w:rFonts w:asciiTheme="minorHAnsi" w:hAnsiTheme="minorHAnsi" w:cstheme="minorHAnsi"/>
          <w:i w:val="0"/>
          <w:color w:val="auto"/>
        </w:rPr>
        <w:fldChar w:fldCharType="separate"/>
      </w:r>
      <w:r w:rsidR="00C22E59">
        <w:rPr>
          <w:rFonts w:asciiTheme="minorHAnsi" w:hAnsiTheme="minorHAnsi" w:cstheme="minorHAnsi"/>
          <w:i w:val="0"/>
          <w:noProof/>
          <w:color w:val="auto"/>
        </w:rPr>
        <w:t>10</w:t>
      </w:r>
      <w:r w:rsidRPr="003E71DF">
        <w:rPr>
          <w:rFonts w:asciiTheme="minorHAnsi" w:hAnsiTheme="minorHAnsi" w:cstheme="minorHAnsi"/>
          <w:i w:val="0"/>
          <w:color w:val="auto"/>
        </w:rPr>
        <w:fldChar w:fldCharType="end"/>
      </w:r>
      <w:r w:rsidRPr="003E71DF">
        <w:rPr>
          <w:rFonts w:asciiTheme="minorHAnsi" w:hAnsiTheme="minorHAnsi" w:cstheme="minorHAnsi"/>
          <w:i w:val="0"/>
          <w:color w:val="auto"/>
        </w:rPr>
        <w:t xml:space="preserve"> - Student program hires</w:t>
      </w:r>
    </w:p>
    <w:p w14:paraId="5D22BA0D" w14:textId="56622F4C" w:rsidR="003E71DF" w:rsidRPr="003E71DF" w:rsidRDefault="003E71DF" w:rsidP="003E71DF">
      <w:pPr>
        <w:pStyle w:val="Caption"/>
        <w:keepNext/>
        <w:spacing w:before="240" w:after="0"/>
        <w:jc w:val="center"/>
        <w:rPr>
          <w:rFonts w:asciiTheme="minorHAnsi" w:hAnsiTheme="minorHAnsi" w:cstheme="minorHAnsi"/>
          <w:i w:val="0"/>
          <w:color w:val="auto"/>
        </w:rPr>
      </w:pPr>
      <w:r w:rsidRPr="003E71DF">
        <w:rPr>
          <w:rFonts w:asciiTheme="minorHAnsi" w:hAnsiTheme="minorHAnsi" w:cstheme="minorHAnsi"/>
          <w:i w:val="0"/>
          <w:color w:val="auto"/>
        </w:rPr>
        <w:t xml:space="preserve">Table </w:t>
      </w:r>
      <w:r w:rsidRPr="003E71DF">
        <w:rPr>
          <w:rFonts w:asciiTheme="minorHAnsi" w:hAnsiTheme="minorHAnsi" w:cstheme="minorHAnsi"/>
          <w:i w:val="0"/>
          <w:color w:val="auto"/>
        </w:rPr>
        <w:fldChar w:fldCharType="begin"/>
      </w:r>
      <w:r w:rsidRPr="003E71DF">
        <w:rPr>
          <w:rFonts w:asciiTheme="minorHAnsi" w:hAnsiTheme="minorHAnsi" w:cstheme="minorHAnsi"/>
          <w:i w:val="0"/>
          <w:color w:val="auto"/>
        </w:rPr>
        <w:instrText xml:space="preserve"> SEQ Table \* ARABIC </w:instrText>
      </w:r>
      <w:r w:rsidRPr="003E71DF">
        <w:rPr>
          <w:rFonts w:asciiTheme="minorHAnsi" w:hAnsiTheme="minorHAnsi" w:cstheme="minorHAnsi"/>
          <w:i w:val="0"/>
          <w:color w:val="auto"/>
        </w:rPr>
        <w:fldChar w:fldCharType="separate"/>
      </w:r>
      <w:r w:rsidR="00B76E9C">
        <w:rPr>
          <w:rFonts w:asciiTheme="minorHAnsi" w:hAnsiTheme="minorHAnsi" w:cstheme="minorHAnsi"/>
          <w:i w:val="0"/>
          <w:noProof/>
          <w:color w:val="auto"/>
        </w:rPr>
        <w:t>13</w:t>
      </w:r>
      <w:r w:rsidRPr="003E71DF">
        <w:rPr>
          <w:rFonts w:asciiTheme="minorHAnsi" w:hAnsiTheme="minorHAnsi" w:cstheme="minorHAnsi"/>
          <w:i w:val="0"/>
          <w:color w:val="auto"/>
        </w:rPr>
        <w:fldChar w:fldCharType="end"/>
      </w:r>
      <w:r w:rsidRPr="003E71DF">
        <w:rPr>
          <w:rFonts w:asciiTheme="minorHAnsi" w:hAnsiTheme="minorHAnsi" w:cstheme="minorHAnsi"/>
          <w:i w:val="0"/>
          <w:color w:val="auto"/>
        </w:rPr>
        <w:t xml:space="preserve"> - Student staffing activities by recruitment program and fiscal year</w:t>
      </w:r>
    </w:p>
    <w:tbl>
      <w:tblPr>
        <w:tblStyle w:val="TableGrid"/>
        <w:tblW w:w="5000" w:type="pct"/>
        <w:jc w:val="center"/>
        <w:tblLook w:val="0020" w:firstRow="1" w:lastRow="0" w:firstColumn="0" w:lastColumn="0" w:noHBand="0" w:noVBand="0"/>
        <w:tblDescription w:val="Student program hires from 2014 to 2019"/>
      </w:tblPr>
      <w:tblGrid>
        <w:gridCol w:w="1840"/>
        <w:gridCol w:w="4252"/>
        <w:gridCol w:w="3969"/>
        <w:gridCol w:w="3238"/>
        <w:gridCol w:w="1091"/>
      </w:tblGrid>
      <w:tr w:rsidR="001E4E13" w:rsidRPr="00906821" w14:paraId="4DAAE6A1" w14:textId="77777777" w:rsidTr="00B31669">
        <w:trPr>
          <w:cantSplit/>
          <w:tblHeader/>
          <w:jc w:val="center"/>
        </w:trPr>
        <w:tc>
          <w:tcPr>
            <w:tcW w:w="639" w:type="pct"/>
          </w:tcPr>
          <w:p w14:paraId="6004D502" w14:textId="77777777" w:rsidR="001E4E13" w:rsidRPr="00906821" w:rsidRDefault="001E4E13" w:rsidP="003E71DF">
            <w:pPr>
              <w:pStyle w:val="TableTitle"/>
            </w:pPr>
            <w:r>
              <w:t>Fiscal year</w:t>
            </w:r>
          </w:p>
        </w:tc>
        <w:tc>
          <w:tcPr>
            <w:tcW w:w="1477" w:type="pct"/>
          </w:tcPr>
          <w:p w14:paraId="346C9FD8" w14:textId="77777777" w:rsidR="001E4E13" w:rsidRPr="00BD45D6" w:rsidRDefault="001E4E13" w:rsidP="003E71DF">
            <w:pPr>
              <w:pStyle w:val="TableTitle"/>
            </w:pPr>
            <w:r w:rsidRPr="00BD45D6">
              <w:t>Federal Student Work Experience Program</w:t>
            </w:r>
          </w:p>
        </w:tc>
        <w:tc>
          <w:tcPr>
            <w:tcW w:w="1379" w:type="pct"/>
          </w:tcPr>
          <w:p w14:paraId="463CED72" w14:textId="77777777" w:rsidR="001E4E13" w:rsidRPr="00BD45D6" w:rsidRDefault="001E4E13" w:rsidP="003E71DF">
            <w:pPr>
              <w:pStyle w:val="TableTitle"/>
            </w:pPr>
            <w:r w:rsidRPr="00BD45D6">
              <w:t>Post-Secondary Co-op/Internship Program</w:t>
            </w:r>
          </w:p>
        </w:tc>
        <w:tc>
          <w:tcPr>
            <w:tcW w:w="1125" w:type="pct"/>
          </w:tcPr>
          <w:p w14:paraId="2A6E0F4C" w14:textId="77777777" w:rsidR="001E4E13" w:rsidRPr="00BD45D6" w:rsidRDefault="001E4E13" w:rsidP="003E71DF">
            <w:pPr>
              <w:pStyle w:val="TableTitle"/>
            </w:pPr>
            <w:r w:rsidRPr="00BD45D6">
              <w:t>Research Affiliate Program</w:t>
            </w:r>
          </w:p>
        </w:tc>
        <w:tc>
          <w:tcPr>
            <w:tcW w:w="379" w:type="pct"/>
          </w:tcPr>
          <w:p w14:paraId="5B4DAB21" w14:textId="77777777" w:rsidR="001E4E13" w:rsidRPr="00BD45D6" w:rsidRDefault="001E4E13" w:rsidP="003E71DF">
            <w:pPr>
              <w:pStyle w:val="TableTitle"/>
            </w:pPr>
            <w:r w:rsidRPr="00BD45D6">
              <w:t>Total</w:t>
            </w:r>
          </w:p>
        </w:tc>
      </w:tr>
      <w:tr w:rsidR="001E4E13" w:rsidRPr="003E71DF" w14:paraId="23EA2E73" w14:textId="77777777" w:rsidTr="00B31669">
        <w:trPr>
          <w:cantSplit/>
          <w:tblHeader/>
          <w:jc w:val="center"/>
        </w:trPr>
        <w:tc>
          <w:tcPr>
            <w:tcW w:w="639" w:type="pct"/>
          </w:tcPr>
          <w:p w14:paraId="305E9FEE" w14:textId="77777777" w:rsidR="001E4E13" w:rsidRPr="003E71DF" w:rsidRDefault="001E4E13" w:rsidP="00E87A54">
            <w:pPr>
              <w:autoSpaceDE w:val="0"/>
              <w:autoSpaceDN w:val="0"/>
              <w:adjustRightInd w:val="0"/>
              <w:rPr>
                <w:rFonts w:asciiTheme="minorHAnsi" w:hAnsiTheme="minorHAnsi" w:cstheme="minorHAnsi"/>
                <w:color w:val="000000"/>
                <w:sz w:val="22"/>
                <w:szCs w:val="24"/>
              </w:rPr>
            </w:pPr>
            <w:r w:rsidRPr="003E71DF">
              <w:rPr>
                <w:rFonts w:asciiTheme="minorHAnsi" w:hAnsiTheme="minorHAnsi" w:cstheme="minorHAnsi"/>
                <w:color w:val="000000"/>
                <w:sz w:val="22"/>
                <w:szCs w:val="24"/>
              </w:rPr>
              <w:t>2014 to 2015</w:t>
            </w:r>
          </w:p>
        </w:tc>
        <w:tc>
          <w:tcPr>
            <w:tcW w:w="1477" w:type="pct"/>
          </w:tcPr>
          <w:p w14:paraId="392A4773"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47</w:t>
            </w:r>
          </w:p>
        </w:tc>
        <w:tc>
          <w:tcPr>
            <w:tcW w:w="1379" w:type="pct"/>
          </w:tcPr>
          <w:p w14:paraId="2603E663"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32</w:t>
            </w:r>
          </w:p>
        </w:tc>
        <w:tc>
          <w:tcPr>
            <w:tcW w:w="1125" w:type="pct"/>
          </w:tcPr>
          <w:p w14:paraId="7EAA351C"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3</w:t>
            </w:r>
          </w:p>
        </w:tc>
        <w:tc>
          <w:tcPr>
            <w:tcW w:w="379" w:type="pct"/>
          </w:tcPr>
          <w:p w14:paraId="62C46882"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82</w:t>
            </w:r>
          </w:p>
        </w:tc>
      </w:tr>
      <w:tr w:rsidR="001E4E13" w:rsidRPr="003E71DF" w14:paraId="15F0D2BE" w14:textId="77777777" w:rsidTr="00B31669">
        <w:trPr>
          <w:cantSplit/>
          <w:tblHeader/>
          <w:jc w:val="center"/>
        </w:trPr>
        <w:tc>
          <w:tcPr>
            <w:tcW w:w="639" w:type="pct"/>
          </w:tcPr>
          <w:p w14:paraId="6A04C8D7" w14:textId="77777777" w:rsidR="001E4E13" w:rsidRPr="003E71DF" w:rsidRDefault="001E4E13" w:rsidP="00E87A54">
            <w:pPr>
              <w:autoSpaceDE w:val="0"/>
              <w:autoSpaceDN w:val="0"/>
              <w:adjustRightInd w:val="0"/>
              <w:rPr>
                <w:rFonts w:asciiTheme="minorHAnsi" w:hAnsiTheme="minorHAnsi" w:cstheme="minorHAnsi"/>
                <w:color w:val="000000"/>
                <w:sz w:val="22"/>
                <w:szCs w:val="24"/>
              </w:rPr>
            </w:pPr>
            <w:r w:rsidRPr="003E71DF">
              <w:rPr>
                <w:rFonts w:asciiTheme="minorHAnsi" w:hAnsiTheme="minorHAnsi" w:cstheme="minorHAnsi"/>
                <w:color w:val="000000"/>
                <w:sz w:val="22"/>
                <w:szCs w:val="24"/>
              </w:rPr>
              <w:t>2015 to 2016</w:t>
            </w:r>
          </w:p>
        </w:tc>
        <w:tc>
          <w:tcPr>
            <w:tcW w:w="1477" w:type="pct"/>
          </w:tcPr>
          <w:p w14:paraId="5499E2DB"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106</w:t>
            </w:r>
          </w:p>
        </w:tc>
        <w:tc>
          <w:tcPr>
            <w:tcW w:w="1379" w:type="pct"/>
          </w:tcPr>
          <w:p w14:paraId="2EA0C3FA"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36</w:t>
            </w:r>
          </w:p>
        </w:tc>
        <w:tc>
          <w:tcPr>
            <w:tcW w:w="1125" w:type="pct"/>
          </w:tcPr>
          <w:p w14:paraId="688B0E2E"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0</w:t>
            </w:r>
          </w:p>
        </w:tc>
        <w:tc>
          <w:tcPr>
            <w:tcW w:w="379" w:type="pct"/>
          </w:tcPr>
          <w:p w14:paraId="39ABFC0A"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142</w:t>
            </w:r>
          </w:p>
        </w:tc>
      </w:tr>
      <w:tr w:rsidR="001E4E13" w:rsidRPr="003E71DF" w14:paraId="7C651A72" w14:textId="77777777" w:rsidTr="00B31669">
        <w:trPr>
          <w:cantSplit/>
          <w:tblHeader/>
          <w:jc w:val="center"/>
        </w:trPr>
        <w:tc>
          <w:tcPr>
            <w:tcW w:w="639" w:type="pct"/>
          </w:tcPr>
          <w:p w14:paraId="52D184F6" w14:textId="77777777" w:rsidR="001E4E13" w:rsidRPr="003E71DF" w:rsidRDefault="001E4E13" w:rsidP="00E87A54">
            <w:pPr>
              <w:autoSpaceDE w:val="0"/>
              <w:autoSpaceDN w:val="0"/>
              <w:adjustRightInd w:val="0"/>
              <w:rPr>
                <w:rFonts w:asciiTheme="minorHAnsi" w:hAnsiTheme="minorHAnsi" w:cstheme="minorHAnsi"/>
                <w:color w:val="000000"/>
                <w:sz w:val="22"/>
                <w:szCs w:val="24"/>
              </w:rPr>
            </w:pPr>
            <w:r w:rsidRPr="003E71DF">
              <w:rPr>
                <w:rFonts w:asciiTheme="minorHAnsi" w:hAnsiTheme="minorHAnsi" w:cstheme="minorHAnsi"/>
                <w:color w:val="000000"/>
                <w:sz w:val="22"/>
                <w:szCs w:val="24"/>
              </w:rPr>
              <w:t>2016 to 2017</w:t>
            </w:r>
          </w:p>
        </w:tc>
        <w:tc>
          <w:tcPr>
            <w:tcW w:w="1477" w:type="pct"/>
          </w:tcPr>
          <w:p w14:paraId="4AE6A536"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70</w:t>
            </w:r>
          </w:p>
        </w:tc>
        <w:tc>
          <w:tcPr>
            <w:tcW w:w="1379" w:type="pct"/>
          </w:tcPr>
          <w:p w14:paraId="0D5CEC46"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45</w:t>
            </w:r>
          </w:p>
        </w:tc>
        <w:tc>
          <w:tcPr>
            <w:tcW w:w="1125" w:type="pct"/>
          </w:tcPr>
          <w:p w14:paraId="40E1033C"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0</w:t>
            </w:r>
          </w:p>
        </w:tc>
        <w:tc>
          <w:tcPr>
            <w:tcW w:w="379" w:type="pct"/>
          </w:tcPr>
          <w:p w14:paraId="1345EB6B"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115</w:t>
            </w:r>
          </w:p>
        </w:tc>
      </w:tr>
      <w:tr w:rsidR="001E4E13" w:rsidRPr="003E71DF" w14:paraId="6170B0D2" w14:textId="77777777" w:rsidTr="00B31669">
        <w:trPr>
          <w:cantSplit/>
          <w:tblHeader/>
          <w:jc w:val="center"/>
        </w:trPr>
        <w:tc>
          <w:tcPr>
            <w:tcW w:w="639" w:type="pct"/>
          </w:tcPr>
          <w:p w14:paraId="4DB4788E" w14:textId="77777777" w:rsidR="001E4E13" w:rsidRPr="003E71DF" w:rsidRDefault="001E4E13" w:rsidP="00E87A54">
            <w:pPr>
              <w:autoSpaceDE w:val="0"/>
              <w:autoSpaceDN w:val="0"/>
              <w:adjustRightInd w:val="0"/>
              <w:rPr>
                <w:rFonts w:asciiTheme="minorHAnsi" w:hAnsiTheme="minorHAnsi" w:cstheme="minorHAnsi"/>
                <w:color w:val="000000"/>
                <w:sz w:val="22"/>
                <w:szCs w:val="24"/>
              </w:rPr>
            </w:pPr>
            <w:r w:rsidRPr="003E71DF">
              <w:rPr>
                <w:rFonts w:asciiTheme="minorHAnsi" w:hAnsiTheme="minorHAnsi" w:cstheme="minorHAnsi"/>
                <w:color w:val="000000"/>
                <w:sz w:val="22"/>
                <w:szCs w:val="24"/>
              </w:rPr>
              <w:t>2017 to 2018</w:t>
            </w:r>
          </w:p>
        </w:tc>
        <w:tc>
          <w:tcPr>
            <w:tcW w:w="1477" w:type="pct"/>
          </w:tcPr>
          <w:p w14:paraId="1F81C438"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55</w:t>
            </w:r>
          </w:p>
        </w:tc>
        <w:tc>
          <w:tcPr>
            <w:tcW w:w="1379" w:type="pct"/>
          </w:tcPr>
          <w:p w14:paraId="505149A5"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52</w:t>
            </w:r>
          </w:p>
        </w:tc>
        <w:tc>
          <w:tcPr>
            <w:tcW w:w="1125" w:type="pct"/>
          </w:tcPr>
          <w:p w14:paraId="59832CB6"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0</w:t>
            </w:r>
          </w:p>
        </w:tc>
        <w:tc>
          <w:tcPr>
            <w:tcW w:w="379" w:type="pct"/>
          </w:tcPr>
          <w:p w14:paraId="18571FEE"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107</w:t>
            </w:r>
          </w:p>
        </w:tc>
      </w:tr>
      <w:tr w:rsidR="001E4E13" w:rsidRPr="003E71DF" w14:paraId="7C74E06D" w14:textId="77777777" w:rsidTr="00B31669">
        <w:trPr>
          <w:cantSplit/>
          <w:tblHeader/>
          <w:jc w:val="center"/>
        </w:trPr>
        <w:tc>
          <w:tcPr>
            <w:tcW w:w="639" w:type="pct"/>
          </w:tcPr>
          <w:p w14:paraId="3B3C4D71" w14:textId="77777777" w:rsidR="001E4E13" w:rsidRPr="003E71DF" w:rsidRDefault="001E4E13" w:rsidP="00E87A54">
            <w:pPr>
              <w:autoSpaceDE w:val="0"/>
              <w:autoSpaceDN w:val="0"/>
              <w:adjustRightInd w:val="0"/>
              <w:rPr>
                <w:rFonts w:asciiTheme="minorHAnsi" w:hAnsiTheme="minorHAnsi" w:cstheme="minorHAnsi"/>
                <w:color w:val="000000"/>
                <w:sz w:val="22"/>
                <w:szCs w:val="24"/>
              </w:rPr>
            </w:pPr>
            <w:r w:rsidRPr="003E71DF">
              <w:rPr>
                <w:rFonts w:asciiTheme="minorHAnsi" w:hAnsiTheme="minorHAnsi" w:cstheme="minorHAnsi"/>
                <w:color w:val="000000"/>
                <w:sz w:val="22"/>
                <w:szCs w:val="24"/>
              </w:rPr>
              <w:t>2018 to 2019</w:t>
            </w:r>
          </w:p>
        </w:tc>
        <w:tc>
          <w:tcPr>
            <w:tcW w:w="1477" w:type="pct"/>
          </w:tcPr>
          <w:p w14:paraId="1373CA23"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69</w:t>
            </w:r>
          </w:p>
        </w:tc>
        <w:tc>
          <w:tcPr>
            <w:tcW w:w="1379" w:type="pct"/>
          </w:tcPr>
          <w:p w14:paraId="5C1E4B46"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40</w:t>
            </w:r>
          </w:p>
        </w:tc>
        <w:tc>
          <w:tcPr>
            <w:tcW w:w="1125" w:type="pct"/>
          </w:tcPr>
          <w:p w14:paraId="113A9CDE"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0</w:t>
            </w:r>
          </w:p>
        </w:tc>
        <w:tc>
          <w:tcPr>
            <w:tcW w:w="379" w:type="pct"/>
          </w:tcPr>
          <w:p w14:paraId="10A09B5C" w14:textId="77777777" w:rsidR="001E4E13" w:rsidRPr="003E71DF" w:rsidRDefault="001E4E13" w:rsidP="00E87A54">
            <w:pPr>
              <w:autoSpaceDE w:val="0"/>
              <w:autoSpaceDN w:val="0"/>
              <w:adjustRightInd w:val="0"/>
              <w:jc w:val="center"/>
              <w:rPr>
                <w:rFonts w:asciiTheme="minorHAnsi" w:hAnsiTheme="minorHAnsi" w:cstheme="minorHAnsi"/>
                <w:color w:val="000000"/>
                <w:sz w:val="22"/>
                <w:szCs w:val="24"/>
              </w:rPr>
            </w:pPr>
            <w:r w:rsidRPr="003E71DF">
              <w:rPr>
                <w:rFonts w:asciiTheme="minorHAnsi" w:hAnsiTheme="minorHAnsi" w:cstheme="minorHAnsi"/>
                <w:color w:val="000000"/>
                <w:sz w:val="22"/>
                <w:szCs w:val="24"/>
              </w:rPr>
              <w:t>109</w:t>
            </w:r>
          </w:p>
        </w:tc>
      </w:tr>
    </w:tbl>
    <w:p w14:paraId="38416E06" w14:textId="77777777" w:rsidR="00F679DE" w:rsidRDefault="00F679DE" w:rsidP="00F679DE"/>
    <w:p w14:paraId="5D29C47D" w14:textId="77777777" w:rsidR="00F679DE" w:rsidRDefault="00F679DE" w:rsidP="00F679DE">
      <w:pPr>
        <w:sectPr w:rsidR="00F679DE" w:rsidSect="00F679DE">
          <w:pgSz w:w="15840" w:h="12240" w:orient="landscape"/>
          <w:pgMar w:top="1025" w:right="720" w:bottom="720" w:left="720" w:header="708" w:footer="708" w:gutter="0"/>
          <w:cols w:space="708"/>
          <w:titlePg/>
          <w:docGrid w:linePitch="360"/>
        </w:sectPr>
      </w:pPr>
    </w:p>
    <w:p w14:paraId="0483DA88" w14:textId="77777777" w:rsidR="003E71DF" w:rsidRPr="003E71DF" w:rsidRDefault="003E71DF" w:rsidP="000640FD">
      <w:pPr>
        <w:pStyle w:val="Heading2"/>
        <w:rPr>
          <w:lang w:val="en-CA"/>
        </w:rPr>
      </w:pPr>
      <w:r w:rsidRPr="003E71DF">
        <w:rPr>
          <w:rFonts w:eastAsia="Times New Roman"/>
          <w:lang w:val="en-CA"/>
        </w:rPr>
        <w:lastRenderedPageBreak/>
        <w:t>External indeterminate and term hiring activities: Post-Secondary Recruitment Program and former student hires</w:t>
      </w:r>
    </w:p>
    <w:p w14:paraId="375C4DD8" w14:textId="77777777" w:rsidR="003E71DF" w:rsidRDefault="00F679DE" w:rsidP="003E71DF">
      <w:pPr>
        <w:pStyle w:val="Subtitle"/>
        <w:keepNext/>
        <w:jc w:val="center"/>
      </w:pPr>
      <w:r>
        <w:rPr>
          <w:noProof/>
          <w:lang w:val="en-CA" w:eastAsia="en-CA"/>
        </w:rPr>
        <w:drawing>
          <wp:inline distT="0" distB="0" distL="0" distR="0" wp14:anchorId="54966906" wp14:editId="4E3CAD0D">
            <wp:extent cx="5648400" cy="3049200"/>
            <wp:effectExtent l="0" t="0" r="9525" b="18415"/>
            <wp:docPr id="2" name="Chart 2" descr="External indeterminate and term hiring activities: Post-Secondary Recruitment Program and former student hire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50EAD3" w14:textId="3937F4ED" w:rsidR="00F679DE" w:rsidRPr="003E71DF" w:rsidRDefault="003E71DF" w:rsidP="003E71DF">
      <w:pPr>
        <w:pStyle w:val="Caption"/>
        <w:spacing w:after="0"/>
        <w:jc w:val="center"/>
        <w:rPr>
          <w:rFonts w:asciiTheme="minorHAnsi" w:hAnsiTheme="minorHAnsi" w:cstheme="minorHAnsi"/>
          <w:i w:val="0"/>
          <w:color w:val="auto"/>
        </w:rPr>
      </w:pPr>
      <w:r w:rsidRPr="003E71DF">
        <w:rPr>
          <w:rFonts w:asciiTheme="minorHAnsi" w:hAnsiTheme="minorHAnsi" w:cstheme="minorHAnsi"/>
          <w:i w:val="0"/>
          <w:color w:val="auto"/>
        </w:rPr>
        <w:t xml:space="preserve">Figure </w:t>
      </w:r>
      <w:r w:rsidRPr="003E71DF">
        <w:rPr>
          <w:rFonts w:asciiTheme="minorHAnsi" w:hAnsiTheme="minorHAnsi" w:cstheme="minorHAnsi"/>
          <w:i w:val="0"/>
          <w:color w:val="auto"/>
        </w:rPr>
        <w:fldChar w:fldCharType="begin"/>
      </w:r>
      <w:r w:rsidRPr="003E71DF">
        <w:rPr>
          <w:rFonts w:asciiTheme="minorHAnsi" w:hAnsiTheme="minorHAnsi" w:cstheme="minorHAnsi"/>
          <w:i w:val="0"/>
          <w:color w:val="auto"/>
        </w:rPr>
        <w:instrText xml:space="preserve"> SEQ Figure \* ARABIC </w:instrText>
      </w:r>
      <w:r w:rsidRPr="003E71DF">
        <w:rPr>
          <w:rFonts w:asciiTheme="minorHAnsi" w:hAnsiTheme="minorHAnsi" w:cstheme="minorHAnsi"/>
          <w:i w:val="0"/>
          <w:color w:val="auto"/>
        </w:rPr>
        <w:fldChar w:fldCharType="separate"/>
      </w:r>
      <w:r w:rsidR="00C22E59">
        <w:rPr>
          <w:rFonts w:asciiTheme="minorHAnsi" w:hAnsiTheme="minorHAnsi" w:cstheme="minorHAnsi"/>
          <w:i w:val="0"/>
          <w:noProof/>
          <w:color w:val="auto"/>
        </w:rPr>
        <w:t>11</w:t>
      </w:r>
      <w:r w:rsidRPr="003E71DF">
        <w:rPr>
          <w:rFonts w:asciiTheme="minorHAnsi" w:hAnsiTheme="minorHAnsi" w:cstheme="minorHAnsi"/>
          <w:i w:val="0"/>
          <w:color w:val="auto"/>
        </w:rPr>
        <w:fldChar w:fldCharType="end"/>
      </w:r>
      <w:r w:rsidRPr="003E71DF">
        <w:rPr>
          <w:rFonts w:asciiTheme="minorHAnsi" w:hAnsiTheme="minorHAnsi" w:cstheme="minorHAnsi"/>
          <w:i w:val="0"/>
          <w:color w:val="auto"/>
        </w:rPr>
        <w:t xml:space="preserve"> - External indeterminate and term hiring activities: Post-Secondary Recruitment Program and former student hires</w:t>
      </w:r>
    </w:p>
    <w:p w14:paraId="2EAEA8A6" w14:textId="3D713C60" w:rsidR="003E71DF" w:rsidRPr="003E71DF" w:rsidRDefault="003E71DF" w:rsidP="003E71DF">
      <w:pPr>
        <w:pStyle w:val="Caption"/>
        <w:keepNext/>
        <w:spacing w:before="240" w:after="0"/>
        <w:jc w:val="center"/>
        <w:rPr>
          <w:rFonts w:asciiTheme="minorHAnsi" w:hAnsiTheme="minorHAnsi" w:cstheme="minorHAnsi"/>
          <w:i w:val="0"/>
          <w:color w:val="auto"/>
        </w:rPr>
      </w:pPr>
      <w:r w:rsidRPr="003E71DF">
        <w:rPr>
          <w:rFonts w:asciiTheme="minorHAnsi" w:hAnsiTheme="minorHAnsi" w:cstheme="minorHAnsi"/>
          <w:i w:val="0"/>
          <w:color w:val="auto"/>
        </w:rPr>
        <w:t xml:space="preserve">Table </w:t>
      </w:r>
      <w:r w:rsidRPr="003E71DF">
        <w:rPr>
          <w:rFonts w:asciiTheme="minorHAnsi" w:hAnsiTheme="minorHAnsi" w:cstheme="minorHAnsi"/>
          <w:i w:val="0"/>
          <w:color w:val="auto"/>
        </w:rPr>
        <w:fldChar w:fldCharType="begin"/>
      </w:r>
      <w:r w:rsidRPr="003E71DF">
        <w:rPr>
          <w:rFonts w:asciiTheme="minorHAnsi" w:hAnsiTheme="minorHAnsi" w:cstheme="minorHAnsi"/>
          <w:i w:val="0"/>
          <w:color w:val="auto"/>
        </w:rPr>
        <w:instrText xml:space="preserve"> SEQ Table \* ARABIC </w:instrText>
      </w:r>
      <w:r w:rsidRPr="003E71DF">
        <w:rPr>
          <w:rFonts w:asciiTheme="minorHAnsi" w:hAnsiTheme="minorHAnsi" w:cstheme="minorHAnsi"/>
          <w:i w:val="0"/>
          <w:color w:val="auto"/>
        </w:rPr>
        <w:fldChar w:fldCharType="separate"/>
      </w:r>
      <w:r w:rsidR="00B76E9C">
        <w:rPr>
          <w:rFonts w:asciiTheme="minorHAnsi" w:hAnsiTheme="minorHAnsi" w:cstheme="minorHAnsi"/>
          <w:i w:val="0"/>
          <w:noProof/>
          <w:color w:val="auto"/>
        </w:rPr>
        <w:t>14</w:t>
      </w:r>
      <w:r w:rsidRPr="003E71DF">
        <w:rPr>
          <w:rFonts w:asciiTheme="minorHAnsi" w:hAnsiTheme="minorHAnsi" w:cstheme="minorHAnsi"/>
          <w:i w:val="0"/>
          <w:color w:val="auto"/>
        </w:rPr>
        <w:fldChar w:fldCharType="end"/>
      </w:r>
      <w:r w:rsidRPr="003E71DF">
        <w:rPr>
          <w:rFonts w:asciiTheme="minorHAnsi" w:hAnsiTheme="minorHAnsi" w:cstheme="minorHAnsi"/>
          <w:i w:val="0"/>
          <w:color w:val="auto"/>
        </w:rPr>
        <w:t xml:space="preserve"> - External indeterminate and term hiring activities: Post-Secondary Recruitment Program and former student hires by fiscal year</w:t>
      </w:r>
    </w:p>
    <w:tbl>
      <w:tblPr>
        <w:tblStyle w:val="TableGrid"/>
        <w:tblW w:w="5000" w:type="pct"/>
        <w:jc w:val="center"/>
        <w:tblLook w:val="0020" w:firstRow="1" w:lastRow="0" w:firstColumn="0" w:lastColumn="0" w:noHBand="0" w:noVBand="0"/>
        <w:tblDescription w:val="Post-Secondary Recruitment Program and former student hires"/>
      </w:tblPr>
      <w:tblGrid>
        <w:gridCol w:w="3114"/>
        <w:gridCol w:w="5952"/>
        <w:gridCol w:w="5324"/>
      </w:tblGrid>
      <w:tr w:rsidR="001E4E13" w:rsidRPr="00906821" w14:paraId="48AD3BF6" w14:textId="77777777" w:rsidTr="00B31669">
        <w:trPr>
          <w:cantSplit/>
          <w:tblHeader/>
          <w:jc w:val="center"/>
        </w:trPr>
        <w:tc>
          <w:tcPr>
            <w:tcW w:w="1082" w:type="pct"/>
          </w:tcPr>
          <w:p w14:paraId="3704C7D2" w14:textId="77777777" w:rsidR="001E4E13" w:rsidRPr="00906821" w:rsidRDefault="001E4E13" w:rsidP="003E71DF">
            <w:pPr>
              <w:pStyle w:val="TableTitle"/>
            </w:pPr>
            <w:r>
              <w:t>Fiscal year</w:t>
            </w:r>
          </w:p>
        </w:tc>
        <w:tc>
          <w:tcPr>
            <w:tcW w:w="2068" w:type="pct"/>
          </w:tcPr>
          <w:p w14:paraId="4D72A48C" w14:textId="77777777" w:rsidR="001E4E13" w:rsidRPr="00906821" w:rsidRDefault="001E4E13" w:rsidP="003E71DF">
            <w:pPr>
              <w:pStyle w:val="TableTitle"/>
            </w:pPr>
            <w:r w:rsidRPr="00015AA1">
              <w:t>Post-Secondary Recruitment Program</w:t>
            </w:r>
            <w:r>
              <w:t xml:space="preserve"> hires</w:t>
            </w:r>
          </w:p>
        </w:tc>
        <w:tc>
          <w:tcPr>
            <w:tcW w:w="1850" w:type="pct"/>
          </w:tcPr>
          <w:p w14:paraId="421F5FDB" w14:textId="77777777" w:rsidR="001E4E13" w:rsidRPr="00906821" w:rsidRDefault="001E4E13" w:rsidP="003E71DF">
            <w:pPr>
              <w:pStyle w:val="TableTitle"/>
            </w:pPr>
            <w:r w:rsidRPr="00906821">
              <w:t>Hiring of former students</w:t>
            </w:r>
          </w:p>
        </w:tc>
      </w:tr>
      <w:tr w:rsidR="003E71DF" w:rsidRPr="003E71DF" w14:paraId="62DA7FC2" w14:textId="77777777" w:rsidTr="00B31669">
        <w:trPr>
          <w:cantSplit/>
          <w:tblHeader/>
          <w:jc w:val="center"/>
        </w:trPr>
        <w:tc>
          <w:tcPr>
            <w:tcW w:w="1082" w:type="pct"/>
          </w:tcPr>
          <w:p w14:paraId="38E21952" w14:textId="77777777" w:rsidR="001E4E13" w:rsidRPr="003E71DF" w:rsidRDefault="001E4E13" w:rsidP="00E87A54">
            <w:pPr>
              <w:autoSpaceDE w:val="0"/>
              <w:autoSpaceDN w:val="0"/>
              <w:adjustRightInd w:val="0"/>
              <w:rPr>
                <w:rFonts w:asciiTheme="minorHAnsi" w:hAnsiTheme="minorHAnsi" w:cstheme="minorHAnsi"/>
                <w:sz w:val="22"/>
                <w:szCs w:val="24"/>
              </w:rPr>
            </w:pPr>
            <w:r w:rsidRPr="003E71DF">
              <w:rPr>
                <w:rFonts w:asciiTheme="minorHAnsi" w:hAnsiTheme="minorHAnsi" w:cstheme="minorHAnsi"/>
                <w:sz w:val="22"/>
                <w:szCs w:val="24"/>
              </w:rPr>
              <w:t>2014 to 2015</w:t>
            </w:r>
          </w:p>
        </w:tc>
        <w:tc>
          <w:tcPr>
            <w:tcW w:w="2068" w:type="pct"/>
          </w:tcPr>
          <w:p w14:paraId="54F2272B" w14:textId="77777777" w:rsidR="001E4E13" w:rsidRPr="003E71DF" w:rsidRDefault="001E4E13" w:rsidP="00E87A54">
            <w:pPr>
              <w:autoSpaceDE w:val="0"/>
              <w:autoSpaceDN w:val="0"/>
              <w:adjustRightInd w:val="0"/>
              <w:jc w:val="center"/>
              <w:rPr>
                <w:rFonts w:asciiTheme="minorHAnsi" w:hAnsiTheme="minorHAnsi" w:cstheme="minorHAnsi"/>
                <w:sz w:val="22"/>
                <w:szCs w:val="24"/>
              </w:rPr>
            </w:pPr>
            <w:r w:rsidRPr="003E71DF">
              <w:rPr>
                <w:rFonts w:asciiTheme="minorHAnsi" w:hAnsiTheme="minorHAnsi" w:cstheme="minorHAnsi"/>
                <w:sz w:val="22"/>
                <w:szCs w:val="24"/>
              </w:rPr>
              <w:t>2</w:t>
            </w:r>
          </w:p>
        </w:tc>
        <w:tc>
          <w:tcPr>
            <w:tcW w:w="1850" w:type="pct"/>
          </w:tcPr>
          <w:p w14:paraId="68D5884A" w14:textId="77777777" w:rsidR="001E4E13" w:rsidRPr="003E71DF" w:rsidRDefault="001E4E13" w:rsidP="00E87A54">
            <w:pPr>
              <w:autoSpaceDE w:val="0"/>
              <w:autoSpaceDN w:val="0"/>
              <w:adjustRightInd w:val="0"/>
              <w:jc w:val="center"/>
              <w:rPr>
                <w:rFonts w:asciiTheme="minorHAnsi" w:hAnsiTheme="minorHAnsi" w:cstheme="minorHAnsi"/>
                <w:sz w:val="22"/>
                <w:szCs w:val="24"/>
              </w:rPr>
            </w:pPr>
            <w:r w:rsidRPr="003E71DF">
              <w:rPr>
                <w:rFonts w:asciiTheme="minorHAnsi" w:hAnsiTheme="minorHAnsi" w:cstheme="minorHAnsi"/>
                <w:sz w:val="22"/>
                <w:szCs w:val="24"/>
              </w:rPr>
              <w:t>15</w:t>
            </w:r>
          </w:p>
        </w:tc>
      </w:tr>
      <w:tr w:rsidR="003E71DF" w:rsidRPr="003E71DF" w14:paraId="77453BB8" w14:textId="77777777" w:rsidTr="00B31669">
        <w:trPr>
          <w:cantSplit/>
          <w:tblHeader/>
          <w:jc w:val="center"/>
        </w:trPr>
        <w:tc>
          <w:tcPr>
            <w:tcW w:w="1082" w:type="pct"/>
          </w:tcPr>
          <w:p w14:paraId="73641F7F" w14:textId="77777777" w:rsidR="001E4E13" w:rsidRPr="003E71DF" w:rsidRDefault="001E4E13" w:rsidP="00E87A54">
            <w:pPr>
              <w:autoSpaceDE w:val="0"/>
              <w:autoSpaceDN w:val="0"/>
              <w:adjustRightInd w:val="0"/>
              <w:rPr>
                <w:rFonts w:asciiTheme="minorHAnsi" w:hAnsiTheme="minorHAnsi" w:cstheme="minorHAnsi"/>
                <w:sz w:val="22"/>
                <w:szCs w:val="24"/>
              </w:rPr>
            </w:pPr>
            <w:r w:rsidRPr="003E71DF">
              <w:rPr>
                <w:rFonts w:asciiTheme="minorHAnsi" w:hAnsiTheme="minorHAnsi" w:cstheme="minorHAnsi"/>
                <w:sz w:val="22"/>
                <w:szCs w:val="24"/>
              </w:rPr>
              <w:t>2015 to 2016</w:t>
            </w:r>
          </w:p>
        </w:tc>
        <w:tc>
          <w:tcPr>
            <w:tcW w:w="2068" w:type="pct"/>
          </w:tcPr>
          <w:p w14:paraId="63194C29" w14:textId="77777777" w:rsidR="001E4E13" w:rsidRPr="003E71DF" w:rsidRDefault="001E4E13" w:rsidP="00E87A54">
            <w:pPr>
              <w:autoSpaceDE w:val="0"/>
              <w:autoSpaceDN w:val="0"/>
              <w:adjustRightInd w:val="0"/>
              <w:jc w:val="center"/>
              <w:rPr>
                <w:rFonts w:asciiTheme="minorHAnsi" w:hAnsiTheme="minorHAnsi" w:cstheme="minorHAnsi"/>
                <w:sz w:val="22"/>
                <w:szCs w:val="24"/>
              </w:rPr>
            </w:pPr>
            <w:r w:rsidRPr="003E71DF">
              <w:rPr>
                <w:rFonts w:asciiTheme="minorHAnsi" w:hAnsiTheme="minorHAnsi" w:cstheme="minorHAnsi"/>
                <w:sz w:val="22"/>
                <w:szCs w:val="24"/>
              </w:rPr>
              <w:t>12</w:t>
            </w:r>
          </w:p>
        </w:tc>
        <w:tc>
          <w:tcPr>
            <w:tcW w:w="1850" w:type="pct"/>
          </w:tcPr>
          <w:p w14:paraId="5C8BB901" w14:textId="77777777" w:rsidR="001E4E13" w:rsidRPr="003E71DF" w:rsidRDefault="001E4E13" w:rsidP="00E87A54">
            <w:pPr>
              <w:autoSpaceDE w:val="0"/>
              <w:autoSpaceDN w:val="0"/>
              <w:adjustRightInd w:val="0"/>
              <w:jc w:val="center"/>
              <w:rPr>
                <w:rFonts w:asciiTheme="minorHAnsi" w:hAnsiTheme="minorHAnsi" w:cstheme="minorHAnsi"/>
                <w:sz w:val="22"/>
                <w:szCs w:val="24"/>
              </w:rPr>
            </w:pPr>
            <w:r w:rsidRPr="003E71DF">
              <w:rPr>
                <w:rFonts w:asciiTheme="minorHAnsi" w:hAnsiTheme="minorHAnsi" w:cstheme="minorHAnsi"/>
                <w:sz w:val="22"/>
                <w:szCs w:val="24"/>
              </w:rPr>
              <w:t>36</w:t>
            </w:r>
          </w:p>
        </w:tc>
      </w:tr>
      <w:tr w:rsidR="003E71DF" w:rsidRPr="003E71DF" w14:paraId="27AC4525" w14:textId="77777777" w:rsidTr="00B31669">
        <w:trPr>
          <w:cantSplit/>
          <w:tblHeader/>
          <w:jc w:val="center"/>
        </w:trPr>
        <w:tc>
          <w:tcPr>
            <w:tcW w:w="1082" w:type="pct"/>
          </w:tcPr>
          <w:p w14:paraId="3610F250" w14:textId="77777777" w:rsidR="001E4E13" w:rsidRPr="003E71DF" w:rsidRDefault="001E4E13" w:rsidP="00E87A54">
            <w:pPr>
              <w:autoSpaceDE w:val="0"/>
              <w:autoSpaceDN w:val="0"/>
              <w:adjustRightInd w:val="0"/>
              <w:rPr>
                <w:rFonts w:asciiTheme="minorHAnsi" w:hAnsiTheme="minorHAnsi" w:cstheme="minorHAnsi"/>
                <w:sz w:val="22"/>
                <w:szCs w:val="24"/>
              </w:rPr>
            </w:pPr>
            <w:r w:rsidRPr="003E71DF">
              <w:rPr>
                <w:rFonts w:asciiTheme="minorHAnsi" w:hAnsiTheme="minorHAnsi" w:cstheme="minorHAnsi"/>
                <w:sz w:val="22"/>
                <w:szCs w:val="24"/>
              </w:rPr>
              <w:t>2016 to 2017</w:t>
            </w:r>
          </w:p>
        </w:tc>
        <w:tc>
          <w:tcPr>
            <w:tcW w:w="2068" w:type="pct"/>
          </w:tcPr>
          <w:p w14:paraId="432CB344" w14:textId="77777777" w:rsidR="001E4E13" w:rsidRPr="003E71DF" w:rsidRDefault="001E4E13" w:rsidP="00E87A54">
            <w:pPr>
              <w:autoSpaceDE w:val="0"/>
              <w:autoSpaceDN w:val="0"/>
              <w:adjustRightInd w:val="0"/>
              <w:jc w:val="center"/>
              <w:rPr>
                <w:rFonts w:asciiTheme="minorHAnsi" w:hAnsiTheme="minorHAnsi" w:cstheme="minorHAnsi"/>
                <w:sz w:val="22"/>
                <w:szCs w:val="24"/>
              </w:rPr>
            </w:pPr>
            <w:r w:rsidRPr="003E71DF">
              <w:rPr>
                <w:rFonts w:asciiTheme="minorHAnsi" w:hAnsiTheme="minorHAnsi" w:cstheme="minorHAnsi"/>
                <w:sz w:val="22"/>
                <w:szCs w:val="24"/>
              </w:rPr>
              <w:t>5</w:t>
            </w:r>
          </w:p>
        </w:tc>
        <w:tc>
          <w:tcPr>
            <w:tcW w:w="1850" w:type="pct"/>
          </w:tcPr>
          <w:p w14:paraId="24E60721" w14:textId="77777777" w:rsidR="001E4E13" w:rsidRPr="003E71DF" w:rsidRDefault="001E4E13" w:rsidP="00E87A54">
            <w:pPr>
              <w:autoSpaceDE w:val="0"/>
              <w:autoSpaceDN w:val="0"/>
              <w:adjustRightInd w:val="0"/>
              <w:jc w:val="center"/>
              <w:rPr>
                <w:rFonts w:asciiTheme="minorHAnsi" w:hAnsiTheme="minorHAnsi" w:cstheme="minorHAnsi"/>
                <w:sz w:val="22"/>
                <w:szCs w:val="24"/>
              </w:rPr>
            </w:pPr>
            <w:r w:rsidRPr="003E71DF">
              <w:rPr>
                <w:rFonts w:asciiTheme="minorHAnsi" w:hAnsiTheme="minorHAnsi" w:cstheme="minorHAnsi"/>
                <w:sz w:val="22"/>
                <w:szCs w:val="24"/>
              </w:rPr>
              <w:t>53</w:t>
            </w:r>
          </w:p>
        </w:tc>
      </w:tr>
      <w:tr w:rsidR="003E71DF" w:rsidRPr="003E71DF" w14:paraId="632FF2B1" w14:textId="77777777" w:rsidTr="00B31669">
        <w:trPr>
          <w:cantSplit/>
          <w:tblHeader/>
          <w:jc w:val="center"/>
        </w:trPr>
        <w:tc>
          <w:tcPr>
            <w:tcW w:w="1082" w:type="pct"/>
          </w:tcPr>
          <w:p w14:paraId="16E57336" w14:textId="77777777" w:rsidR="001E4E13" w:rsidRPr="003E71DF" w:rsidRDefault="001E4E13" w:rsidP="00E87A54">
            <w:pPr>
              <w:autoSpaceDE w:val="0"/>
              <w:autoSpaceDN w:val="0"/>
              <w:adjustRightInd w:val="0"/>
              <w:rPr>
                <w:rFonts w:asciiTheme="minorHAnsi" w:hAnsiTheme="minorHAnsi" w:cstheme="minorHAnsi"/>
                <w:sz w:val="22"/>
                <w:szCs w:val="24"/>
              </w:rPr>
            </w:pPr>
            <w:r w:rsidRPr="003E71DF">
              <w:rPr>
                <w:rFonts w:asciiTheme="minorHAnsi" w:hAnsiTheme="minorHAnsi" w:cstheme="minorHAnsi"/>
                <w:sz w:val="22"/>
                <w:szCs w:val="24"/>
              </w:rPr>
              <w:t>2017 to 2018</w:t>
            </w:r>
          </w:p>
        </w:tc>
        <w:tc>
          <w:tcPr>
            <w:tcW w:w="2068" w:type="pct"/>
          </w:tcPr>
          <w:p w14:paraId="7B819F21" w14:textId="77777777" w:rsidR="001E4E13" w:rsidRPr="003E71DF" w:rsidRDefault="001E4E13" w:rsidP="00E87A54">
            <w:pPr>
              <w:autoSpaceDE w:val="0"/>
              <w:autoSpaceDN w:val="0"/>
              <w:adjustRightInd w:val="0"/>
              <w:jc w:val="center"/>
              <w:rPr>
                <w:rFonts w:asciiTheme="minorHAnsi" w:hAnsiTheme="minorHAnsi" w:cstheme="minorHAnsi"/>
                <w:sz w:val="22"/>
                <w:szCs w:val="24"/>
              </w:rPr>
            </w:pPr>
            <w:r w:rsidRPr="003E71DF">
              <w:rPr>
                <w:rFonts w:asciiTheme="minorHAnsi" w:hAnsiTheme="minorHAnsi" w:cstheme="minorHAnsi"/>
                <w:sz w:val="22"/>
                <w:szCs w:val="24"/>
              </w:rPr>
              <w:t>2</w:t>
            </w:r>
          </w:p>
        </w:tc>
        <w:tc>
          <w:tcPr>
            <w:tcW w:w="1850" w:type="pct"/>
          </w:tcPr>
          <w:p w14:paraId="36C29DE4" w14:textId="77777777" w:rsidR="001E4E13" w:rsidRPr="003E71DF" w:rsidRDefault="001E4E13" w:rsidP="00E87A54">
            <w:pPr>
              <w:autoSpaceDE w:val="0"/>
              <w:autoSpaceDN w:val="0"/>
              <w:adjustRightInd w:val="0"/>
              <w:jc w:val="center"/>
              <w:rPr>
                <w:rFonts w:asciiTheme="minorHAnsi" w:hAnsiTheme="minorHAnsi" w:cstheme="minorHAnsi"/>
                <w:sz w:val="22"/>
                <w:szCs w:val="24"/>
              </w:rPr>
            </w:pPr>
            <w:r w:rsidRPr="003E71DF">
              <w:rPr>
                <w:rFonts w:asciiTheme="minorHAnsi" w:hAnsiTheme="minorHAnsi" w:cstheme="minorHAnsi"/>
                <w:sz w:val="22"/>
                <w:szCs w:val="24"/>
              </w:rPr>
              <w:t>42</w:t>
            </w:r>
          </w:p>
        </w:tc>
      </w:tr>
      <w:tr w:rsidR="003E71DF" w:rsidRPr="003E71DF" w14:paraId="30C06777" w14:textId="77777777" w:rsidTr="00B31669">
        <w:trPr>
          <w:cantSplit/>
          <w:tblHeader/>
          <w:jc w:val="center"/>
        </w:trPr>
        <w:tc>
          <w:tcPr>
            <w:tcW w:w="1082" w:type="pct"/>
          </w:tcPr>
          <w:p w14:paraId="417E595A" w14:textId="77777777" w:rsidR="001E4E13" w:rsidRPr="003E71DF" w:rsidRDefault="001E4E13" w:rsidP="00E87A54">
            <w:pPr>
              <w:autoSpaceDE w:val="0"/>
              <w:autoSpaceDN w:val="0"/>
              <w:adjustRightInd w:val="0"/>
              <w:rPr>
                <w:rFonts w:asciiTheme="minorHAnsi" w:hAnsiTheme="minorHAnsi" w:cstheme="minorHAnsi"/>
                <w:sz w:val="22"/>
                <w:szCs w:val="24"/>
              </w:rPr>
            </w:pPr>
            <w:r w:rsidRPr="003E71DF">
              <w:rPr>
                <w:rFonts w:asciiTheme="minorHAnsi" w:hAnsiTheme="minorHAnsi" w:cstheme="minorHAnsi"/>
                <w:sz w:val="22"/>
                <w:szCs w:val="24"/>
              </w:rPr>
              <w:t>2018 to 2019</w:t>
            </w:r>
          </w:p>
        </w:tc>
        <w:tc>
          <w:tcPr>
            <w:tcW w:w="2068" w:type="pct"/>
          </w:tcPr>
          <w:p w14:paraId="27369E80" w14:textId="77777777" w:rsidR="001E4E13" w:rsidRPr="003E71DF" w:rsidRDefault="001E4E13" w:rsidP="00E87A54">
            <w:pPr>
              <w:autoSpaceDE w:val="0"/>
              <w:autoSpaceDN w:val="0"/>
              <w:adjustRightInd w:val="0"/>
              <w:jc w:val="center"/>
              <w:rPr>
                <w:rFonts w:asciiTheme="minorHAnsi" w:hAnsiTheme="minorHAnsi" w:cstheme="minorHAnsi"/>
                <w:sz w:val="22"/>
                <w:szCs w:val="24"/>
              </w:rPr>
            </w:pPr>
            <w:r w:rsidRPr="003E71DF">
              <w:rPr>
                <w:rFonts w:asciiTheme="minorHAnsi" w:hAnsiTheme="minorHAnsi" w:cstheme="minorHAnsi"/>
                <w:sz w:val="22"/>
                <w:szCs w:val="24"/>
              </w:rPr>
              <w:t>7</w:t>
            </w:r>
          </w:p>
        </w:tc>
        <w:tc>
          <w:tcPr>
            <w:tcW w:w="1850" w:type="pct"/>
          </w:tcPr>
          <w:p w14:paraId="756B4EF1" w14:textId="77777777" w:rsidR="001E4E13" w:rsidRPr="003E71DF" w:rsidRDefault="001E4E13" w:rsidP="00E87A54">
            <w:pPr>
              <w:autoSpaceDE w:val="0"/>
              <w:autoSpaceDN w:val="0"/>
              <w:adjustRightInd w:val="0"/>
              <w:jc w:val="center"/>
              <w:rPr>
                <w:rFonts w:asciiTheme="minorHAnsi" w:hAnsiTheme="minorHAnsi" w:cstheme="minorHAnsi"/>
                <w:sz w:val="22"/>
                <w:szCs w:val="24"/>
              </w:rPr>
            </w:pPr>
            <w:r w:rsidRPr="003E71DF">
              <w:rPr>
                <w:rFonts w:asciiTheme="minorHAnsi" w:hAnsiTheme="minorHAnsi" w:cstheme="minorHAnsi"/>
                <w:sz w:val="22"/>
                <w:szCs w:val="24"/>
              </w:rPr>
              <w:t>52</w:t>
            </w:r>
          </w:p>
        </w:tc>
      </w:tr>
    </w:tbl>
    <w:p w14:paraId="604E1A11" w14:textId="77777777" w:rsidR="001E4E13" w:rsidRPr="003E71DF" w:rsidRDefault="001E4E13" w:rsidP="001E4E13">
      <w:pPr>
        <w:rPr>
          <w:rFonts w:asciiTheme="minorHAnsi" w:hAnsiTheme="minorHAnsi" w:cstheme="minorHAnsi"/>
          <w:sz w:val="22"/>
          <w:szCs w:val="24"/>
        </w:rPr>
      </w:pPr>
      <w:r w:rsidRPr="003E71DF">
        <w:rPr>
          <w:rFonts w:asciiTheme="minorHAnsi" w:hAnsiTheme="minorHAnsi" w:cstheme="minorHAnsi"/>
          <w:sz w:val="22"/>
          <w:szCs w:val="24"/>
        </w:rPr>
        <w:t>Hiring of former students includes indeterminate and term hires with experience in a federal student recruitment program within the last 10 years.</w:t>
      </w:r>
    </w:p>
    <w:p w14:paraId="5ED95D93" w14:textId="77777777" w:rsidR="00F679DE" w:rsidRDefault="00F679DE" w:rsidP="00F679DE">
      <w:pPr>
        <w:sectPr w:rsidR="00F679DE" w:rsidSect="00F679DE">
          <w:pgSz w:w="15840" w:h="12240" w:orient="landscape"/>
          <w:pgMar w:top="1025" w:right="720" w:bottom="720" w:left="720" w:header="708" w:footer="708" w:gutter="0"/>
          <w:cols w:space="708"/>
          <w:titlePg/>
          <w:docGrid w:linePitch="360"/>
        </w:sectPr>
      </w:pPr>
    </w:p>
    <w:p w14:paraId="2D748E3C" w14:textId="78398AF8" w:rsidR="00F679DE" w:rsidRPr="003E71DF" w:rsidRDefault="003E71DF" w:rsidP="003E71DF">
      <w:pPr>
        <w:pStyle w:val="Heading1"/>
        <w:spacing w:before="120" w:after="120"/>
        <w:rPr>
          <w:sz w:val="40"/>
        </w:rPr>
      </w:pPr>
      <w:r w:rsidRPr="003E71DF">
        <w:rPr>
          <w:sz w:val="40"/>
        </w:rPr>
        <w:lastRenderedPageBreak/>
        <w:t>Internal time to staff</w:t>
      </w:r>
    </w:p>
    <w:p w14:paraId="2B502649" w14:textId="77777777" w:rsidR="003E71DF" w:rsidRDefault="00F679DE" w:rsidP="003E71DF">
      <w:pPr>
        <w:keepNext/>
      </w:pPr>
      <w:r w:rsidRPr="003F4AB4">
        <w:rPr>
          <w:noProof/>
          <w:lang w:val="en-CA" w:eastAsia="en-CA"/>
        </w:rPr>
        <w:drawing>
          <wp:inline distT="0" distB="0" distL="0" distR="0" wp14:anchorId="0828F42F" wp14:editId="0C1CB83E">
            <wp:extent cx="5648400" cy="3049200"/>
            <wp:effectExtent l="0" t="0" r="9525" b="18415"/>
            <wp:docPr id="22" name="Chart 22" descr="Internal time to staff Public Service median = 176 day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3E71DF" w:rsidRPr="003F4AB4">
        <w:rPr>
          <w:noProof/>
          <w:lang w:val="en-CA" w:eastAsia="en-CA"/>
        </w:rPr>
        <w:drawing>
          <wp:inline distT="0" distB="0" distL="0" distR="0" wp14:anchorId="7247F394" wp14:editId="67DF7354">
            <wp:extent cx="5648400" cy="3049200"/>
            <wp:effectExtent l="0" t="0" r="9525" b="18415"/>
            <wp:docPr id="23" name="Chart 23" descr="Internal time to staff, Public Safety Canada = 170 days, 2018-2019&#10;" title="Internal time to staff for fiscal year 2018 to 2019 for the specified organiz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24935E8" w14:textId="620F1596" w:rsidR="003E71DF" w:rsidRPr="003E71DF" w:rsidRDefault="003E71DF" w:rsidP="00C54DCF">
      <w:pPr>
        <w:pStyle w:val="Caption"/>
        <w:tabs>
          <w:tab w:val="left" w:pos="8930"/>
        </w:tabs>
        <w:spacing w:after="0"/>
        <w:rPr>
          <w:rFonts w:asciiTheme="minorHAnsi" w:hAnsiTheme="minorHAnsi" w:cstheme="minorHAnsi"/>
          <w:i w:val="0"/>
          <w:color w:val="auto"/>
        </w:rPr>
      </w:pPr>
      <w:r w:rsidRPr="003E71DF">
        <w:rPr>
          <w:rFonts w:asciiTheme="minorHAnsi" w:hAnsiTheme="minorHAnsi" w:cstheme="minorHAnsi"/>
          <w:i w:val="0"/>
          <w:color w:val="auto"/>
        </w:rPr>
        <w:t xml:space="preserve">Figure </w:t>
      </w:r>
      <w:r w:rsidRPr="003E71DF">
        <w:rPr>
          <w:rFonts w:asciiTheme="minorHAnsi" w:hAnsiTheme="minorHAnsi" w:cstheme="minorHAnsi"/>
          <w:i w:val="0"/>
          <w:color w:val="auto"/>
        </w:rPr>
        <w:fldChar w:fldCharType="begin"/>
      </w:r>
      <w:r w:rsidRPr="003E71DF">
        <w:rPr>
          <w:rFonts w:asciiTheme="minorHAnsi" w:hAnsiTheme="minorHAnsi" w:cstheme="minorHAnsi"/>
          <w:i w:val="0"/>
          <w:color w:val="auto"/>
        </w:rPr>
        <w:instrText xml:space="preserve"> SEQ Figure \* ARABIC </w:instrText>
      </w:r>
      <w:r w:rsidRPr="003E71DF">
        <w:rPr>
          <w:rFonts w:asciiTheme="minorHAnsi" w:hAnsiTheme="minorHAnsi" w:cstheme="minorHAnsi"/>
          <w:i w:val="0"/>
          <w:color w:val="auto"/>
        </w:rPr>
        <w:fldChar w:fldCharType="separate"/>
      </w:r>
      <w:r w:rsidR="00C22E59">
        <w:rPr>
          <w:rFonts w:asciiTheme="minorHAnsi" w:hAnsiTheme="minorHAnsi" w:cstheme="minorHAnsi"/>
          <w:i w:val="0"/>
          <w:noProof/>
          <w:color w:val="auto"/>
        </w:rPr>
        <w:t>12</w:t>
      </w:r>
      <w:r w:rsidRPr="003E71DF">
        <w:rPr>
          <w:rFonts w:asciiTheme="minorHAnsi" w:hAnsiTheme="minorHAnsi" w:cstheme="minorHAnsi"/>
          <w:i w:val="0"/>
          <w:color w:val="auto"/>
        </w:rPr>
        <w:fldChar w:fldCharType="end"/>
      </w:r>
      <w:r w:rsidRPr="003E71DF">
        <w:rPr>
          <w:rFonts w:asciiTheme="minorHAnsi" w:hAnsiTheme="minorHAnsi" w:cstheme="minorHAnsi"/>
          <w:i w:val="0"/>
          <w:color w:val="auto"/>
        </w:rPr>
        <w:t xml:space="preserve"> - Internal time to staff Public service median = 176 days, 2018-2019</w:t>
      </w:r>
      <w:r w:rsidRPr="003E71DF">
        <w:rPr>
          <w:rFonts w:asciiTheme="minorHAnsi" w:hAnsiTheme="minorHAnsi" w:cstheme="minorHAnsi"/>
          <w:i w:val="0"/>
          <w:color w:val="auto"/>
        </w:rPr>
        <w:tab/>
        <w:t xml:space="preserve">Figure </w:t>
      </w:r>
      <w:r w:rsidRPr="003E71DF">
        <w:rPr>
          <w:rFonts w:asciiTheme="minorHAnsi" w:hAnsiTheme="minorHAnsi" w:cstheme="minorHAnsi"/>
          <w:i w:val="0"/>
          <w:color w:val="auto"/>
        </w:rPr>
        <w:fldChar w:fldCharType="begin"/>
      </w:r>
      <w:r w:rsidRPr="003E71DF">
        <w:rPr>
          <w:rFonts w:asciiTheme="minorHAnsi" w:hAnsiTheme="minorHAnsi" w:cstheme="minorHAnsi"/>
          <w:i w:val="0"/>
          <w:color w:val="auto"/>
        </w:rPr>
        <w:instrText xml:space="preserve"> SEQ Figure \* ARABIC </w:instrText>
      </w:r>
      <w:r w:rsidRPr="003E71DF">
        <w:rPr>
          <w:rFonts w:asciiTheme="minorHAnsi" w:hAnsiTheme="minorHAnsi" w:cstheme="minorHAnsi"/>
          <w:i w:val="0"/>
          <w:color w:val="auto"/>
        </w:rPr>
        <w:fldChar w:fldCharType="separate"/>
      </w:r>
      <w:r w:rsidR="00C22E59">
        <w:rPr>
          <w:rFonts w:asciiTheme="minorHAnsi" w:hAnsiTheme="minorHAnsi" w:cstheme="minorHAnsi"/>
          <w:i w:val="0"/>
          <w:noProof/>
          <w:color w:val="auto"/>
        </w:rPr>
        <w:t>13</w:t>
      </w:r>
      <w:r w:rsidRPr="003E71DF">
        <w:rPr>
          <w:rFonts w:asciiTheme="minorHAnsi" w:hAnsiTheme="minorHAnsi" w:cstheme="minorHAnsi"/>
          <w:i w:val="0"/>
          <w:color w:val="auto"/>
        </w:rPr>
        <w:fldChar w:fldCharType="end"/>
      </w:r>
      <w:r w:rsidRPr="003E71DF">
        <w:rPr>
          <w:rFonts w:asciiTheme="minorHAnsi" w:hAnsiTheme="minorHAnsi" w:cstheme="minorHAnsi"/>
          <w:i w:val="0"/>
          <w:color w:val="auto"/>
        </w:rPr>
        <w:t xml:space="preserve"> - Internal time to staff Public Safety Canada = 170 days, 2018-2019</w:t>
      </w:r>
    </w:p>
    <w:p w14:paraId="4D4D7DF0" w14:textId="793FCC85" w:rsidR="00F679DE" w:rsidRPr="00B76E9C" w:rsidRDefault="000640FD" w:rsidP="00C54DCF">
      <w:pPr>
        <w:spacing w:before="240" w:after="120"/>
        <w:rPr>
          <w:rFonts w:asciiTheme="minorHAnsi" w:hAnsiTheme="minorHAnsi" w:cstheme="minorHAnsi"/>
          <w:sz w:val="22"/>
        </w:rPr>
      </w:pPr>
      <w:hyperlink w:anchor="Internal_time_to_staff" w:history="1">
        <w:r w:rsidR="00B76E9C" w:rsidRPr="00C22E59">
          <w:rPr>
            <w:rStyle w:val="Hyperlink"/>
            <w:rFonts w:asciiTheme="minorHAnsi" w:hAnsiTheme="minorHAnsi" w:cstheme="minorHAnsi"/>
            <w:sz w:val="22"/>
          </w:rPr>
          <w:t>Internal time to staff data table available here</w:t>
        </w:r>
      </w:hyperlink>
    </w:p>
    <w:p w14:paraId="13EDB50E" w14:textId="77777777" w:rsidR="00F679DE" w:rsidRPr="00B76E9C" w:rsidRDefault="00F679DE" w:rsidP="00F679DE">
      <w:pPr>
        <w:rPr>
          <w:rFonts w:asciiTheme="minorHAnsi" w:hAnsiTheme="minorHAnsi" w:cstheme="minorHAnsi"/>
          <w:sz w:val="22"/>
        </w:rPr>
      </w:pPr>
    </w:p>
    <w:p w14:paraId="1E03BE19" w14:textId="77777777" w:rsidR="00B76E9C" w:rsidRPr="00B76E9C" w:rsidRDefault="00B76E9C" w:rsidP="00F679DE">
      <w:pPr>
        <w:rPr>
          <w:rFonts w:asciiTheme="minorHAnsi" w:hAnsiTheme="minorHAnsi" w:cstheme="minorHAnsi"/>
          <w:sz w:val="22"/>
          <w:lang w:eastAsia="en-CA"/>
        </w:rPr>
        <w:sectPr w:rsidR="00B76E9C" w:rsidRPr="00B76E9C" w:rsidSect="003E71DF">
          <w:pgSz w:w="20160" w:h="12240" w:orient="landscape" w:code="5"/>
          <w:pgMar w:top="1025" w:right="720" w:bottom="720" w:left="720" w:header="708" w:footer="708" w:gutter="0"/>
          <w:cols w:space="708"/>
          <w:titlePg/>
          <w:docGrid w:linePitch="360"/>
        </w:sectPr>
      </w:pPr>
    </w:p>
    <w:p w14:paraId="6F07329F" w14:textId="520B7E93" w:rsidR="00F679DE" w:rsidRPr="00B76E9C" w:rsidRDefault="00F679DE" w:rsidP="00C22E59">
      <w:pPr>
        <w:spacing w:after="120"/>
        <w:rPr>
          <w:rFonts w:asciiTheme="minorHAnsi" w:hAnsiTheme="minorHAnsi" w:cstheme="minorHAnsi"/>
          <w:sz w:val="22"/>
          <w:lang w:eastAsia="en-CA"/>
        </w:rPr>
      </w:pPr>
      <w:r w:rsidRPr="00B76E9C">
        <w:rPr>
          <w:rFonts w:asciiTheme="minorHAnsi" w:hAnsiTheme="minorHAnsi" w:cstheme="minorHAnsi"/>
          <w:sz w:val="22"/>
          <w:lang w:eastAsia="en-CA"/>
        </w:rPr>
        <w:t>Internal time to staff is calculated as the number of calendar days between the opening date of the advertisement and the date of the first notification</w:t>
      </w:r>
    </w:p>
    <w:p w14:paraId="5164DB1B" w14:textId="4B4E4495" w:rsidR="00F679DE" w:rsidRPr="00B76E9C" w:rsidRDefault="00B76E9C" w:rsidP="00F679DE">
      <w:pPr>
        <w:rPr>
          <w:rFonts w:asciiTheme="minorHAnsi" w:hAnsiTheme="minorHAnsi" w:cstheme="minorHAnsi"/>
          <w:sz w:val="22"/>
        </w:rPr>
      </w:pPr>
      <w:r w:rsidRPr="00B76E9C">
        <w:rPr>
          <w:rFonts w:asciiTheme="minorHAnsi" w:hAnsiTheme="minorHAnsi" w:cstheme="minorHAnsi"/>
          <w:sz w:val="22"/>
          <w:szCs w:val="24"/>
        </w:rPr>
        <w:t xml:space="preserve">The median internal time to staff for the public service (organizations subject to the </w:t>
      </w:r>
      <w:r w:rsidRPr="00B76E9C">
        <w:rPr>
          <w:rStyle w:val="Emphasis"/>
          <w:sz w:val="22"/>
        </w:rPr>
        <w:t>Public Service Employment Act</w:t>
      </w:r>
      <w:r w:rsidRPr="00B76E9C">
        <w:rPr>
          <w:rFonts w:asciiTheme="minorHAnsi" w:hAnsiTheme="minorHAnsi" w:cstheme="minorHAnsi"/>
          <w:sz w:val="22"/>
          <w:szCs w:val="24"/>
        </w:rPr>
        <w:t>) for fiscal year 2018 to 2019 is 176 days</w:t>
      </w:r>
    </w:p>
    <w:p w14:paraId="0DCF7FBB" w14:textId="6C81D17B" w:rsidR="00B76E9C" w:rsidRPr="00B76E9C" w:rsidRDefault="00270B1F" w:rsidP="00E87A54">
      <w:pPr>
        <w:rPr>
          <w:rFonts w:asciiTheme="minorHAnsi" w:hAnsiTheme="minorHAnsi" w:cstheme="minorHAnsi"/>
          <w:b/>
          <w:sz w:val="22"/>
          <w:szCs w:val="24"/>
        </w:rPr>
      </w:pPr>
      <w:r>
        <w:rPr>
          <w:rFonts w:asciiTheme="minorHAnsi" w:hAnsiTheme="minorHAnsi" w:cstheme="minorHAnsi"/>
          <w:b/>
          <w:sz w:val="22"/>
          <w:szCs w:val="24"/>
        </w:rPr>
        <w:br w:type="column"/>
      </w:r>
      <w:r w:rsidR="00B76E9C" w:rsidRPr="00B76E9C">
        <w:rPr>
          <w:rFonts w:asciiTheme="minorHAnsi" w:hAnsiTheme="minorHAnsi" w:cstheme="minorHAnsi"/>
          <w:b/>
          <w:sz w:val="22"/>
          <w:szCs w:val="24"/>
        </w:rPr>
        <w:t>I</w:t>
      </w:r>
      <w:r w:rsidR="00B76E9C" w:rsidRPr="00B76E9C">
        <w:rPr>
          <w:rStyle w:val="Strong"/>
        </w:rPr>
        <w:t>nternal time to staff for fiscal year 2018 to 2019</w:t>
      </w:r>
    </w:p>
    <w:p w14:paraId="4EB7F20E" w14:textId="77777777" w:rsidR="00B76E9C" w:rsidRPr="00B76E9C" w:rsidRDefault="00B76E9C" w:rsidP="00E87A54">
      <w:pPr>
        <w:rPr>
          <w:rFonts w:asciiTheme="minorHAnsi" w:hAnsiTheme="minorHAnsi" w:cstheme="minorHAnsi"/>
          <w:sz w:val="22"/>
          <w:szCs w:val="24"/>
        </w:rPr>
      </w:pPr>
      <w:r w:rsidRPr="00B76E9C">
        <w:rPr>
          <w:rFonts w:asciiTheme="minorHAnsi" w:hAnsiTheme="minorHAnsi" w:cstheme="minorHAnsi"/>
          <w:sz w:val="22"/>
          <w:szCs w:val="24"/>
        </w:rPr>
        <w:t>Public Safety Canada’s median internal time to staff for fiscal year 2018 to 2019 is 170 days</w:t>
      </w:r>
    </w:p>
    <w:p w14:paraId="7851CB34" w14:textId="77777777" w:rsidR="00B76E9C" w:rsidRPr="00B76E9C" w:rsidRDefault="00B76E9C" w:rsidP="00F679DE">
      <w:pPr>
        <w:rPr>
          <w:rFonts w:asciiTheme="minorHAnsi" w:hAnsiTheme="minorHAnsi" w:cstheme="minorHAnsi"/>
          <w:sz w:val="22"/>
        </w:rPr>
        <w:sectPr w:rsidR="00B76E9C" w:rsidRPr="00B76E9C" w:rsidSect="00B76E9C">
          <w:type w:val="continuous"/>
          <w:pgSz w:w="20160" w:h="12240" w:orient="landscape" w:code="5"/>
          <w:pgMar w:top="1025" w:right="720" w:bottom="720" w:left="720" w:header="708" w:footer="708" w:gutter="0"/>
          <w:cols w:num="2" w:space="708"/>
          <w:titlePg/>
          <w:docGrid w:linePitch="360"/>
        </w:sectPr>
      </w:pPr>
    </w:p>
    <w:p w14:paraId="5E24DA7D" w14:textId="10A07FC1" w:rsidR="001E4E13" w:rsidRPr="00B76E9C" w:rsidRDefault="001E4E13" w:rsidP="00F679DE">
      <w:pPr>
        <w:rPr>
          <w:rFonts w:asciiTheme="minorHAnsi" w:hAnsiTheme="minorHAnsi" w:cstheme="minorHAnsi"/>
          <w:sz w:val="22"/>
        </w:rPr>
      </w:pPr>
    </w:p>
    <w:p w14:paraId="3FCDF43A" w14:textId="77777777" w:rsidR="001E4E13" w:rsidRPr="00B76E9C" w:rsidRDefault="001E4E13" w:rsidP="00F679DE">
      <w:pPr>
        <w:rPr>
          <w:rFonts w:asciiTheme="minorHAnsi" w:hAnsiTheme="minorHAnsi" w:cstheme="minorHAnsi"/>
          <w:sz w:val="22"/>
        </w:rPr>
        <w:sectPr w:rsidR="001E4E13" w:rsidRPr="00B76E9C" w:rsidSect="00B76E9C">
          <w:type w:val="continuous"/>
          <w:pgSz w:w="20160" w:h="12240" w:orient="landscape" w:code="5"/>
          <w:pgMar w:top="1025" w:right="720" w:bottom="720" w:left="720" w:header="708" w:footer="708" w:gutter="0"/>
          <w:cols w:space="708"/>
          <w:titlePg/>
          <w:docGrid w:linePitch="360"/>
        </w:sectPr>
      </w:pPr>
    </w:p>
    <w:p w14:paraId="544C3AFC" w14:textId="4F6C4456" w:rsidR="001E4E13" w:rsidRPr="00B76E9C" w:rsidRDefault="00B76E9C" w:rsidP="00B76E9C">
      <w:pPr>
        <w:pStyle w:val="Heading1"/>
        <w:spacing w:before="120" w:after="120"/>
        <w:rPr>
          <w:sz w:val="40"/>
        </w:rPr>
      </w:pPr>
      <w:r w:rsidRPr="00B76E9C">
        <w:rPr>
          <w:sz w:val="40"/>
        </w:rPr>
        <w:lastRenderedPageBreak/>
        <w:t>Internal time to staff</w:t>
      </w:r>
    </w:p>
    <w:p w14:paraId="716EC7FB" w14:textId="7F79B276" w:rsidR="00B76E9C" w:rsidRPr="00B76E9C" w:rsidRDefault="00B76E9C" w:rsidP="00B76E9C">
      <w:pPr>
        <w:pStyle w:val="Caption"/>
        <w:keepNext/>
        <w:spacing w:after="0"/>
        <w:rPr>
          <w:rFonts w:asciiTheme="minorHAnsi" w:hAnsiTheme="minorHAnsi" w:cstheme="minorHAnsi"/>
          <w:i w:val="0"/>
          <w:color w:val="auto"/>
        </w:rPr>
      </w:pPr>
      <w:r w:rsidRPr="00B76E9C">
        <w:rPr>
          <w:rFonts w:asciiTheme="minorHAnsi" w:hAnsiTheme="minorHAnsi" w:cstheme="minorHAnsi"/>
          <w:i w:val="0"/>
          <w:color w:val="auto"/>
        </w:rPr>
        <w:t xml:space="preserve">Table </w:t>
      </w:r>
      <w:r w:rsidRPr="00B76E9C">
        <w:rPr>
          <w:rFonts w:asciiTheme="minorHAnsi" w:hAnsiTheme="minorHAnsi" w:cstheme="minorHAnsi"/>
          <w:i w:val="0"/>
          <w:color w:val="auto"/>
        </w:rPr>
        <w:fldChar w:fldCharType="begin"/>
      </w:r>
      <w:r w:rsidRPr="00B76E9C">
        <w:rPr>
          <w:rFonts w:asciiTheme="minorHAnsi" w:hAnsiTheme="minorHAnsi" w:cstheme="minorHAnsi"/>
          <w:i w:val="0"/>
          <w:color w:val="auto"/>
        </w:rPr>
        <w:instrText xml:space="preserve"> SEQ Table \* ARABIC </w:instrText>
      </w:r>
      <w:r w:rsidRPr="00B76E9C">
        <w:rPr>
          <w:rFonts w:asciiTheme="minorHAnsi" w:hAnsiTheme="minorHAnsi" w:cstheme="minorHAnsi"/>
          <w:i w:val="0"/>
          <w:color w:val="auto"/>
        </w:rPr>
        <w:fldChar w:fldCharType="separate"/>
      </w:r>
      <w:r>
        <w:rPr>
          <w:rFonts w:asciiTheme="minorHAnsi" w:hAnsiTheme="minorHAnsi" w:cstheme="minorHAnsi"/>
          <w:i w:val="0"/>
          <w:noProof/>
          <w:color w:val="auto"/>
        </w:rPr>
        <w:t>15</w:t>
      </w:r>
      <w:r w:rsidRPr="00B76E9C">
        <w:rPr>
          <w:rFonts w:asciiTheme="minorHAnsi" w:hAnsiTheme="minorHAnsi" w:cstheme="minorHAnsi"/>
          <w:i w:val="0"/>
          <w:color w:val="auto"/>
        </w:rPr>
        <w:fldChar w:fldCharType="end"/>
      </w:r>
      <w:r w:rsidRPr="00B76E9C">
        <w:rPr>
          <w:rFonts w:asciiTheme="minorHAnsi" w:hAnsiTheme="minorHAnsi" w:cstheme="minorHAnsi"/>
          <w:i w:val="0"/>
          <w:color w:val="auto"/>
        </w:rPr>
        <w:t xml:space="preserve"> - Internal time to staff</w:t>
      </w:r>
    </w:p>
    <w:tbl>
      <w:tblPr>
        <w:tblStyle w:val="TableGrid"/>
        <w:tblW w:w="5000" w:type="pct"/>
        <w:jc w:val="center"/>
        <w:tblLook w:val="0020" w:firstRow="1" w:lastRow="0" w:firstColumn="0" w:lastColumn="0" w:noHBand="0" w:noVBand="0"/>
        <w:tblDescription w:val="Internal time to staff"/>
      </w:tblPr>
      <w:tblGrid>
        <w:gridCol w:w="5878"/>
        <w:gridCol w:w="8576"/>
        <w:gridCol w:w="8576"/>
      </w:tblGrid>
      <w:tr w:rsidR="00B76E9C" w14:paraId="3E020DA0" w14:textId="77777777" w:rsidTr="00B31669">
        <w:trPr>
          <w:cantSplit/>
          <w:trHeight w:val="290"/>
          <w:tblHeader/>
          <w:jc w:val="center"/>
        </w:trPr>
        <w:tc>
          <w:tcPr>
            <w:tcW w:w="1276" w:type="pct"/>
          </w:tcPr>
          <w:p w14:paraId="23B78C82" w14:textId="77777777" w:rsidR="00B76E9C" w:rsidRPr="00906821" w:rsidRDefault="00B76E9C" w:rsidP="00B76E9C">
            <w:pPr>
              <w:pStyle w:val="TableTitle"/>
            </w:pPr>
            <w:bookmarkStart w:id="2" w:name="Internal_time_to_staff"/>
            <w:r>
              <w:t>Number of calendar days</w:t>
            </w:r>
            <w:bookmarkEnd w:id="2"/>
          </w:p>
        </w:tc>
        <w:tc>
          <w:tcPr>
            <w:tcW w:w="1862" w:type="pct"/>
          </w:tcPr>
          <w:p w14:paraId="53962A9F" w14:textId="58C61A95" w:rsidR="00B76E9C" w:rsidRDefault="00B76E9C" w:rsidP="00B76E9C">
            <w:pPr>
              <w:pStyle w:val="TableTitle"/>
            </w:pPr>
            <w:r>
              <w:t xml:space="preserve">The number of internal appointments for which the TTS-IA was within the specified number of calendar days for organizations subject to the </w:t>
            </w:r>
            <w:r w:rsidRPr="00B76E9C">
              <w:rPr>
                <w:rStyle w:val="Emphasis"/>
                <w:rFonts w:ascii="Segoe UI Semibold" w:hAnsi="Segoe UI Semibold" w:cs="Segoe UI Semibold"/>
                <w:sz w:val="22"/>
              </w:rPr>
              <w:t>Public Service Employment Act</w:t>
            </w:r>
          </w:p>
        </w:tc>
        <w:tc>
          <w:tcPr>
            <w:tcW w:w="1862" w:type="pct"/>
          </w:tcPr>
          <w:p w14:paraId="42EDF5F8" w14:textId="77777777" w:rsidR="00B76E9C" w:rsidRDefault="00B76E9C" w:rsidP="00B76E9C">
            <w:pPr>
              <w:pStyle w:val="TableTitle"/>
            </w:pPr>
            <w:r>
              <w:t>The number of internal appointments for which the TTS-IA was within the specified number of calendar days for the specified organization</w:t>
            </w:r>
          </w:p>
        </w:tc>
      </w:tr>
      <w:tr w:rsidR="00B76E9C" w:rsidRPr="00961419" w14:paraId="0E3AF57F" w14:textId="77777777" w:rsidTr="00B31669">
        <w:trPr>
          <w:cantSplit/>
          <w:trHeight w:val="290"/>
          <w:tblHeader/>
          <w:jc w:val="center"/>
        </w:trPr>
        <w:tc>
          <w:tcPr>
            <w:tcW w:w="1276" w:type="pct"/>
          </w:tcPr>
          <w:p w14:paraId="6FD1877E"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0 to 29 calendar days</w:t>
            </w:r>
          </w:p>
        </w:tc>
        <w:tc>
          <w:tcPr>
            <w:tcW w:w="1862" w:type="pct"/>
          </w:tcPr>
          <w:p w14:paraId="5447DAD8"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15</w:t>
            </w:r>
          </w:p>
        </w:tc>
        <w:tc>
          <w:tcPr>
            <w:tcW w:w="1862" w:type="pct"/>
          </w:tcPr>
          <w:p w14:paraId="63A363DD"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1C0EEA31" w14:textId="77777777" w:rsidTr="00B31669">
        <w:trPr>
          <w:cantSplit/>
          <w:trHeight w:val="290"/>
          <w:tblHeader/>
          <w:jc w:val="center"/>
        </w:trPr>
        <w:tc>
          <w:tcPr>
            <w:tcW w:w="1276" w:type="pct"/>
          </w:tcPr>
          <w:p w14:paraId="06E8C54F"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30 to 59 calendar days</w:t>
            </w:r>
          </w:p>
        </w:tc>
        <w:tc>
          <w:tcPr>
            <w:tcW w:w="1862" w:type="pct"/>
          </w:tcPr>
          <w:p w14:paraId="2AE615B5"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130</w:t>
            </w:r>
          </w:p>
        </w:tc>
        <w:tc>
          <w:tcPr>
            <w:tcW w:w="1862" w:type="pct"/>
          </w:tcPr>
          <w:p w14:paraId="57DB8876"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33D68B5C" w14:textId="77777777" w:rsidTr="00B31669">
        <w:trPr>
          <w:cantSplit/>
          <w:trHeight w:val="290"/>
          <w:tblHeader/>
          <w:jc w:val="center"/>
        </w:trPr>
        <w:tc>
          <w:tcPr>
            <w:tcW w:w="1276" w:type="pct"/>
          </w:tcPr>
          <w:p w14:paraId="033B0CAE"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60 to 89 calendar days</w:t>
            </w:r>
          </w:p>
        </w:tc>
        <w:tc>
          <w:tcPr>
            <w:tcW w:w="1862" w:type="pct"/>
          </w:tcPr>
          <w:p w14:paraId="0B622F81"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277</w:t>
            </w:r>
          </w:p>
        </w:tc>
        <w:tc>
          <w:tcPr>
            <w:tcW w:w="1862" w:type="pct"/>
          </w:tcPr>
          <w:p w14:paraId="50C5157F"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1</w:t>
            </w:r>
          </w:p>
        </w:tc>
      </w:tr>
      <w:tr w:rsidR="00B76E9C" w:rsidRPr="00961419" w14:paraId="21B55322" w14:textId="77777777" w:rsidTr="00B31669">
        <w:trPr>
          <w:cantSplit/>
          <w:trHeight w:val="290"/>
          <w:tblHeader/>
          <w:jc w:val="center"/>
        </w:trPr>
        <w:tc>
          <w:tcPr>
            <w:tcW w:w="1276" w:type="pct"/>
          </w:tcPr>
          <w:p w14:paraId="48AD17FF"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90 to 119 calendar days</w:t>
            </w:r>
          </w:p>
        </w:tc>
        <w:tc>
          <w:tcPr>
            <w:tcW w:w="1862" w:type="pct"/>
          </w:tcPr>
          <w:p w14:paraId="337E67BB"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391</w:t>
            </w:r>
          </w:p>
        </w:tc>
        <w:tc>
          <w:tcPr>
            <w:tcW w:w="1862" w:type="pct"/>
          </w:tcPr>
          <w:p w14:paraId="135E3F76"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4</w:t>
            </w:r>
          </w:p>
        </w:tc>
      </w:tr>
      <w:tr w:rsidR="00B76E9C" w:rsidRPr="00961419" w14:paraId="6ED31F6F" w14:textId="77777777" w:rsidTr="00B31669">
        <w:trPr>
          <w:cantSplit/>
          <w:trHeight w:val="290"/>
          <w:tblHeader/>
          <w:jc w:val="center"/>
        </w:trPr>
        <w:tc>
          <w:tcPr>
            <w:tcW w:w="1276" w:type="pct"/>
          </w:tcPr>
          <w:p w14:paraId="4442FAD8"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120 to 149 calendar days</w:t>
            </w:r>
          </w:p>
        </w:tc>
        <w:tc>
          <w:tcPr>
            <w:tcW w:w="1862" w:type="pct"/>
          </w:tcPr>
          <w:p w14:paraId="589E12D9"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367</w:t>
            </w:r>
          </w:p>
        </w:tc>
        <w:tc>
          <w:tcPr>
            <w:tcW w:w="1862" w:type="pct"/>
          </w:tcPr>
          <w:p w14:paraId="4345FBA1"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5</w:t>
            </w:r>
          </w:p>
        </w:tc>
      </w:tr>
      <w:tr w:rsidR="00B76E9C" w:rsidRPr="00961419" w14:paraId="36779F5A" w14:textId="77777777" w:rsidTr="00B31669">
        <w:trPr>
          <w:cantSplit/>
          <w:trHeight w:val="290"/>
          <w:tblHeader/>
          <w:jc w:val="center"/>
        </w:trPr>
        <w:tc>
          <w:tcPr>
            <w:tcW w:w="1276" w:type="pct"/>
          </w:tcPr>
          <w:p w14:paraId="3469DE42"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150 to 179 calendar days</w:t>
            </w:r>
          </w:p>
        </w:tc>
        <w:tc>
          <w:tcPr>
            <w:tcW w:w="1862" w:type="pct"/>
          </w:tcPr>
          <w:p w14:paraId="5C806A68"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322</w:t>
            </w:r>
          </w:p>
        </w:tc>
        <w:tc>
          <w:tcPr>
            <w:tcW w:w="1862" w:type="pct"/>
          </w:tcPr>
          <w:p w14:paraId="457F0F38"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3</w:t>
            </w:r>
          </w:p>
        </w:tc>
      </w:tr>
      <w:tr w:rsidR="00B76E9C" w:rsidRPr="00961419" w14:paraId="3C2DA540" w14:textId="77777777" w:rsidTr="00B31669">
        <w:trPr>
          <w:cantSplit/>
          <w:trHeight w:val="290"/>
          <w:tblHeader/>
          <w:jc w:val="center"/>
        </w:trPr>
        <w:tc>
          <w:tcPr>
            <w:tcW w:w="1276" w:type="pct"/>
          </w:tcPr>
          <w:p w14:paraId="26290887"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180 to 209 calendar days</w:t>
            </w:r>
          </w:p>
        </w:tc>
        <w:tc>
          <w:tcPr>
            <w:tcW w:w="1862" w:type="pct"/>
          </w:tcPr>
          <w:p w14:paraId="0F38EBCD"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278</w:t>
            </w:r>
          </w:p>
        </w:tc>
        <w:tc>
          <w:tcPr>
            <w:tcW w:w="1862" w:type="pct"/>
          </w:tcPr>
          <w:p w14:paraId="15BAD943"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1</w:t>
            </w:r>
          </w:p>
        </w:tc>
      </w:tr>
      <w:tr w:rsidR="00B76E9C" w:rsidRPr="00961419" w14:paraId="50CA3719" w14:textId="77777777" w:rsidTr="00B31669">
        <w:trPr>
          <w:cantSplit/>
          <w:trHeight w:val="290"/>
          <w:tblHeader/>
          <w:jc w:val="center"/>
        </w:trPr>
        <w:tc>
          <w:tcPr>
            <w:tcW w:w="1276" w:type="pct"/>
          </w:tcPr>
          <w:p w14:paraId="3E294DC9"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210 to 239 calendar days</w:t>
            </w:r>
          </w:p>
        </w:tc>
        <w:tc>
          <w:tcPr>
            <w:tcW w:w="1862" w:type="pct"/>
          </w:tcPr>
          <w:p w14:paraId="5199E113"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241</w:t>
            </w:r>
          </w:p>
        </w:tc>
        <w:tc>
          <w:tcPr>
            <w:tcW w:w="1862" w:type="pct"/>
          </w:tcPr>
          <w:p w14:paraId="175C7391"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2</w:t>
            </w:r>
          </w:p>
        </w:tc>
      </w:tr>
      <w:tr w:rsidR="00B76E9C" w:rsidRPr="00961419" w14:paraId="7D852400" w14:textId="77777777" w:rsidTr="00B31669">
        <w:trPr>
          <w:cantSplit/>
          <w:trHeight w:val="290"/>
          <w:tblHeader/>
          <w:jc w:val="center"/>
        </w:trPr>
        <w:tc>
          <w:tcPr>
            <w:tcW w:w="1276" w:type="pct"/>
          </w:tcPr>
          <w:p w14:paraId="78B0A779"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240 to 269 calendar days</w:t>
            </w:r>
          </w:p>
        </w:tc>
        <w:tc>
          <w:tcPr>
            <w:tcW w:w="1862" w:type="pct"/>
          </w:tcPr>
          <w:p w14:paraId="2C15D4A7"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165</w:t>
            </w:r>
          </w:p>
        </w:tc>
        <w:tc>
          <w:tcPr>
            <w:tcW w:w="1862" w:type="pct"/>
          </w:tcPr>
          <w:p w14:paraId="5C8BE2B5"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3</w:t>
            </w:r>
          </w:p>
        </w:tc>
      </w:tr>
      <w:tr w:rsidR="00B76E9C" w:rsidRPr="00961419" w14:paraId="3DBCFD5D" w14:textId="77777777" w:rsidTr="00B31669">
        <w:trPr>
          <w:cantSplit/>
          <w:trHeight w:val="290"/>
          <w:tblHeader/>
          <w:jc w:val="center"/>
        </w:trPr>
        <w:tc>
          <w:tcPr>
            <w:tcW w:w="1276" w:type="pct"/>
          </w:tcPr>
          <w:p w14:paraId="77C30391"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270 to 299 calendar days</w:t>
            </w:r>
          </w:p>
        </w:tc>
        <w:tc>
          <w:tcPr>
            <w:tcW w:w="1862" w:type="pct"/>
          </w:tcPr>
          <w:p w14:paraId="0F6CBD5A"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134</w:t>
            </w:r>
          </w:p>
        </w:tc>
        <w:tc>
          <w:tcPr>
            <w:tcW w:w="1862" w:type="pct"/>
          </w:tcPr>
          <w:p w14:paraId="59A8D9EB"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1</w:t>
            </w:r>
          </w:p>
        </w:tc>
      </w:tr>
      <w:tr w:rsidR="00B76E9C" w:rsidRPr="00961419" w14:paraId="7A0FEFCD" w14:textId="77777777" w:rsidTr="00B31669">
        <w:trPr>
          <w:cantSplit/>
          <w:trHeight w:val="290"/>
          <w:tblHeader/>
          <w:jc w:val="center"/>
        </w:trPr>
        <w:tc>
          <w:tcPr>
            <w:tcW w:w="1276" w:type="pct"/>
          </w:tcPr>
          <w:p w14:paraId="1650AF55"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300 to 329 calendar days</w:t>
            </w:r>
          </w:p>
        </w:tc>
        <w:tc>
          <w:tcPr>
            <w:tcW w:w="1862" w:type="pct"/>
          </w:tcPr>
          <w:p w14:paraId="3062FB7D"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107</w:t>
            </w:r>
          </w:p>
        </w:tc>
        <w:tc>
          <w:tcPr>
            <w:tcW w:w="1862" w:type="pct"/>
          </w:tcPr>
          <w:p w14:paraId="6056B94F"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1</w:t>
            </w:r>
          </w:p>
        </w:tc>
      </w:tr>
      <w:tr w:rsidR="00B76E9C" w:rsidRPr="00961419" w14:paraId="0D42E5CF" w14:textId="77777777" w:rsidTr="00B31669">
        <w:trPr>
          <w:cantSplit/>
          <w:trHeight w:val="290"/>
          <w:tblHeader/>
          <w:jc w:val="center"/>
        </w:trPr>
        <w:tc>
          <w:tcPr>
            <w:tcW w:w="1276" w:type="pct"/>
          </w:tcPr>
          <w:p w14:paraId="506F7F16"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330 to 359 calendar days</w:t>
            </w:r>
          </w:p>
        </w:tc>
        <w:tc>
          <w:tcPr>
            <w:tcW w:w="1862" w:type="pct"/>
          </w:tcPr>
          <w:p w14:paraId="606B5352"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77</w:t>
            </w:r>
          </w:p>
        </w:tc>
        <w:tc>
          <w:tcPr>
            <w:tcW w:w="1862" w:type="pct"/>
          </w:tcPr>
          <w:p w14:paraId="106852F3"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237C4AAC" w14:textId="77777777" w:rsidTr="00B31669">
        <w:trPr>
          <w:cantSplit/>
          <w:trHeight w:val="290"/>
          <w:tblHeader/>
          <w:jc w:val="center"/>
        </w:trPr>
        <w:tc>
          <w:tcPr>
            <w:tcW w:w="1276" w:type="pct"/>
          </w:tcPr>
          <w:p w14:paraId="5A76EC25"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360 to 389 calendar days</w:t>
            </w:r>
          </w:p>
        </w:tc>
        <w:tc>
          <w:tcPr>
            <w:tcW w:w="1862" w:type="pct"/>
          </w:tcPr>
          <w:p w14:paraId="1F4E3F41"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61</w:t>
            </w:r>
          </w:p>
        </w:tc>
        <w:tc>
          <w:tcPr>
            <w:tcW w:w="1862" w:type="pct"/>
          </w:tcPr>
          <w:p w14:paraId="17DD651A"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3055E5EE" w14:textId="77777777" w:rsidTr="00B31669">
        <w:trPr>
          <w:cantSplit/>
          <w:trHeight w:val="290"/>
          <w:tblHeader/>
          <w:jc w:val="center"/>
        </w:trPr>
        <w:tc>
          <w:tcPr>
            <w:tcW w:w="1276" w:type="pct"/>
          </w:tcPr>
          <w:p w14:paraId="7249731C"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390 to 419 calendar days</w:t>
            </w:r>
          </w:p>
        </w:tc>
        <w:tc>
          <w:tcPr>
            <w:tcW w:w="1862" w:type="pct"/>
          </w:tcPr>
          <w:p w14:paraId="06D1F615"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53</w:t>
            </w:r>
          </w:p>
        </w:tc>
        <w:tc>
          <w:tcPr>
            <w:tcW w:w="1862" w:type="pct"/>
          </w:tcPr>
          <w:p w14:paraId="3FDA2F50"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1</w:t>
            </w:r>
          </w:p>
        </w:tc>
      </w:tr>
      <w:tr w:rsidR="00B76E9C" w:rsidRPr="00961419" w14:paraId="20A79EBC" w14:textId="77777777" w:rsidTr="00B31669">
        <w:trPr>
          <w:cantSplit/>
          <w:trHeight w:val="290"/>
          <w:tblHeader/>
          <w:jc w:val="center"/>
        </w:trPr>
        <w:tc>
          <w:tcPr>
            <w:tcW w:w="1276" w:type="pct"/>
          </w:tcPr>
          <w:p w14:paraId="6A62BB71"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420 to 449 calendar days</w:t>
            </w:r>
          </w:p>
        </w:tc>
        <w:tc>
          <w:tcPr>
            <w:tcW w:w="1862" w:type="pct"/>
          </w:tcPr>
          <w:p w14:paraId="68BDD20A"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51</w:t>
            </w:r>
          </w:p>
        </w:tc>
        <w:tc>
          <w:tcPr>
            <w:tcW w:w="1862" w:type="pct"/>
          </w:tcPr>
          <w:p w14:paraId="552FAA5D"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1081336C" w14:textId="77777777" w:rsidTr="00B31669">
        <w:trPr>
          <w:cantSplit/>
          <w:trHeight w:val="290"/>
          <w:tblHeader/>
          <w:jc w:val="center"/>
        </w:trPr>
        <w:tc>
          <w:tcPr>
            <w:tcW w:w="1276" w:type="pct"/>
          </w:tcPr>
          <w:p w14:paraId="598149D1"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450 to 479 calendar days</w:t>
            </w:r>
          </w:p>
        </w:tc>
        <w:tc>
          <w:tcPr>
            <w:tcW w:w="1862" w:type="pct"/>
          </w:tcPr>
          <w:p w14:paraId="4FF9C79E"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42</w:t>
            </w:r>
          </w:p>
        </w:tc>
        <w:tc>
          <w:tcPr>
            <w:tcW w:w="1862" w:type="pct"/>
          </w:tcPr>
          <w:p w14:paraId="3C6BD96E"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04617A80" w14:textId="77777777" w:rsidTr="00B31669">
        <w:trPr>
          <w:cantSplit/>
          <w:trHeight w:val="290"/>
          <w:tblHeader/>
          <w:jc w:val="center"/>
        </w:trPr>
        <w:tc>
          <w:tcPr>
            <w:tcW w:w="1276" w:type="pct"/>
          </w:tcPr>
          <w:p w14:paraId="479E5D46"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480 to 509 calendar days</w:t>
            </w:r>
          </w:p>
        </w:tc>
        <w:tc>
          <w:tcPr>
            <w:tcW w:w="1862" w:type="pct"/>
          </w:tcPr>
          <w:p w14:paraId="216D1242"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40</w:t>
            </w:r>
          </w:p>
        </w:tc>
        <w:tc>
          <w:tcPr>
            <w:tcW w:w="1862" w:type="pct"/>
          </w:tcPr>
          <w:p w14:paraId="706240EB"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77FC8281" w14:textId="77777777" w:rsidTr="00B31669">
        <w:trPr>
          <w:cantSplit/>
          <w:trHeight w:val="290"/>
          <w:tblHeader/>
          <w:jc w:val="center"/>
        </w:trPr>
        <w:tc>
          <w:tcPr>
            <w:tcW w:w="1276" w:type="pct"/>
          </w:tcPr>
          <w:p w14:paraId="2AA52F2F"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510 to 539 calendar days</w:t>
            </w:r>
          </w:p>
        </w:tc>
        <w:tc>
          <w:tcPr>
            <w:tcW w:w="1862" w:type="pct"/>
          </w:tcPr>
          <w:p w14:paraId="1E0FD7C5"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32</w:t>
            </w:r>
          </w:p>
        </w:tc>
        <w:tc>
          <w:tcPr>
            <w:tcW w:w="1862" w:type="pct"/>
          </w:tcPr>
          <w:p w14:paraId="60D57529"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1</w:t>
            </w:r>
          </w:p>
        </w:tc>
      </w:tr>
      <w:tr w:rsidR="00B76E9C" w:rsidRPr="00961419" w14:paraId="05E2C5BB" w14:textId="77777777" w:rsidTr="00B31669">
        <w:trPr>
          <w:cantSplit/>
          <w:trHeight w:val="290"/>
          <w:tblHeader/>
          <w:jc w:val="center"/>
        </w:trPr>
        <w:tc>
          <w:tcPr>
            <w:tcW w:w="1276" w:type="pct"/>
          </w:tcPr>
          <w:p w14:paraId="2D277C2F"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540 to 569 calendar days</w:t>
            </w:r>
          </w:p>
        </w:tc>
        <w:tc>
          <w:tcPr>
            <w:tcW w:w="1862" w:type="pct"/>
          </w:tcPr>
          <w:p w14:paraId="5ED3F183"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24</w:t>
            </w:r>
          </w:p>
        </w:tc>
        <w:tc>
          <w:tcPr>
            <w:tcW w:w="1862" w:type="pct"/>
          </w:tcPr>
          <w:p w14:paraId="03E511A6"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1C7BB056" w14:textId="77777777" w:rsidTr="00B31669">
        <w:trPr>
          <w:cantSplit/>
          <w:trHeight w:val="290"/>
          <w:tblHeader/>
          <w:jc w:val="center"/>
        </w:trPr>
        <w:tc>
          <w:tcPr>
            <w:tcW w:w="1276" w:type="pct"/>
          </w:tcPr>
          <w:p w14:paraId="67C841CA"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570 to 599 calendar days</w:t>
            </w:r>
          </w:p>
        </w:tc>
        <w:tc>
          <w:tcPr>
            <w:tcW w:w="1862" w:type="pct"/>
          </w:tcPr>
          <w:p w14:paraId="0890DEB1"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21</w:t>
            </w:r>
          </w:p>
        </w:tc>
        <w:tc>
          <w:tcPr>
            <w:tcW w:w="1862" w:type="pct"/>
          </w:tcPr>
          <w:p w14:paraId="38BBECE4"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79CA00DC" w14:textId="77777777" w:rsidTr="00B31669">
        <w:trPr>
          <w:cantSplit/>
          <w:trHeight w:val="290"/>
          <w:tblHeader/>
          <w:jc w:val="center"/>
        </w:trPr>
        <w:tc>
          <w:tcPr>
            <w:tcW w:w="1276" w:type="pct"/>
          </w:tcPr>
          <w:p w14:paraId="50288DFC"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600 to 629 calendar days</w:t>
            </w:r>
          </w:p>
        </w:tc>
        <w:tc>
          <w:tcPr>
            <w:tcW w:w="1862" w:type="pct"/>
          </w:tcPr>
          <w:p w14:paraId="3EDBE5F9"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11</w:t>
            </w:r>
          </w:p>
        </w:tc>
        <w:tc>
          <w:tcPr>
            <w:tcW w:w="1862" w:type="pct"/>
          </w:tcPr>
          <w:p w14:paraId="15124ABD"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33C6880B" w14:textId="77777777" w:rsidTr="00B31669">
        <w:trPr>
          <w:cantSplit/>
          <w:trHeight w:val="290"/>
          <w:tblHeader/>
          <w:jc w:val="center"/>
        </w:trPr>
        <w:tc>
          <w:tcPr>
            <w:tcW w:w="1276" w:type="pct"/>
          </w:tcPr>
          <w:p w14:paraId="558FEDB5"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630 to 659 calendar days</w:t>
            </w:r>
          </w:p>
        </w:tc>
        <w:tc>
          <w:tcPr>
            <w:tcW w:w="1862" w:type="pct"/>
          </w:tcPr>
          <w:p w14:paraId="0D9F2747"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19</w:t>
            </w:r>
          </w:p>
        </w:tc>
        <w:tc>
          <w:tcPr>
            <w:tcW w:w="1862" w:type="pct"/>
          </w:tcPr>
          <w:p w14:paraId="2DB27F33"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3ACE83B8" w14:textId="77777777" w:rsidTr="00B31669">
        <w:trPr>
          <w:cantSplit/>
          <w:trHeight w:val="290"/>
          <w:tblHeader/>
          <w:jc w:val="center"/>
        </w:trPr>
        <w:tc>
          <w:tcPr>
            <w:tcW w:w="1276" w:type="pct"/>
          </w:tcPr>
          <w:p w14:paraId="625DD088"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660 to 689 calendar days</w:t>
            </w:r>
          </w:p>
        </w:tc>
        <w:tc>
          <w:tcPr>
            <w:tcW w:w="1862" w:type="pct"/>
          </w:tcPr>
          <w:p w14:paraId="4415D6A2"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3</w:t>
            </w:r>
          </w:p>
        </w:tc>
        <w:tc>
          <w:tcPr>
            <w:tcW w:w="1862" w:type="pct"/>
          </w:tcPr>
          <w:p w14:paraId="14D7EDE7"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672428E0" w14:textId="77777777" w:rsidTr="00B31669">
        <w:trPr>
          <w:cantSplit/>
          <w:trHeight w:val="290"/>
          <w:tblHeader/>
          <w:jc w:val="center"/>
        </w:trPr>
        <w:tc>
          <w:tcPr>
            <w:tcW w:w="1276" w:type="pct"/>
          </w:tcPr>
          <w:p w14:paraId="1FA00AA7"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690 to 719 calendar days</w:t>
            </w:r>
          </w:p>
        </w:tc>
        <w:tc>
          <w:tcPr>
            <w:tcW w:w="1862" w:type="pct"/>
          </w:tcPr>
          <w:p w14:paraId="59C57638"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13</w:t>
            </w:r>
          </w:p>
        </w:tc>
        <w:tc>
          <w:tcPr>
            <w:tcW w:w="1862" w:type="pct"/>
          </w:tcPr>
          <w:p w14:paraId="07551C1D"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76682D7A" w14:textId="77777777" w:rsidTr="00B31669">
        <w:trPr>
          <w:cantSplit/>
          <w:trHeight w:val="302"/>
          <w:tblHeader/>
          <w:jc w:val="center"/>
        </w:trPr>
        <w:tc>
          <w:tcPr>
            <w:tcW w:w="1276" w:type="pct"/>
          </w:tcPr>
          <w:p w14:paraId="7140F6E2"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720 to 749 calendar days</w:t>
            </w:r>
          </w:p>
        </w:tc>
        <w:tc>
          <w:tcPr>
            <w:tcW w:w="1862" w:type="pct"/>
          </w:tcPr>
          <w:p w14:paraId="644C3050"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6</w:t>
            </w:r>
          </w:p>
        </w:tc>
        <w:tc>
          <w:tcPr>
            <w:tcW w:w="1862" w:type="pct"/>
          </w:tcPr>
          <w:p w14:paraId="59E662C6"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2E7EDFF3" w14:textId="77777777" w:rsidTr="00B31669">
        <w:trPr>
          <w:cantSplit/>
          <w:trHeight w:val="290"/>
          <w:tblHeader/>
          <w:jc w:val="center"/>
        </w:trPr>
        <w:tc>
          <w:tcPr>
            <w:tcW w:w="1276" w:type="pct"/>
          </w:tcPr>
          <w:p w14:paraId="15A5A293"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750 to 779 calendar days</w:t>
            </w:r>
          </w:p>
        </w:tc>
        <w:tc>
          <w:tcPr>
            <w:tcW w:w="1862" w:type="pct"/>
          </w:tcPr>
          <w:p w14:paraId="0E5AA19F"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5</w:t>
            </w:r>
          </w:p>
        </w:tc>
        <w:tc>
          <w:tcPr>
            <w:tcW w:w="1862" w:type="pct"/>
          </w:tcPr>
          <w:p w14:paraId="45F6F76D"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0C4EFC7B" w14:textId="77777777" w:rsidTr="00B31669">
        <w:trPr>
          <w:cantSplit/>
          <w:trHeight w:val="290"/>
          <w:tblHeader/>
          <w:jc w:val="center"/>
        </w:trPr>
        <w:tc>
          <w:tcPr>
            <w:tcW w:w="1276" w:type="pct"/>
          </w:tcPr>
          <w:p w14:paraId="54622E77"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780 to 809 calendar days</w:t>
            </w:r>
          </w:p>
        </w:tc>
        <w:tc>
          <w:tcPr>
            <w:tcW w:w="1862" w:type="pct"/>
          </w:tcPr>
          <w:p w14:paraId="559D661E"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8</w:t>
            </w:r>
          </w:p>
        </w:tc>
        <w:tc>
          <w:tcPr>
            <w:tcW w:w="1862" w:type="pct"/>
          </w:tcPr>
          <w:p w14:paraId="12637367"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7FCD092A" w14:textId="77777777" w:rsidTr="00B31669">
        <w:trPr>
          <w:cantSplit/>
          <w:trHeight w:val="290"/>
          <w:tblHeader/>
          <w:jc w:val="center"/>
        </w:trPr>
        <w:tc>
          <w:tcPr>
            <w:tcW w:w="1276" w:type="pct"/>
          </w:tcPr>
          <w:p w14:paraId="4D38A7CA"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810 to 839 calendar days</w:t>
            </w:r>
          </w:p>
        </w:tc>
        <w:tc>
          <w:tcPr>
            <w:tcW w:w="1862" w:type="pct"/>
          </w:tcPr>
          <w:p w14:paraId="1189D790"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4</w:t>
            </w:r>
          </w:p>
        </w:tc>
        <w:tc>
          <w:tcPr>
            <w:tcW w:w="1862" w:type="pct"/>
          </w:tcPr>
          <w:p w14:paraId="701F675B"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58364D45" w14:textId="77777777" w:rsidTr="00B31669">
        <w:trPr>
          <w:cantSplit/>
          <w:trHeight w:val="290"/>
          <w:tblHeader/>
          <w:jc w:val="center"/>
        </w:trPr>
        <w:tc>
          <w:tcPr>
            <w:tcW w:w="1276" w:type="pct"/>
          </w:tcPr>
          <w:p w14:paraId="77E57AE1"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840 to 869 calendar days</w:t>
            </w:r>
          </w:p>
        </w:tc>
        <w:tc>
          <w:tcPr>
            <w:tcW w:w="1862" w:type="pct"/>
          </w:tcPr>
          <w:p w14:paraId="39A7F5DC"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10</w:t>
            </w:r>
          </w:p>
        </w:tc>
        <w:tc>
          <w:tcPr>
            <w:tcW w:w="1862" w:type="pct"/>
          </w:tcPr>
          <w:p w14:paraId="7B8FD6F4"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00CA8AB4" w14:textId="77777777" w:rsidTr="00B31669">
        <w:trPr>
          <w:cantSplit/>
          <w:trHeight w:val="290"/>
          <w:tblHeader/>
          <w:jc w:val="center"/>
        </w:trPr>
        <w:tc>
          <w:tcPr>
            <w:tcW w:w="1276" w:type="pct"/>
          </w:tcPr>
          <w:p w14:paraId="363F2902"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870 to 899 calendar days</w:t>
            </w:r>
          </w:p>
        </w:tc>
        <w:tc>
          <w:tcPr>
            <w:tcW w:w="1862" w:type="pct"/>
          </w:tcPr>
          <w:p w14:paraId="3014FC82"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4</w:t>
            </w:r>
          </w:p>
        </w:tc>
        <w:tc>
          <w:tcPr>
            <w:tcW w:w="1862" w:type="pct"/>
          </w:tcPr>
          <w:p w14:paraId="3027C558"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640BC684" w14:textId="77777777" w:rsidTr="00B31669">
        <w:trPr>
          <w:cantSplit/>
          <w:trHeight w:val="290"/>
          <w:tblHeader/>
          <w:jc w:val="center"/>
        </w:trPr>
        <w:tc>
          <w:tcPr>
            <w:tcW w:w="1276" w:type="pct"/>
          </w:tcPr>
          <w:p w14:paraId="7537C4AC"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900 to 929 calendar days</w:t>
            </w:r>
          </w:p>
        </w:tc>
        <w:tc>
          <w:tcPr>
            <w:tcW w:w="1862" w:type="pct"/>
          </w:tcPr>
          <w:p w14:paraId="7780FDE8"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5</w:t>
            </w:r>
          </w:p>
        </w:tc>
        <w:tc>
          <w:tcPr>
            <w:tcW w:w="1862" w:type="pct"/>
          </w:tcPr>
          <w:p w14:paraId="2A99A997"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612BE109" w14:textId="77777777" w:rsidTr="00B31669">
        <w:trPr>
          <w:cantSplit/>
          <w:trHeight w:val="290"/>
          <w:tblHeader/>
          <w:jc w:val="center"/>
        </w:trPr>
        <w:tc>
          <w:tcPr>
            <w:tcW w:w="1276" w:type="pct"/>
          </w:tcPr>
          <w:p w14:paraId="32CBACCA"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930 to 959 calendar days</w:t>
            </w:r>
          </w:p>
        </w:tc>
        <w:tc>
          <w:tcPr>
            <w:tcW w:w="1862" w:type="pct"/>
          </w:tcPr>
          <w:p w14:paraId="4AB09E5E"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5</w:t>
            </w:r>
          </w:p>
        </w:tc>
        <w:tc>
          <w:tcPr>
            <w:tcW w:w="1862" w:type="pct"/>
          </w:tcPr>
          <w:p w14:paraId="74B865F2"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3A87173E" w14:textId="77777777" w:rsidTr="00B31669">
        <w:trPr>
          <w:cantSplit/>
          <w:trHeight w:val="290"/>
          <w:tblHeader/>
          <w:jc w:val="center"/>
        </w:trPr>
        <w:tc>
          <w:tcPr>
            <w:tcW w:w="1276" w:type="pct"/>
          </w:tcPr>
          <w:p w14:paraId="6B64F44D"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960 to 989 calendar days</w:t>
            </w:r>
          </w:p>
        </w:tc>
        <w:tc>
          <w:tcPr>
            <w:tcW w:w="1862" w:type="pct"/>
          </w:tcPr>
          <w:p w14:paraId="1AFD2C9B"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3</w:t>
            </w:r>
          </w:p>
        </w:tc>
        <w:tc>
          <w:tcPr>
            <w:tcW w:w="1862" w:type="pct"/>
          </w:tcPr>
          <w:p w14:paraId="7DA4E8E2"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r w:rsidR="00B76E9C" w:rsidRPr="00961419" w14:paraId="5C293D5B" w14:textId="77777777" w:rsidTr="00B31669">
        <w:trPr>
          <w:cantSplit/>
          <w:trHeight w:val="290"/>
          <w:tblHeader/>
          <w:jc w:val="center"/>
        </w:trPr>
        <w:tc>
          <w:tcPr>
            <w:tcW w:w="1276" w:type="pct"/>
          </w:tcPr>
          <w:p w14:paraId="6B938A26" w14:textId="77777777" w:rsidR="00B76E9C" w:rsidRPr="00B76E9C" w:rsidRDefault="00B76E9C" w:rsidP="00E87A54">
            <w:pPr>
              <w:autoSpaceDE w:val="0"/>
              <w:autoSpaceDN w:val="0"/>
              <w:adjustRightInd w:val="0"/>
              <w:rPr>
                <w:rFonts w:asciiTheme="minorHAnsi" w:hAnsiTheme="minorHAnsi" w:cstheme="minorHAnsi"/>
                <w:color w:val="000000"/>
                <w:sz w:val="22"/>
                <w:szCs w:val="22"/>
              </w:rPr>
            </w:pPr>
            <w:r w:rsidRPr="00B76E9C">
              <w:rPr>
                <w:rFonts w:asciiTheme="minorHAnsi" w:hAnsiTheme="minorHAnsi" w:cstheme="minorHAnsi"/>
                <w:color w:val="000000"/>
                <w:sz w:val="22"/>
                <w:szCs w:val="22"/>
              </w:rPr>
              <w:t>More than 990 calendar days</w:t>
            </w:r>
          </w:p>
        </w:tc>
        <w:tc>
          <w:tcPr>
            <w:tcW w:w="1862" w:type="pct"/>
          </w:tcPr>
          <w:p w14:paraId="1627D1D6" w14:textId="77777777" w:rsidR="00B76E9C" w:rsidRPr="00B76E9C" w:rsidRDefault="00B76E9C" w:rsidP="00E87A54">
            <w:pPr>
              <w:autoSpaceDE w:val="0"/>
              <w:autoSpaceDN w:val="0"/>
              <w:adjustRightInd w:val="0"/>
              <w:jc w:val="center"/>
              <w:rPr>
                <w:rFonts w:asciiTheme="minorHAnsi" w:hAnsiTheme="minorHAnsi" w:cstheme="minorHAnsi"/>
                <w:color w:val="000000"/>
                <w:sz w:val="22"/>
                <w:szCs w:val="22"/>
              </w:rPr>
            </w:pPr>
            <w:r w:rsidRPr="00B76E9C">
              <w:rPr>
                <w:rFonts w:asciiTheme="minorHAnsi" w:hAnsiTheme="minorHAnsi" w:cstheme="minorHAnsi"/>
                <w:color w:val="000000"/>
                <w:sz w:val="22"/>
                <w:szCs w:val="22"/>
              </w:rPr>
              <w:t>23</w:t>
            </w:r>
          </w:p>
        </w:tc>
        <w:tc>
          <w:tcPr>
            <w:tcW w:w="1862" w:type="pct"/>
          </w:tcPr>
          <w:p w14:paraId="10A9C64D" w14:textId="77777777" w:rsidR="00B76E9C" w:rsidRPr="00B76E9C" w:rsidRDefault="00B76E9C" w:rsidP="00E87A54">
            <w:pPr>
              <w:autoSpaceDE w:val="0"/>
              <w:autoSpaceDN w:val="0"/>
              <w:adjustRightInd w:val="0"/>
              <w:jc w:val="center"/>
              <w:rPr>
                <w:rFonts w:asciiTheme="minorHAnsi" w:hAnsiTheme="minorHAnsi" w:cstheme="minorHAnsi"/>
                <w:sz w:val="22"/>
                <w:szCs w:val="22"/>
              </w:rPr>
            </w:pPr>
            <w:r w:rsidRPr="00B76E9C">
              <w:rPr>
                <w:rFonts w:asciiTheme="minorHAnsi" w:hAnsiTheme="minorHAnsi" w:cstheme="minorHAnsi"/>
                <w:sz w:val="22"/>
                <w:szCs w:val="22"/>
              </w:rPr>
              <w:t>0</w:t>
            </w:r>
          </w:p>
        </w:tc>
      </w:tr>
    </w:tbl>
    <w:p w14:paraId="5D18C722" w14:textId="77777777" w:rsidR="00B76E9C" w:rsidRDefault="00B76E9C" w:rsidP="00F679DE"/>
    <w:p w14:paraId="7EFCE840" w14:textId="77777777" w:rsidR="00B76E9C" w:rsidRDefault="00B76E9C" w:rsidP="00F679DE">
      <w:pPr>
        <w:sectPr w:rsidR="00B76E9C" w:rsidSect="00B76E9C">
          <w:pgSz w:w="24480" w:h="15840" w:orient="landscape" w:code="3"/>
          <w:pgMar w:top="1025" w:right="720" w:bottom="720" w:left="720" w:header="708" w:footer="708" w:gutter="0"/>
          <w:cols w:space="708"/>
          <w:titlePg/>
          <w:docGrid w:linePitch="360"/>
        </w:sectPr>
      </w:pPr>
    </w:p>
    <w:p w14:paraId="1A9C3DF1" w14:textId="7C72E54E" w:rsidR="00B76E9C" w:rsidRPr="00C22E59" w:rsidRDefault="00C22E59" w:rsidP="00C22E59">
      <w:pPr>
        <w:pStyle w:val="Heading1"/>
        <w:spacing w:before="120" w:after="120"/>
        <w:rPr>
          <w:sz w:val="40"/>
        </w:rPr>
      </w:pPr>
      <w:r w:rsidRPr="00C22E59">
        <w:rPr>
          <w:sz w:val="40"/>
        </w:rPr>
        <w:lastRenderedPageBreak/>
        <w:t>External time to staff</w:t>
      </w:r>
    </w:p>
    <w:p w14:paraId="03140A57" w14:textId="09985CD4" w:rsidR="00C22E59" w:rsidRDefault="00F679DE" w:rsidP="00C22E59">
      <w:pPr>
        <w:keepNext/>
      </w:pPr>
      <w:r w:rsidRPr="003F4AB4">
        <w:rPr>
          <w:noProof/>
          <w:lang w:val="en-CA" w:eastAsia="en-CA"/>
        </w:rPr>
        <w:drawing>
          <wp:inline distT="0" distB="0" distL="0" distR="0" wp14:anchorId="559EB873" wp14:editId="571A9C87">
            <wp:extent cx="5648400" cy="3049200"/>
            <wp:effectExtent l="0" t="0" r="9525" b="18415"/>
            <wp:docPr id="21" name="Chart 21" descr="External time to staff Public service median = 186 day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C22E59">
        <w:rPr>
          <w:noProof/>
          <w:lang w:val="en-CA" w:eastAsia="en-CA"/>
        </w:rPr>
        <mc:AlternateContent>
          <mc:Choice Requires="wps">
            <w:drawing>
              <wp:inline distT="0" distB="0" distL="0" distR="0" wp14:anchorId="352DEB63" wp14:editId="3DABFB8C">
                <wp:extent cx="5648400" cy="3049200"/>
                <wp:effectExtent l="0" t="0" r="28575" b="18415"/>
                <wp:docPr id="4" name="Text Box 4" descr="The data is insufficient for providing results on external process times for Public Safety Canada." title="External time to staff for fiscal year 2018 to 2019 for the specified organiz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06FCCAF0" w14:textId="77777777" w:rsidR="00AE387E" w:rsidRPr="00C22E59" w:rsidRDefault="00AE387E" w:rsidP="00C22E59">
                            <w:pPr>
                              <w:spacing w:after="120"/>
                              <w:rPr>
                                <w:rFonts w:asciiTheme="minorHAnsi" w:hAnsiTheme="minorHAnsi" w:cstheme="minorHAnsi"/>
                                <w:sz w:val="22"/>
                                <w:szCs w:val="24"/>
                              </w:rPr>
                            </w:pPr>
                            <w:r w:rsidRPr="00C22E59">
                              <w:rPr>
                                <w:rFonts w:asciiTheme="minorHAnsi" w:hAnsiTheme="minorHAnsi" w:cstheme="minorHAnsi"/>
                                <w:sz w:val="22"/>
                                <w:szCs w:val="24"/>
                              </w:rPr>
                              <w:t>External Time to Staff</w:t>
                            </w:r>
                          </w:p>
                          <w:p w14:paraId="2B0212CF" w14:textId="77777777" w:rsidR="00AE387E" w:rsidRPr="00C22E59" w:rsidRDefault="00AE387E" w:rsidP="00C22E59">
                            <w:pPr>
                              <w:pStyle w:val="ListParagraph"/>
                              <w:ind w:left="360"/>
                              <w:rPr>
                                <w:rFonts w:asciiTheme="minorHAnsi" w:hAnsiTheme="minorHAnsi" w:cstheme="minorHAnsi"/>
                                <w:sz w:val="22"/>
                              </w:rPr>
                            </w:pPr>
                            <w:r w:rsidRPr="00C22E59">
                              <w:rPr>
                                <w:rFonts w:asciiTheme="minorHAnsi" w:hAnsiTheme="minorHAnsi" w:cstheme="minorHAnsi"/>
                                <w:sz w:val="22"/>
                              </w:rPr>
                              <w:t>The data is insufficient for providing results on external process times for Public Safety Canada.</w:t>
                            </w:r>
                          </w:p>
                        </w:txbxContent>
                      </wps:txbx>
                      <wps:bodyPr rot="0" vert="horz" wrap="square" lIns="91440" tIns="45720" rIns="91440" bIns="45720" anchor="t" anchorCtr="0">
                        <a:noAutofit/>
                      </wps:bodyPr>
                    </wps:wsp>
                  </a:graphicData>
                </a:graphic>
              </wp:inline>
            </w:drawing>
          </mc:Choice>
          <mc:Fallback>
            <w:pict>
              <v:shapetype w14:anchorId="352DEB63" id="_x0000_t202" coordsize="21600,21600" o:spt="202" path="m,l,21600r21600,l21600,xe">
                <v:stroke joinstyle="miter"/>
                <v:path gradientshapeok="t" o:connecttype="rect"/>
              </v:shapetype>
              <v:shape id="Text Box 4" o:spid="_x0000_s1026" type="#_x0000_t202" alt="Title: External time to staff for fiscal year 2018 to 2019 for the specified organization - Description: The data is insufficient for providing results on external process times for Public Safety Canada."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">
                <v:textbox>
                  <w:txbxContent>
                    <w:p w14:paraId="06FCCAF0" w14:textId="77777777" w:rsidR="00AE387E" w:rsidRPr="00C22E59" w:rsidRDefault="00AE387E" w:rsidP="00C22E59">
                      <w:pPr>
                        <w:spacing w:after="120"/>
                        <w:rPr>
                          <w:rFonts w:asciiTheme="minorHAnsi" w:hAnsiTheme="minorHAnsi" w:cstheme="minorHAnsi"/>
                          <w:sz w:val="22"/>
                          <w:szCs w:val="24"/>
                        </w:rPr>
                      </w:pPr>
                      <w:r w:rsidRPr="00C22E59">
                        <w:rPr>
                          <w:rFonts w:asciiTheme="minorHAnsi" w:hAnsiTheme="minorHAnsi" w:cstheme="minorHAnsi"/>
                          <w:sz w:val="22"/>
                          <w:szCs w:val="24"/>
                        </w:rPr>
                        <w:t>External Time to Staff</w:t>
                      </w:r>
                    </w:p>
                    <w:p w14:paraId="2B0212CF" w14:textId="77777777" w:rsidR="00AE387E" w:rsidRPr="00C22E59" w:rsidRDefault="00AE387E" w:rsidP="00C22E59">
                      <w:pPr>
                        <w:pStyle w:val="ListParagraph"/>
                        <w:ind w:left="360"/>
                        <w:rPr>
                          <w:rFonts w:asciiTheme="minorHAnsi" w:hAnsiTheme="minorHAnsi" w:cstheme="minorHAnsi"/>
                          <w:sz w:val="22"/>
                        </w:rPr>
                      </w:pPr>
                      <w:r w:rsidRPr="00C22E59">
                        <w:rPr>
                          <w:rFonts w:asciiTheme="minorHAnsi" w:hAnsiTheme="minorHAnsi" w:cstheme="minorHAnsi"/>
                          <w:sz w:val="22"/>
                        </w:rPr>
                        <w:t>The data is insufficient for providing results on external process times for Public Safety Canada.</w:t>
                      </w:r>
                    </w:p>
                  </w:txbxContent>
                </v:textbox>
                <w10:anchorlock/>
              </v:shape>
            </w:pict>
          </mc:Fallback>
        </mc:AlternateContent>
      </w:r>
    </w:p>
    <w:p w14:paraId="32DD54D1" w14:textId="0247F184" w:rsidR="00C22E59" w:rsidRPr="00C22E59" w:rsidRDefault="00C22E59" w:rsidP="008B234C">
      <w:pPr>
        <w:pStyle w:val="Caption"/>
        <w:spacing w:after="0"/>
        <w:rPr>
          <w:rFonts w:asciiTheme="minorHAnsi" w:hAnsiTheme="minorHAnsi" w:cstheme="minorHAnsi"/>
          <w:i w:val="0"/>
          <w:color w:val="auto"/>
        </w:rPr>
      </w:pPr>
      <w:r w:rsidRPr="00C22E59">
        <w:rPr>
          <w:rFonts w:asciiTheme="minorHAnsi" w:hAnsiTheme="minorHAnsi" w:cstheme="minorHAnsi"/>
          <w:i w:val="0"/>
          <w:color w:val="auto"/>
        </w:rPr>
        <w:t xml:space="preserve">Figure </w:t>
      </w:r>
      <w:r w:rsidRPr="00C22E59">
        <w:rPr>
          <w:rFonts w:asciiTheme="minorHAnsi" w:hAnsiTheme="minorHAnsi" w:cstheme="minorHAnsi"/>
          <w:i w:val="0"/>
          <w:color w:val="auto"/>
        </w:rPr>
        <w:fldChar w:fldCharType="begin"/>
      </w:r>
      <w:r w:rsidRPr="00C22E59">
        <w:rPr>
          <w:rFonts w:asciiTheme="minorHAnsi" w:hAnsiTheme="minorHAnsi" w:cstheme="minorHAnsi"/>
          <w:i w:val="0"/>
          <w:color w:val="auto"/>
        </w:rPr>
        <w:instrText xml:space="preserve"> SEQ Figure \* ARABIC </w:instrText>
      </w:r>
      <w:r w:rsidRPr="00C22E59">
        <w:rPr>
          <w:rFonts w:asciiTheme="minorHAnsi" w:hAnsiTheme="minorHAnsi" w:cstheme="minorHAnsi"/>
          <w:i w:val="0"/>
          <w:color w:val="auto"/>
        </w:rPr>
        <w:fldChar w:fldCharType="separate"/>
      </w:r>
      <w:r w:rsidRPr="00C22E59">
        <w:rPr>
          <w:rFonts w:asciiTheme="minorHAnsi" w:hAnsiTheme="minorHAnsi" w:cstheme="minorHAnsi"/>
          <w:i w:val="0"/>
          <w:noProof/>
          <w:color w:val="auto"/>
        </w:rPr>
        <w:t>14</w:t>
      </w:r>
      <w:r w:rsidRPr="00C22E59">
        <w:rPr>
          <w:rFonts w:asciiTheme="minorHAnsi" w:hAnsiTheme="minorHAnsi" w:cstheme="minorHAnsi"/>
          <w:i w:val="0"/>
          <w:color w:val="auto"/>
        </w:rPr>
        <w:fldChar w:fldCharType="end"/>
      </w:r>
      <w:r w:rsidRPr="00C22E59">
        <w:rPr>
          <w:rFonts w:asciiTheme="minorHAnsi" w:hAnsiTheme="minorHAnsi" w:cstheme="minorHAnsi"/>
          <w:i w:val="0"/>
          <w:color w:val="auto"/>
        </w:rPr>
        <w:t xml:space="preserve"> - External time to staff Public service median = 186 days, 2018-2019</w:t>
      </w:r>
    </w:p>
    <w:p w14:paraId="785DBC3E" w14:textId="367055EB" w:rsidR="00C22E59" w:rsidRPr="00C22E59" w:rsidRDefault="00C22E59" w:rsidP="008B234C">
      <w:pPr>
        <w:spacing w:before="240" w:after="120"/>
        <w:rPr>
          <w:rStyle w:val="Hyperlink"/>
          <w:rFonts w:asciiTheme="minorHAnsi" w:hAnsiTheme="minorHAnsi" w:cstheme="minorHAnsi"/>
          <w:sz w:val="22"/>
        </w:rPr>
      </w:pPr>
      <w:r>
        <w:rPr>
          <w:rFonts w:asciiTheme="minorHAnsi" w:hAnsiTheme="minorHAnsi" w:cstheme="minorHAnsi"/>
          <w:sz w:val="22"/>
        </w:rPr>
        <w:fldChar w:fldCharType="begin"/>
      </w:r>
      <w:r>
        <w:rPr>
          <w:rFonts w:asciiTheme="minorHAnsi" w:hAnsiTheme="minorHAnsi" w:cstheme="minorHAnsi"/>
          <w:sz w:val="22"/>
        </w:rPr>
        <w:instrText xml:space="preserve"> HYPERLINK  \l "External_time_to_staff" </w:instrText>
      </w:r>
      <w:r>
        <w:rPr>
          <w:rFonts w:asciiTheme="minorHAnsi" w:hAnsiTheme="minorHAnsi" w:cstheme="minorHAnsi"/>
          <w:sz w:val="22"/>
        </w:rPr>
        <w:fldChar w:fldCharType="separate"/>
      </w:r>
      <w:r w:rsidRPr="00C22E59">
        <w:rPr>
          <w:rStyle w:val="Hyperlink"/>
          <w:rFonts w:asciiTheme="minorHAnsi" w:hAnsiTheme="minorHAnsi" w:cstheme="minorHAnsi"/>
          <w:sz w:val="22"/>
        </w:rPr>
        <w:t>Internal time to staff data table available here</w:t>
      </w:r>
    </w:p>
    <w:p w14:paraId="5D0DE02B" w14:textId="76262F6A" w:rsidR="00C22E59" w:rsidRDefault="00C22E59" w:rsidP="00F679DE">
      <w:r>
        <w:rPr>
          <w:rFonts w:asciiTheme="minorHAnsi" w:hAnsiTheme="minorHAnsi" w:cstheme="minorHAnsi"/>
          <w:sz w:val="22"/>
        </w:rPr>
        <w:fldChar w:fldCharType="end"/>
      </w:r>
    </w:p>
    <w:p w14:paraId="4A4542E6" w14:textId="77777777" w:rsidR="00C22E59" w:rsidRDefault="00C22E59" w:rsidP="00B76E9C">
      <w:pPr>
        <w:rPr>
          <w:rFonts w:cs="Arial"/>
          <w:lang w:eastAsia="en-CA"/>
        </w:rPr>
        <w:sectPr w:rsidR="00C22E59" w:rsidSect="00B76E9C">
          <w:pgSz w:w="20160" w:h="12240" w:orient="landscape" w:code="5"/>
          <w:pgMar w:top="1025" w:right="720" w:bottom="720" w:left="720" w:header="708" w:footer="708" w:gutter="0"/>
          <w:cols w:space="708"/>
          <w:titlePg/>
          <w:docGrid w:linePitch="360"/>
        </w:sectPr>
      </w:pPr>
    </w:p>
    <w:p w14:paraId="769C7E77" w14:textId="4554336A" w:rsidR="00B76E9C" w:rsidRPr="00C22E59" w:rsidRDefault="00B76E9C" w:rsidP="00C22E59">
      <w:pPr>
        <w:spacing w:after="120"/>
        <w:rPr>
          <w:rFonts w:asciiTheme="minorHAnsi" w:hAnsiTheme="minorHAnsi" w:cstheme="minorHAnsi"/>
          <w:sz w:val="22"/>
          <w:lang w:eastAsia="en-CA"/>
        </w:rPr>
      </w:pPr>
      <w:r w:rsidRPr="00C22E59">
        <w:rPr>
          <w:rFonts w:asciiTheme="minorHAnsi" w:hAnsiTheme="minorHAnsi" w:cstheme="minorHAnsi"/>
          <w:sz w:val="22"/>
          <w:lang w:eastAsia="en-CA"/>
        </w:rPr>
        <w:t>External time to staff is calculated as the number of calendar days between the opening date of the advertisement and the date of the first estimated external hire</w:t>
      </w:r>
    </w:p>
    <w:p w14:paraId="42D2450B" w14:textId="77777777" w:rsidR="00C22E59" w:rsidRPr="00C22E59" w:rsidRDefault="00C22E59" w:rsidP="00C22E59">
      <w:pPr>
        <w:rPr>
          <w:rFonts w:asciiTheme="minorHAnsi" w:hAnsiTheme="minorHAnsi" w:cstheme="minorHAnsi"/>
          <w:sz w:val="22"/>
          <w:szCs w:val="24"/>
        </w:rPr>
      </w:pPr>
      <w:r w:rsidRPr="00C22E59">
        <w:rPr>
          <w:rFonts w:asciiTheme="minorHAnsi" w:hAnsiTheme="minorHAnsi" w:cstheme="minorHAnsi"/>
          <w:sz w:val="22"/>
          <w:szCs w:val="24"/>
        </w:rPr>
        <w:t xml:space="preserve">The median external time to staff for the public service (organizations subject to the </w:t>
      </w:r>
      <w:r w:rsidRPr="00C22E59">
        <w:rPr>
          <w:rStyle w:val="Emphasis"/>
          <w:sz w:val="22"/>
        </w:rPr>
        <w:t>Public Service Employment Act</w:t>
      </w:r>
      <w:r w:rsidRPr="00C22E59">
        <w:rPr>
          <w:rFonts w:asciiTheme="minorHAnsi" w:hAnsiTheme="minorHAnsi" w:cstheme="minorHAnsi"/>
          <w:sz w:val="22"/>
          <w:szCs w:val="24"/>
        </w:rPr>
        <w:t>) for fiscal year 2018 to 2019 is 186 days</w:t>
      </w:r>
    </w:p>
    <w:p w14:paraId="50452172" w14:textId="41B96B5E" w:rsidR="00C22E59" w:rsidRPr="00C22E59" w:rsidRDefault="008B234C" w:rsidP="00E87A54">
      <w:pPr>
        <w:rPr>
          <w:rStyle w:val="Strong"/>
        </w:rPr>
      </w:pPr>
      <w:r>
        <w:rPr>
          <w:rStyle w:val="Strong"/>
        </w:rPr>
        <w:br w:type="column"/>
      </w:r>
      <w:r w:rsidR="00C22E59" w:rsidRPr="00C22E59">
        <w:rPr>
          <w:rStyle w:val="Strong"/>
        </w:rPr>
        <w:t>External time to staff for fiscal year 2018 to 2019</w:t>
      </w:r>
    </w:p>
    <w:p w14:paraId="142E55A2" w14:textId="77777777" w:rsidR="00C22E59" w:rsidRPr="00C22E59" w:rsidRDefault="00C22E59" w:rsidP="00E87A54">
      <w:pPr>
        <w:rPr>
          <w:rFonts w:asciiTheme="minorHAnsi" w:hAnsiTheme="minorHAnsi" w:cstheme="minorHAnsi"/>
          <w:sz w:val="22"/>
          <w:szCs w:val="24"/>
        </w:rPr>
      </w:pPr>
      <w:r w:rsidRPr="00C22E59">
        <w:rPr>
          <w:rFonts w:asciiTheme="minorHAnsi" w:hAnsiTheme="minorHAnsi" w:cstheme="minorHAnsi"/>
          <w:sz w:val="22"/>
          <w:szCs w:val="24"/>
        </w:rPr>
        <w:t>The data is insufficient for providing results on external process times for Public Safety Canada</w:t>
      </w:r>
    </w:p>
    <w:p w14:paraId="2FAFA769" w14:textId="77777777" w:rsidR="00C22E59" w:rsidRDefault="00C22E59" w:rsidP="00F679DE">
      <w:pPr>
        <w:sectPr w:rsidR="00C22E59" w:rsidSect="00C22E59">
          <w:type w:val="continuous"/>
          <w:pgSz w:w="20160" w:h="12240" w:orient="landscape" w:code="5"/>
          <w:pgMar w:top="1025" w:right="720" w:bottom="720" w:left="720" w:header="708" w:footer="708" w:gutter="0"/>
          <w:cols w:num="2" w:space="708"/>
          <w:titlePg/>
          <w:docGrid w:linePitch="360"/>
        </w:sectPr>
      </w:pPr>
    </w:p>
    <w:p w14:paraId="30E53F7F" w14:textId="3358E564" w:rsidR="00F679DE" w:rsidRPr="003F4AB4" w:rsidRDefault="00F679DE" w:rsidP="00F679DE">
      <w:pPr>
        <w:rPr>
          <w:rFonts w:cs="Arial"/>
          <w:lang w:eastAsia="en-CA"/>
        </w:rPr>
        <w:sectPr w:rsidR="00F679DE" w:rsidRPr="003F4AB4" w:rsidSect="00C22E59">
          <w:type w:val="continuous"/>
          <w:pgSz w:w="20160" w:h="12240" w:orient="landscape" w:code="5"/>
          <w:pgMar w:top="1025" w:right="720" w:bottom="720" w:left="720" w:header="708" w:footer="708" w:gutter="0"/>
          <w:cols w:space="708"/>
          <w:titlePg/>
          <w:docGrid w:linePitch="360"/>
        </w:sectPr>
      </w:pPr>
    </w:p>
    <w:p w14:paraId="18346898" w14:textId="47F4A2B8" w:rsidR="00F679DE" w:rsidRPr="00B76E9C" w:rsidRDefault="00B76E9C" w:rsidP="00B76E9C">
      <w:pPr>
        <w:pStyle w:val="Heading1"/>
        <w:spacing w:before="120" w:after="120"/>
        <w:rPr>
          <w:sz w:val="40"/>
          <w:lang w:eastAsia="en-CA"/>
        </w:rPr>
      </w:pPr>
      <w:r w:rsidRPr="00B76E9C">
        <w:rPr>
          <w:sz w:val="40"/>
          <w:lang w:eastAsia="en-CA"/>
        </w:rPr>
        <w:lastRenderedPageBreak/>
        <w:t>External time to staff</w:t>
      </w:r>
    </w:p>
    <w:p w14:paraId="41591D5D" w14:textId="6C2563CE" w:rsidR="00B76E9C" w:rsidRPr="00B76E9C" w:rsidRDefault="00B76E9C" w:rsidP="00B76E9C">
      <w:pPr>
        <w:pStyle w:val="Caption"/>
        <w:keepNext/>
        <w:spacing w:after="0"/>
        <w:rPr>
          <w:rFonts w:asciiTheme="minorHAnsi" w:hAnsiTheme="minorHAnsi" w:cstheme="minorHAnsi"/>
          <w:i w:val="0"/>
          <w:color w:val="auto"/>
        </w:rPr>
      </w:pPr>
      <w:r w:rsidRPr="00B76E9C">
        <w:rPr>
          <w:rFonts w:asciiTheme="minorHAnsi" w:hAnsiTheme="minorHAnsi" w:cstheme="minorHAnsi"/>
          <w:i w:val="0"/>
          <w:color w:val="auto"/>
        </w:rPr>
        <w:t xml:space="preserve">Table </w:t>
      </w:r>
      <w:r w:rsidRPr="00B76E9C">
        <w:rPr>
          <w:rFonts w:asciiTheme="minorHAnsi" w:hAnsiTheme="minorHAnsi" w:cstheme="minorHAnsi"/>
          <w:i w:val="0"/>
          <w:color w:val="auto"/>
        </w:rPr>
        <w:fldChar w:fldCharType="begin"/>
      </w:r>
      <w:r w:rsidRPr="00B76E9C">
        <w:rPr>
          <w:rFonts w:asciiTheme="minorHAnsi" w:hAnsiTheme="minorHAnsi" w:cstheme="minorHAnsi"/>
          <w:i w:val="0"/>
          <w:color w:val="auto"/>
        </w:rPr>
        <w:instrText xml:space="preserve"> SEQ Table \* ARABIC </w:instrText>
      </w:r>
      <w:r w:rsidRPr="00B76E9C">
        <w:rPr>
          <w:rFonts w:asciiTheme="minorHAnsi" w:hAnsiTheme="minorHAnsi" w:cstheme="minorHAnsi"/>
          <w:i w:val="0"/>
          <w:color w:val="auto"/>
        </w:rPr>
        <w:fldChar w:fldCharType="separate"/>
      </w:r>
      <w:r w:rsidRPr="00B76E9C">
        <w:rPr>
          <w:rFonts w:asciiTheme="minorHAnsi" w:hAnsiTheme="minorHAnsi" w:cstheme="minorHAnsi"/>
          <w:i w:val="0"/>
          <w:noProof/>
          <w:color w:val="auto"/>
        </w:rPr>
        <w:t>16</w:t>
      </w:r>
      <w:r w:rsidRPr="00B76E9C">
        <w:rPr>
          <w:rFonts w:asciiTheme="minorHAnsi" w:hAnsiTheme="minorHAnsi" w:cstheme="minorHAnsi"/>
          <w:i w:val="0"/>
          <w:color w:val="auto"/>
        </w:rPr>
        <w:fldChar w:fldCharType="end"/>
      </w:r>
      <w:r w:rsidRPr="00B76E9C">
        <w:rPr>
          <w:rFonts w:asciiTheme="minorHAnsi" w:hAnsiTheme="minorHAnsi" w:cstheme="minorHAnsi"/>
          <w:i w:val="0"/>
          <w:color w:val="auto"/>
        </w:rPr>
        <w:t xml:space="preserve"> - External time to staff</w:t>
      </w:r>
    </w:p>
    <w:tbl>
      <w:tblPr>
        <w:tblStyle w:val="TableGrid"/>
        <w:tblW w:w="5000" w:type="pct"/>
        <w:jc w:val="center"/>
        <w:tblLook w:val="0020" w:firstRow="1" w:lastRow="0" w:firstColumn="0" w:lastColumn="0" w:noHBand="0" w:noVBand="0"/>
        <w:tblDescription w:val="External time to staff"/>
      </w:tblPr>
      <w:tblGrid>
        <w:gridCol w:w="3964"/>
        <w:gridCol w:w="6826"/>
      </w:tblGrid>
      <w:tr w:rsidR="00B76E9C" w:rsidRPr="00906821" w14:paraId="173C1C16" w14:textId="43A15865" w:rsidTr="00B31669">
        <w:trPr>
          <w:cantSplit/>
          <w:trHeight w:val="290"/>
          <w:tblHeader/>
          <w:jc w:val="center"/>
        </w:trPr>
        <w:tc>
          <w:tcPr>
            <w:tcW w:w="1837" w:type="pct"/>
          </w:tcPr>
          <w:p w14:paraId="504F8F5F" w14:textId="77777777" w:rsidR="00B76E9C" w:rsidRPr="00906821" w:rsidRDefault="00B76E9C" w:rsidP="00DD3FFA">
            <w:pPr>
              <w:pStyle w:val="TableTitle"/>
            </w:pPr>
            <w:bookmarkStart w:id="3" w:name="External_time_to_staff"/>
            <w:r>
              <w:t>Number of calendar days</w:t>
            </w:r>
            <w:bookmarkEnd w:id="3"/>
          </w:p>
        </w:tc>
        <w:tc>
          <w:tcPr>
            <w:tcW w:w="3163" w:type="pct"/>
          </w:tcPr>
          <w:p w14:paraId="1FC8FE59" w14:textId="508AAE5E" w:rsidR="00B76E9C" w:rsidRDefault="00B76E9C" w:rsidP="00DD3FFA">
            <w:pPr>
              <w:pStyle w:val="TableTitle"/>
            </w:pPr>
            <w:r>
              <w:t xml:space="preserve">The number of external appointment processes for which the TTS-EA was within the specified number of calendar days for organizations subject to the </w:t>
            </w:r>
            <w:r w:rsidRPr="00C22E59">
              <w:rPr>
                <w:rStyle w:val="Emphasis"/>
                <w:rFonts w:ascii="Segoe UI Semibold" w:hAnsi="Segoe UI Semibold" w:cs="Segoe UI Semibold"/>
                <w:sz w:val="22"/>
              </w:rPr>
              <w:t>Public Service Employment Act</w:t>
            </w:r>
          </w:p>
        </w:tc>
      </w:tr>
      <w:tr w:rsidR="00B76E9C" w:rsidRPr="00906821" w14:paraId="53C8BF34" w14:textId="7CD26622" w:rsidTr="00B31669">
        <w:trPr>
          <w:cantSplit/>
          <w:trHeight w:val="290"/>
          <w:tblHeader/>
          <w:jc w:val="center"/>
        </w:trPr>
        <w:tc>
          <w:tcPr>
            <w:tcW w:w="1837" w:type="pct"/>
          </w:tcPr>
          <w:p w14:paraId="780E3308"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0 to 29 calendar days</w:t>
            </w:r>
          </w:p>
        </w:tc>
        <w:tc>
          <w:tcPr>
            <w:tcW w:w="3163" w:type="pct"/>
          </w:tcPr>
          <w:p w14:paraId="2EA52355" w14:textId="73503DA9"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49</w:t>
            </w:r>
          </w:p>
        </w:tc>
      </w:tr>
      <w:tr w:rsidR="00B76E9C" w:rsidRPr="00906821" w14:paraId="0170594C" w14:textId="10494CD2" w:rsidTr="00B31669">
        <w:trPr>
          <w:cantSplit/>
          <w:trHeight w:val="290"/>
          <w:tblHeader/>
          <w:jc w:val="center"/>
        </w:trPr>
        <w:tc>
          <w:tcPr>
            <w:tcW w:w="1837" w:type="pct"/>
          </w:tcPr>
          <w:p w14:paraId="575C0D20"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30 to 59 calendar days</w:t>
            </w:r>
          </w:p>
        </w:tc>
        <w:tc>
          <w:tcPr>
            <w:tcW w:w="3163" w:type="pct"/>
          </w:tcPr>
          <w:p w14:paraId="6714DF11" w14:textId="685A83B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82</w:t>
            </w:r>
          </w:p>
        </w:tc>
      </w:tr>
      <w:tr w:rsidR="00B76E9C" w:rsidRPr="00906821" w14:paraId="019B08DB" w14:textId="26BE73A8" w:rsidTr="00B31669">
        <w:trPr>
          <w:cantSplit/>
          <w:trHeight w:val="290"/>
          <w:tblHeader/>
          <w:jc w:val="center"/>
        </w:trPr>
        <w:tc>
          <w:tcPr>
            <w:tcW w:w="1837" w:type="pct"/>
          </w:tcPr>
          <w:p w14:paraId="4E1E75D3"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60 to 89 calendar days</w:t>
            </w:r>
          </w:p>
        </w:tc>
        <w:tc>
          <w:tcPr>
            <w:tcW w:w="3163" w:type="pct"/>
          </w:tcPr>
          <w:p w14:paraId="7367BDC2" w14:textId="737BDF1D"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124</w:t>
            </w:r>
          </w:p>
        </w:tc>
      </w:tr>
      <w:tr w:rsidR="00B76E9C" w:rsidRPr="00906821" w14:paraId="6DD10E9A" w14:textId="6DE7B17C" w:rsidTr="00B31669">
        <w:trPr>
          <w:cantSplit/>
          <w:trHeight w:val="290"/>
          <w:tblHeader/>
          <w:jc w:val="center"/>
        </w:trPr>
        <w:tc>
          <w:tcPr>
            <w:tcW w:w="1837" w:type="pct"/>
          </w:tcPr>
          <w:p w14:paraId="33AF7966"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90 to 119 calendar days</w:t>
            </w:r>
          </w:p>
        </w:tc>
        <w:tc>
          <w:tcPr>
            <w:tcW w:w="3163" w:type="pct"/>
          </w:tcPr>
          <w:p w14:paraId="6C90E58B" w14:textId="722B615B"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160</w:t>
            </w:r>
          </w:p>
        </w:tc>
      </w:tr>
      <w:tr w:rsidR="00B76E9C" w:rsidRPr="00906821" w14:paraId="521D526B" w14:textId="0DC2FD4F" w:rsidTr="00B31669">
        <w:trPr>
          <w:cantSplit/>
          <w:trHeight w:val="290"/>
          <w:tblHeader/>
          <w:jc w:val="center"/>
        </w:trPr>
        <w:tc>
          <w:tcPr>
            <w:tcW w:w="1837" w:type="pct"/>
          </w:tcPr>
          <w:p w14:paraId="082A1968"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120 to 149 calendar days</w:t>
            </w:r>
          </w:p>
        </w:tc>
        <w:tc>
          <w:tcPr>
            <w:tcW w:w="3163" w:type="pct"/>
          </w:tcPr>
          <w:p w14:paraId="0C7C8443" w14:textId="0542C9C9"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181</w:t>
            </w:r>
          </w:p>
        </w:tc>
      </w:tr>
      <w:tr w:rsidR="00B76E9C" w:rsidRPr="00906821" w14:paraId="0B42EDF9" w14:textId="1FEAB989" w:rsidTr="00B31669">
        <w:trPr>
          <w:cantSplit/>
          <w:trHeight w:val="290"/>
          <w:tblHeader/>
          <w:jc w:val="center"/>
        </w:trPr>
        <w:tc>
          <w:tcPr>
            <w:tcW w:w="1837" w:type="pct"/>
          </w:tcPr>
          <w:p w14:paraId="49EFB015"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150 to 179 calendar days</w:t>
            </w:r>
          </w:p>
        </w:tc>
        <w:tc>
          <w:tcPr>
            <w:tcW w:w="3163" w:type="pct"/>
          </w:tcPr>
          <w:p w14:paraId="0ADC8348" w14:textId="6E43E2E2"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179</w:t>
            </w:r>
          </w:p>
        </w:tc>
      </w:tr>
      <w:tr w:rsidR="00B76E9C" w:rsidRPr="00906821" w14:paraId="7D35E447" w14:textId="48A511B6" w:rsidTr="00B31669">
        <w:trPr>
          <w:cantSplit/>
          <w:trHeight w:val="290"/>
          <w:tblHeader/>
          <w:jc w:val="center"/>
        </w:trPr>
        <w:tc>
          <w:tcPr>
            <w:tcW w:w="1837" w:type="pct"/>
          </w:tcPr>
          <w:p w14:paraId="21B022DB"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180 to 209 calendar days</w:t>
            </w:r>
          </w:p>
        </w:tc>
        <w:tc>
          <w:tcPr>
            <w:tcW w:w="3163" w:type="pct"/>
          </w:tcPr>
          <w:p w14:paraId="7FA54190" w14:textId="3D63E12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160</w:t>
            </w:r>
          </w:p>
        </w:tc>
      </w:tr>
      <w:tr w:rsidR="00B76E9C" w:rsidRPr="00906821" w14:paraId="26C2444A" w14:textId="01D13856" w:rsidTr="00B31669">
        <w:trPr>
          <w:cantSplit/>
          <w:trHeight w:val="290"/>
          <w:tblHeader/>
          <w:jc w:val="center"/>
        </w:trPr>
        <w:tc>
          <w:tcPr>
            <w:tcW w:w="1837" w:type="pct"/>
          </w:tcPr>
          <w:p w14:paraId="178364E4"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210 to 239 calendar days</w:t>
            </w:r>
          </w:p>
        </w:tc>
        <w:tc>
          <w:tcPr>
            <w:tcW w:w="3163" w:type="pct"/>
          </w:tcPr>
          <w:p w14:paraId="526AFB01" w14:textId="3BC1621F"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139</w:t>
            </w:r>
          </w:p>
        </w:tc>
      </w:tr>
      <w:tr w:rsidR="00B76E9C" w:rsidRPr="00906821" w14:paraId="13A6E7E1" w14:textId="6D2C454E" w:rsidTr="00B31669">
        <w:trPr>
          <w:cantSplit/>
          <w:trHeight w:val="290"/>
          <w:tblHeader/>
          <w:jc w:val="center"/>
        </w:trPr>
        <w:tc>
          <w:tcPr>
            <w:tcW w:w="1837" w:type="pct"/>
          </w:tcPr>
          <w:p w14:paraId="05C28CF9"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240 to 269 calendar days</w:t>
            </w:r>
          </w:p>
        </w:tc>
        <w:tc>
          <w:tcPr>
            <w:tcW w:w="3163" w:type="pct"/>
          </w:tcPr>
          <w:p w14:paraId="566BC06A" w14:textId="04DE07A5"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84</w:t>
            </w:r>
          </w:p>
        </w:tc>
      </w:tr>
      <w:tr w:rsidR="00B76E9C" w:rsidRPr="00906821" w14:paraId="5EA6AAEF" w14:textId="7EC17EBE" w:rsidTr="00B31669">
        <w:trPr>
          <w:cantSplit/>
          <w:trHeight w:val="290"/>
          <w:tblHeader/>
          <w:jc w:val="center"/>
        </w:trPr>
        <w:tc>
          <w:tcPr>
            <w:tcW w:w="1837" w:type="pct"/>
          </w:tcPr>
          <w:p w14:paraId="051A57CB"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270 to 299 calendar days</w:t>
            </w:r>
          </w:p>
        </w:tc>
        <w:tc>
          <w:tcPr>
            <w:tcW w:w="3163" w:type="pct"/>
          </w:tcPr>
          <w:p w14:paraId="60282FDD" w14:textId="54D80A40"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73</w:t>
            </w:r>
          </w:p>
        </w:tc>
      </w:tr>
      <w:tr w:rsidR="00B76E9C" w:rsidRPr="00906821" w14:paraId="6BA376EE" w14:textId="00C12068" w:rsidTr="00B31669">
        <w:trPr>
          <w:cantSplit/>
          <w:trHeight w:val="290"/>
          <w:tblHeader/>
          <w:jc w:val="center"/>
        </w:trPr>
        <w:tc>
          <w:tcPr>
            <w:tcW w:w="1837" w:type="pct"/>
          </w:tcPr>
          <w:p w14:paraId="3AF888C3"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300 to 329 calendar days</w:t>
            </w:r>
          </w:p>
        </w:tc>
        <w:tc>
          <w:tcPr>
            <w:tcW w:w="3163" w:type="pct"/>
          </w:tcPr>
          <w:p w14:paraId="0C04F792" w14:textId="7F0E13C3"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61</w:t>
            </w:r>
          </w:p>
        </w:tc>
      </w:tr>
      <w:tr w:rsidR="00B76E9C" w:rsidRPr="00906821" w14:paraId="6ED3A6F5" w14:textId="359A61F3" w:rsidTr="00B31669">
        <w:trPr>
          <w:cantSplit/>
          <w:trHeight w:val="290"/>
          <w:tblHeader/>
          <w:jc w:val="center"/>
        </w:trPr>
        <w:tc>
          <w:tcPr>
            <w:tcW w:w="1837" w:type="pct"/>
          </w:tcPr>
          <w:p w14:paraId="79167D59"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330 to 359 calendar days</w:t>
            </w:r>
          </w:p>
        </w:tc>
        <w:tc>
          <w:tcPr>
            <w:tcW w:w="3163" w:type="pct"/>
          </w:tcPr>
          <w:p w14:paraId="7EAC784F" w14:textId="5A1909DD"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41</w:t>
            </w:r>
          </w:p>
        </w:tc>
      </w:tr>
      <w:tr w:rsidR="00B76E9C" w:rsidRPr="00906821" w14:paraId="7880483F" w14:textId="39906CBB" w:rsidTr="00B31669">
        <w:trPr>
          <w:cantSplit/>
          <w:trHeight w:val="290"/>
          <w:tblHeader/>
          <w:jc w:val="center"/>
        </w:trPr>
        <w:tc>
          <w:tcPr>
            <w:tcW w:w="1837" w:type="pct"/>
          </w:tcPr>
          <w:p w14:paraId="48B8E6EF"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360 to 389 calendar days</w:t>
            </w:r>
          </w:p>
        </w:tc>
        <w:tc>
          <w:tcPr>
            <w:tcW w:w="3163" w:type="pct"/>
          </w:tcPr>
          <w:p w14:paraId="74A8097D" w14:textId="0D9C3E0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43</w:t>
            </w:r>
          </w:p>
        </w:tc>
      </w:tr>
      <w:tr w:rsidR="00B76E9C" w:rsidRPr="00906821" w14:paraId="4E6295C2" w14:textId="6D80EC28" w:rsidTr="00B31669">
        <w:trPr>
          <w:cantSplit/>
          <w:trHeight w:val="290"/>
          <w:tblHeader/>
          <w:jc w:val="center"/>
        </w:trPr>
        <w:tc>
          <w:tcPr>
            <w:tcW w:w="1837" w:type="pct"/>
          </w:tcPr>
          <w:p w14:paraId="6C608887"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390 to 419 calendar days</w:t>
            </w:r>
          </w:p>
        </w:tc>
        <w:tc>
          <w:tcPr>
            <w:tcW w:w="3163" w:type="pct"/>
          </w:tcPr>
          <w:p w14:paraId="05F09C2B" w14:textId="3E0444BF"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49</w:t>
            </w:r>
          </w:p>
        </w:tc>
      </w:tr>
      <w:tr w:rsidR="00B76E9C" w:rsidRPr="00906821" w14:paraId="314DA7E4" w14:textId="7AA3C4CE" w:rsidTr="00B31669">
        <w:trPr>
          <w:cantSplit/>
          <w:trHeight w:val="290"/>
          <w:tblHeader/>
          <w:jc w:val="center"/>
        </w:trPr>
        <w:tc>
          <w:tcPr>
            <w:tcW w:w="1837" w:type="pct"/>
          </w:tcPr>
          <w:p w14:paraId="371810EA"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420 to 449 calendar days</w:t>
            </w:r>
          </w:p>
        </w:tc>
        <w:tc>
          <w:tcPr>
            <w:tcW w:w="3163" w:type="pct"/>
          </w:tcPr>
          <w:p w14:paraId="77C212F6" w14:textId="44CE21B0"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35</w:t>
            </w:r>
          </w:p>
        </w:tc>
      </w:tr>
      <w:tr w:rsidR="00B76E9C" w:rsidRPr="00906821" w14:paraId="181ECFEB" w14:textId="6B5E5895" w:rsidTr="00B31669">
        <w:trPr>
          <w:cantSplit/>
          <w:trHeight w:val="290"/>
          <w:tblHeader/>
          <w:jc w:val="center"/>
        </w:trPr>
        <w:tc>
          <w:tcPr>
            <w:tcW w:w="1837" w:type="pct"/>
          </w:tcPr>
          <w:p w14:paraId="0B2EA93A"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450 to 479 calendar days</w:t>
            </w:r>
          </w:p>
        </w:tc>
        <w:tc>
          <w:tcPr>
            <w:tcW w:w="3163" w:type="pct"/>
          </w:tcPr>
          <w:p w14:paraId="1D7937A7" w14:textId="32EF2FA9"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22</w:t>
            </w:r>
          </w:p>
        </w:tc>
      </w:tr>
      <w:tr w:rsidR="00B76E9C" w:rsidRPr="00906821" w14:paraId="39A25081" w14:textId="4E58CE52" w:rsidTr="00B31669">
        <w:trPr>
          <w:cantSplit/>
          <w:trHeight w:val="290"/>
          <w:tblHeader/>
          <w:jc w:val="center"/>
        </w:trPr>
        <w:tc>
          <w:tcPr>
            <w:tcW w:w="1837" w:type="pct"/>
          </w:tcPr>
          <w:p w14:paraId="711B2689"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480 to 509 calendar days</w:t>
            </w:r>
          </w:p>
        </w:tc>
        <w:tc>
          <w:tcPr>
            <w:tcW w:w="3163" w:type="pct"/>
          </w:tcPr>
          <w:p w14:paraId="3FEFF2A9" w14:textId="1D042E41"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27</w:t>
            </w:r>
          </w:p>
        </w:tc>
      </w:tr>
      <w:tr w:rsidR="00B76E9C" w:rsidRPr="00906821" w14:paraId="7F7B7019" w14:textId="733D132F" w:rsidTr="00B31669">
        <w:trPr>
          <w:cantSplit/>
          <w:trHeight w:val="290"/>
          <w:tblHeader/>
          <w:jc w:val="center"/>
        </w:trPr>
        <w:tc>
          <w:tcPr>
            <w:tcW w:w="1837" w:type="pct"/>
          </w:tcPr>
          <w:p w14:paraId="22F72CB9"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510 to 539 calendar days</w:t>
            </w:r>
          </w:p>
        </w:tc>
        <w:tc>
          <w:tcPr>
            <w:tcW w:w="3163" w:type="pct"/>
          </w:tcPr>
          <w:p w14:paraId="0915F175" w14:textId="446F2E82"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17</w:t>
            </w:r>
          </w:p>
        </w:tc>
      </w:tr>
      <w:tr w:rsidR="00B76E9C" w:rsidRPr="00906821" w14:paraId="34CEE487" w14:textId="29DCC0E4" w:rsidTr="00B31669">
        <w:trPr>
          <w:cantSplit/>
          <w:trHeight w:val="290"/>
          <w:tblHeader/>
          <w:jc w:val="center"/>
        </w:trPr>
        <w:tc>
          <w:tcPr>
            <w:tcW w:w="1837" w:type="pct"/>
          </w:tcPr>
          <w:p w14:paraId="3D886671"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540 to 569 calendar days</w:t>
            </w:r>
          </w:p>
        </w:tc>
        <w:tc>
          <w:tcPr>
            <w:tcW w:w="3163" w:type="pct"/>
          </w:tcPr>
          <w:p w14:paraId="14E0A4D3" w14:textId="78580239"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15</w:t>
            </w:r>
          </w:p>
        </w:tc>
      </w:tr>
      <w:tr w:rsidR="00B76E9C" w:rsidRPr="00906821" w14:paraId="2F0CE1FE" w14:textId="091FFCC3" w:rsidTr="00B31669">
        <w:trPr>
          <w:cantSplit/>
          <w:trHeight w:val="290"/>
          <w:tblHeader/>
          <w:jc w:val="center"/>
        </w:trPr>
        <w:tc>
          <w:tcPr>
            <w:tcW w:w="1837" w:type="pct"/>
          </w:tcPr>
          <w:p w14:paraId="0021E2F8"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570 to 599 calendar days</w:t>
            </w:r>
          </w:p>
        </w:tc>
        <w:tc>
          <w:tcPr>
            <w:tcW w:w="3163" w:type="pct"/>
          </w:tcPr>
          <w:p w14:paraId="2B306A9B" w14:textId="635A2C1B"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14</w:t>
            </w:r>
          </w:p>
        </w:tc>
      </w:tr>
      <w:tr w:rsidR="00B76E9C" w:rsidRPr="00906821" w14:paraId="5A80A661" w14:textId="7B7684C3" w:rsidTr="00B31669">
        <w:trPr>
          <w:cantSplit/>
          <w:trHeight w:val="290"/>
          <w:tblHeader/>
          <w:jc w:val="center"/>
        </w:trPr>
        <w:tc>
          <w:tcPr>
            <w:tcW w:w="1837" w:type="pct"/>
          </w:tcPr>
          <w:p w14:paraId="1C4692F6"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600 to 629 calendar days</w:t>
            </w:r>
          </w:p>
        </w:tc>
        <w:tc>
          <w:tcPr>
            <w:tcW w:w="3163" w:type="pct"/>
          </w:tcPr>
          <w:p w14:paraId="0CD01F7C" w14:textId="155AFB20"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12</w:t>
            </w:r>
          </w:p>
        </w:tc>
      </w:tr>
      <w:tr w:rsidR="00B76E9C" w:rsidRPr="00906821" w14:paraId="6CA34BA1" w14:textId="2754883A" w:rsidTr="00B31669">
        <w:trPr>
          <w:cantSplit/>
          <w:trHeight w:val="290"/>
          <w:tblHeader/>
          <w:jc w:val="center"/>
        </w:trPr>
        <w:tc>
          <w:tcPr>
            <w:tcW w:w="1837" w:type="pct"/>
          </w:tcPr>
          <w:p w14:paraId="147BCE3A"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630 to 659 calendar days</w:t>
            </w:r>
          </w:p>
        </w:tc>
        <w:tc>
          <w:tcPr>
            <w:tcW w:w="3163" w:type="pct"/>
          </w:tcPr>
          <w:p w14:paraId="70FAEB0A" w14:textId="5E60C301"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7</w:t>
            </w:r>
          </w:p>
        </w:tc>
      </w:tr>
      <w:tr w:rsidR="00B76E9C" w:rsidRPr="00906821" w14:paraId="45613004" w14:textId="6517D3E5" w:rsidTr="00B31669">
        <w:trPr>
          <w:cantSplit/>
          <w:trHeight w:val="290"/>
          <w:tblHeader/>
          <w:jc w:val="center"/>
        </w:trPr>
        <w:tc>
          <w:tcPr>
            <w:tcW w:w="1837" w:type="pct"/>
          </w:tcPr>
          <w:p w14:paraId="4F99410B"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660 to 689 calendar days</w:t>
            </w:r>
          </w:p>
        </w:tc>
        <w:tc>
          <w:tcPr>
            <w:tcW w:w="3163" w:type="pct"/>
          </w:tcPr>
          <w:p w14:paraId="5E28DC5E" w14:textId="4125E909"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5</w:t>
            </w:r>
          </w:p>
        </w:tc>
      </w:tr>
      <w:tr w:rsidR="00B76E9C" w:rsidRPr="00906821" w14:paraId="797212E7" w14:textId="609AFCBB" w:rsidTr="00B31669">
        <w:trPr>
          <w:cantSplit/>
          <w:trHeight w:val="290"/>
          <w:tblHeader/>
          <w:jc w:val="center"/>
        </w:trPr>
        <w:tc>
          <w:tcPr>
            <w:tcW w:w="1837" w:type="pct"/>
          </w:tcPr>
          <w:p w14:paraId="3C7BEE4F"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690 to 719 calendar days</w:t>
            </w:r>
          </w:p>
        </w:tc>
        <w:tc>
          <w:tcPr>
            <w:tcW w:w="3163" w:type="pct"/>
          </w:tcPr>
          <w:p w14:paraId="34DE7211" w14:textId="6669D8C8"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7</w:t>
            </w:r>
          </w:p>
        </w:tc>
      </w:tr>
      <w:tr w:rsidR="00B76E9C" w:rsidRPr="00906821" w14:paraId="0DCE51E0" w14:textId="54CAD1BD" w:rsidTr="00B31669">
        <w:trPr>
          <w:cantSplit/>
          <w:trHeight w:val="302"/>
          <w:tblHeader/>
          <w:jc w:val="center"/>
        </w:trPr>
        <w:tc>
          <w:tcPr>
            <w:tcW w:w="1837" w:type="pct"/>
          </w:tcPr>
          <w:p w14:paraId="284C2FB1"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720 to 749 calendar days</w:t>
            </w:r>
          </w:p>
        </w:tc>
        <w:tc>
          <w:tcPr>
            <w:tcW w:w="3163" w:type="pct"/>
          </w:tcPr>
          <w:p w14:paraId="03DD1828" w14:textId="05AE5AAF"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11</w:t>
            </w:r>
          </w:p>
        </w:tc>
      </w:tr>
      <w:tr w:rsidR="00B76E9C" w:rsidRPr="00906821" w14:paraId="71AAE0AF" w14:textId="53F45780" w:rsidTr="00B31669">
        <w:trPr>
          <w:cantSplit/>
          <w:trHeight w:val="290"/>
          <w:tblHeader/>
          <w:jc w:val="center"/>
        </w:trPr>
        <w:tc>
          <w:tcPr>
            <w:tcW w:w="1837" w:type="pct"/>
          </w:tcPr>
          <w:p w14:paraId="3F27B72C"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750 to 779 calendar days</w:t>
            </w:r>
          </w:p>
        </w:tc>
        <w:tc>
          <w:tcPr>
            <w:tcW w:w="3163" w:type="pct"/>
          </w:tcPr>
          <w:p w14:paraId="5FCDA057" w14:textId="0CD99FE1"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3</w:t>
            </w:r>
          </w:p>
        </w:tc>
      </w:tr>
      <w:tr w:rsidR="00B76E9C" w:rsidRPr="00906821" w14:paraId="4DBE4341" w14:textId="6E8D1773" w:rsidTr="00B31669">
        <w:trPr>
          <w:cantSplit/>
          <w:trHeight w:val="290"/>
          <w:tblHeader/>
          <w:jc w:val="center"/>
        </w:trPr>
        <w:tc>
          <w:tcPr>
            <w:tcW w:w="1837" w:type="pct"/>
          </w:tcPr>
          <w:p w14:paraId="437A8146"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780 to 809 calendar days</w:t>
            </w:r>
          </w:p>
        </w:tc>
        <w:tc>
          <w:tcPr>
            <w:tcW w:w="3163" w:type="pct"/>
          </w:tcPr>
          <w:p w14:paraId="35C97B8F" w14:textId="13D725FA"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7</w:t>
            </w:r>
          </w:p>
        </w:tc>
      </w:tr>
      <w:tr w:rsidR="00B76E9C" w:rsidRPr="00906821" w14:paraId="4C40422F" w14:textId="0D95DC44" w:rsidTr="00B31669">
        <w:trPr>
          <w:cantSplit/>
          <w:trHeight w:val="290"/>
          <w:tblHeader/>
          <w:jc w:val="center"/>
        </w:trPr>
        <w:tc>
          <w:tcPr>
            <w:tcW w:w="1837" w:type="pct"/>
          </w:tcPr>
          <w:p w14:paraId="1726F2E0"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810 to 839 calendar days</w:t>
            </w:r>
          </w:p>
        </w:tc>
        <w:tc>
          <w:tcPr>
            <w:tcW w:w="3163" w:type="pct"/>
          </w:tcPr>
          <w:p w14:paraId="492FE2D6" w14:textId="3FD893E1"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2</w:t>
            </w:r>
          </w:p>
        </w:tc>
      </w:tr>
      <w:tr w:rsidR="00B76E9C" w:rsidRPr="00906821" w14:paraId="706CFFD4" w14:textId="4D1E062E" w:rsidTr="00B31669">
        <w:trPr>
          <w:cantSplit/>
          <w:trHeight w:val="290"/>
          <w:tblHeader/>
          <w:jc w:val="center"/>
        </w:trPr>
        <w:tc>
          <w:tcPr>
            <w:tcW w:w="1837" w:type="pct"/>
          </w:tcPr>
          <w:p w14:paraId="5837D180"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840 to 869 calendar days</w:t>
            </w:r>
          </w:p>
        </w:tc>
        <w:tc>
          <w:tcPr>
            <w:tcW w:w="3163" w:type="pct"/>
          </w:tcPr>
          <w:p w14:paraId="13DFF5C5" w14:textId="72ADF115"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2</w:t>
            </w:r>
          </w:p>
        </w:tc>
      </w:tr>
      <w:tr w:rsidR="00B76E9C" w:rsidRPr="00906821" w14:paraId="19ED5207" w14:textId="11E43EFE" w:rsidTr="00B31669">
        <w:trPr>
          <w:cantSplit/>
          <w:trHeight w:val="290"/>
          <w:tblHeader/>
          <w:jc w:val="center"/>
        </w:trPr>
        <w:tc>
          <w:tcPr>
            <w:tcW w:w="1837" w:type="pct"/>
          </w:tcPr>
          <w:p w14:paraId="209F4A2D"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870 to 899 calendar days</w:t>
            </w:r>
          </w:p>
        </w:tc>
        <w:tc>
          <w:tcPr>
            <w:tcW w:w="3163" w:type="pct"/>
          </w:tcPr>
          <w:p w14:paraId="7C514121" w14:textId="1606A45F"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0</w:t>
            </w:r>
          </w:p>
        </w:tc>
      </w:tr>
      <w:tr w:rsidR="00B76E9C" w:rsidRPr="00906821" w14:paraId="3AE1372B" w14:textId="543C8B4B" w:rsidTr="00B31669">
        <w:trPr>
          <w:cantSplit/>
          <w:trHeight w:val="290"/>
          <w:tblHeader/>
          <w:jc w:val="center"/>
        </w:trPr>
        <w:tc>
          <w:tcPr>
            <w:tcW w:w="1837" w:type="pct"/>
          </w:tcPr>
          <w:p w14:paraId="40709A6E"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900 to 929 calendar days</w:t>
            </w:r>
          </w:p>
        </w:tc>
        <w:tc>
          <w:tcPr>
            <w:tcW w:w="3163" w:type="pct"/>
          </w:tcPr>
          <w:p w14:paraId="31B8A346" w14:textId="17DCA02A"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3</w:t>
            </w:r>
          </w:p>
        </w:tc>
      </w:tr>
      <w:tr w:rsidR="00B76E9C" w:rsidRPr="00906821" w14:paraId="549B721A" w14:textId="135C84E8" w:rsidTr="00B31669">
        <w:trPr>
          <w:cantSplit/>
          <w:trHeight w:val="290"/>
          <w:tblHeader/>
          <w:jc w:val="center"/>
        </w:trPr>
        <w:tc>
          <w:tcPr>
            <w:tcW w:w="1837" w:type="pct"/>
          </w:tcPr>
          <w:p w14:paraId="6D0E31DA"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930 to 959 calendar days</w:t>
            </w:r>
          </w:p>
        </w:tc>
        <w:tc>
          <w:tcPr>
            <w:tcW w:w="3163" w:type="pct"/>
          </w:tcPr>
          <w:p w14:paraId="5F636EE7" w14:textId="05F921F6"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1</w:t>
            </w:r>
          </w:p>
        </w:tc>
      </w:tr>
      <w:tr w:rsidR="00B76E9C" w:rsidRPr="00906821" w14:paraId="2ECB8404" w14:textId="04A27DB8" w:rsidTr="00B31669">
        <w:trPr>
          <w:cantSplit/>
          <w:trHeight w:val="290"/>
          <w:tblHeader/>
          <w:jc w:val="center"/>
        </w:trPr>
        <w:tc>
          <w:tcPr>
            <w:tcW w:w="1837" w:type="pct"/>
          </w:tcPr>
          <w:p w14:paraId="6A753DAA"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960 to 989 calendar days</w:t>
            </w:r>
          </w:p>
        </w:tc>
        <w:tc>
          <w:tcPr>
            <w:tcW w:w="3163" w:type="pct"/>
          </w:tcPr>
          <w:p w14:paraId="68BDC19A" w14:textId="41987E68"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0</w:t>
            </w:r>
          </w:p>
        </w:tc>
      </w:tr>
      <w:tr w:rsidR="00B76E9C" w:rsidRPr="00906821" w14:paraId="66F8492D" w14:textId="52B90EE8" w:rsidTr="00B31669">
        <w:trPr>
          <w:cantSplit/>
          <w:trHeight w:val="290"/>
          <w:tblHeader/>
          <w:jc w:val="center"/>
        </w:trPr>
        <w:tc>
          <w:tcPr>
            <w:tcW w:w="1837" w:type="pct"/>
          </w:tcPr>
          <w:p w14:paraId="50945E73" w14:textId="77777777"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More than 990 calendar days</w:t>
            </w:r>
          </w:p>
        </w:tc>
        <w:tc>
          <w:tcPr>
            <w:tcW w:w="3163" w:type="pct"/>
          </w:tcPr>
          <w:p w14:paraId="207DAB95" w14:textId="123643C9" w:rsidR="00B76E9C" w:rsidRPr="00C22E59" w:rsidRDefault="00B76E9C" w:rsidP="00DD3FFA">
            <w:pPr>
              <w:autoSpaceDE w:val="0"/>
              <w:autoSpaceDN w:val="0"/>
              <w:adjustRightInd w:val="0"/>
              <w:rPr>
                <w:rFonts w:asciiTheme="minorHAnsi" w:hAnsiTheme="minorHAnsi" w:cstheme="minorHAnsi"/>
                <w:color w:val="000000"/>
                <w:sz w:val="22"/>
                <w:szCs w:val="22"/>
              </w:rPr>
            </w:pPr>
            <w:r w:rsidRPr="00C22E59">
              <w:rPr>
                <w:rFonts w:asciiTheme="minorHAnsi" w:hAnsiTheme="minorHAnsi" w:cstheme="minorHAnsi"/>
                <w:color w:val="000000"/>
                <w:sz w:val="22"/>
                <w:szCs w:val="22"/>
              </w:rPr>
              <w:t>0</w:t>
            </w:r>
          </w:p>
        </w:tc>
      </w:tr>
    </w:tbl>
    <w:p w14:paraId="494B7CFE" w14:textId="77777777" w:rsidR="001E4E13" w:rsidRDefault="001E4E13" w:rsidP="00F679DE">
      <w:pPr>
        <w:rPr>
          <w:b/>
          <w:bCs/>
          <w:szCs w:val="24"/>
        </w:rPr>
      </w:pPr>
    </w:p>
    <w:p w14:paraId="6D7FB5D1" w14:textId="77777777" w:rsidR="00C22E59" w:rsidRDefault="00C22E59" w:rsidP="00F679DE">
      <w:pPr>
        <w:rPr>
          <w:b/>
          <w:bCs/>
          <w:szCs w:val="24"/>
        </w:rPr>
        <w:sectPr w:rsidR="00C22E59" w:rsidSect="00F679DE">
          <w:footerReference w:type="even" r:id="rId32"/>
          <w:footerReference w:type="default" r:id="rId33"/>
          <w:pgSz w:w="12240" w:h="15840"/>
          <w:pgMar w:top="720" w:right="720" w:bottom="720" w:left="720" w:header="708" w:footer="708" w:gutter="0"/>
          <w:cols w:space="708"/>
          <w:docGrid w:linePitch="360"/>
        </w:sectPr>
      </w:pPr>
    </w:p>
    <w:p w14:paraId="551AE5A8" w14:textId="77777777" w:rsidR="00F679DE" w:rsidRPr="00C22E59" w:rsidRDefault="00F679DE" w:rsidP="000640FD">
      <w:pPr>
        <w:pStyle w:val="Heading2"/>
      </w:pPr>
      <w:r w:rsidRPr="00C22E59">
        <w:lastRenderedPageBreak/>
        <w:t>Technical notes:</w:t>
      </w:r>
    </w:p>
    <w:p w14:paraId="239E685E" w14:textId="77777777" w:rsidR="00F679DE" w:rsidRPr="00C22E59" w:rsidRDefault="00F679DE" w:rsidP="00505142">
      <w:pPr>
        <w:pStyle w:val="ListParagraph"/>
        <w:numPr>
          <w:ilvl w:val="0"/>
          <w:numId w:val="9"/>
        </w:numPr>
        <w:tabs>
          <w:tab w:val="clear" w:pos="360"/>
          <w:tab w:val="num" w:pos="720"/>
        </w:tabs>
        <w:spacing w:after="0"/>
        <w:ind w:left="720"/>
        <w:rPr>
          <w:rFonts w:asciiTheme="minorHAnsi" w:hAnsiTheme="minorHAnsi" w:cstheme="minorHAnsi"/>
          <w:sz w:val="22"/>
        </w:rPr>
      </w:pPr>
      <w:r w:rsidRPr="00C22E59">
        <w:rPr>
          <w:rFonts w:asciiTheme="minorHAnsi" w:hAnsiTheme="minorHAnsi" w:cstheme="minorHAnsi"/>
          <w:sz w:val="22"/>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74BA20CC" w14:textId="77777777" w:rsidR="00F679DE" w:rsidRPr="00C22E59" w:rsidRDefault="00F679DE" w:rsidP="00505142">
      <w:pPr>
        <w:pStyle w:val="ListParagraph"/>
        <w:numPr>
          <w:ilvl w:val="0"/>
          <w:numId w:val="9"/>
        </w:numPr>
        <w:tabs>
          <w:tab w:val="clear" w:pos="360"/>
          <w:tab w:val="num" w:pos="720"/>
        </w:tabs>
        <w:spacing w:after="0"/>
        <w:ind w:left="720"/>
        <w:rPr>
          <w:rFonts w:asciiTheme="minorHAnsi" w:hAnsiTheme="minorHAnsi" w:cstheme="minorHAnsi"/>
          <w:sz w:val="22"/>
        </w:rPr>
      </w:pPr>
      <w:r w:rsidRPr="00C22E59">
        <w:rPr>
          <w:rFonts w:asciiTheme="minorHAnsi" w:hAnsiTheme="minorHAnsi" w:cstheme="minorHAnsi"/>
          <w:sz w:val="22"/>
        </w:rPr>
        <w:t xml:space="preserve">The Time to Staff - External Appointments (TTS-EA) is the median number of calendar days between the opening date of an external advertisement and the date of the first estimated appointment of an individual from outside an organization subject to the </w:t>
      </w:r>
      <w:r w:rsidRPr="00505142">
        <w:rPr>
          <w:rStyle w:val="Emphasis"/>
          <w:sz w:val="22"/>
        </w:rPr>
        <w:t>Public Service Employment Act</w:t>
      </w:r>
      <w:r w:rsidRPr="00505142">
        <w:rPr>
          <w:rFonts w:asciiTheme="minorHAnsi" w:hAnsiTheme="minorHAnsi" w:cstheme="minorHAnsi"/>
          <w:sz w:val="28"/>
        </w:rPr>
        <w:t xml:space="preserve"> </w:t>
      </w:r>
      <w:r w:rsidRPr="00C22E59">
        <w:rPr>
          <w:rFonts w:asciiTheme="minorHAnsi" w:hAnsiTheme="minorHAnsi" w:cstheme="minorHAnsi"/>
          <w:sz w:val="22"/>
        </w:rPr>
        <w:t>for term and indeterminate positions. Because data between systems is linked using a probabilistic match, errors in data linkage are a potential source of measurement error.</w:t>
      </w:r>
    </w:p>
    <w:p w14:paraId="5E56BBAC" w14:textId="77777777" w:rsidR="00F679DE" w:rsidRPr="00C22E59" w:rsidRDefault="00F679DE" w:rsidP="00505142">
      <w:pPr>
        <w:pStyle w:val="ListParagraph"/>
        <w:numPr>
          <w:ilvl w:val="0"/>
          <w:numId w:val="9"/>
        </w:numPr>
        <w:tabs>
          <w:tab w:val="clear" w:pos="360"/>
          <w:tab w:val="num" w:pos="720"/>
        </w:tabs>
        <w:spacing w:after="120"/>
        <w:ind w:left="720"/>
        <w:rPr>
          <w:rFonts w:asciiTheme="minorHAnsi" w:hAnsiTheme="minorHAnsi" w:cstheme="minorHAnsi"/>
          <w:sz w:val="22"/>
        </w:rPr>
      </w:pPr>
      <w:r w:rsidRPr="00C22E59">
        <w:rPr>
          <w:rFonts w:asciiTheme="minorHAnsi" w:hAnsiTheme="minorHAnsi" w:cstheme="minorHAnsi"/>
          <w:sz w:val="22"/>
        </w:rPr>
        <w:t xml:space="preserve">Only estimated term and indeterminate appointments/notifications are included (deployments, casual and acting appointments are excluded). </w:t>
      </w:r>
    </w:p>
    <w:p w14:paraId="54764466" w14:textId="77777777" w:rsidR="00F679DE" w:rsidRPr="00505142" w:rsidRDefault="00F679DE" w:rsidP="000640FD">
      <w:pPr>
        <w:pStyle w:val="Heading2"/>
      </w:pPr>
      <w:r w:rsidRPr="00505142">
        <w:t>Sources:</w:t>
      </w:r>
    </w:p>
    <w:p w14:paraId="007FA9FA" w14:textId="77777777" w:rsidR="00F679DE" w:rsidRPr="00505142" w:rsidRDefault="00F679DE" w:rsidP="0049541B">
      <w:pPr>
        <w:pStyle w:val="ListParagraph"/>
        <w:numPr>
          <w:ilvl w:val="0"/>
          <w:numId w:val="42"/>
        </w:numPr>
        <w:tabs>
          <w:tab w:val="num" w:pos="720"/>
        </w:tabs>
        <w:spacing w:after="0"/>
        <w:rPr>
          <w:rFonts w:asciiTheme="minorHAnsi" w:hAnsiTheme="minorHAnsi" w:cstheme="minorHAnsi"/>
          <w:sz w:val="22"/>
        </w:rPr>
      </w:pPr>
      <w:r w:rsidRPr="00505142">
        <w:rPr>
          <w:rFonts w:asciiTheme="minorHAnsi" w:hAnsiTheme="minorHAnsi" w:cstheme="minorHAnsi"/>
          <w:sz w:val="22"/>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14:paraId="2968C9F7" w14:textId="77777777" w:rsidR="00F679DE" w:rsidRPr="00505142" w:rsidRDefault="00F679DE" w:rsidP="0049541B">
      <w:pPr>
        <w:pStyle w:val="ListParagraph"/>
        <w:numPr>
          <w:ilvl w:val="0"/>
          <w:numId w:val="42"/>
        </w:numPr>
        <w:tabs>
          <w:tab w:val="num" w:pos="720"/>
        </w:tabs>
        <w:spacing w:after="0"/>
        <w:rPr>
          <w:rFonts w:asciiTheme="minorHAnsi" w:hAnsiTheme="minorHAnsi" w:cstheme="minorHAnsi"/>
          <w:sz w:val="22"/>
        </w:rPr>
      </w:pPr>
      <w:r w:rsidRPr="00505142">
        <w:rPr>
          <w:rFonts w:asciiTheme="minorHAnsi" w:hAnsiTheme="minorHAnsi" w:cstheme="minorHAnsi"/>
          <w:sz w:val="22"/>
        </w:rPr>
        <w:t>Information from the Priority Information Management System and the Public Services Resourcing System is also used to determine if staffing actions are advertised or non-advertised as well as for calculating time to staff.</w:t>
      </w:r>
    </w:p>
    <w:p w14:paraId="37E721AA" w14:textId="77777777" w:rsidR="00F679DE" w:rsidRPr="00505142" w:rsidRDefault="00F679DE" w:rsidP="0049541B">
      <w:pPr>
        <w:pStyle w:val="ListParagraph"/>
        <w:numPr>
          <w:ilvl w:val="0"/>
          <w:numId w:val="42"/>
        </w:numPr>
        <w:tabs>
          <w:tab w:val="num" w:pos="720"/>
        </w:tabs>
        <w:spacing w:after="0"/>
        <w:rPr>
          <w:rFonts w:asciiTheme="minorHAnsi" w:hAnsiTheme="minorHAnsi" w:cstheme="minorHAnsi"/>
          <w:sz w:val="22"/>
        </w:rPr>
      </w:pPr>
      <w:r w:rsidRPr="00505142">
        <w:rPr>
          <w:rFonts w:asciiTheme="minorHAnsi" w:hAnsiTheme="minorHAnsi" w:cstheme="minorHAnsi"/>
          <w:sz w:val="22"/>
        </w:rPr>
        <w:t>The data are not expected to match an organization’s human resources data, due to methodology and timing differences.</w:t>
      </w:r>
    </w:p>
    <w:p w14:paraId="281613E4" w14:textId="77777777" w:rsidR="00F679DE" w:rsidRPr="00505142" w:rsidRDefault="00F679DE" w:rsidP="0049541B">
      <w:pPr>
        <w:pStyle w:val="ListParagraph"/>
        <w:numPr>
          <w:ilvl w:val="0"/>
          <w:numId w:val="42"/>
        </w:numPr>
        <w:spacing w:after="0"/>
        <w:rPr>
          <w:rFonts w:asciiTheme="minorHAnsi" w:hAnsiTheme="minorHAnsi" w:cstheme="minorHAnsi"/>
          <w:sz w:val="22"/>
        </w:rPr>
      </w:pPr>
      <w:r w:rsidRPr="00505142">
        <w:rPr>
          <w:rFonts w:asciiTheme="minorHAnsi" w:hAnsiTheme="minorHAnsi" w:cstheme="minorHAnsi"/>
          <w:sz w:val="22"/>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7205DC14" w14:textId="77777777" w:rsidR="00F679DE" w:rsidRPr="00505142" w:rsidRDefault="00F679DE" w:rsidP="0049541B">
      <w:pPr>
        <w:pStyle w:val="ListParagraph"/>
        <w:numPr>
          <w:ilvl w:val="0"/>
          <w:numId w:val="42"/>
        </w:numPr>
        <w:spacing w:after="0"/>
        <w:rPr>
          <w:rFonts w:asciiTheme="minorHAnsi" w:hAnsiTheme="minorHAnsi" w:cstheme="minorHAnsi"/>
          <w:sz w:val="22"/>
        </w:rPr>
      </w:pPr>
      <w:r w:rsidRPr="00505142">
        <w:rPr>
          <w:rFonts w:asciiTheme="minorHAnsi" w:hAnsiTheme="minorHAnsi" w:cstheme="minorHAnsi"/>
          <w:sz w:val="22"/>
        </w:rPr>
        <w:t>Only estimated term and indeterminate appointments/notifications are included (deployments, casual and acting appointments are excluded)</w:t>
      </w:r>
    </w:p>
    <w:p w14:paraId="65D8EBB1" w14:textId="77777777" w:rsidR="00F679DE" w:rsidRPr="00505142" w:rsidRDefault="00F679DE" w:rsidP="0049541B">
      <w:pPr>
        <w:pStyle w:val="ListParagraph"/>
        <w:numPr>
          <w:ilvl w:val="0"/>
          <w:numId w:val="42"/>
        </w:numPr>
        <w:spacing w:after="0"/>
        <w:rPr>
          <w:rFonts w:asciiTheme="minorHAnsi" w:hAnsiTheme="minorHAnsi" w:cstheme="minorHAnsi"/>
          <w:sz w:val="22"/>
        </w:rPr>
      </w:pPr>
      <w:r w:rsidRPr="00505142">
        <w:rPr>
          <w:rFonts w:asciiTheme="minorHAnsi" w:hAnsiTheme="minorHAnsi" w:cstheme="minorHAnsi"/>
          <w:sz w:val="22"/>
        </w:rPr>
        <w:t xml:space="preserve">The Time to Staff - External Appointments (TTS-EA) is the median number of calendar days between the opening date of an external advertisement and the date of the first estimated appointment of an individual from outside an organization subject to the </w:t>
      </w:r>
      <w:r w:rsidRPr="00505142">
        <w:rPr>
          <w:rStyle w:val="Emphasis"/>
          <w:sz w:val="22"/>
        </w:rPr>
        <w:t>Public Service Employment Act</w:t>
      </w:r>
      <w:r w:rsidRPr="00505142">
        <w:rPr>
          <w:rFonts w:asciiTheme="minorHAnsi" w:hAnsiTheme="minorHAnsi" w:cstheme="minorHAnsi"/>
          <w:sz w:val="28"/>
        </w:rPr>
        <w:t xml:space="preserve"> </w:t>
      </w:r>
      <w:r w:rsidRPr="00505142">
        <w:rPr>
          <w:rFonts w:asciiTheme="minorHAnsi" w:hAnsiTheme="minorHAnsi" w:cstheme="minorHAnsi"/>
          <w:sz w:val="22"/>
        </w:rPr>
        <w:t>for term and indeterminate positions. Only estimated term and indeterminate appointments/notifications are included (deployments, casual and acting appointments are excluded)</w:t>
      </w:r>
    </w:p>
    <w:p w14:paraId="4DD6CC07" w14:textId="77777777" w:rsidR="00F679DE" w:rsidRPr="00505142" w:rsidRDefault="00F679DE" w:rsidP="0049541B">
      <w:pPr>
        <w:pStyle w:val="ListParagraph"/>
        <w:numPr>
          <w:ilvl w:val="0"/>
          <w:numId w:val="42"/>
        </w:numPr>
        <w:spacing w:after="0"/>
        <w:rPr>
          <w:rFonts w:asciiTheme="minorHAnsi" w:hAnsiTheme="minorHAnsi" w:cstheme="minorHAnsi"/>
          <w:sz w:val="22"/>
        </w:rPr>
      </w:pPr>
      <w:r w:rsidRPr="00505142">
        <w:rPr>
          <w:rFonts w:asciiTheme="minorHAnsi" w:hAnsiTheme="minorHAnsi" w:cstheme="minorHAnsi"/>
          <w:sz w:val="22"/>
        </w:rPr>
        <w:t>Because data between systems is linked using a probabilistic match, errors in data linkage are a potential source of measurement error</w:t>
      </w:r>
    </w:p>
    <w:p w14:paraId="65B95955" w14:textId="77777777" w:rsidR="00F679DE" w:rsidRPr="00505142" w:rsidRDefault="00F679DE" w:rsidP="0049541B">
      <w:pPr>
        <w:pStyle w:val="ListParagraph"/>
        <w:numPr>
          <w:ilvl w:val="0"/>
          <w:numId w:val="42"/>
        </w:numPr>
        <w:spacing w:after="0"/>
        <w:rPr>
          <w:rFonts w:asciiTheme="minorHAnsi" w:hAnsiTheme="minorHAnsi" w:cstheme="minorHAnsi"/>
          <w:sz w:val="22"/>
        </w:rPr>
      </w:pPr>
      <w:r w:rsidRPr="00505142">
        <w:rPr>
          <w:rFonts w:asciiTheme="minorHAnsi" w:hAnsiTheme="minorHAnsi" w:cstheme="minorHAnsi"/>
          <w:sz w:val="22"/>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14:paraId="12A4FA2F" w14:textId="77777777" w:rsidR="00F679DE" w:rsidRPr="00505142" w:rsidRDefault="00F679DE" w:rsidP="0049541B">
      <w:pPr>
        <w:pStyle w:val="ListParagraph"/>
        <w:numPr>
          <w:ilvl w:val="0"/>
          <w:numId w:val="42"/>
        </w:numPr>
        <w:spacing w:after="0"/>
        <w:rPr>
          <w:rFonts w:asciiTheme="minorHAnsi" w:hAnsiTheme="minorHAnsi" w:cstheme="minorHAnsi"/>
          <w:sz w:val="22"/>
        </w:rPr>
      </w:pPr>
      <w:r w:rsidRPr="00505142">
        <w:rPr>
          <w:rFonts w:asciiTheme="minorHAnsi" w:hAnsiTheme="minorHAnsi" w:cstheme="minorHAnsi"/>
          <w:sz w:val="22"/>
        </w:rPr>
        <w:t>Information from the Priority Information Management System and the Public Services Resourcing System is also used to determine if staffing actions are advertised or non-advertised as well as for calculating time to staff.</w:t>
      </w:r>
    </w:p>
    <w:p w14:paraId="5E1E8A8E" w14:textId="77777777" w:rsidR="00F679DE" w:rsidRPr="00505142" w:rsidRDefault="00F679DE" w:rsidP="0049541B">
      <w:pPr>
        <w:pStyle w:val="ListParagraph"/>
        <w:numPr>
          <w:ilvl w:val="0"/>
          <w:numId w:val="42"/>
        </w:numPr>
        <w:spacing w:after="0"/>
        <w:rPr>
          <w:rFonts w:asciiTheme="minorHAnsi" w:hAnsiTheme="minorHAnsi" w:cstheme="minorHAnsi"/>
          <w:sz w:val="22"/>
        </w:rPr>
      </w:pPr>
      <w:r w:rsidRPr="00505142">
        <w:rPr>
          <w:rFonts w:asciiTheme="minorHAnsi" w:hAnsiTheme="minorHAnsi" w:cstheme="minorHAnsi"/>
          <w:sz w:val="22"/>
        </w:rPr>
        <w:lastRenderedPageBreak/>
        <w:t>The data are not expected to match an organization’s human resources data, due to methodology and timing differences.</w:t>
      </w:r>
    </w:p>
    <w:sectPr w:rsidR="00F679DE" w:rsidRPr="00505142" w:rsidSect="00F679DE">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6BC1" w14:textId="77777777" w:rsidR="00C86FD3" w:rsidRDefault="00C86FD3" w:rsidP="0051557E">
      <w:r>
        <w:separator/>
      </w:r>
    </w:p>
  </w:endnote>
  <w:endnote w:type="continuationSeparator" w:id="0">
    <w:p w14:paraId="25682D43" w14:textId="77777777" w:rsidR="00C86FD3" w:rsidRDefault="00C86FD3"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422467"/>
      <w:docPartObj>
        <w:docPartGallery w:val="Page Numbers (Bottom of Page)"/>
        <w:docPartUnique/>
      </w:docPartObj>
    </w:sdtPr>
    <w:sdtEndPr/>
    <w:sdtContent>
      <w:p w14:paraId="2C5D43DB" w14:textId="6E97D6CB" w:rsidR="00AE387E" w:rsidRDefault="00AE387E">
        <w:pPr>
          <w:pStyle w:val="Footer"/>
        </w:pPr>
        <w:r>
          <w:fldChar w:fldCharType="begin"/>
        </w:r>
        <w:r>
          <w:instrText>PAGE   \* MERGEFORMAT</w:instrText>
        </w:r>
        <w:r>
          <w:fldChar w:fldCharType="separate"/>
        </w:r>
        <w:r w:rsidRPr="0064335C">
          <w:rPr>
            <w:noProof/>
            <w:lang w:val="fr-FR"/>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701496"/>
      <w:docPartObj>
        <w:docPartGallery w:val="Page Numbers (Bottom of Page)"/>
        <w:docPartUnique/>
      </w:docPartObj>
    </w:sdtPr>
    <w:sdtEndPr/>
    <w:sdtContent>
      <w:p w14:paraId="5E9A8DC1" w14:textId="422FFB40" w:rsidR="00AE387E" w:rsidRDefault="00AE387E">
        <w:pPr>
          <w:pStyle w:val="Footer"/>
        </w:pPr>
        <w:r>
          <w:fldChar w:fldCharType="begin"/>
        </w:r>
        <w:r>
          <w:instrText>PAGE   \* MERGEFORMAT</w:instrText>
        </w:r>
        <w:r>
          <w:fldChar w:fldCharType="separate"/>
        </w:r>
        <w:r w:rsidRPr="0064335C">
          <w:rPr>
            <w:noProof/>
            <w:lang w:val="fr-FR"/>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668483"/>
      <w:docPartObj>
        <w:docPartGallery w:val="Page Numbers (Bottom of Page)"/>
        <w:docPartUnique/>
      </w:docPartObj>
    </w:sdtPr>
    <w:sdtEndPr/>
    <w:sdtContent>
      <w:p w14:paraId="53E4AD49" w14:textId="40F706F9" w:rsidR="00AE387E" w:rsidRDefault="00AE387E">
        <w:pPr>
          <w:pStyle w:val="Footer"/>
        </w:pPr>
        <w:r>
          <w:fldChar w:fldCharType="begin"/>
        </w:r>
        <w:r>
          <w:instrText>PAGE   \* MERGEFORMAT</w:instrText>
        </w:r>
        <w:r>
          <w:fldChar w:fldCharType="separate"/>
        </w:r>
        <w:r w:rsidRPr="0064335C">
          <w:rPr>
            <w:noProof/>
            <w:lang w:val="fr-FR"/>
          </w:rPr>
          <w:t>20</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C463" w14:textId="77777777" w:rsidR="00AE387E" w:rsidRPr="000A5B54" w:rsidRDefault="00AE387E" w:rsidP="00A87442">
    <w:pPr>
      <w:pBdr>
        <w:top w:val="single" w:sz="4" w:space="1" w:color="D9D9D9"/>
      </w:pBdr>
      <w:tabs>
        <w:tab w:val="center" w:pos="4680"/>
        <w:tab w:val="center" w:pos="6804"/>
        <w:tab w:val="right" w:pos="9360"/>
        <w:tab w:val="center" w:pos="10773"/>
      </w:tabs>
      <w:jc w:val="center"/>
    </w:pPr>
    <w:r w:rsidRPr="006B2FDC">
      <w:rPr>
        <w:rFonts w:ascii="Calibri" w:eastAsia="Calibri" w:hAnsi="Calibri" w:cs="Arial"/>
        <w:sz w:val="16"/>
      </w:rPr>
      <w:fldChar w:fldCharType="begin"/>
    </w:r>
    <w:r w:rsidRPr="006B2FDC">
      <w:rPr>
        <w:rFonts w:ascii="Calibri" w:eastAsia="Calibri" w:hAnsi="Calibri" w:cs="Arial"/>
        <w:sz w:val="16"/>
        <w:lang w:val="en-CA"/>
      </w:rPr>
      <w:instrText xml:space="preserve"> PAGE   \* MERGEFORMAT </w:instrText>
    </w:r>
    <w:r w:rsidRPr="006B2FDC">
      <w:rPr>
        <w:rFonts w:ascii="Calibri" w:eastAsia="Calibri" w:hAnsi="Calibri" w:cs="Arial"/>
        <w:sz w:val="16"/>
      </w:rPr>
      <w:fldChar w:fldCharType="separate"/>
    </w:r>
    <w:r w:rsidRPr="00F679DE">
      <w:rPr>
        <w:rFonts w:ascii="Calibri" w:eastAsia="Calibri" w:hAnsi="Calibri" w:cs="Arial"/>
        <w:b/>
        <w:bCs/>
        <w:noProof/>
        <w:sz w:val="16"/>
        <w:lang w:val="en-CA"/>
      </w:rPr>
      <w:t>11</w:t>
    </w:r>
    <w:r w:rsidRPr="006B2FDC">
      <w:rPr>
        <w:rFonts w:ascii="Calibri" w:eastAsia="Calibri" w:hAnsi="Calibri" w:cs="Arial"/>
        <w:b/>
        <w:bCs/>
        <w:noProof/>
        <w:sz w:val="16"/>
      </w:rPr>
      <w:fldChar w:fldCharType="end"/>
    </w:r>
    <w:r>
      <w:rPr>
        <w:rFonts w:ascii="Calibri" w:eastAsia="Calibri" w:hAnsi="Calibri" w:cs="Arial"/>
        <w:b/>
        <w:bCs/>
        <w:sz w:val="16"/>
        <w:lang w:val="en-CA"/>
      </w:rPr>
      <w:tab/>
    </w:r>
    <w:r>
      <w:rPr>
        <w:rFonts w:ascii="Calibri" w:eastAsia="Calibri" w:hAnsi="Calibri" w:cs="Arial"/>
        <w:b/>
        <w:bCs/>
        <w:sz w:val="16"/>
        <w:lang w:val="en-CA"/>
      </w:rPr>
      <w:tab/>
    </w:r>
    <w:r>
      <w:rPr>
        <w:rFonts w:ascii="Calibri" w:eastAsia="Calibri" w:hAnsi="Calibri" w:cs="Arial"/>
        <w:b/>
        <w:bCs/>
        <w:sz w:val="16"/>
        <w:lang w:val="en-CA"/>
      </w:rPr>
      <w:tab/>
    </w:r>
    <w:r>
      <w:rPr>
        <w:rFonts w:ascii="Calibri" w:eastAsia="Calibri" w:hAnsi="Calibri" w:cs="Arial"/>
        <w:sz w:val="16"/>
        <w:lang w:val="en-CA"/>
      </w:rPr>
      <w:t xml:space="preserve">GCDOCS </w:t>
    </w:r>
    <w:r w:rsidRPr="00A87442">
      <w:rPr>
        <w:rFonts w:ascii="Calibri" w:eastAsia="Calibri" w:hAnsi="Calibri" w:cs="Arial"/>
        <w:sz w:val="16"/>
        <w:lang w:val="en-CA"/>
      </w:rPr>
      <w:t>10597377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485B" w14:textId="77777777" w:rsidR="00AE387E" w:rsidRDefault="00AE387E" w:rsidP="00F679DE">
    <w:pPr>
      <w:pStyle w:val="Footer"/>
      <w:jc w:val="center"/>
    </w:pPr>
    <w:r>
      <w:t xml:space="preserve"> Produced by Data Services and Analysis Directorate (PSC) – Updated on August 12,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946263"/>
      <w:docPartObj>
        <w:docPartGallery w:val="Page Numbers (Bottom of Page)"/>
        <w:docPartUnique/>
      </w:docPartObj>
    </w:sdtPr>
    <w:sdtEndPr/>
    <w:sdtContent>
      <w:p w14:paraId="7E7BDB45" w14:textId="0DA07FDF" w:rsidR="00AE387E" w:rsidRDefault="00AE387E">
        <w:pPr>
          <w:pStyle w:val="Footer"/>
        </w:pPr>
        <w:r>
          <w:fldChar w:fldCharType="begin"/>
        </w:r>
        <w:r>
          <w:instrText>PAGE   \* MERGEFORMAT</w:instrText>
        </w:r>
        <w:r>
          <w:fldChar w:fldCharType="separate"/>
        </w:r>
        <w:r w:rsidRPr="0064335C">
          <w:rPr>
            <w:noProof/>
            <w:lang w:val="fr-FR"/>
          </w:rPr>
          <w:t>21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109E" w14:textId="77777777" w:rsidR="00AE387E" w:rsidRPr="00A56930" w:rsidRDefault="00AE387E" w:rsidP="00F679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473411"/>
      <w:docPartObj>
        <w:docPartGallery w:val="Page Numbers (Bottom of Page)"/>
        <w:docPartUnique/>
      </w:docPartObj>
    </w:sdtPr>
    <w:sdtEndPr/>
    <w:sdtContent>
      <w:p w14:paraId="296496EF" w14:textId="61B69434" w:rsidR="00AE387E" w:rsidRDefault="00AE387E">
        <w:pPr>
          <w:pStyle w:val="Footer"/>
        </w:pPr>
        <w:r>
          <w:fldChar w:fldCharType="begin"/>
        </w:r>
        <w:r>
          <w:instrText>PAGE   \* MERGEFORMAT</w:instrText>
        </w:r>
        <w:r>
          <w:fldChar w:fldCharType="separate"/>
        </w:r>
        <w:r w:rsidRPr="0064335C">
          <w:rPr>
            <w:noProof/>
            <w:lang w:val="fr-FR"/>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09B1" w14:textId="77777777" w:rsidR="00C86FD3" w:rsidRDefault="00C86FD3" w:rsidP="0051557E">
      <w:r>
        <w:separator/>
      </w:r>
    </w:p>
  </w:footnote>
  <w:footnote w:type="continuationSeparator" w:id="0">
    <w:p w14:paraId="0E3D1945" w14:textId="77777777" w:rsidR="00C86FD3" w:rsidRDefault="00C86FD3" w:rsidP="005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AC3B" w14:textId="77777777" w:rsidR="00AE387E" w:rsidRPr="0064335C" w:rsidRDefault="00AE387E" w:rsidP="00643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65C1" w14:textId="47E2B9A9" w:rsidR="00AE387E" w:rsidRPr="0064335C" w:rsidRDefault="00AE387E" w:rsidP="00643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7EDA" w14:textId="77777777" w:rsidR="00AE387E" w:rsidRPr="0064335C" w:rsidRDefault="00AE387E" w:rsidP="00643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8B4D16"/>
    <w:multiLevelType w:val="hybridMultilevel"/>
    <w:tmpl w:val="73CAA930"/>
    <w:lvl w:ilvl="0" w:tplc="2AA66DA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513FBC"/>
    <w:multiLevelType w:val="hybridMultilevel"/>
    <w:tmpl w:val="81B43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5249F9"/>
    <w:multiLevelType w:val="hybridMultilevel"/>
    <w:tmpl w:val="4BF0C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3E5F49"/>
    <w:multiLevelType w:val="hybridMultilevel"/>
    <w:tmpl w:val="6C0A4CDA"/>
    <w:lvl w:ilvl="0" w:tplc="10090001">
      <w:start w:val="1"/>
      <w:numFmt w:val="bullet"/>
      <w:lvlText w:val=""/>
      <w:lvlJc w:val="left"/>
      <w:pPr>
        <w:ind w:left="1250" w:hanging="360"/>
      </w:pPr>
      <w:rPr>
        <w:rFonts w:ascii="Symbol" w:hAnsi="Symbol" w:hint="default"/>
      </w:rPr>
    </w:lvl>
    <w:lvl w:ilvl="1" w:tplc="10090003" w:tentative="1">
      <w:start w:val="1"/>
      <w:numFmt w:val="bullet"/>
      <w:lvlText w:val="o"/>
      <w:lvlJc w:val="left"/>
      <w:pPr>
        <w:ind w:left="1970" w:hanging="360"/>
      </w:pPr>
      <w:rPr>
        <w:rFonts w:ascii="Courier New" w:hAnsi="Courier New" w:cs="Courier New" w:hint="default"/>
      </w:rPr>
    </w:lvl>
    <w:lvl w:ilvl="2" w:tplc="10090005" w:tentative="1">
      <w:start w:val="1"/>
      <w:numFmt w:val="bullet"/>
      <w:lvlText w:val=""/>
      <w:lvlJc w:val="left"/>
      <w:pPr>
        <w:ind w:left="2690" w:hanging="360"/>
      </w:pPr>
      <w:rPr>
        <w:rFonts w:ascii="Wingdings" w:hAnsi="Wingdings" w:hint="default"/>
      </w:rPr>
    </w:lvl>
    <w:lvl w:ilvl="3" w:tplc="10090001" w:tentative="1">
      <w:start w:val="1"/>
      <w:numFmt w:val="bullet"/>
      <w:lvlText w:val=""/>
      <w:lvlJc w:val="left"/>
      <w:pPr>
        <w:ind w:left="3410" w:hanging="360"/>
      </w:pPr>
      <w:rPr>
        <w:rFonts w:ascii="Symbol" w:hAnsi="Symbol" w:hint="default"/>
      </w:rPr>
    </w:lvl>
    <w:lvl w:ilvl="4" w:tplc="10090003" w:tentative="1">
      <w:start w:val="1"/>
      <w:numFmt w:val="bullet"/>
      <w:lvlText w:val="o"/>
      <w:lvlJc w:val="left"/>
      <w:pPr>
        <w:ind w:left="4130" w:hanging="360"/>
      </w:pPr>
      <w:rPr>
        <w:rFonts w:ascii="Courier New" w:hAnsi="Courier New" w:cs="Courier New" w:hint="default"/>
      </w:rPr>
    </w:lvl>
    <w:lvl w:ilvl="5" w:tplc="10090005" w:tentative="1">
      <w:start w:val="1"/>
      <w:numFmt w:val="bullet"/>
      <w:lvlText w:val=""/>
      <w:lvlJc w:val="left"/>
      <w:pPr>
        <w:ind w:left="4850" w:hanging="360"/>
      </w:pPr>
      <w:rPr>
        <w:rFonts w:ascii="Wingdings" w:hAnsi="Wingdings" w:hint="default"/>
      </w:rPr>
    </w:lvl>
    <w:lvl w:ilvl="6" w:tplc="10090001" w:tentative="1">
      <w:start w:val="1"/>
      <w:numFmt w:val="bullet"/>
      <w:lvlText w:val=""/>
      <w:lvlJc w:val="left"/>
      <w:pPr>
        <w:ind w:left="5570" w:hanging="360"/>
      </w:pPr>
      <w:rPr>
        <w:rFonts w:ascii="Symbol" w:hAnsi="Symbol" w:hint="default"/>
      </w:rPr>
    </w:lvl>
    <w:lvl w:ilvl="7" w:tplc="10090003" w:tentative="1">
      <w:start w:val="1"/>
      <w:numFmt w:val="bullet"/>
      <w:lvlText w:val="o"/>
      <w:lvlJc w:val="left"/>
      <w:pPr>
        <w:ind w:left="6290" w:hanging="360"/>
      </w:pPr>
      <w:rPr>
        <w:rFonts w:ascii="Courier New" w:hAnsi="Courier New" w:cs="Courier New" w:hint="default"/>
      </w:rPr>
    </w:lvl>
    <w:lvl w:ilvl="8" w:tplc="10090005" w:tentative="1">
      <w:start w:val="1"/>
      <w:numFmt w:val="bullet"/>
      <w:lvlText w:val=""/>
      <w:lvlJc w:val="left"/>
      <w:pPr>
        <w:ind w:left="7010" w:hanging="360"/>
      </w:pPr>
      <w:rPr>
        <w:rFonts w:ascii="Wingdings" w:hAnsi="Wingdings" w:hint="default"/>
      </w:rPr>
    </w:lvl>
  </w:abstractNum>
  <w:abstractNum w:abstractNumId="5" w15:restartNumberingAfterBreak="0">
    <w:nsid w:val="19B558CA"/>
    <w:multiLevelType w:val="hybridMultilevel"/>
    <w:tmpl w:val="87EAA9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9EF11D7"/>
    <w:multiLevelType w:val="hybridMultilevel"/>
    <w:tmpl w:val="2A66F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B64CBB"/>
    <w:multiLevelType w:val="hybridMultilevel"/>
    <w:tmpl w:val="F43C4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7563A4"/>
    <w:multiLevelType w:val="hybridMultilevel"/>
    <w:tmpl w:val="CF885362"/>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1" w15:restartNumberingAfterBreak="0">
    <w:nsid w:val="247966E7"/>
    <w:multiLevelType w:val="hybridMultilevel"/>
    <w:tmpl w:val="A462EFF4"/>
    <w:lvl w:ilvl="0" w:tplc="CE5C5B68">
      <w:start w:val="1"/>
      <w:numFmt w:val="bullet"/>
      <w:lvlText w:val="•"/>
      <w:lvlJc w:val="left"/>
      <w:pPr>
        <w:tabs>
          <w:tab w:val="num" w:pos="360"/>
        </w:tabs>
        <w:ind w:left="360" w:hanging="360"/>
      </w:pPr>
      <w:rPr>
        <w:rFonts w:ascii="Arial" w:hAnsi="Arial" w:hint="default"/>
      </w:rPr>
    </w:lvl>
    <w:lvl w:ilvl="1" w:tplc="F7F66436">
      <w:start w:val="76"/>
      <w:numFmt w:val="bullet"/>
      <w:lvlText w:val="•"/>
      <w:lvlJc w:val="left"/>
      <w:pPr>
        <w:tabs>
          <w:tab w:val="num" w:pos="1080"/>
        </w:tabs>
        <w:ind w:left="1080" w:hanging="360"/>
      </w:pPr>
      <w:rPr>
        <w:rFonts w:ascii="Arial" w:hAnsi="Arial" w:hint="default"/>
      </w:rPr>
    </w:lvl>
    <w:lvl w:ilvl="2" w:tplc="CEF41514" w:tentative="1">
      <w:start w:val="1"/>
      <w:numFmt w:val="bullet"/>
      <w:lvlText w:val="•"/>
      <w:lvlJc w:val="left"/>
      <w:pPr>
        <w:tabs>
          <w:tab w:val="num" w:pos="1800"/>
        </w:tabs>
        <w:ind w:left="1800" w:hanging="360"/>
      </w:pPr>
      <w:rPr>
        <w:rFonts w:ascii="Arial" w:hAnsi="Arial" w:hint="default"/>
      </w:rPr>
    </w:lvl>
    <w:lvl w:ilvl="3" w:tplc="F482A62E" w:tentative="1">
      <w:start w:val="1"/>
      <w:numFmt w:val="bullet"/>
      <w:lvlText w:val="•"/>
      <w:lvlJc w:val="left"/>
      <w:pPr>
        <w:tabs>
          <w:tab w:val="num" w:pos="2520"/>
        </w:tabs>
        <w:ind w:left="2520" w:hanging="360"/>
      </w:pPr>
      <w:rPr>
        <w:rFonts w:ascii="Arial" w:hAnsi="Arial" w:hint="default"/>
      </w:rPr>
    </w:lvl>
    <w:lvl w:ilvl="4" w:tplc="9AFC614C" w:tentative="1">
      <w:start w:val="1"/>
      <w:numFmt w:val="bullet"/>
      <w:lvlText w:val="•"/>
      <w:lvlJc w:val="left"/>
      <w:pPr>
        <w:tabs>
          <w:tab w:val="num" w:pos="3240"/>
        </w:tabs>
        <w:ind w:left="3240" w:hanging="360"/>
      </w:pPr>
      <w:rPr>
        <w:rFonts w:ascii="Arial" w:hAnsi="Arial" w:hint="default"/>
      </w:rPr>
    </w:lvl>
    <w:lvl w:ilvl="5" w:tplc="2CF65ECC" w:tentative="1">
      <w:start w:val="1"/>
      <w:numFmt w:val="bullet"/>
      <w:lvlText w:val="•"/>
      <w:lvlJc w:val="left"/>
      <w:pPr>
        <w:tabs>
          <w:tab w:val="num" w:pos="3960"/>
        </w:tabs>
        <w:ind w:left="3960" w:hanging="360"/>
      </w:pPr>
      <w:rPr>
        <w:rFonts w:ascii="Arial" w:hAnsi="Arial" w:hint="default"/>
      </w:rPr>
    </w:lvl>
    <w:lvl w:ilvl="6" w:tplc="41D4D958" w:tentative="1">
      <w:start w:val="1"/>
      <w:numFmt w:val="bullet"/>
      <w:lvlText w:val="•"/>
      <w:lvlJc w:val="left"/>
      <w:pPr>
        <w:tabs>
          <w:tab w:val="num" w:pos="4680"/>
        </w:tabs>
        <w:ind w:left="4680" w:hanging="360"/>
      </w:pPr>
      <w:rPr>
        <w:rFonts w:ascii="Arial" w:hAnsi="Arial" w:hint="default"/>
      </w:rPr>
    </w:lvl>
    <w:lvl w:ilvl="7" w:tplc="C680DA1A" w:tentative="1">
      <w:start w:val="1"/>
      <w:numFmt w:val="bullet"/>
      <w:lvlText w:val="•"/>
      <w:lvlJc w:val="left"/>
      <w:pPr>
        <w:tabs>
          <w:tab w:val="num" w:pos="5400"/>
        </w:tabs>
        <w:ind w:left="5400" w:hanging="360"/>
      </w:pPr>
      <w:rPr>
        <w:rFonts w:ascii="Arial" w:hAnsi="Arial" w:hint="default"/>
      </w:rPr>
    </w:lvl>
    <w:lvl w:ilvl="8" w:tplc="BED0E666"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6FC4E03"/>
    <w:multiLevelType w:val="hybridMultilevel"/>
    <w:tmpl w:val="0B007D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BEC2B5D"/>
    <w:multiLevelType w:val="hybridMultilevel"/>
    <w:tmpl w:val="9B907DA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C3E0539"/>
    <w:multiLevelType w:val="hybridMultilevel"/>
    <w:tmpl w:val="0E3A3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852B2A"/>
    <w:multiLevelType w:val="hybridMultilevel"/>
    <w:tmpl w:val="5918498C"/>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D5B31C2"/>
    <w:multiLevelType w:val="hybridMultilevel"/>
    <w:tmpl w:val="49887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54160F"/>
    <w:multiLevelType w:val="hybridMultilevel"/>
    <w:tmpl w:val="E5DCD24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8"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F422E71"/>
    <w:multiLevelType w:val="hybridMultilevel"/>
    <w:tmpl w:val="ABF46188"/>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20"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A686E91"/>
    <w:multiLevelType w:val="hybridMultilevel"/>
    <w:tmpl w:val="E726257C"/>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25"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48734C5"/>
    <w:multiLevelType w:val="hybridMultilevel"/>
    <w:tmpl w:val="FED6DB02"/>
    <w:lvl w:ilvl="0" w:tplc="0D2477D8">
      <w:numFmt w:val="bullet"/>
      <w:lvlText w:val="·"/>
      <w:lvlJc w:val="left"/>
      <w:pPr>
        <w:ind w:left="990" w:hanging="570"/>
      </w:pPr>
      <w:rPr>
        <w:rFonts w:ascii="Arial" w:eastAsia="Symbol" w:hAnsi="Arial" w:cs="Aria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9"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5270D68"/>
    <w:multiLevelType w:val="hybridMultilevel"/>
    <w:tmpl w:val="0DB40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5" w15:restartNumberingAfterBreak="0">
    <w:nsid w:val="7047161C"/>
    <w:multiLevelType w:val="hybridMultilevel"/>
    <w:tmpl w:val="1138F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3920823"/>
    <w:multiLevelType w:val="hybridMultilevel"/>
    <w:tmpl w:val="E1261C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6364C6F"/>
    <w:multiLevelType w:val="hybridMultilevel"/>
    <w:tmpl w:val="193A1574"/>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9"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AA30791"/>
    <w:multiLevelType w:val="multilevel"/>
    <w:tmpl w:val="FABE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26"/>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7"/>
  </w:num>
  <w:num w:numId="7">
    <w:abstractNumId w:val="6"/>
  </w:num>
  <w:num w:numId="8">
    <w:abstractNumId w:val="36"/>
  </w:num>
  <w:num w:numId="9">
    <w:abstractNumId w:val="11"/>
  </w:num>
  <w:num w:numId="10">
    <w:abstractNumId w:val="19"/>
  </w:num>
  <w:num w:numId="11">
    <w:abstractNumId w:val="0"/>
  </w:num>
  <w:num w:numId="12">
    <w:abstractNumId w:val="33"/>
  </w:num>
  <w:num w:numId="13">
    <w:abstractNumId w:val="30"/>
  </w:num>
  <w:num w:numId="14">
    <w:abstractNumId w:val="39"/>
  </w:num>
  <w:num w:numId="15">
    <w:abstractNumId w:val="29"/>
  </w:num>
  <w:num w:numId="16">
    <w:abstractNumId w:val="27"/>
  </w:num>
  <w:num w:numId="17">
    <w:abstractNumId w:val="22"/>
  </w:num>
  <w:num w:numId="18">
    <w:abstractNumId w:val="4"/>
  </w:num>
  <w:num w:numId="19">
    <w:abstractNumId w:val="14"/>
  </w:num>
  <w:num w:numId="20">
    <w:abstractNumId w:val="1"/>
  </w:num>
  <w:num w:numId="21">
    <w:abstractNumId w:val="13"/>
  </w:num>
  <w:num w:numId="22">
    <w:abstractNumId w:val="12"/>
  </w:num>
  <w:num w:numId="23">
    <w:abstractNumId w:val="40"/>
  </w:num>
  <w:num w:numId="24">
    <w:abstractNumId w:val="24"/>
  </w:num>
  <w:num w:numId="25">
    <w:abstractNumId w:val="28"/>
  </w:num>
  <w:num w:numId="26">
    <w:abstractNumId w:val="5"/>
  </w:num>
  <w:num w:numId="27">
    <w:abstractNumId w:val="15"/>
  </w:num>
  <w:num w:numId="28">
    <w:abstractNumId w:val="37"/>
  </w:num>
  <w:num w:numId="29">
    <w:abstractNumId w:val="17"/>
  </w:num>
  <w:num w:numId="30">
    <w:abstractNumId w:val="3"/>
  </w:num>
  <w:num w:numId="31">
    <w:abstractNumId w:val="38"/>
  </w:num>
  <w:num w:numId="32">
    <w:abstractNumId w:val="10"/>
  </w:num>
  <w:num w:numId="33">
    <w:abstractNumId w:val="16"/>
  </w:num>
  <w:num w:numId="34">
    <w:abstractNumId w:val="21"/>
  </w:num>
  <w:num w:numId="35">
    <w:abstractNumId w:val="32"/>
  </w:num>
  <w:num w:numId="36">
    <w:abstractNumId w:val="35"/>
  </w:num>
  <w:num w:numId="37">
    <w:abstractNumId w:val="31"/>
  </w:num>
  <w:num w:numId="38">
    <w:abstractNumId w:val="23"/>
  </w:num>
  <w:num w:numId="39">
    <w:abstractNumId w:val="20"/>
  </w:num>
  <w:num w:numId="40">
    <w:abstractNumId w:val="18"/>
  </w:num>
  <w:num w:numId="41">
    <w:abstractNumId w:val="34"/>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DC8"/>
    <w:rsid w:val="0004743E"/>
    <w:rsid w:val="00053B36"/>
    <w:rsid w:val="000558F2"/>
    <w:rsid w:val="000640FD"/>
    <w:rsid w:val="00096A64"/>
    <w:rsid w:val="000A5AAE"/>
    <w:rsid w:val="000F71D6"/>
    <w:rsid w:val="00117B3F"/>
    <w:rsid w:val="00151C0C"/>
    <w:rsid w:val="00184E55"/>
    <w:rsid w:val="001B4A83"/>
    <w:rsid w:val="001C0F40"/>
    <w:rsid w:val="001E4E13"/>
    <w:rsid w:val="00210749"/>
    <w:rsid w:val="00220D48"/>
    <w:rsid w:val="00244CD0"/>
    <w:rsid w:val="00270B1F"/>
    <w:rsid w:val="002B2C53"/>
    <w:rsid w:val="003147E1"/>
    <w:rsid w:val="0031638A"/>
    <w:rsid w:val="00330605"/>
    <w:rsid w:val="003308DA"/>
    <w:rsid w:val="00386FDE"/>
    <w:rsid w:val="003A4E58"/>
    <w:rsid w:val="003D577E"/>
    <w:rsid w:val="003E715F"/>
    <w:rsid w:val="003E71DF"/>
    <w:rsid w:val="003F1018"/>
    <w:rsid w:val="004113E8"/>
    <w:rsid w:val="00413E58"/>
    <w:rsid w:val="00427779"/>
    <w:rsid w:val="00435CFF"/>
    <w:rsid w:val="00436593"/>
    <w:rsid w:val="00442F1B"/>
    <w:rsid w:val="0049541B"/>
    <w:rsid w:val="00505142"/>
    <w:rsid w:val="0051557E"/>
    <w:rsid w:val="00550A11"/>
    <w:rsid w:val="005707A4"/>
    <w:rsid w:val="005733C7"/>
    <w:rsid w:val="00591DC8"/>
    <w:rsid w:val="005D6701"/>
    <w:rsid w:val="006059F4"/>
    <w:rsid w:val="0062386A"/>
    <w:rsid w:val="0064335C"/>
    <w:rsid w:val="00665433"/>
    <w:rsid w:val="00667478"/>
    <w:rsid w:val="006B127D"/>
    <w:rsid w:val="006D1AFD"/>
    <w:rsid w:val="00714032"/>
    <w:rsid w:val="00730520"/>
    <w:rsid w:val="00794FE7"/>
    <w:rsid w:val="007B05F0"/>
    <w:rsid w:val="007E17D1"/>
    <w:rsid w:val="007F4B8C"/>
    <w:rsid w:val="008B234C"/>
    <w:rsid w:val="008B3AFE"/>
    <w:rsid w:val="008B7DB3"/>
    <w:rsid w:val="008E024A"/>
    <w:rsid w:val="00926DA5"/>
    <w:rsid w:val="00974B4B"/>
    <w:rsid w:val="00997D3F"/>
    <w:rsid w:val="009A18E4"/>
    <w:rsid w:val="009A6AEA"/>
    <w:rsid w:val="00A3677B"/>
    <w:rsid w:val="00A77330"/>
    <w:rsid w:val="00A87442"/>
    <w:rsid w:val="00AA6E5A"/>
    <w:rsid w:val="00AE387E"/>
    <w:rsid w:val="00AE7768"/>
    <w:rsid w:val="00B31669"/>
    <w:rsid w:val="00B76E9C"/>
    <w:rsid w:val="00BB48D7"/>
    <w:rsid w:val="00C22E59"/>
    <w:rsid w:val="00C26E6E"/>
    <w:rsid w:val="00C54DCF"/>
    <w:rsid w:val="00C562F1"/>
    <w:rsid w:val="00C7278E"/>
    <w:rsid w:val="00C75731"/>
    <w:rsid w:val="00C86FD3"/>
    <w:rsid w:val="00C96E7F"/>
    <w:rsid w:val="00CF0D03"/>
    <w:rsid w:val="00D057D1"/>
    <w:rsid w:val="00D07145"/>
    <w:rsid w:val="00D24FF0"/>
    <w:rsid w:val="00D700CA"/>
    <w:rsid w:val="00DA5DF3"/>
    <w:rsid w:val="00DC7402"/>
    <w:rsid w:val="00DD3FFA"/>
    <w:rsid w:val="00DE6C83"/>
    <w:rsid w:val="00E87A54"/>
    <w:rsid w:val="00ED0A38"/>
    <w:rsid w:val="00ED7F0A"/>
    <w:rsid w:val="00EF7B6B"/>
    <w:rsid w:val="00F476D7"/>
    <w:rsid w:val="00F5672C"/>
    <w:rsid w:val="00F617C6"/>
    <w:rsid w:val="00F679DE"/>
    <w:rsid w:val="00F9203D"/>
    <w:rsid w:val="00FC2046"/>
    <w:rsid w:val="00FF4B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B11C3"/>
  <w15:chartTrackingRefBased/>
  <w15:docId w15:val="{B430A05F-8FAA-4A23-9F4E-5CF369F5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8"/>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basedOn w:val="Normal"/>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6059F4"/>
    <w:rPr>
      <w:rFonts w:ascii="Segoe UI Semibold" w:hAnsi="Segoe UI Semibold"/>
      <w:b w:val="0"/>
      <w:color w:val="auto"/>
      <w:sz w:val="22"/>
    </w:rPr>
  </w:style>
  <w:style w:type="paragraph" w:styleId="Title">
    <w:name w:val="Title"/>
    <w:basedOn w:val="Normal"/>
    <w:next w:val="Normal"/>
    <w:link w:val="TitleChar"/>
    <w:autoRedefine/>
    <w:uiPriority w:val="10"/>
    <w:qFormat/>
    <w:rsid w:val="00ED0A38"/>
    <w:pPr>
      <w:spacing w:after="240"/>
      <w:contextualSpacing/>
      <w:jc w:val="center"/>
    </w:pPr>
    <w:rPr>
      <w:rFonts w:ascii="Segoe UI Light" w:eastAsiaTheme="majorEastAsia" w:hAnsi="Segoe UI Light" w:cs="Segoe UI Light"/>
      <w:spacing w:val="-10"/>
      <w:kern w:val="28"/>
      <w:sz w:val="52"/>
      <w:szCs w:val="52"/>
    </w:rPr>
  </w:style>
  <w:style w:type="character" w:customStyle="1" w:styleId="TitleChar">
    <w:name w:val="Title Char"/>
    <w:basedOn w:val="DefaultParagraphFont"/>
    <w:link w:val="Title"/>
    <w:uiPriority w:val="10"/>
    <w:rsid w:val="00ED0A38"/>
    <w:rPr>
      <w:rFonts w:ascii="Segoe UI Light" w:eastAsiaTheme="majorEastAsia" w:hAnsi="Segoe UI Light" w:cs="Segoe UI Light"/>
      <w:spacing w:val="-10"/>
      <w:kern w:val="28"/>
      <w:sz w:val="52"/>
      <w:szCs w:val="52"/>
      <w:lang w:val="en-US"/>
    </w:rPr>
  </w:style>
  <w:style w:type="paragraph" w:styleId="NormalWeb">
    <w:name w:val="Normal (Web)"/>
    <w:basedOn w:val="Normal"/>
    <w:uiPriority w:val="99"/>
    <w:unhideWhenUsed/>
    <w:rsid w:val="00591DC8"/>
    <w:pPr>
      <w:spacing w:before="100" w:beforeAutospacing="1" w:after="100" w:afterAutospacing="1"/>
    </w:pPr>
    <w:rPr>
      <w:rFonts w:ascii="Verdana" w:hAnsi="Verdana"/>
      <w:szCs w:val="24"/>
    </w:rPr>
  </w:style>
  <w:style w:type="paragraph" w:customStyle="1" w:styleId="Level1">
    <w:name w:val="Level 1"/>
    <w:basedOn w:val="Normal"/>
    <w:uiPriority w:val="99"/>
    <w:rsid w:val="00591DC8"/>
    <w:pPr>
      <w:widowControl w:val="0"/>
    </w:pPr>
  </w:style>
  <w:style w:type="character" w:styleId="Hyperlink">
    <w:name w:val="Hyperlink"/>
    <w:uiPriority w:val="99"/>
    <w:unhideWhenUsed/>
    <w:rsid w:val="00591DC8"/>
    <w:rPr>
      <w:color w:val="0563C1"/>
      <w:u w:val="single"/>
    </w:rPr>
  </w:style>
  <w:style w:type="paragraph" w:styleId="NoSpacing">
    <w:name w:val="No Spacing"/>
    <w:uiPriority w:val="1"/>
    <w:qFormat/>
    <w:rsid w:val="00591DC8"/>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link w:val="Style1Char"/>
    <w:qFormat/>
    <w:rsid w:val="00591DC8"/>
    <w:pPr>
      <w:pBdr>
        <w:bottom w:val="single" w:sz="4" w:space="1" w:color="92D050"/>
      </w:pBdr>
      <w:autoSpaceDE w:val="0"/>
      <w:autoSpaceDN w:val="0"/>
      <w:adjustRightInd w:val="0"/>
      <w:ind w:right="50"/>
    </w:pPr>
    <w:rPr>
      <w:rFonts w:ascii="Arial" w:hAnsi="Arial" w:cs="Arial"/>
      <w:b/>
      <w:caps/>
      <w:color w:val="92D050"/>
      <w:sz w:val="22"/>
      <w:szCs w:val="22"/>
      <w:lang w:val="en-CA"/>
    </w:rPr>
  </w:style>
  <w:style w:type="paragraph" w:customStyle="1" w:styleId="Style2">
    <w:name w:val="Style2"/>
    <w:basedOn w:val="Normal"/>
    <w:link w:val="Style2Char"/>
    <w:qFormat/>
    <w:rsid w:val="00591DC8"/>
    <w:pPr>
      <w:shd w:val="clear" w:color="auto" w:fill="F2F2F2"/>
    </w:pPr>
    <w:rPr>
      <w:rFonts w:ascii="Arial" w:hAnsi="Arial" w:cs="Arial"/>
      <w:b/>
      <w:color w:val="009999"/>
      <w:spacing w:val="-10"/>
      <w:sz w:val="22"/>
      <w:szCs w:val="22"/>
      <w:lang w:val="en-CA"/>
    </w:rPr>
  </w:style>
  <w:style w:type="character" w:customStyle="1" w:styleId="Style1Char">
    <w:name w:val="Style1 Char"/>
    <w:basedOn w:val="DefaultParagraphFont"/>
    <w:link w:val="Style1"/>
    <w:rsid w:val="00591DC8"/>
    <w:rPr>
      <w:rFonts w:ascii="Arial" w:eastAsia="Times New Roman" w:hAnsi="Arial" w:cs="Arial"/>
      <w:b/>
      <w:caps/>
      <w:color w:val="92D050"/>
    </w:rPr>
  </w:style>
  <w:style w:type="character" w:customStyle="1" w:styleId="Style2Char">
    <w:name w:val="Style2 Char"/>
    <w:basedOn w:val="DefaultParagraphFont"/>
    <w:link w:val="Style2"/>
    <w:rsid w:val="00591DC8"/>
    <w:rPr>
      <w:rFonts w:ascii="Arial" w:eastAsia="Times New Roman" w:hAnsi="Arial" w:cs="Arial"/>
      <w:b/>
      <w:color w:val="009999"/>
      <w:spacing w:val="-10"/>
      <w:shd w:val="clear" w:color="auto" w:fill="F2F2F2"/>
    </w:rPr>
  </w:style>
  <w:style w:type="paragraph" w:customStyle="1" w:styleId="Style6">
    <w:name w:val="Style6"/>
    <w:basedOn w:val="Normal"/>
    <w:link w:val="Style6Char"/>
    <w:qFormat/>
    <w:rsid w:val="00591DC8"/>
    <w:pPr>
      <w:jc w:val="center"/>
    </w:pPr>
    <w:rPr>
      <w:rFonts w:ascii="Arial" w:hAnsi="Arial" w:cs="Arial"/>
      <w:b/>
      <w:color w:val="009999"/>
      <w:szCs w:val="24"/>
    </w:rPr>
  </w:style>
  <w:style w:type="paragraph" w:customStyle="1" w:styleId="Style7">
    <w:name w:val="Style7"/>
    <w:basedOn w:val="Normal"/>
    <w:link w:val="Style7Char"/>
    <w:qFormat/>
    <w:rsid w:val="00591DC8"/>
    <w:pPr>
      <w:jc w:val="center"/>
    </w:pPr>
    <w:rPr>
      <w:rFonts w:ascii="Arial" w:hAnsi="Arial" w:cs="Arial"/>
      <w:color w:val="009999"/>
      <w:sz w:val="22"/>
      <w:szCs w:val="32"/>
    </w:rPr>
  </w:style>
  <w:style w:type="character" w:customStyle="1" w:styleId="Style6Char">
    <w:name w:val="Style6 Char"/>
    <w:basedOn w:val="DefaultParagraphFont"/>
    <w:link w:val="Style6"/>
    <w:rsid w:val="00591DC8"/>
    <w:rPr>
      <w:rFonts w:ascii="Arial" w:eastAsia="Times New Roman" w:hAnsi="Arial" w:cs="Arial"/>
      <w:b/>
      <w:color w:val="009999"/>
      <w:sz w:val="24"/>
      <w:szCs w:val="24"/>
      <w:lang w:val="en-US"/>
    </w:rPr>
  </w:style>
  <w:style w:type="paragraph" w:customStyle="1" w:styleId="Style8">
    <w:name w:val="Style8"/>
    <w:basedOn w:val="Normal"/>
    <w:link w:val="Style8Char"/>
    <w:qFormat/>
    <w:rsid w:val="00591DC8"/>
    <w:rPr>
      <w:rFonts w:ascii="Arial" w:hAnsi="Arial" w:cs="Arial"/>
      <w:color w:val="767171"/>
      <w:sz w:val="16"/>
      <w:szCs w:val="22"/>
      <w:lang w:val="en-CA"/>
    </w:rPr>
  </w:style>
  <w:style w:type="character" w:customStyle="1" w:styleId="Style7Char">
    <w:name w:val="Style7 Char"/>
    <w:basedOn w:val="DefaultParagraphFont"/>
    <w:link w:val="Style7"/>
    <w:rsid w:val="00591DC8"/>
    <w:rPr>
      <w:rFonts w:ascii="Arial" w:eastAsia="Times New Roman" w:hAnsi="Arial" w:cs="Arial"/>
      <w:color w:val="009999"/>
      <w:szCs w:val="32"/>
      <w:lang w:val="en-US"/>
    </w:rPr>
  </w:style>
  <w:style w:type="character" w:customStyle="1" w:styleId="Style8Char">
    <w:name w:val="Style8 Char"/>
    <w:basedOn w:val="DefaultParagraphFont"/>
    <w:link w:val="Style8"/>
    <w:rsid w:val="00591DC8"/>
    <w:rPr>
      <w:rFonts w:ascii="Arial" w:eastAsia="Times New Roman" w:hAnsi="Arial" w:cs="Arial"/>
      <w:color w:val="767171"/>
      <w:sz w:val="16"/>
    </w:rPr>
  </w:style>
  <w:style w:type="character" w:styleId="Strong">
    <w:name w:val="Strong"/>
    <w:basedOn w:val="DefaultParagraphFont"/>
    <w:uiPriority w:val="22"/>
    <w:qFormat/>
    <w:rsid w:val="00427779"/>
    <w:rPr>
      <w:rFonts w:asciiTheme="minorHAnsi" w:hAnsiTheme="minorHAnsi"/>
      <w:b/>
      <w:bCs/>
      <w:sz w:val="22"/>
    </w:rPr>
  </w:style>
  <w:style w:type="character" w:styleId="FollowedHyperlink">
    <w:name w:val="FollowedHyperlink"/>
    <w:basedOn w:val="DefaultParagraphFont"/>
    <w:uiPriority w:val="99"/>
    <w:semiHidden/>
    <w:unhideWhenUsed/>
    <w:rsid w:val="00D057D1"/>
    <w:rPr>
      <w:color w:val="A5A5A5" w:themeColor="followedHyperlink"/>
      <w:u w:val="single"/>
    </w:rPr>
  </w:style>
  <w:style w:type="character" w:styleId="CommentReference">
    <w:name w:val="annotation reference"/>
    <w:basedOn w:val="DefaultParagraphFont"/>
    <w:uiPriority w:val="99"/>
    <w:semiHidden/>
    <w:unhideWhenUsed/>
    <w:rsid w:val="0004743E"/>
    <w:rPr>
      <w:sz w:val="16"/>
      <w:szCs w:val="16"/>
    </w:rPr>
  </w:style>
  <w:style w:type="paragraph" w:styleId="CommentText">
    <w:name w:val="annotation text"/>
    <w:basedOn w:val="Normal"/>
    <w:link w:val="CommentTextChar"/>
    <w:uiPriority w:val="99"/>
    <w:semiHidden/>
    <w:unhideWhenUsed/>
    <w:rsid w:val="0004743E"/>
    <w:rPr>
      <w:sz w:val="20"/>
    </w:rPr>
  </w:style>
  <w:style w:type="character" w:customStyle="1" w:styleId="CommentTextChar">
    <w:name w:val="Comment Text Char"/>
    <w:basedOn w:val="DefaultParagraphFont"/>
    <w:link w:val="CommentText"/>
    <w:uiPriority w:val="99"/>
    <w:semiHidden/>
    <w:rsid w:val="0004743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4743E"/>
    <w:rPr>
      <w:b/>
      <w:bCs/>
    </w:rPr>
  </w:style>
  <w:style w:type="character" w:customStyle="1" w:styleId="CommentSubjectChar">
    <w:name w:val="Comment Subject Char"/>
    <w:basedOn w:val="CommentTextChar"/>
    <w:link w:val="CommentSubject"/>
    <w:uiPriority w:val="99"/>
    <w:semiHidden/>
    <w:rsid w:val="0004743E"/>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62386A"/>
    <w:pPr>
      <w:spacing w:after="200"/>
    </w:pPr>
    <w:rPr>
      <w:rFonts w:ascii="Arial" w:eastAsiaTheme="minorHAnsi" w:hAnsi="Arial" w:cstheme="minorBidi"/>
      <w:i/>
      <w:iCs/>
      <w:color w:val="54575A" w:themeColor="text2"/>
      <w:sz w:val="18"/>
      <w:szCs w:val="18"/>
      <w:lang w:val="en-CA"/>
    </w:rPr>
  </w:style>
  <w:style w:type="table" w:styleId="PlainTable1">
    <w:name w:val="Plain Table 1"/>
    <w:basedOn w:val="TableNormal"/>
    <w:uiPriority w:val="41"/>
    <w:rsid w:val="0062386A"/>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62386A"/>
    <w:pPr>
      <w:spacing w:after="0" w:line="240" w:lineRule="auto"/>
    </w:pPr>
    <w:rPr>
      <w:rFonts w:ascii="Arial" w:hAnsi="Arial"/>
    </w:rPr>
  </w:style>
  <w:style w:type="character" w:styleId="Emphasis">
    <w:name w:val="Emphasis"/>
    <w:basedOn w:val="DefaultParagraphFont"/>
    <w:uiPriority w:val="20"/>
    <w:qFormat/>
    <w:rsid w:val="00550A11"/>
    <w:rPr>
      <w:rFonts w:asciiTheme="minorHAnsi" w:hAnsiTheme="minorHAnsi"/>
      <w:i/>
      <w:iCs/>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3679">
      <w:bodyDiv w:val="1"/>
      <w:marLeft w:val="0"/>
      <w:marRight w:val="0"/>
      <w:marTop w:val="0"/>
      <w:marBottom w:val="0"/>
      <w:divBdr>
        <w:top w:val="none" w:sz="0" w:space="0" w:color="auto"/>
        <w:left w:val="none" w:sz="0" w:space="0" w:color="auto"/>
        <w:bottom w:val="none" w:sz="0" w:space="0" w:color="auto"/>
        <w:right w:val="none" w:sz="0" w:space="0" w:color="auto"/>
      </w:divBdr>
    </w:div>
    <w:div w:id="131022156">
      <w:bodyDiv w:val="1"/>
      <w:marLeft w:val="0"/>
      <w:marRight w:val="0"/>
      <w:marTop w:val="0"/>
      <w:marBottom w:val="0"/>
      <w:divBdr>
        <w:top w:val="none" w:sz="0" w:space="0" w:color="auto"/>
        <w:left w:val="none" w:sz="0" w:space="0" w:color="auto"/>
        <w:bottom w:val="none" w:sz="0" w:space="0" w:color="auto"/>
        <w:right w:val="none" w:sz="0" w:space="0" w:color="auto"/>
      </w:divBdr>
    </w:div>
    <w:div w:id="326981836">
      <w:bodyDiv w:val="1"/>
      <w:marLeft w:val="0"/>
      <w:marRight w:val="0"/>
      <w:marTop w:val="0"/>
      <w:marBottom w:val="0"/>
      <w:divBdr>
        <w:top w:val="none" w:sz="0" w:space="0" w:color="auto"/>
        <w:left w:val="none" w:sz="0" w:space="0" w:color="auto"/>
        <w:bottom w:val="none" w:sz="0" w:space="0" w:color="auto"/>
        <w:right w:val="none" w:sz="0" w:space="0" w:color="auto"/>
      </w:divBdr>
    </w:div>
    <w:div w:id="448595502">
      <w:bodyDiv w:val="1"/>
      <w:marLeft w:val="0"/>
      <w:marRight w:val="0"/>
      <w:marTop w:val="0"/>
      <w:marBottom w:val="0"/>
      <w:divBdr>
        <w:top w:val="none" w:sz="0" w:space="0" w:color="auto"/>
        <w:left w:val="none" w:sz="0" w:space="0" w:color="auto"/>
        <w:bottom w:val="none" w:sz="0" w:space="0" w:color="auto"/>
        <w:right w:val="none" w:sz="0" w:space="0" w:color="auto"/>
      </w:divBdr>
    </w:div>
    <w:div w:id="528035200">
      <w:bodyDiv w:val="1"/>
      <w:marLeft w:val="0"/>
      <w:marRight w:val="0"/>
      <w:marTop w:val="0"/>
      <w:marBottom w:val="0"/>
      <w:divBdr>
        <w:top w:val="none" w:sz="0" w:space="0" w:color="auto"/>
        <w:left w:val="none" w:sz="0" w:space="0" w:color="auto"/>
        <w:bottom w:val="none" w:sz="0" w:space="0" w:color="auto"/>
        <w:right w:val="none" w:sz="0" w:space="0" w:color="auto"/>
      </w:divBdr>
    </w:div>
    <w:div w:id="531309632">
      <w:bodyDiv w:val="1"/>
      <w:marLeft w:val="0"/>
      <w:marRight w:val="0"/>
      <w:marTop w:val="0"/>
      <w:marBottom w:val="0"/>
      <w:divBdr>
        <w:top w:val="none" w:sz="0" w:space="0" w:color="auto"/>
        <w:left w:val="none" w:sz="0" w:space="0" w:color="auto"/>
        <w:bottom w:val="none" w:sz="0" w:space="0" w:color="auto"/>
        <w:right w:val="none" w:sz="0" w:space="0" w:color="auto"/>
      </w:divBdr>
    </w:div>
    <w:div w:id="540898915">
      <w:bodyDiv w:val="1"/>
      <w:marLeft w:val="0"/>
      <w:marRight w:val="0"/>
      <w:marTop w:val="0"/>
      <w:marBottom w:val="0"/>
      <w:divBdr>
        <w:top w:val="none" w:sz="0" w:space="0" w:color="auto"/>
        <w:left w:val="none" w:sz="0" w:space="0" w:color="auto"/>
        <w:bottom w:val="none" w:sz="0" w:space="0" w:color="auto"/>
        <w:right w:val="none" w:sz="0" w:space="0" w:color="auto"/>
      </w:divBdr>
    </w:div>
    <w:div w:id="596906671">
      <w:bodyDiv w:val="1"/>
      <w:marLeft w:val="0"/>
      <w:marRight w:val="0"/>
      <w:marTop w:val="0"/>
      <w:marBottom w:val="0"/>
      <w:divBdr>
        <w:top w:val="none" w:sz="0" w:space="0" w:color="auto"/>
        <w:left w:val="none" w:sz="0" w:space="0" w:color="auto"/>
        <w:bottom w:val="none" w:sz="0" w:space="0" w:color="auto"/>
        <w:right w:val="none" w:sz="0" w:space="0" w:color="auto"/>
      </w:divBdr>
    </w:div>
    <w:div w:id="820199044">
      <w:bodyDiv w:val="1"/>
      <w:marLeft w:val="0"/>
      <w:marRight w:val="0"/>
      <w:marTop w:val="0"/>
      <w:marBottom w:val="0"/>
      <w:divBdr>
        <w:top w:val="none" w:sz="0" w:space="0" w:color="auto"/>
        <w:left w:val="none" w:sz="0" w:space="0" w:color="auto"/>
        <w:bottom w:val="none" w:sz="0" w:space="0" w:color="auto"/>
        <w:right w:val="none" w:sz="0" w:space="0" w:color="auto"/>
      </w:divBdr>
    </w:div>
    <w:div w:id="831062182">
      <w:bodyDiv w:val="1"/>
      <w:marLeft w:val="0"/>
      <w:marRight w:val="0"/>
      <w:marTop w:val="0"/>
      <w:marBottom w:val="0"/>
      <w:divBdr>
        <w:top w:val="none" w:sz="0" w:space="0" w:color="auto"/>
        <w:left w:val="none" w:sz="0" w:space="0" w:color="auto"/>
        <w:bottom w:val="none" w:sz="0" w:space="0" w:color="auto"/>
        <w:right w:val="none" w:sz="0" w:space="0" w:color="auto"/>
      </w:divBdr>
    </w:div>
    <w:div w:id="990643128">
      <w:bodyDiv w:val="1"/>
      <w:marLeft w:val="0"/>
      <w:marRight w:val="0"/>
      <w:marTop w:val="0"/>
      <w:marBottom w:val="0"/>
      <w:divBdr>
        <w:top w:val="none" w:sz="0" w:space="0" w:color="auto"/>
        <w:left w:val="none" w:sz="0" w:space="0" w:color="auto"/>
        <w:bottom w:val="none" w:sz="0" w:space="0" w:color="auto"/>
        <w:right w:val="none" w:sz="0" w:space="0" w:color="auto"/>
      </w:divBdr>
    </w:div>
    <w:div w:id="1040206632">
      <w:bodyDiv w:val="1"/>
      <w:marLeft w:val="0"/>
      <w:marRight w:val="0"/>
      <w:marTop w:val="0"/>
      <w:marBottom w:val="0"/>
      <w:divBdr>
        <w:top w:val="none" w:sz="0" w:space="0" w:color="auto"/>
        <w:left w:val="none" w:sz="0" w:space="0" w:color="auto"/>
        <w:bottom w:val="none" w:sz="0" w:space="0" w:color="auto"/>
        <w:right w:val="none" w:sz="0" w:space="0" w:color="auto"/>
      </w:divBdr>
    </w:div>
    <w:div w:id="1070079107">
      <w:bodyDiv w:val="1"/>
      <w:marLeft w:val="0"/>
      <w:marRight w:val="0"/>
      <w:marTop w:val="0"/>
      <w:marBottom w:val="0"/>
      <w:divBdr>
        <w:top w:val="none" w:sz="0" w:space="0" w:color="auto"/>
        <w:left w:val="none" w:sz="0" w:space="0" w:color="auto"/>
        <w:bottom w:val="none" w:sz="0" w:space="0" w:color="auto"/>
        <w:right w:val="none" w:sz="0" w:space="0" w:color="auto"/>
      </w:divBdr>
    </w:div>
    <w:div w:id="1330937615">
      <w:bodyDiv w:val="1"/>
      <w:marLeft w:val="0"/>
      <w:marRight w:val="0"/>
      <w:marTop w:val="0"/>
      <w:marBottom w:val="0"/>
      <w:divBdr>
        <w:top w:val="none" w:sz="0" w:space="0" w:color="auto"/>
        <w:left w:val="none" w:sz="0" w:space="0" w:color="auto"/>
        <w:bottom w:val="none" w:sz="0" w:space="0" w:color="auto"/>
        <w:right w:val="none" w:sz="0" w:space="0" w:color="auto"/>
      </w:divBdr>
    </w:div>
    <w:div w:id="1467551818">
      <w:bodyDiv w:val="1"/>
      <w:marLeft w:val="0"/>
      <w:marRight w:val="0"/>
      <w:marTop w:val="0"/>
      <w:marBottom w:val="0"/>
      <w:divBdr>
        <w:top w:val="none" w:sz="0" w:space="0" w:color="auto"/>
        <w:left w:val="none" w:sz="0" w:space="0" w:color="auto"/>
        <w:bottom w:val="none" w:sz="0" w:space="0" w:color="auto"/>
        <w:right w:val="none" w:sz="0" w:space="0" w:color="auto"/>
      </w:divBdr>
    </w:div>
    <w:div w:id="1564217038">
      <w:bodyDiv w:val="1"/>
      <w:marLeft w:val="0"/>
      <w:marRight w:val="0"/>
      <w:marTop w:val="0"/>
      <w:marBottom w:val="0"/>
      <w:divBdr>
        <w:top w:val="none" w:sz="0" w:space="0" w:color="auto"/>
        <w:left w:val="none" w:sz="0" w:space="0" w:color="auto"/>
        <w:bottom w:val="none" w:sz="0" w:space="0" w:color="auto"/>
        <w:right w:val="none" w:sz="0" w:space="0" w:color="auto"/>
      </w:divBdr>
    </w:div>
    <w:div w:id="1663309371">
      <w:bodyDiv w:val="1"/>
      <w:marLeft w:val="0"/>
      <w:marRight w:val="0"/>
      <w:marTop w:val="0"/>
      <w:marBottom w:val="0"/>
      <w:divBdr>
        <w:top w:val="none" w:sz="0" w:space="0" w:color="auto"/>
        <w:left w:val="none" w:sz="0" w:space="0" w:color="auto"/>
        <w:bottom w:val="none" w:sz="0" w:space="0" w:color="auto"/>
        <w:right w:val="none" w:sz="0" w:space="0" w:color="auto"/>
      </w:divBdr>
    </w:div>
    <w:div w:id="176418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chart" Target="charts/chart8.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7.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hyperlink" Target="https://www.canada.ca/en/government/publicservice/wellness-inclusion-diversity-public-service/diversity-inclusion-public-service/employment-equity-annual-reports/employment-equity-public-service-canada-2017-2018.html" TargetMode="External"/><Relationship Id="rId19" Type="http://schemas.openxmlformats.org/officeDocument/2006/relationships/chart" Target="charts/chart2.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theme" Target="theme/theme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Population by tenure as of March 31</a:t>
            </a:r>
          </a:p>
        </c:rich>
      </c:tx>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(N=1 054)</c:v>
                </c:pt>
                <c:pt idx="1">
                  <c:v> 2015 
(N=976) </c:v>
                </c:pt>
                <c:pt idx="2">
                  <c:v> 2016 
(N=1 119)</c:v>
                </c:pt>
                <c:pt idx="3">
                  <c:v> 2017 
(N=1 170) </c:v>
                </c:pt>
                <c:pt idx="4">
                  <c:v> 2018 
(N=1 218) </c:v>
                </c:pt>
                <c:pt idx="5">
                  <c:v> 2019
(N=1 334) </c:v>
                </c:pt>
              </c:strCache>
            </c:strRef>
          </c:cat>
          <c:val>
            <c:numRef>
              <c:f>Sheet1!$B$2:$B$7</c:f>
              <c:numCache>
                <c:formatCode>#\ ###</c:formatCode>
                <c:ptCount val="6"/>
                <c:pt idx="0">
                  <c:v>936</c:v>
                </c:pt>
                <c:pt idx="1">
                  <c:v>844</c:v>
                </c:pt>
                <c:pt idx="2">
                  <c:v>910</c:v>
                </c:pt>
                <c:pt idx="3">
                  <c:v>953</c:v>
                </c:pt>
                <c:pt idx="4">
                  <c:v>999</c:v>
                </c:pt>
                <c:pt idx="5">
                  <c:v>1087</c:v>
                </c:pt>
              </c:numCache>
            </c:numRef>
          </c:val>
          <c:extLst>
            <c:ext xmlns:c16="http://schemas.microsoft.com/office/drawing/2014/chart" uri="{C3380CC4-5D6E-409C-BE32-E72D297353CC}">
              <c16:uniqueId val="{00000000-BB4A-4924-99DE-11F96849AAFF}"/>
            </c:ext>
          </c:extLst>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4A-4924-99DE-11F96849AAFF}"/>
                </c:ext>
              </c:extLst>
            </c:dLbl>
            <c:dLbl>
              <c:idx val="1"/>
              <c:layout>
                <c:manualLayout>
                  <c:x val="0"/>
                  <c:y val="2.07792207792207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4A-4924-99DE-11F96849AAFF}"/>
                </c:ext>
              </c:extLst>
            </c:dLbl>
            <c:dLbl>
              <c:idx val="2"/>
              <c:layout>
                <c:manualLayout>
                  <c:x val="0"/>
                  <c:y val="1.0389610389610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4A-4924-99DE-11F96849AAFF}"/>
                </c:ext>
              </c:extLst>
            </c:dLbl>
            <c:dLbl>
              <c:idx val="3"/>
              <c:layout>
                <c:manualLayout>
                  <c:x val="0"/>
                  <c:y val="1.55844155844155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4A-4924-99DE-11F96849AAFF}"/>
                </c:ext>
              </c:extLst>
            </c:dLbl>
            <c:dLbl>
              <c:idx val="4"/>
              <c:layout>
                <c:manualLayout>
                  <c:x val="3.0807147258163892E-3"/>
                  <c:y val="2.597402597402597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4A-4924-99DE-11F96849AAFF}"/>
                </c:ext>
              </c:extLst>
            </c:dLbl>
            <c:dLbl>
              <c:idx val="5"/>
              <c:layout>
                <c:manualLayout>
                  <c:x val="-1.1295823504343063E-16"/>
                  <c:y val="1.55844155844155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B4A-4924-99DE-11F96849AAFF}"/>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(N=1 054)</c:v>
                </c:pt>
                <c:pt idx="1">
                  <c:v> 2015 
(N=976) </c:v>
                </c:pt>
                <c:pt idx="2">
                  <c:v> 2016 
(N=1 119)</c:v>
                </c:pt>
                <c:pt idx="3">
                  <c:v> 2017 
(N=1 170) </c:v>
                </c:pt>
                <c:pt idx="4">
                  <c:v> 2018 
(N=1 218) </c:v>
                </c:pt>
                <c:pt idx="5">
                  <c:v> 2019
(N=1 334) </c:v>
                </c:pt>
              </c:strCache>
            </c:strRef>
          </c:cat>
          <c:val>
            <c:numRef>
              <c:f>Sheet1!$C$2:$C$7</c:f>
              <c:numCache>
                <c:formatCode>#\ ###</c:formatCode>
                <c:ptCount val="6"/>
                <c:pt idx="0">
                  <c:v>25</c:v>
                </c:pt>
                <c:pt idx="1">
                  <c:v>17</c:v>
                </c:pt>
                <c:pt idx="2">
                  <c:v>30</c:v>
                </c:pt>
                <c:pt idx="3">
                  <c:v>46</c:v>
                </c:pt>
                <c:pt idx="4">
                  <c:v>45</c:v>
                </c:pt>
                <c:pt idx="5">
                  <c:v>69</c:v>
                </c:pt>
              </c:numCache>
            </c:numRef>
          </c:val>
          <c:extLst>
            <c:ext xmlns:c16="http://schemas.microsoft.com/office/drawing/2014/chart" uri="{C3380CC4-5D6E-409C-BE32-E72D297353CC}">
              <c16:uniqueId val="{00000007-BB4A-4924-99DE-11F96849AAFF}"/>
            </c:ext>
          </c:extLst>
        </c:ser>
        <c:ser>
          <c:idx val="2"/>
          <c:order val="2"/>
          <c:tx>
            <c:strRef>
              <c:f>Sheet1!$D$1</c:f>
              <c:strCache>
                <c:ptCount val="1"/>
                <c:pt idx="0">
                  <c:v> Casual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(N=1 054)</c:v>
                </c:pt>
                <c:pt idx="1">
                  <c:v> 2015 
(N=976) </c:v>
                </c:pt>
                <c:pt idx="2">
                  <c:v> 2016 
(N=1 119)</c:v>
                </c:pt>
                <c:pt idx="3">
                  <c:v> 2017 
(N=1 170) </c:v>
                </c:pt>
                <c:pt idx="4">
                  <c:v> 2018 
(N=1 218) </c:v>
                </c:pt>
                <c:pt idx="5">
                  <c:v> 2019
(N=1 334) </c:v>
                </c:pt>
              </c:strCache>
            </c:strRef>
          </c:cat>
          <c:val>
            <c:numRef>
              <c:f>Sheet1!$D$2:$D$7</c:f>
              <c:numCache>
                <c:formatCode>#\ ###</c:formatCode>
                <c:ptCount val="6"/>
                <c:pt idx="0">
                  <c:v>61</c:v>
                </c:pt>
                <c:pt idx="1">
                  <c:v>74</c:v>
                </c:pt>
                <c:pt idx="2">
                  <c:v>111</c:v>
                </c:pt>
                <c:pt idx="3">
                  <c:v>109</c:v>
                </c:pt>
                <c:pt idx="4">
                  <c:v>109</c:v>
                </c:pt>
                <c:pt idx="5">
                  <c:v>122</c:v>
                </c:pt>
              </c:numCache>
            </c:numRef>
          </c:val>
          <c:extLst>
            <c:ext xmlns:c16="http://schemas.microsoft.com/office/drawing/2014/chart" uri="{C3380CC4-5D6E-409C-BE32-E72D297353CC}">
              <c16:uniqueId val="{00000008-BB4A-4924-99DE-11F96849AAFF}"/>
            </c:ext>
          </c:extLst>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2.8239558760857657E-17"/>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4A-4924-99DE-11F96849AAFF}"/>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B4A-4924-99DE-11F96849AAFF}"/>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B4A-4924-99DE-11F96849AAFF}"/>
                </c:ext>
              </c:extLst>
            </c:dLbl>
            <c:dLbl>
              <c:idx val="3"/>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B4A-4924-99DE-11F96849AAFF}"/>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B4A-4924-99DE-11F96849AAFF}"/>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B4A-4924-99DE-11F96849AA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(N=1 054)</c:v>
                </c:pt>
                <c:pt idx="1">
                  <c:v> 2015 
(N=976) </c:v>
                </c:pt>
                <c:pt idx="2">
                  <c:v> 2016 
(N=1 119)</c:v>
                </c:pt>
                <c:pt idx="3">
                  <c:v> 2017 
(N=1 170) </c:v>
                </c:pt>
                <c:pt idx="4">
                  <c:v> 2018 
(N=1 218) </c:v>
                </c:pt>
                <c:pt idx="5">
                  <c:v> 2019
(N=1 334) </c:v>
                </c:pt>
              </c:strCache>
            </c:strRef>
          </c:cat>
          <c:val>
            <c:numRef>
              <c:f>Sheet1!$E$2:$E$7</c:f>
              <c:numCache>
                <c:formatCode>#\ ###</c:formatCode>
                <c:ptCount val="6"/>
                <c:pt idx="0">
                  <c:v>32</c:v>
                </c:pt>
                <c:pt idx="1">
                  <c:v>41</c:v>
                </c:pt>
                <c:pt idx="2">
                  <c:v>68</c:v>
                </c:pt>
                <c:pt idx="3">
                  <c:v>62</c:v>
                </c:pt>
                <c:pt idx="4">
                  <c:v>65</c:v>
                </c:pt>
                <c:pt idx="5">
                  <c:v>56</c:v>
                </c:pt>
              </c:numCache>
            </c:numRef>
          </c:val>
          <c:extLst>
            <c:ext xmlns:c16="http://schemas.microsoft.com/office/drawing/2014/chart" uri="{C3380CC4-5D6E-409C-BE32-E72D297353CC}">
              <c16:uniqueId val="{0000000F-BB4A-4924-99DE-11F96849AAFF}"/>
            </c:ext>
          </c:extLst>
        </c:ser>
        <c:dLbls>
          <c:dLblPos val="ctr"/>
          <c:showLegendKey val="0"/>
          <c:showVal val="1"/>
          <c:showCatName val="0"/>
          <c:showSerName val="0"/>
          <c:showPercent val="0"/>
          <c:showBubbleSize val="0"/>
        </c:dLbls>
        <c:gapWidth val="150"/>
        <c:overlap val="100"/>
        <c:axId val="487490400"/>
        <c:axId val="487490792"/>
      </c:barChart>
      <c:catAx>
        <c:axId val="48749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7490792"/>
        <c:crosses val="autoZero"/>
        <c:auto val="1"/>
        <c:lblAlgn val="ctr"/>
        <c:lblOffset val="100"/>
        <c:noMultiLvlLbl val="0"/>
      </c:catAx>
      <c:valAx>
        <c:axId val="48749079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749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Student program hires</a:t>
            </a:r>
          </a:p>
        </c:rich>
      </c:tx>
      <c:layout>
        <c:manualLayout>
          <c:xMode val="edge"/>
          <c:yMode val="edge"/>
          <c:x val="0.36358619590763636"/>
          <c:y val="2.08289939595917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(N=82)</c:v>
                </c:pt>
                <c:pt idx="1">
                  <c:v>2015-16
 (N=142)</c:v>
                </c:pt>
                <c:pt idx="2">
                  <c:v>2016-17
 (N=115)</c:v>
                </c:pt>
                <c:pt idx="3">
                  <c:v>2017-18
 (N=107)</c:v>
                </c:pt>
                <c:pt idx="4">
                  <c:v>2018-19
 (N=109)</c:v>
                </c:pt>
              </c:strCache>
            </c:strRef>
          </c:cat>
          <c:val>
            <c:numRef>
              <c:f>Sheet1!$B$2:$B$6</c:f>
              <c:numCache>
                <c:formatCode>General</c:formatCode>
                <c:ptCount val="5"/>
                <c:pt idx="0">
                  <c:v>47</c:v>
                </c:pt>
                <c:pt idx="1">
                  <c:v>106</c:v>
                </c:pt>
                <c:pt idx="2">
                  <c:v>70</c:v>
                </c:pt>
                <c:pt idx="3">
                  <c:v>55</c:v>
                </c:pt>
                <c:pt idx="4">
                  <c:v>69</c:v>
                </c:pt>
              </c:numCache>
            </c:numRef>
          </c:val>
          <c:extLst>
            <c:ext xmlns:c16="http://schemas.microsoft.com/office/drawing/2014/chart" uri="{C3380CC4-5D6E-409C-BE32-E72D297353CC}">
              <c16:uniqueId val="{00000000-6E60-476D-A54E-3339755481CC}"/>
            </c:ext>
          </c:extLst>
        </c:ser>
        <c:ser>
          <c:idx val="1"/>
          <c:order val="1"/>
          <c:tx>
            <c:strRef>
              <c:f>Sheet1!$C$1</c:f>
              <c:strCache>
                <c:ptCount val="1"/>
                <c:pt idx="0">
                  <c:v>Post-Secondary CO-OP/Internship Program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(N=82)</c:v>
                </c:pt>
                <c:pt idx="1">
                  <c:v>2015-16
 (N=142)</c:v>
                </c:pt>
                <c:pt idx="2">
                  <c:v>2016-17
 (N=115)</c:v>
                </c:pt>
                <c:pt idx="3">
                  <c:v>2017-18
 (N=107)</c:v>
                </c:pt>
                <c:pt idx="4">
                  <c:v>2018-19
 (N=109)</c:v>
                </c:pt>
              </c:strCache>
            </c:strRef>
          </c:cat>
          <c:val>
            <c:numRef>
              <c:f>Sheet1!$C$2:$C$6</c:f>
              <c:numCache>
                <c:formatCode>General</c:formatCode>
                <c:ptCount val="5"/>
                <c:pt idx="0">
                  <c:v>32</c:v>
                </c:pt>
                <c:pt idx="1">
                  <c:v>36</c:v>
                </c:pt>
                <c:pt idx="2">
                  <c:v>45</c:v>
                </c:pt>
                <c:pt idx="3">
                  <c:v>52</c:v>
                </c:pt>
                <c:pt idx="4">
                  <c:v>40</c:v>
                </c:pt>
              </c:numCache>
            </c:numRef>
          </c:val>
          <c:extLst>
            <c:ext xmlns:c16="http://schemas.microsoft.com/office/drawing/2014/chart" uri="{C3380CC4-5D6E-409C-BE32-E72D297353CC}">
              <c16:uniqueId val="{00000001-6E60-476D-A54E-3339755481CC}"/>
            </c:ext>
          </c:extLst>
        </c:ser>
        <c:ser>
          <c:idx val="2"/>
          <c:order val="2"/>
          <c:tx>
            <c:strRef>
              <c:f>Sheet1!$D$1</c:f>
              <c:strCache>
                <c:ptCount val="1"/>
                <c:pt idx="0">
                  <c:v>Research Affiliate Program (RAP)</c:v>
                </c:pt>
              </c:strCache>
            </c:strRef>
          </c:tx>
          <c:spPr>
            <a:solidFill>
              <a:schemeClr val="accent3"/>
            </a:solidFill>
            <a:ln>
              <a:noFill/>
            </a:ln>
            <a:effectLst/>
          </c:spPr>
          <c:invertIfNegative val="0"/>
          <c:dLbls>
            <c:dLbl>
              <c:idx val="0"/>
              <c:layout>
                <c:manualLayout>
                  <c:x val="-4.1067761806981521E-3"/>
                  <c:y val="-3.83729854182655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60-476D-A54E-3339755481CC}"/>
                </c:ext>
              </c:extLst>
            </c:dLbl>
            <c:dLbl>
              <c:idx val="1"/>
              <c:delete val="1"/>
              <c:extLst>
                <c:ext xmlns:c15="http://schemas.microsoft.com/office/drawing/2012/chart" uri="{CE6537A1-D6FC-4f65-9D91-7224C49458BB}"/>
                <c:ext xmlns:c16="http://schemas.microsoft.com/office/drawing/2014/chart" uri="{C3380CC4-5D6E-409C-BE32-E72D297353CC}">
                  <c16:uniqueId val="{00000003-6E60-476D-A54E-3339755481CC}"/>
                </c:ext>
              </c:extLst>
            </c:dLbl>
            <c:dLbl>
              <c:idx val="2"/>
              <c:delete val="1"/>
              <c:extLst>
                <c:ext xmlns:c15="http://schemas.microsoft.com/office/drawing/2012/chart" uri="{CE6537A1-D6FC-4f65-9D91-7224C49458BB}"/>
                <c:ext xmlns:c16="http://schemas.microsoft.com/office/drawing/2014/chart" uri="{C3380CC4-5D6E-409C-BE32-E72D297353CC}">
                  <c16:uniqueId val="{00000004-6E60-476D-A54E-3339755481CC}"/>
                </c:ext>
              </c:extLst>
            </c:dLbl>
            <c:dLbl>
              <c:idx val="3"/>
              <c:delete val="1"/>
              <c:extLst>
                <c:ext xmlns:c15="http://schemas.microsoft.com/office/drawing/2012/chart" uri="{CE6537A1-D6FC-4f65-9D91-7224C49458BB}"/>
                <c:ext xmlns:c16="http://schemas.microsoft.com/office/drawing/2014/chart" uri="{C3380CC4-5D6E-409C-BE32-E72D297353CC}">
                  <c16:uniqueId val="{00000005-6E60-476D-A54E-3339755481CC}"/>
                </c:ext>
              </c:extLst>
            </c:dLbl>
            <c:dLbl>
              <c:idx val="4"/>
              <c:delete val="1"/>
              <c:extLst>
                <c:ext xmlns:c15="http://schemas.microsoft.com/office/drawing/2012/chart" uri="{CE6537A1-D6FC-4f65-9D91-7224C49458BB}"/>
                <c:ext xmlns:c16="http://schemas.microsoft.com/office/drawing/2014/chart" uri="{C3380CC4-5D6E-409C-BE32-E72D297353CC}">
                  <c16:uniqueId val="{00000006-6E60-476D-A54E-3339755481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(N=82)</c:v>
                </c:pt>
                <c:pt idx="1">
                  <c:v>2015-16
 (N=142)</c:v>
                </c:pt>
                <c:pt idx="2">
                  <c:v>2016-17
 (N=115)</c:v>
                </c:pt>
                <c:pt idx="3">
                  <c:v>2017-18
 (N=107)</c:v>
                </c:pt>
                <c:pt idx="4">
                  <c:v>2018-19
 (N=109)</c:v>
                </c:pt>
              </c:strCache>
            </c:strRef>
          </c:cat>
          <c:val>
            <c:numRef>
              <c:f>Sheet1!$D$2:$D$6</c:f>
              <c:numCache>
                <c:formatCode>General</c:formatCode>
                <c:ptCount val="5"/>
                <c:pt idx="0">
                  <c:v>3</c:v>
                </c:pt>
                <c:pt idx="1">
                  <c:v>0</c:v>
                </c:pt>
                <c:pt idx="2">
                  <c:v>0</c:v>
                </c:pt>
                <c:pt idx="3">
                  <c:v>0</c:v>
                </c:pt>
                <c:pt idx="4">
                  <c:v>0</c:v>
                </c:pt>
              </c:numCache>
            </c:numRef>
          </c:val>
          <c:extLst>
            <c:ext xmlns:c16="http://schemas.microsoft.com/office/drawing/2014/chart" uri="{C3380CC4-5D6E-409C-BE32-E72D297353CC}">
              <c16:uniqueId val="{00000007-6E60-476D-A54E-3339755481CC}"/>
            </c:ext>
          </c:extLst>
        </c:ser>
        <c:dLbls>
          <c:dLblPos val="ctr"/>
          <c:showLegendKey val="0"/>
          <c:showVal val="1"/>
          <c:showCatName val="0"/>
          <c:showSerName val="0"/>
          <c:showPercent val="0"/>
          <c:showBubbleSize val="0"/>
        </c:dLbls>
        <c:gapWidth val="150"/>
        <c:overlap val="100"/>
        <c:axId val="669637320"/>
        <c:axId val="740256888"/>
      </c:barChart>
      <c:catAx>
        <c:axId val="669637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0256888"/>
        <c:crosses val="autoZero"/>
        <c:auto val="1"/>
        <c:lblAlgn val="ctr"/>
        <c:lblOffset val="100"/>
        <c:noMultiLvlLbl val="0"/>
      </c:catAx>
      <c:valAx>
        <c:axId val="740256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9637320"/>
        <c:crosses val="autoZero"/>
        <c:crossBetween val="between"/>
      </c:valAx>
      <c:spPr>
        <a:noFill/>
        <a:ln>
          <a:noFill/>
        </a:ln>
        <a:effectLst/>
      </c:spPr>
    </c:plotArea>
    <c:legend>
      <c:legendPos val="b"/>
      <c:layout>
        <c:manualLayout>
          <c:xMode val="edge"/>
          <c:yMode val="edge"/>
          <c:x val="4.2890265000242525E-2"/>
          <c:y val="0.83451514071101818"/>
          <c:w val="0.86904460864363209"/>
          <c:h val="0.138623769496195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indeterminate and term hiring activities: Post-Secondary Recruitment Program and former student hires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42061281337047E-2"/>
                  <c:y val="1.1511895625479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63-452D-98BC-7822C9409699}"/>
                </c:ext>
              </c:extLst>
            </c:dLbl>
            <c:dLbl>
              <c:idx val="1"/>
              <c:layout>
                <c:manualLayout>
                  <c:x val="-1.1142061281337047E-2"/>
                  <c:y val="1.1511895625479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63-452D-98BC-7822C9409699}"/>
                </c:ext>
              </c:extLst>
            </c:dLbl>
            <c:dLbl>
              <c:idx val="2"/>
              <c:layout>
                <c:manualLayout>
                  <c:x val="-1.1142061281337047E-2"/>
                  <c:y val="7.67459708365303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63-452D-98BC-7822C9409699}"/>
                </c:ext>
              </c:extLst>
            </c:dLbl>
            <c:dLbl>
              <c:idx val="3"/>
              <c:layout>
                <c:manualLayout>
                  <c:x val="-7.4280408542248344E-3"/>
                  <c:y val="7.6745970836531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63-452D-98BC-7822C9409699}"/>
                </c:ext>
              </c:extLst>
            </c:dLbl>
            <c:dLbl>
              <c:idx val="4"/>
              <c:layout>
                <c:manualLayout>
                  <c:x val="-7.4280408542248344E-3"/>
                  <c:y val="1.1511895625479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63-452D-98BC-7822C94096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_-* #,##0_-;\-* #,##0_-;_-* "-"??_-;_-@_-</c:formatCode>
                <c:ptCount val="5"/>
                <c:pt idx="0">
                  <c:v>2</c:v>
                </c:pt>
                <c:pt idx="1">
                  <c:v>12</c:v>
                </c:pt>
                <c:pt idx="2">
                  <c:v>5</c:v>
                </c:pt>
                <c:pt idx="3">
                  <c:v>2</c:v>
                </c:pt>
                <c:pt idx="4">
                  <c:v>7</c:v>
                </c:pt>
              </c:numCache>
            </c:numRef>
          </c:val>
          <c:extLst>
            <c:ext xmlns:c16="http://schemas.microsoft.com/office/drawing/2014/chart" uri="{C3380CC4-5D6E-409C-BE32-E72D297353CC}">
              <c16:uniqueId val="{00000005-5963-452D-98BC-7822C9409699}"/>
            </c:ext>
          </c:extLst>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_-* #,##0_-;\-* #,##0_-;_-* "-"??_-;_-@_-</c:formatCode>
                <c:ptCount val="5"/>
                <c:pt idx="0">
                  <c:v>15</c:v>
                </c:pt>
                <c:pt idx="1">
                  <c:v>36</c:v>
                </c:pt>
                <c:pt idx="2">
                  <c:v>53</c:v>
                </c:pt>
                <c:pt idx="3">
                  <c:v>42</c:v>
                </c:pt>
                <c:pt idx="4">
                  <c:v>52</c:v>
                </c:pt>
              </c:numCache>
            </c:numRef>
          </c:val>
          <c:extLst>
            <c:ext xmlns:c16="http://schemas.microsoft.com/office/drawing/2014/chart" uri="{C3380CC4-5D6E-409C-BE32-E72D297353CC}">
              <c16:uniqueId val="{00000006-5963-452D-98BC-7822C9409699}"/>
            </c:ext>
          </c:extLst>
        </c:ser>
        <c:dLbls>
          <c:showLegendKey val="0"/>
          <c:showVal val="1"/>
          <c:showCatName val="0"/>
          <c:showSerName val="0"/>
          <c:showPercent val="0"/>
          <c:showBubbleSize val="0"/>
        </c:dLbls>
        <c:gapWidth val="150"/>
        <c:shape val="box"/>
        <c:axId val="740257280"/>
        <c:axId val="740253752"/>
        <c:axId val="0"/>
      </c:bar3DChart>
      <c:catAx>
        <c:axId val="740257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0253752"/>
        <c:crosses val="autoZero"/>
        <c:auto val="1"/>
        <c:lblAlgn val="ctr"/>
        <c:lblOffset val="100"/>
        <c:noMultiLvlLbl val="0"/>
      </c:catAx>
      <c:valAx>
        <c:axId val="74025375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0257280"/>
        <c:crosses val="autoZero"/>
        <c:crossBetween val="between"/>
        <c:minorUnit val="1"/>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Internal time to staff</a:t>
            </a:r>
          </a:p>
          <a:p>
            <a:pPr>
              <a:defRPr sz="1200"/>
            </a:pPr>
            <a:r>
              <a:rPr lang="en-CA" sz="1200"/>
              <a:t>Public Service median = 176 days</a:t>
            </a:r>
          </a:p>
          <a:p>
            <a:pPr>
              <a:defRPr sz="1200"/>
            </a:pPr>
            <a:r>
              <a:rPr lang="en-CA" sz="1200"/>
              <a:t> 2018-2019</a:t>
            </a:r>
          </a:p>
        </c:rich>
      </c:tx>
      <c:layout>
        <c:manualLayout>
          <c:xMode val="edge"/>
          <c:yMode val="edge"/>
          <c:x val="0.30646464646464644"/>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Sheet1!$A$2:$A$35</c:f>
              <c:strCache>
                <c:ptCount val="34"/>
                <c:pt idx="0">
                  <c:v>0-29</c:v>
                </c:pt>
                <c:pt idx="1">
                  <c:v>30-59</c:v>
                </c:pt>
                <c:pt idx="2">
                  <c:v>60-89</c:v>
                </c:pt>
                <c:pt idx="3">
                  <c:v>90-119</c:v>
                </c:pt>
                <c:pt idx="4">
                  <c:v>120-149</c:v>
                </c:pt>
                <c:pt idx="5">
                  <c:v>150-179</c:v>
                </c:pt>
                <c:pt idx="6">
                  <c:v>180-209</c:v>
                </c:pt>
                <c:pt idx="7">
                  <c:v>210-239</c:v>
                </c:pt>
                <c:pt idx="8">
                  <c:v>240-269</c:v>
                </c:pt>
                <c:pt idx="9">
                  <c:v>270-299</c:v>
                </c:pt>
                <c:pt idx="10">
                  <c:v>300-329</c:v>
                </c:pt>
                <c:pt idx="11">
                  <c:v>330-359</c:v>
                </c:pt>
                <c:pt idx="12">
                  <c:v>360-389</c:v>
                </c:pt>
                <c:pt idx="13">
                  <c:v>390-419</c:v>
                </c:pt>
                <c:pt idx="14">
                  <c:v>420-449</c:v>
                </c:pt>
                <c:pt idx="15">
                  <c:v>450-479</c:v>
                </c:pt>
                <c:pt idx="16">
                  <c:v>480-509</c:v>
                </c:pt>
                <c:pt idx="17">
                  <c:v>510-539</c:v>
                </c:pt>
                <c:pt idx="18">
                  <c:v>540-569</c:v>
                </c:pt>
                <c:pt idx="19">
                  <c:v>570-599</c:v>
                </c:pt>
                <c:pt idx="20">
                  <c:v>600-629</c:v>
                </c:pt>
                <c:pt idx="21">
                  <c:v>630-659</c:v>
                </c:pt>
                <c:pt idx="22">
                  <c:v>660-689</c:v>
                </c:pt>
                <c:pt idx="23">
                  <c:v>690-719</c:v>
                </c:pt>
                <c:pt idx="24">
                  <c:v>720-749</c:v>
                </c:pt>
                <c:pt idx="25">
                  <c:v>750-779</c:v>
                </c:pt>
                <c:pt idx="26">
                  <c:v>780-809</c:v>
                </c:pt>
                <c:pt idx="27">
                  <c:v>810-839</c:v>
                </c:pt>
                <c:pt idx="28">
                  <c:v>840-869</c:v>
                </c:pt>
                <c:pt idx="29">
                  <c:v>870-899</c:v>
                </c:pt>
                <c:pt idx="30">
                  <c:v>900-929</c:v>
                </c:pt>
                <c:pt idx="31">
                  <c:v>930-959</c:v>
                </c:pt>
                <c:pt idx="32">
                  <c:v>960-989</c:v>
                </c:pt>
                <c:pt idx="33">
                  <c:v>&gt;990</c:v>
                </c:pt>
              </c:strCache>
            </c:strRef>
          </c:cat>
          <c:val>
            <c:numRef>
              <c:f>Sheet1!$B$2:$B$35</c:f>
              <c:numCache>
                <c:formatCode>General</c:formatCode>
                <c:ptCount val="34"/>
                <c:pt idx="0">
                  <c:v>15</c:v>
                </c:pt>
                <c:pt idx="1">
                  <c:v>130</c:v>
                </c:pt>
                <c:pt idx="2">
                  <c:v>277</c:v>
                </c:pt>
                <c:pt idx="3">
                  <c:v>391</c:v>
                </c:pt>
                <c:pt idx="4">
                  <c:v>367</c:v>
                </c:pt>
                <c:pt idx="5">
                  <c:v>322</c:v>
                </c:pt>
                <c:pt idx="6">
                  <c:v>278</c:v>
                </c:pt>
                <c:pt idx="7">
                  <c:v>241</c:v>
                </c:pt>
                <c:pt idx="8">
                  <c:v>165</c:v>
                </c:pt>
                <c:pt idx="9">
                  <c:v>134</c:v>
                </c:pt>
                <c:pt idx="10">
                  <c:v>107</c:v>
                </c:pt>
                <c:pt idx="11">
                  <c:v>77</c:v>
                </c:pt>
                <c:pt idx="12">
                  <c:v>61</c:v>
                </c:pt>
                <c:pt idx="13">
                  <c:v>53</c:v>
                </c:pt>
                <c:pt idx="14">
                  <c:v>51</c:v>
                </c:pt>
                <c:pt idx="15">
                  <c:v>42</c:v>
                </c:pt>
                <c:pt idx="16">
                  <c:v>40</c:v>
                </c:pt>
                <c:pt idx="17">
                  <c:v>32</c:v>
                </c:pt>
                <c:pt idx="18">
                  <c:v>24</c:v>
                </c:pt>
                <c:pt idx="19">
                  <c:v>21</c:v>
                </c:pt>
                <c:pt idx="20">
                  <c:v>11</c:v>
                </c:pt>
                <c:pt idx="21">
                  <c:v>19</c:v>
                </c:pt>
                <c:pt idx="22">
                  <c:v>3</c:v>
                </c:pt>
                <c:pt idx="23">
                  <c:v>13</c:v>
                </c:pt>
                <c:pt idx="24">
                  <c:v>6</c:v>
                </c:pt>
                <c:pt idx="25">
                  <c:v>5</c:v>
                </c:pt>
                <c:pt idx="26">
                  <c:v>8</c:v>
                </c:pt>
                <c:pt idx="27">
                  <c:v>4</c:v>
                </c:pt>
                <c:pt idx="28">
                  <c:v>10</c:v>
                </c:pt>
                <c:pt idx="29">
                  <c:v>4</c:v>
                </c:pt>
                <c:pt idx="30">
                  <c:v>5</c:v>
                </c:pt>
                <c:pt idx="31">
                  <c:v>5</c:v>
                </c:pt>
                <c:pt idx="32">
                  <c:v>3</c:v>
                </c:pt>
                <c:pt idx="33">
                  <c:v>23</c:v>
                </c:pt>
              </c:numCache>
            </c:numRef>
          </c:val>
          <c:extLst>
            <c:ext xmlns:c16="http://schemas.microsoft.com/office/drawing/2014/chart" uri="{C3380CC4-5D6E-409C-BE32-E72D297353CC}">
              <c16:uniqueId val="{00000000-8AF3-4DF6-855B-5EAED58DD3E9}"/>
            </c:ext>
          </c:extLst>
        </c:ser>
        <c:dLbls>
          <c:showLegendKey val="0"/>
          <c:showVal val="0"/>
          <c:showCatName val="0"/>
          <c:showSerName val="0"/>
          <c:showPercent val="0"/>
          <c:showBubbleSize val="0"/>
        </c:dLbls>
        <c:gapWidth val="150"/>
        <c:overlap val="100"/>
        <c:axId val="740254536"/>
        <c:axId val="740254928"/>
      </c:barChart>
      <c:catAx>
        <c:axId val="7402545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0254928"/>
        <c:crosses val="autoZero"/>
        <c:auto val="1"/>
        <c:lblAlgn val="ctr"/>
        <c:lblOffset val="100"/>
        <c:noMultiLvlLbl val="0"/>
      </c:catAx>
      <c:valAx>
        <c:axId val="740254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0254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Internal time to staff</a:t>
            </a:r>
          </a:p>
          <a:p>
            <a:pPr>
              <a:defRPr sz="1200"/>
            </a:pPr>
            <a:r>
              <a:rPr lang="en-CA" sz="1200"/>
              <a:t>Public Safety Canada = 170 days</a:t>
            </a:r>
          </a:p>
          <a:p>
            <a:pPr>
              <a:defRPr sz="1200"/>
            </a:pPr>
            <a:r>
              <a:rPr lang="en-CA" sz="1200"/>
              <a:t> 2018-2019</a:t>
            </a:r>
          </a:p>
        </c:rich>
      </c:tx>
      <c:layout>
        <c:manualLayout>
          <c:xMode val="edge"/>
          <c:yMode val="edge"/>
          <c:x val="0.28914862914862915"/>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Sheet1!$A$2:$A$35</c:f>
              <c:strCache>
                <c:ptCount val="34"/>
                <c:pt idx="0">
                  <c:v>0-29</c:v>
                </c:pt>
                <c:pt idx="1">
                  <c:v>30-59</c:v>
                </c:pt>
                <c:pt idx="2">
                  <c:v>60-89</c:v>
                </c:pt>
                <c:pt idx="3">
                  <c:v>90-119</c:v>
                </c:pt>
                <c:pt idx="4">
                  <c:v>120-149</c:v>
                </c:pt>
                <c:pt idx="5">
                  <c:v>150-179</c:v>
                </c:pt>
                <c:pt idx="6">
                  <c:v>180-209</c:v>
                </c:pt>
                <c:pt idx="7">
                  <c:v>210-239</c:v>
                </c:pt>
                <c:pt idx="8">
                  <c:v>240-269</c:v>
                </c:pt>
                <c:pt idx="9">
                  <c:v>270-299</c:v>
                </c:pt>
                <c:pt idx="10">
                  <c:v>300-329</c:v>
                </c:pt>
                <c:pt idx="11">
                  <c:v>330-359</c:v>
                </c:pt>
                <c:pt idx="12">
                  <c:v>360-389</c:v>
                </c:pt>
                <c:pt idx="13">
                  <c:v>390-419</c:v>
                </c:pt>
                <c:pt idx="14">
                  <c:v>420-449</c:v>
                </c:pt>
                <c:pt idx="15">
                  <c:v>450-479</c:v>
                </c:pt>
                <c:pt idx="16">
                  <c:v>480-509</c:v>
                </c:pt>
                <c:pt idx="17">
                  <c:v>510-539</c:v>
                </c:pt>
                <c:pt idx="18">
                  <c:v>540-569</c:v>
                </c:pt>
                <c:pt idx="19">
                  <c:v>570-599</c:v>
                </c:pt>
                <c:pt idx="20">
                  <c:v>600-629</c:v>
                </c:pt>
                <c:pt idx="21">
                  <c:v>630-659</c:v>
                </c:pt>
                <c:pt idx="22">
                  <c:v>660-689</c:v>
                </c:pt>
                <c:pt idx="23">
                  <c:v>690-719</c:v>
                </c:pt>
                <c:pt idx="24">
                  <c:v>720-749</c:v>
                </c:pt>
                <c:pt idx="25">
                  <c:v>750-779</c:v>
                </c:pt>
                <c:pt idx="26">
                  <c:v>780-809</c:v>
                </c:pt>
                <c:pt idx="27">
                  <c:v>810-839</c:v>
                </c:pt>
                <c:pt idx="28">
                  <c:v>840-869</c:v>
                </c:pt>
                <c:pt idx="29">
                  <c:v>870-899</c:v>
                </c:pt>
                <c:pt idx="30">
                  <c:v>900-929</c:v>
                </c:pt>
                <c:pt idx="31">
                  <c:v>930-959</c:v>
                </c:pt>
                <c:pt idx="32">
                  <c:v>960-989</c:v>
                </c:pt>
                <c:pt idx="33">
                  <c:v>&gt;990</c:v>
                </c:pt>
              </c:strCache>
            </c:strRef>
          </c:cat>
          <c:val>
            <c:numRef>
              <c:f>Sheet1!$B$2:$B$35</c:f>
              <c:numCache>
                <c:formatCode>General</c:formatCode>
                <c:ptCount val="34"/>
                <c:pt idx="2">
                  <c:v>1</c:v>
                </c:pt>
                <c:pt idx="3" formatCode="_-* #,##0_-;\-* #,##0_-;_-* &quot;-&quot;??_-;_-@_-">
                  <c:v>4</c:v>
                </c:pt>
                <c:pt idx="4" formatCode="_-* #,##0_-;\-* #,##0_-;_-* &quot;-&quot;??_-;_-@_-">
                  <c:v>5</c:v>
                </c:pt>
                <c:pt idx="5" formatCode="_-* #,##0_-;\-* #,##0_-;_-* &quot;-&quot;??_-;_-@_-">
                  <c:v>3</c:v>
                </c:pt>
                <c:pt idx="6" formatCode="_-* #,##0_-;\-* #,##0_-;_-* &quot;-&quot;??_-;_-@_-">
                  <c:v>1</c:v>
                </c:pt>
                <c:pt idx="7" formatCode="_-* #,##0_-;\-* #,##0_-;_-* &quot;-&quot;??_-;_-@_-">
                  <c:v>2</c:v>
                </c:pt>
                <c:pt idx="8" formatCode="_-* #,##0_-;\-* #,##0_-;_-* &quot;-&quot;??_-;_-@_-">
                  <c:v>3</c:v>
                </c:pt>
                <c:pt idx="9" formatCode="_-* #,##0_-;\-* #,##0_-;_-* &quot;-&quot;??_-;_-@_-">
                  <c:v>1</c:v>
                </c:pt>
                <c:pt idx="10" formatCode="_-* #,##0_-;\-* #,##0_-;_-* &quot;-&quot;??_-;_-@_-">
                  <c:v>1</c:v>
                </c:pt>
                <c:pt idx="13" formatCode="_-* #,##0_-;\-* #,##0_-;_-* &quot;-&quot;??_-;_-@_-">
                  <c:v>1</c:v>
                </c:pt>
                <c:pt idx="17" formatCode="_-* #,##0_-;\-* #,##0_-;_-* &quot;-&quot;??_-;_-@_-">
                  <c:v>1</c:v>
                </c:pt>
              </c:numCache>
            </c:numRef>
          </c:val>
          <c:extLst>
            <c:ext xmlns:c16="http://schemas.microsoft.com/office/drawing/2014/chart" uri="{C3380CC4-5D6E-409C-BE32-E72D297353CC}">
              <c16:uniqueId val="{00000000-F5E3-41F4-9769-CFECB6074385}"/>
            </c:ext>
          </c:extLst>
        </c:ser>
        <c:dLbls>
          <c:showLegendKey val="0"/>
          <c:showVal val="0"/>
          <c:showCatName val="0"/>
          <c:showSerName val="0"/>
          <c:showPercent val="0"/>
          <c:showBubbleSize val="0"/>
        </c:dLbls>
        <c:gapWidth val="150"/>
        <c:overlap val="100"/>
        <c:axId val="747825408"/>
        <c:axId val="747825800"/>
      </c:barChart>
      <c:catAx>
        <c:axId val="7478254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7825800"/>
        <c:crosses val="autoZero"/>
        <c:auto val="1"/>
        <c:lblAlgn val="ctr"/>
        <c:lblOffset val="100"/>
        <c:noMultiLvlLbl val="0"/>
      </c:catAx>
      <c:valAx>
        <c:axId val="747825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782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time to staff</a:t>
            </a:r>
          </a:p>
          <a:p>
            <a:pPr>
              <a:defRPr sz="1200"/>
            </a:pPr>
            <a:r>
              <a:rPr lang="en-CA" sz="1200"/>
              <a:t>Public service median = 186 days</a:t>
            </a:r>
          </a:p>
          <a:p>
            <a:pPr>
              <a:defRPr sz="1200"/>
            </a:pPr>
            <a:r>
              <a:rPr lang="en-CA" sz="1200"/>
              <a:t> 2018-2019</a:t>
            </a:r>
          </a:p>
        </c:rich>
      </c:tx>
      <c:layout>
        <c:manualLayout>
          <c:xMode val="edge"/>
          <c:yMode val="edge"/>
          <c:x val="0.28931165126098374"/>
          <c:y val="1.278222837632910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Sheet1!$A$2:$A$35</c:f>
              <c:strCache>
                <c:ptCount val="34"/>
                <c:pt idx="0">
                  <c:v>0-29</c:v>
                </c:pt>
                <c:pt idx="1">
                  <c:v>30-59</c:v>
                </c:pt>
                <c:pt idx="2">
                  <c:v>60-89</c:v>
                </c:pt>
                <c:pt idx="3">
                  <c:v>90-119</c:v>
                </c:pt>
                <c:pt idx="4">
                  <c:v>120-149</c:v>
                </c:pt>
                <c:pt idx="5">
                  <c:v>150-179</c:v>
                </c:pt>
                <c:pt idx="6">
                  <c:v>180-209</c:v>
                </c:pt>
                <c:pt idx="7">
                  <c:v>210-239</c:v>
                </c:pt>
                <c:pt idx="8">
                  <c:v>240-269</c:v>
                </c:pt>
                <c:pt idx="9">
                  <c:v>270-299</c:v>
                </c:pt>
                <c:pt idx="10">
                  <c:v>300-329</c:v>
                </c:pt>
                <c:pt idx="11">
                  <c:v>330-359</c:v>
                </c:pt>
                <c:pt idx="12">
                  <c:v>360-389</c:v>
                </c:pt>
                <c:pt idx="13">
                  <c:v>390-419</c:v>
                </c:pt>
                <c:pt idx="14">
                  <c:v>420-449</c:v>
                </c:pt>
                <c:pt idx="15">
                  <c:v>450-479</c:v>
                </c:pt>
                <c:pt idx="16">
                  <c:v>480-509</c:v>
                </c:pt>
                <c:pt idx="17">
                  <c:v>510-539</c:v>
                </c:pt>
                <c:pt idx="18">
                  <c:v>540-569</c:v>
                </c:pt>
                <c:pt idx="19">
                  <c:v>570-599</c:v>
                </c:pt>
                <c:pt idx="20">
                  <c:v>600-629</c:v>
                </c:pt>
                <c:pt idx="21">
                  <c:v>630-659</c:v>
                </c:pt>
                <c:pt idx="22">
                  <c:v>660-689</c:v>
                </c:pt>
                <c:pt idx="23">
                  <c:v>690-719</c:v>
                </c:pt>
                <c:pt idx="24">
                  <c:v>720-749</c:v>
                </c:pt>
                <c:pt idx="25">
                  <c:v>750-779</c:v>
                </c:pt>
                <c:pt idx="26">
                  <c:v>780-809</c:v>
                </c:pt>
                <c:pt idx="27">
                  <c:v>810-839</c:v>
                </c:pt>
                <c:pt idx="28">
                  <c:v>840-869</c:v>
                </c:pt>
                <c:pt idx="29">
                  <c:v>870-899</c:v>
                </c:pt>
                <c:pt idx="30">
                  <c:v>900-929</c:v>
                </c:pt>
                <c:pt idx="31">
                  <c:v>930-959</c:v>
                </c:pt>
                <c:pt idx="32">
                  <c:v>960-989</c:v>
                </c:pt>
                <c:pt idx="33">
                  <c:v>&gt;990</c:v>
                </c:pt>
              </c:strCache>
            </c:strRef>
          </c:cat>
          <c:val>
            <c:numRef>
              <c:f>Sheet1!$B$2:$B$35</c:f>
              <c:numCache>
                <c:formatCode>General</c:formatCode>
                <c:ptCount val="34"/>
                <c:pt idx="0">
                  <c:v>49</c:v>
                </c:pt>
                <c:pt idx="1">
                  <c:v>82</c:v>
                </c:pt>
                <c:pt idx="2">
                  <c:v>124</c:v>
                </c:pt>
                <c:pt idx="3">
                  <c:v>160</c:v>
                </c:pt>
                <c:pt idx="4">
                  <c:v>181</c:v>
                </c:pt>
                <c:pt idx="5">
                  <c:v>179</c:v>
                </c:pt>
                <c:pt idx="6">
                  <c:v>160</c:v>
                </c:pt>
                <c:pt idx="7">
                  <c:v>139</c:v>
                </c:pt>
                <c:pt idx="8">
                  <c:v>84</c:v>
                </c:pt>
                <c:pt idx="9">
                  <c:v>73</c:v>
                </c:pt>
                <c:pt idx="10">
                  <c:v>61</c:v>
                </c:pt>
                <c:pt idx="11">
                  <c:v>41</c:v>
                </c:pt>
                <c:pt idx="12">
                  <c:v>43</c:v>
                </c:pt>
                <c:pt idx="13">
                  <c:v>49</c:v>
                </c:pt>
                <c:pt idx="14">
                  <c:v>35</c:v>
                </c:pt>
                <c:pt idx="15">
                  <c:v>22</c:v>
                </c:pt>
                <c:pt idx="16">
                  <c:v>27</c:v>
                </c:pt>
                <c:pt idx="17">
                  <c:v>17</c:v>
                </c:pt>
                <c:pt idx="18">
                  <c:v>15</c:v>
                </c:pt>
                <c:pt idx="19">
                  <c:v>14</c:v>
                </c:pt>
                <c:pt idx="20">
                  <c:v>12</c:v>
                </c:pt>
                <c:pt idx="21">
                  <c:v>7</c:v>
                </c:pt>
                <c:pt idx="22">
                  <c:v>5</c:v>
                </c:pt>
                <c:pt idx="23">
                  <c:v>7</c:v>
                </c:pt>
                <c:pt idx="24">
                  <c:v>11</c:v>
                </c:pt>
                <c:pt idx="25">
                  <c:v>3</c:v>
                </c:pt>
                <c:pt idx="26">
                  <c:v>7</c:v>
                </c:pt>
                <c:pt idx="27">
                  <c:v>2</c:v>
                </c:pt>
                <c:pt idx="28">
                  <c:v>2</c:v>
                </c:pt>
                <c:pt idx="29">
                  <c:v>0</c:v>
                </c:pt>
                <c:pt idx="30">
                  <c:v>3</c:v>
                </c:pt>
                <c:pt idx="31">
                  <c:v>1</c:v>
                </c:pt>
                <c:pt idx="32">
                  <c:v>0</c:v>
                </c:pt>
                <c:pt idx="33">
                  <c:v>0</c:v>
                </c:pt>
              </c:numCache>
            </c:numRef>
          </c:val>
          <c:extLst>
            <c:ext xmlns:c16="http://schemas.microsoft.com/office/drawing/2014/chart" uri="{C3380CC4-5D6E-409C-BE32-E72D297353CC}">
              <c16:uniqueId val="{00000000-05CE-4A08-B692-1A436C911B8A}"/>
            </c:ext>
          </c:extLst>
        </c:ser>
        <c:dLbls>
          <c:showLegendKey val="0"/>
          <c:showVal val="0"/>
          <c:showCatName val="0"/>
          <c:showSerName val="0"/>
          <c:showPercent val="0"/>
          <c:showBubbleSize val="0"/>
        </c:dLbls>
        <c:gapWidth val="150"/>
        <c:overlap val="100"/>
        <c:axId val="747823448"/>
        <c:axId val="338823848"/>
      </c:barChart>
      <c:catAx>
        <c:axId val="7478234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38823848"/>
        <c:crosses val="autoZero"/>
        <c:auto val="1"/>
        <c:lblAlgn val="ctr"/>
        <c:lblOffset val="100"/>
        <c:noMultiLvlLbl val="0"/>
      </c:catAx>
      <c:valAx>
        <c:axId val="338823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7823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Population by language requirements as of March 31, 2019 (N=1 334)</a:t>
            </a:r>
          </a:p>
        </c:rich>
      </c:tx>
      <c:layout>
        <c:manualLayout>
          <c:xMode val="edge"/>
          <c:yMode val="edge"/>
          <c:x val="0.13994484653497852"/>
          <c:y val="1.2615643397813289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823059401084E-2"/>
          <c:y val="0.34244783216227498"/>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442-4CD2-BD30-BA813D9CEF29}"/>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442-4CD2-BD30-BA813D9CEF29}"/>
              </c:ext>
            </c:extLst>
          </c:dPt>
          <c:dLbls>
            <c:dLbl>
              <c:idx val="0"/>
              <c:layout>
                <c:manualLayout>
                  <c:x val="0.12519561815336464"/>
                  <c:y val="-3.0596992072905681E-2"/>
                </c:manualLayout>
              </c:layout>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ext>
                <c:ext xmlns:c16="http://schemas.microsoft.com/office/drawing/2014/chart" uri="{C3380CC4-5D6E-409C-BE32-E72D297353CC}">
                  <c16:uniqueId val="{00000001-C442-4CD2-BD30-BA813D9CEF29}"/>
                </c:ext>
              </c:extLst>
            </c:dLbl>
            <c:dLbl>
              <c:idx val="1"/>
              <c:layout>
                <c:manualLayout>
                  <c:x val="-7.0422535211267609E-2"/>
                  <c:y val="6.2147154473204458E-2"/>
                </c:manualLayout>
              </c:layout>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ext>
                <c:ext xmlns:c16="http://schemas.microsoft.com/office/drawing/2014/chart" uri="{C3380CC4-5D6E-409C-BE32-E72D297353CC}">
                  <c16:uniqueId val="{00000003-C442-4CD2-BD30-BA813D9CEF29}"/>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681</c:v>
                </c:pt>
                <c:pt idx="1">
                  <c:v>269</c:v>
                </c:pt>
              </c:numCache>
            </c:numRef>
          </c:val>
          <c:extLst>
            <c:ext xmlns:c16="http://schemas.microsoft.com/office/drawing/2014/chart" uri="{C3380CC4-5D6E-409C-BE32-E72D297353CC}">
              <c16:uniqueId val="{00000004-C442-4CD2-BD30-BA813D9CEF29}"/>
            </c:ext>
          </c:extLst>
        </c:ser>
        <c:dLbls>
          <c:showLegendKey val="0"/>
          <c:showVal val="0"/>
          <c:showCatName val="0"/>
          <c:showSerName val="0"/>
          <c:showPercent val="0"/>
          <c:showBubbleSize val="0"/>
          <c:showLeaderLines val="1"/>
        </c:dLbls>
        <c:firstSliceAng val="1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Population by occupational group as of March 31, 2019</a:t>
            </a:r>
          </a:p>
        </c:rich>
      </c:tx>
      <c:layout>
        <c:manualLayout>
          <c:xMode val="edge"/>
          <c:yMode val="edge"/>
          <c:x val="0.13172881691675334"/>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1.3731798598940366E-2"/>
          <c:y val="0.3262233200664888"/>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CE24-44D8-BA6D-36091577F922}"/>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CE24-44D8-BA6D-36091577F922}"/>
              </c:ext>
            </c:extLst>
          </c:dPt>
          <c:dPt>
            <c:idx val="2"/>
            <c:bubble3D val="0"/>
            <c:spPr>
              <a:solidFill>
                <a:schemeClr val="accent3"/>
              </a:solidFill>
              <a:ln w="3175">
                <a:solidFill>
                  <a:schemeClr val="lt1"/>
                </a:solidFill>
              </a:ln>
              <a:effectLst/>
            </c:spPr>
            <c:extLst>
              <c:ext xmlns:c16="http://schemas.microsoft.com/office/drawing/2014/chart" uri="{C3380CC4-5D6E-409C-BE32-E72D297353CC}">
                <c16:uniqueId val="{00000005-CE24-44D8-BA6D-36091577F922}"/>
              </c:ext>
            </c:extLst>
          </c:dPt>
          <c:dPt>
            <c:idx val="3"/>
            <c:bubble3D val="0"/>
            <c:spPr>
              <a:solidFill>
                <a:schemeClr val="accent6"/>
              </a:solidFill>
              <a:ln w="3175">
                <a:solidFill>
                  <a:schemeClr val="lt1"/>
                </a:solidFill>
              </a:ln>
              <a:effectLst/>
            </c:spPr>
            <c:extLst>
              <c:ext xmlns:c16="http://schemas.microsoft.com/office/drawing/2014/chart" uri="{C3380CC4-5D6E-409C-BE32-E72D297353CC}">
                <c16:uniqueId val="{00000007-CE24-44D8-BA6D-36091577F922}"/>
              </c:ext>
            </c:extLst>
          </c:dPt>
          <c:dLbls>
            <c:dLbl>
              <c:idx val="0"/>
              <c:layout>
                <c:manualLayout>
                  <c:x val="0.13996929629079383"/>
                  <c:y val="-0.12077821011673143"/>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CE24-44D8-BA6D-36091577F922}"/>
                </c:ext>
              </c:extLst>
            </c:dLbl>
            <c:dLbl>
              <c:idx val="1"/>
              <c:layout>
                <c:manualLayout>
                  <c:x val="7.9928688159263114E-2"/>
                  <c:y val="4.200046978563477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CE24-44D8-BA6D-36091577F922}"/>
                </c:ext>
              </c:extLst>
            </c:dLbl>
            <c:dLbl>
              <c:idx val="2"/>
              <c:layout>
                <c:manualLayout>
                  <c:x val="-3.0951319764274747E-7"/>
                  <c:y val="0.1800692423174729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CE24-44D8-BA6D-36091577F922}"/>
                </c:ext>
              </c:extLst>
            </c:dLbl>
            <c:dLbl>
              <c:idx val="3"/>
              <c:layout>
                <c:manualLayout>
                  <c:x val="-0.11792463743116016"/>
                  <c:y val="6.7992279175219834E-3"/>
                </c:manualLayout>
              </c:layout>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45347397611"/>
                      <c:h val="0.16472114137483787"/>
                    </c:manualLayout>
                  </c15:layout>
                </c:ext>
                <c:ext xmlns:c16="http://schemas.microsoft.com/office/drawing/2014/chart" uri="{C3380CC4-5D6E-409C-BE32-E72D297353CC}">
                  <c16:uniqueId val="{00000007-CE24-44D8-BA6D-36091577F922}"/>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EC</c:v>
                </c:pt>
                <c:pt idx="1">
                  <c:v>AS</c:v>
                </c:pt>
                <c:pt idx="2">
                  <c:v>PM</c:v>
                </c:pt>
                <c:pt idx="3">
                  <c:v>Other</c:v>
                </c:pt>
              </c:strCache>
            </c:strRef>
          </c:cat>
          <c:val>
            <c:numRef>
              <c:f>Sheet1!$B$2:$B$5</c:f>
              <c:numCache>
                <c:formatCode>General</c:formatCode>
                <c:ptCount val="4"/>
                <c:pt idx="0">
                  <c:v>371</c:v>
                </c:pt>
                <c:pt idx="1">
                  <c:v>279</c:v>
                </c:pt>
                <c:pt idx="2">
                  <c:v>255</c:v>
                </c:pt>
                <c:pt idx="3">
                  <c:v>373</c:v>
                </c:pt>
              </c:numCache>
            </c:numRef>
          </c:val>
          <c:extLst>
            <c:ext xmlns:c16="http://schemas.microsoft.com/office/drawing/2014/chart" uri="{C3380CC4-5D6E-409C-BE32-E72D297353CC}">
              <c16:uniqueId val="{00000008-CE24-44D8-BA6D-36091577F922}"/>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Population by region as of March 31, 2019 (N=1 334)</a:t>
            </a:r>
          </a:p>
        </c:rich>
      </c:tx>
      <c:layout>
        <c:manualLayout>
          <c:xMode val="edge"/>
          <c:yMode val="edge"/>
          <c:x val="0.12624335203769829"/>
          <c:y val="5.046257359125315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4FF-42B3-BD5E-463160B90F98}"/>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4FF-42B3-BD5E-463160B90F98}"/>
              </c:ext>
            </c:extLst>
          </c:dPt>
          <c:dLbls>
            <c:dLbl>
              <c:idx val="0"/>
              <c:layout>
                <c:manualLayout>
                  <c:x val="0.20344696797293402"/>
                  <c:y val="-0.1140782991962665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FF-42B3-BD5E-463160B90F98}"/>
                </c:ext>
              </c:extLst>
            </c:dLbl>
            <c:dLbl>
              <c:idx val="1"/>
              <c:layout>
                <c:manualLayout>
                  <c:x val="-7.7894497291884759E-2"/>
                  <c:y val="0.16442667897002894"/>
                </c:manualLayout>
              </c:layout>
              <c:showLegendKey val="0"/>
              <c:showVal val="0"/>
              <c:showCatName val="1"/>
              <c:showSerName val="0"/>
              <c:showPercent val="1"/>
              <c:showBubbleSize val="0"/>
              <c:extLst>
                <c:ext xmlns:c15="http://schemas.microsoft.com/office/drawing/2012/chart" uri="{CE6537A1-D6FC-4f65-9D91-7224C49458BB}">
                  <c15:layout>
                    <c:manualLayout>
                      <c:w val="0.39828076403744322"/>
                      <c:h val="0.19315530204822404"/>
                    </c:manualLayout>
                  </c15:layout>
                </c:ext>
                <c:ext xmlns:c16="http://schemas.microsoft.com/office/drawing/2014/chart" uri="{C3380CC4-5D6E-409C-BE32-E72D297353CC}">
                  <c16:uniqueId val="{00000003-84FF-42B3-BD5E-463160B90F98}"/>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NCR</c:v>
                </c:pt>
                <c:pt idx="1">
                  <c:v>Non-NCR</c:v>
                </c:pt>
              </c:strCache>
            </c:strRef>
          </c:cat>
          <c:val>
            <c:numRef>
              <c:f>Sheet1!$B$2:$B$3</c:f>
              <c:numCache>
                <c:formatCode>0</c:formatCode>
                <c:ptCount val="2"/>
                <c:pt idx="0">
                  <c:v>1217</c:v>
                </c:pt>
                <c:pt idx="1">
                  <c:v>114</c:v>
                </c:pt>
              </c:numCache>
            </c:numRef>
          </c:val>
          <c:extLst>
            <c:ext xmlns:c16="http://schemas.microsoft.com/office/drawing/2014/chart" uri="{C3380CC4-5D6E-409C-BE32-E72D297353CC}">
              <c16:uniqueId val="{00000004-84FF-42B3-BD5E-463160B90F98}"/>
            </c:ext>
          </c:extLst>
        </c:ser>
        <c:dLbls>
          <c:showLegendKey val="0"/>
          <c:showVal val="0"/>
          <c:showCatName val="0"/>
          <c:showSerName val="0"/>
          <c:showPercent val="0"/>
          <c:showBubbleSize val="0"/>
          <c:showLeaderLines val="1"/>
        </c:dLbls>
        <c:firstSliceAng val="91"/>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External indeterminate hires by </a:t>
            </a:r>
          </a:p>
          <a:p>
            <a:pPr>
              <a:defRPr sz="1200" b="1"/>
            </a:pPr>
            <a:r>
              <a:rPr lang="en-US" sz="1200" b="1"/>
              <a:t>occupational group,</a:t>
            </a:r>
          </a:p>
          <a:p>
            <a:pPr>
              <a:defRPr sz="1200" b="1"/>
            </a:pPr>
            <a:r>
              <a:rPr lang="en-US" sz="1200" b="1"/>
              <a:t> 2018-2019 (N=80)</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7503245064219434E-2"/>
          <c:y val="0.35948391753806214"/>
          <c:w val="0.8966533531134695"/>
          <c:h val="0.48715812098290862"/>
        </c:manualLayout>
      </c:layout>
      <c:doughnutChart>
        <c:varyColors val="1"/>
        <c:ser>
          <c:idx val="0"/>
          <c:order val="0"/>
          <c:tx>
            <c:strRef>
              <c:f>Sheet1!$B$1</c:f>
              <c:strCache>
                <c:ptCount val="1"/>
                <c:pt idx="0">
                  <c:v>Population by Language Requirements as of March 31, 2016</c:v>
                </c:pt>
              </c:strCache>
            </c:strRef>
          </c:tx>
          <c:spPr>
            <a:solidFill>
              <a:schemeClr val="accent1"/>
            </a:solidFill>
            <a:ln w="6350"/>
          </c:spPr>
          <c:dPt>
            <c:idx val="0"/>
            <c:bubble3D val="0"/>
            <c:spPr>
              <a:solidFill>
                <a:schemeClr val="accent2"/>
              </a:solidFill>
              <a:ln w="6350">
                <a:solidFill>
                  <a:schemeClr val="lt1"/>
                </a:solidFill>
              </a:ln>
              <a:effectLst/>
            </c:spPr>
            <c:extLst>
              <c:ext xmlns:c16="http://schemas.microsoft.com/office/drawing/2014/chart" uri="{C3380CC4-5D6E-409C-BE32-E72D297353CC}">
                <c16:uniqueId val="{00000001-A16D-4A10-B148-607F49F2FC69}"/>
              </c:ext>
            </c:extLst>
          </c:dPt>
          <c:dPt>
            <c:idx val="1"/>
            <c:bubble3D val="0"/>
            <c:spPr>
              <a:solidFill>
                <a:schemeClr val="accent1"/>
              </a:solidFill>
              <a:ln w="6350">
                <a:solidFill>
                  <a:schemeClr val="lt1"/>
                </a:solidFill>
              </a:ln>
              <a:effectLst/>
            </c:spPr>
            <c:extLst>
              <c:ext xmlns:c16="http://schemas.microsoft.com/office/drawing/2014/chart" uri="{C3380CC4-5D6E-409C-BE32-E72D297353CC}">
                <c16:uniqueId val="{00000003-A16D-4A10-B148-607F49F2FC69}"/>
              </c:ext>
            </c:extLst>
          </c:dPt>
          <c:dPt>
            <c:idx val="2"/>
            <c:bubble3D val="0"/>
            <c:spPr>
              <a:solidFill>
                <a:schemeClr val="accent3"/>
              </a:solidFill>
              <a:ln w="6350">
                <a:solidFill>
                  <a:schemeClr val="lt1"/>
                </a:solidFill>
              </a:ln>
              <a:effectLst/>
            </c:spPr>
            <c:extLst>
              <c:ext xmlns:c16="http://schemas.microsoft.com/office/drawing/2014/chart" uri="{C3380CC4-5D6E-409C-BE32-E72D297353CC}">
                <c16:uniqueId val="{00000005-A16D-4A10-B148-607F49F2FC69}"/>
              </c:ext>
            </c:extLst>
          </c:dPt>
          <c:dPt>
            <c:idx val="3"/>
            <c:bubble3D val="0"/>
            <c:spPr>
              <a:solidFill>
                <a:schemeClr val="accent6"/>
              </a:solidFill>
              <a:ln w="6350">
                <a:solidFill>
                  <a:schemeClr val="lt1"/>
                </a:solidFill>
              </a:ln>
              <a:effectLst/>
            </c:spPr>
            <c:extLst>
              <c:ext xmlns:c16="http://schemas.microsoft.com/office/drawing/2014/chart" uri="{C3380CC4-5D6E-409C-BE32-E72D297353CC}">
                <c16:uniqueId val="{00000007-A16D-4A10-B148-607F49F2FC69}"/>
              </c:ext>
            </c:extLst>
          </c:dPt>
          <c:dLbls>
            <c:dLbl>
              <c:idx val="3"/>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7-A16D-4A10-B148-607F49F2FC69}"/>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EC</c:v>
                </c:pt>
                <c:pt idx="1">
                  <c:v>AS</c:v>
                </c:pt>
                <c:pt idx="2">
                  <c:v>PM</c:v>
                </c:pt>
                <c:pt idx="3">
                  <c:v>Other</c:v>
                </c:pt>
              </c:strCache>
            </c:strRef>
          </c:cat>
          <c:val>
            <c:numRef>
              <c:f>Sheet1!$B$2:$B$5</c:f>
              <c:numCache>
                <c:formatCode>General</c:formatCode>
                <c:ptCount val="4"/>
                <c:pt idx="0">
                  <c:v>29</c:v>
                </c:pt>
                <c:pt idx="1">
                  <c:v>21</c:v>
                </c:pt>
                <c:pt idx="2">
                  <c:v>13</c:v>
                </c:pt>
                <c:pt idx="3">
                  <c:v>17</c:v>
                </c:pt>
              </c:numCache>
            </c:numRef>
          </c:val>
          <c:extLst>
            <c:ext xmlns:c16="http://schemas.microsoft.com/office/drawing/2014/chart" uri="{C3380CC4-5D6E-409C-BE32-E72D297353CC}">
              <c16:uniqueId val="{00000008-A16D-4A10-B148-607F49F2FC69}"/>
            </c:ext>
          </c:extLst>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region</a:t>
            </a:r>
          </a:p>
        </c:rich>
      </c:tx>
      <c:layout>
        <c:manualLayout>
          <c:xMode val="edge"/>
          <c:yMode val="edge"/>
          <c:x val="0.3458152285938079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9.4894492045412282E-2"/>
          <c:w val="0.84333349635643373"/>
          <c:h val="0.55474858103818014"/>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70-40E6-A42E-01510F1C010D}"/>
                </c:ext>
              </c:extLst>
            </c:dLbl>
            <c:dLbl>
              <c:idx val="1"/>
              <c:layout>
                <c:manualLayout>
                  <c:x val="-3.3957784101821655E-3"/>
                  <c:y val="6.9966765786251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70-40E6-A42E-01510F1C010D}"/>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70-40E6-A42E-01510F1C010D}"/>
                </c:ext>
              </c:extLst>
            </c:dLbl>
            <c:dLbl>
              <c:idx val="3"/>
              <c:layout>
                <c:manualLayout>
                  <c:x val="-9.0458066355896209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70-40E6-A42E-01510F1C010D}"/>
                </c:ext>
              </c:extLst>
            </c:dLbl>
            <c:dLbl>
              <c:idx val="4"/>
              <c:layout>
                <c:manualLayout>
                  <c:x val="-4.0225570473313892E-3"/>
                  <c:y val="1.4415081969922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370-40E6-A42E-01510F1C01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0%</c:formatCode>
                <c:ptCount val="5"/>
                <c:pt idx="0">
                  <c:v>0.93</c:v>
                </c:pt>
                <c:pt idx="1">
                  <c:v>0.92</c:v>
                </c:pt>
                <c:pt idx="2">
                  <c:v>0.92</c:v>
                </c:pt>
                <c:pt idx="3">
                  <c:v>0.94</c:v>
                </c:pt>
                <c:pt idx="4">
                  <c:v>0.95</c:v>
                </c:pt>
              </c:numCache>
            </c:numRef>
          </c:val>
          <c:extLst>
            <c:ext xmlns:c16="http://schemas.microsoft.com/office/drawing/2014/chart" uri="{C3380CC4-5D6E-409C-BE32-E72D297353CC}">
              <c16:uniqueId val="{00000005-8370-40E6-A42E-01510F1C010D}"/>
            </c:ext>
          </c:extLst>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370-40E6-A42E-01510F1C010D}"/>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370-40E6-A42E-01510F1C010D}"/>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370-40E6-A42E-01510F1C010D}"/>
                </c:ext>
              </c:extLst>
            </c:dLbl>
            <c:dLbl>
              <c:idx val="3"/>
              <c:layout>
                <c:manualLayout>
                  <c:x val="1.1086474501108648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370-40E6-A42E-01510F1C010D}"/>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370-40E6-A42E-01510F1C01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0%</c:formatCode>
                <c:ptCount val="5"/>
                <c:pt idx="0">
                  <c:v>7.0000000000000007E-2</c:v>
                </c:pt>
                <c:pt idx="1">
                  <c:v>0.08</c:v>
                </c:pt>
                <c:pt idx="2">
                  <c:v>0.08</c:v>
                </c:pt>
                <c:pt idx="3">
                  <c:v>0.06</c:v>
                </c:pt>
                <c:pt idx="4">
                  <c:v>0.05</c:v>
                </c:pt>
              </c:numCache>
            </c:numRef>
          </c:val>
          <c:extLst>
            <c:ext xmlns:c16="http://schemas.microsoft.com/office/drawing/2014/chart" uri="{C3380CC4-5D6E-409C-BE32-E72D297353CC}">
              <c16:uniqueId val="{0000000B-8370-40E6-A42E-01510F1C010D}"/>
            </c:ext>
          </c:extLst>
        </c:ser>
        <c:dLbls>
          <c:showLegendKey val="0"/>
          <c:showVal val="0"/>
          <c:showCatName val="0"/>
          <c:showSerName val="0"/>
          <c:showPercent val="0"/>
          <c:showBubbleSize val="0"/>
        </c:dLbls>
        <c:gapWidth val="150"/>
        <c:axId val="758991256"/>
        <c:axId val="758992824"/>
      </c:barChart>
      <c:catAx>
        <c:axId val="758991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58992824"/>
        <c:crosses val="autoZero"/>
        <c:auto val="1"/>
        <c:lblAlgn val="ctr"/>
        <c:lblOffset val="100"/>
        <c:noMultiLvlLbl val="0"/>
      </c:catAx>
      <c:valAx>
        <c:axId val="758992824"/>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58991256"/>
        <c:crosses val="autoZero"/>
        <c:crossBetween val="between"/>
      </c:valAx>
      <c:spPr>
        <a:noFill/>
        <a:ln>
          <a:noFill/>
        </a:ln>
        <a:effectLst/>
      </c:spPr>
    </c:plotArea>
    <c:legend>
      <c:legendPos val="b"/>
      <c:layout>
        <c:manualLayout>
          <c:xMode val="edge"/>
          <c:yMode val="edge"/>
          <c:x val="0.15808585179624168"/>
          <c:y val="0.7746207952797225"/>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process type</a:t>
            </a:r>
          </a:p>
        </c:rich>
      </c:tx>
      <c:layout>
        <c:manualLayout>
          <c:xMode val="edge"/>
          <c:yMode val="edge"/>
          <c:x val="0.3458152285938079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805555555555555E-2"/>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AD-4D0D-80C3-58D7CFF6E13A}"/>
                </c:ext>
              </c:extLst>
            </c:dLbl>
            <c:dLbl>
              <c:idx val="1"/>
              <c:layout>
                <c:manualLayout>
                  <c:x val="-1.7507928696412947E-2"/>
                  <c:y val="1.0495014867937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AD-4D0D-80C3-58D7CFF6E13A}"/>
                </c:ext>
              </c:extLst>
            </c:dLbl>
            <c:dLbl>
              <c:idx val="2"/>
              <c:layout>
                <c:manualLayout>
                  <c:x val="-1.5259459755030621E-2"/>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AD-4D0D-80C3-58D7CFF6E13A}"/>
                </c:ext>
              </c:extLst>
            </c:dLbl>
            <c:dLbl>
              <c:idx val="3"/>
              <c:layout>
                <c:manualLayout>
                  <c:x val="-2.1013779527559056E-3"/>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AD-4D0D-80C3-58D7CFF6E13A}"/>
                </c:ext>
              </c:extLst>
            </c:dLbl>
            <c:dLbl>
              <c:idx val="4"/>
              <c:layout>
                <c:manualLayout>
                  <c:x val="-4.9155183727034122E-3"/>
                  <c:y val="1.79134202592351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AD-4D0D-80C3-58D7CFF6E1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Sheet1!$B$2:$B$6</c:f>
              <c:numCache>
                <c:formatCode>#\ ###</c:formatCode>
                <c:ptCount val="5"/>
                <c:pt idx="0">
                  <c:v>50</c:v>
                </c:pt>
                <c:pt idx="1">
                  <c:v>87</c:v>
                </c:pt>
                <c:pt idx="2">
                  <c:v>106</c:v>
                </c:pt>
                <c:pt idx="3">
                  <c:v>163</c:v>
                </c:pt>
                <c:pt idx="4">
                  <c:v>179</c:v>
                </c:pt>
              </c:numCache>
            </c:numRef>
          </c:val>
          <c:extLst>
            <c:ext xmlns:c16="http://schemas.microsoft.com/office/drawing/2014/chart" uri="{C3380CC4-5D6E-409C-BE32-E72D297353CC}">
              <c16:uniqueId val="{00000005-38AD-4D0D-80C3-58D7CFF6E13A}"/>
            </c:ext>
          </c:extLst>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362642169760613E-5"/>
                  <c:y val="1.3494220166680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AD-4D0D-80C3-58D7CFF6E13A}"/>
                </c:ext>
              </c:extLst>
            </c:dLbl>
            <c:dLbl>
              <c:idx val="1"/>
              <c:layout>
                <c:manualLayout>
                  <c:x val="3.4902668416447943E-3"/>
                  <c:y val="1.483681078259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AD-4D0D-80C3-58D7CFF6E13A}"/>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AD-4D0D-80C3-58D7CFF6E13A}"/>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AD-4D0D-80C3-58D7CFF6E13A}"/>
                </c:ext>
              </c:extLst>
            </c:dLbl>
            <c:dLbl>
              <c:idx val="4"/>
              <c:layout>
                <c:manualLayout>
                  <c:x val="1.0398622047244094E-2"/>
                  <c:y val="2.09900297358754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8AD-4D0D-80C3-58D7CFF6E1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Sheet1!$C$2:$C$6</c:f>
              <c:numCache>
                <c:formatCode>#\ ###</c:formatCode>
                <c:ptCount val="5"/>
                <c:pt idx="0">
                  <c:v>62</c:v>
                </c:pt>
                <c:pt idx="1">
                  <c:v>118</c:v>
                </c:pt>
                <c:pt idx="2">
                  <c:v>113</c:v>
                </c:pt>
                <c:pt idx="3">
                  <c:v>134</c:v>
                </c:pt>
                <c:pt idx="4">
                  <c:v>164</c:v>
                </c:pt>
              </c:numCache>
            </c:numRef>
          </c:val>
          <c:extLst>
            <c:ext xmlns:c16="http://schemas.microsoft.com/office/drawing/2014/chart" uri="{C3380CC4-5D6E-409C-BE32-E72D297353CC}">
              <c16:uniqueId val="{0000000B-38AD-4D0D-80C3-58D7CFF6E13A}"/>
            </c:ext>
          </c:extLst>
        </c:ser>
        <c:dLbls>
          <c:showLegendKey val="0"/>
          <c:showVal val="0"/>
          <c:showCatName val="0"/>
          <c:showSerName val="0"/>
          <c:showPercent val="0"/>
          <c:showBubbleSize val="0"/>
        </c:dLbls>
        <c:gapWidth val="150"/>
        <c:axId val="758992040"/>
        <c:axId val="758993608"/>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5434711286089232E-2"/>
                  <c:y val="-1.91783312375440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8AD-4D0D-80C3-58D7CFF6E13A}"/>
                </c:ext>
              </c:extLst>
            </c:dLbl>
            <c:dLbl>
              <c:idx val="1"/>
              <c:layout>
                <c:manualLayout>
                  <c:x val="-4.4835411198600177E-2"/>
                  <c:y val="-3.09385325434985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8AD-4D0D-80C3-58D7CFF6E13A}"/>
                </c:ext>
              </c:extLst>
            </c:dLbl>
            <c:dLbl>
              <c:idx val="2"/>
              <c:layout>
                <c:manualLayout>
                  <c:x val="-7.8052274715660605E-2"/>
                  <c:y val="-3.2333185044190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8AD-4D0D-80C3-58D7CFF6E13A}"/>
                </c:ext>
              </c:extLst>
            </c:dLbl>
            <c:dLbl>
              <c:idx val="3"/>
              <c:layout>
                <c:manualLayout>
                  <c:x val="-8.4703904199475072E-2"/>
                  <c:y val="-3.46864373280959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8AD-4D0D-80C3-58D7CFF6E13A}"/>
                </c:ext>
              </c:extLst>
            </c:dLbl>
            <c:dLbl>
              <c:idx val="4"/>
              <c:layout>
                <c:manualLayout>
                  <c:x val="-2.2050524934383201E-2"/>
                  <c:y val="-3.3468629959824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8AD-4D0D-80C3-58D7CFF6E1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Sheet1!$D$2:$D$6</c:f>
              <c:numCache>
                <c:formatCode>0%</c:formatCode>
                <c:ptCount val="5"/>
                <c:pt idx="0">
                  <c:v>0.45</c:v>
                </c:pt>
                <c:pt idx="1">
                  <c:v>0.42</c:v>
                </c:pt>
                <c:pt idx="2">
                  <c:v>0.48</c:v>
                </c:pt>
                <c:pt idx="3">
                  <c:v>0.55000000000000004</c:v>
                </c:pt>
                <c:pt idx="4">
                  <c:v>0.52</c:v>
                </c:pt>
              </c:numCache>
            </c:numRef>
          </c:val>
          <c:smooth val="0"/>
          <c:extLst>
            <c:ext xmlns:c16="http://schemas.microsoft.com/office/drawing/2014/chart" uri="{C3380CC4-5D6E-409C-BE32-E72D297353CC}">
              <c16:uniqueId val="{00000011-38AD-4D0D-80C3-58D7CFF6E13A}"/>
            </c:ext>
          </c:extLst>
        </c:ser>
        <c:dLbls>
          <c:showLegendKey val="0"/>
          <c:showVal val="0"/>
          <c:showCatName val="0"/>
          <c:showSerName val="0"/>
          <c:showPercent val="0"/>
          <c:showBubbleSize val="0"/>
        </c:dLbls>
        <c:marker val="1"/>
        <c:smooth val="0"/>
        <c:axId val="669637712"/>
        <c:axId val="758994000"/>
      </c:lineChart>
      <c:catAx>
        <c:axId val="7589920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58993608"/>
        <c:crosses val="autoZero"/>
        <c:auto val="1"/>
        <c:lblAlgn val="ctr"/>
        <c:lblOffset val="100"/>
        <c:noMultiLvlLbl val="0"/>
      </c:catAx>
      <c:valAx>
        <c:axId val="75899360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58992040"/>
        <c:crosses val="autoZero"/>
        <c:crossBetween val="between"/>
      </c:valAx>
      <c:valAx>
        <c:axId val="75899400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9637712"/>
        <c:crosses val="max"/>
        <c:crossBetween val="between"/>
      </c:valAx>
      <c:catAx>
        <c:axId val="669637712"/>
        <c:scaling>
          <c:orientation val="minMax"/>
        </c:scaling>
        <c:delete val="1"/>
        <c:axPos val="b"/>
        <c:numFmt formatCode="General" sourceLinked="1"/>
        <c:majorTickMark val="out"/>
        <c:minorTickMark val="none"/>
        <c:tickLblPos val="nextTo"/>
        <c:crossAx val="758994000"/>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appointment type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2939632545931759E-3"/>
                  <c:y val="2.1785261457702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07-4E2E-89F1-FBB1D1DCD49B}"/>
                </c:ext>
              </c:extLst>
            </c:dLbl>
            <c:dLbl>
              <c:idx val="1"/>
              <c:layout>
                <c:manualLayout>
                  <c:x val="-1.1111111111111112E-2"/>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07-4E2E-89F1-FBB1D1DCD49B}"/>
                </c:ext>
              </c:extLst>
            </c:dLbl>
            <c:dLbl>
              <c:idx val="2"/>
              <c:layout>
                <c:manualLayout>
                  <c:x val="-1.1111111111111162E-2"/>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07-4E2E-89F1-FBB1D1DCD49B}"/>
                </c:ext>
              </c:extLst>
            </c:dLbl>
            <c:dLbl>
              <c:idx val="3"/>
              <c:layout>
                <c:manualLayout>
                  <c:x val="-5.5555555555555558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07-4E2E-89F1-FBB1D1DCD49B}"/>
                </c:ext>
              </c:extLst>
            </c:dLbl>
            <c:dLbl>
              <c:idx val="4"/>
              <c:layout>
                <c:manualLayout>
                  <c:x val="-1.388888888888899E-2"/>
                  <c:y val="2.7987886129618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07-4E2E-89F1-FBB1D1DCD4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(N=511)</c:v>
                </c:pt>
                <c:pt idx="1">
                  <c:v>2015-16
(N=1 026)</c:v>
                </c:pt>
                <c:pt idx="2">
                  <c:v>2016-17 
(N=861)</c:v>
                </c:pt>
                <c:pt idx="3">
                  <c:v>2017-18
(N=821)</c:v>
                </c:pt>
                <c:pt idx="4">
                  <c:v>2018-19
(N=993)</c:v>
                </c:pt>
              </c:strCache>
            </c:strRef>
          </c:cat>
          <c:val>
            <c:numRef>
              <c:f>Sheet1!$B$3:$B$7</c:f>
              <c:numCache>
                <c:formatCode>#\ ###</c:formatCode>
                <c:ptCount val="5"/>
                <c:pt idx="0">
                  <c:v>59</c:v>
                </c:pt>
                <c:pt idx="1">
                  <c:v>114</c:v>
                </c:pt>
                <c:pt idx="2">
                  <c:v>139</c:v>
                </c:pt>
                <c:pt idx="3">
                  <c:v>150</c:v>
                </c:pt>
                <c:pt idx="4">
                  <c:v>194</c:v>
                </c:pt>
              </c:numCache>
            </c:numRef>
          </c:val>
          <c:extLst>
            <c:ext xmlns:c16="http://schemas.microsoft.com/office/drawing/2014/chart" uri="{C3380CC4-5D6E-409C-BE32-E72D297353CC}">
              <c16:uniqueId val="{00000005-1207-4E2E-89F1-FBB1D1DCD49B}"/>
            </c:ext>
          </c:extLst>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1.5680193821926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07-4E2E-89F1-FBB1D1DCD49B}"/>
                </c:ext>
              </c:extLst>
            </c:dLbl>
            <c:dLbl>
              <c:idx val="1"/>
              <c:layout>
                <c:manualLayout>
                  <c:x val="-1.1111111111111112E-2"/>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07-4E2E-89F1-FBB1D1DCD49B}"/>
                </c:ext>
              </c:extLst>
            </c:dLbl>
            <c:dLbl>
              <c:idx val="2"/>
              <c:layout>
                <c:manualLayout>
                  <c:x val="-8.3333333333333332E-3"/>
                  <c:y val="1.9965273571572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207-4E2E-89F1-FBB1D1DCD49B}"/>
                </c:ext>
              </c:extLst>
            </c:dLbl>
            <c:dLbl>
              <c:idx val="3"/>
              <c:layout>
                <c:manualLayout>
                  <c:x val="-5.5555555555555558E-3"/>
                  <c:y val="1.586270946900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207-4E2E-89F1-FBB1D1DCD49B}"/>
                </c:ext>
              </c:extLst>
            </c:dLbl>
            <c:dLbl>
              <c:idx val="4"/>
              <c:layout>
                <c:manualLayout>
                  <c:x val="-8.3333333333334356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207-4E2E-89F1-FBB1D1DCD4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(N=511)</c:v>
                </c:pt>
                <c:pt idx="1">
                  <c:v>2015-16
(N=1 026)</c:v>
                </c:pt>
                <c:pt idx="2">
                  <c:v>2016-17 
(N=861)</c:v>
                </c:pt>
                <c:pt idx="3">
                  <c:v>2017-18
(N=821)</c:v>
                </c:pt>
                <c:pt idx="4">
                  <c:v>2018-19
(N=993)</c:v>
                </c:pt>
              </c:strCache>
            </c:strRef>
          </c:cat>
          <c:val>
            <c:numRef>
              <c:f>Sheet1!$C$3:$C$7</c:f>
              <c:numCache>
                <c:formatCode>#\ ###</c:formatCode>
                <c:ptCount val="5"/>
                <c:pt idx="0">
                  <c:v>132</c:v>
                </c:pt>
                <c:pt idx="1">
                  <c:v>332</c:v>
                </c:pt>
                <c:pt idx="2">
                  <c:v>200</c:v>
                </c:pt>
                <c:pt idx="3">
                  <c:v>169</c:v>
                </c:pt>
                <c:pt idx="4">
                  <c:v>218</c:v>
                </c:pt>
              </c:numCache>
            </c:numRef>
          </c:val>
          <c:extLst>
            <c:ext xmlns:c16="http://schemas.microsoft.com/office/drawing/2014/chart" uri="{C3380CC4-5D6E-409C-BE32-E72D297353CC}">
              <c16:uniqueId val="{0000000B-1207-4E2E-89F1-FBB1D1DCD49B}"/>
            </c:ext>
          </c:extLst>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207-4E2E-89F1-FBB1D1DCD49B}"/>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207-4E2E-89F1-FBB1D1DCD49B}"/>
                </c:ext>
              </c:extLst>
            </c:dLbl>
            <c:dLbl>
              <c:idx val="2"/>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207-4E2E-89F1-FBB1D1DCD49B}"/>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207-4E2E-89F1-FBB1D1DCD49B}"/>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207-4E2E-89F1-FBB1D1DCD4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(N=511)</c:v>
                </c:pt>
                <c:pt idx="1">
                  <c:v>2015-16
(N=1 026)</c:v>
                </c:pt>
                <c:pt idx="2">
                  <c:v>2016-17 
(N=861)</c:v>
                </c:pt>
                <c:pt idx="3">
                  <c:v>2017-18
(N=821)</c:v>
                </c:pt>
                <c:pt idx="4">
                  <c:v>2018-19
(N=993)</c:v>
                </c:pt>
              </c:strCache>
            </c:strRef>
          </c:cat>
          <c:val>
            <c:numRef>
              <c:f>Sheet1!$D$3:$D$7</c:f>
              <c:numCache>
                <c:formatCode>#\ ###</c:formatCode>
                <c:ptCount val="5"/>
                <c:pt idx="0">
                  <c:v>257</c:v>
                </c:pt>
                <c:pt idx="1">
                  <c:v>479</c:v>
                </c:pt>
                <c:pt idx="2">
                  <c:v>445</c:v>
                </c:pt>
                <c:pt idx="3">
                  <c:v>407</c:v>
                </c:pt>
                <c:pt idx="4">
                  <c:v>513</c:v>
                </c:pt>
              </c:numCache>
            </c:numRef>
          </c:val>
          <c:extLst>
            <c:ext xmlns:c16="http://schemas.microsoft.com/office/drawing/2014/chart" uri="{C3380CC4-5D6E-409C-BE32-E72D297353CC}">
              <c16:uniqueId val="{00000011-1207-4E2E-89F1-FBB1D1DCD49B}"/>
            </c:ext>
          </c:extLst>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5462668816039986E-17"/>
                  <c:y val="1.5497678174843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207-4E2E-89F1-FBB1D1DCD49B}"/>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207-4E2E-89F1-FBB1D1DCD49B}"/>
                </c:ext>
              </c:extLst>
            </c:dLbl>
            <c:dLbl>
              <c:idx val="2"/>
              <c:layout>
                <c:manualLayout>
                  <c:x val="0"/>
                  <c:y val="2.0695336159903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207-4E2E-89F1-FBB1D1DCD49B}"/>
                </c:ext>
              </c:extLst>
            </c:dLbl>
            <c:dLbl>
              <c:idx val="3"/>
              <c:layout>
                <c:manualLayout>
                  <c:x val="8.285214348206474E-4"/>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207-4E2E-89F1-FBB1D1DCD49B}"/>
                </c:ext>
              </c:extLst>
            </c:dLbl>
            <c:dLbl>
              <c:idx val="4"/>
              <c:layout>
                <c:manualLayout>
                  <c:x val="8.285214348206474E-4"/>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207-4E2E-89F1-FBB1D1DCD4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(N=511)</c:v>
                </c:pt>
                <c:pt idx="1">
                  <c:v>2015-16
(N=1 026)</c:v>
                </c:pt>
                <c:pt idx="2">
                  <c:v>2016-17 
(N=861)</c:v>
                </c:pt>
                <c:pt idx="3">
                  <c:v>2017-18
(N=821)</c:v>
                </c:pt>
                <c:pt idx="4">
                  <c:v>2018-19
(N=993)</c:v>
                </c:pt>
              </c:strCache>
            </c:strRef>
          </c:cat>
          <c:val>
            <c:numRef>
              <c:f>Sheet1!$E$3:$E$7</c:f>
              <c:numCache>
                <c:formatCode>#\ ###</c:formatCode>
                <c:ptCount val="5"/>
                <c:pt idx="0">
                  <c:v>63</c:v>
                </c:pt>
                <c:pt idx="1">
                  <c:v>101</c:v>
                </c:pt>
                <c:pt idx="2">
                  <c:v>77</c:v>
                </c:pt>
                <c:pt idx="3">
                  <c:v>95</c:v>
                </c:pt>
                <c:pt idx="4">
                  <c:v>68</c:v>
                </c:pt>
              </c:numCache>
            </c:numRef>
          </c:val>
          <c:extLst>
            <c:ext xmlns:c16="http://schemas.microsoft.com/office/drawing/2014/chart" uri="{C3380CC4-5D6E-409C-BE32-E72D297353CC}">
              <c16:uniqueId val="{00000017-1207-4E2E-89F1-FBB1D1DCD49B}"/>
            </c:ext>
          </c:extLst>
        </c:ser>
        <c:dLbls>
          <c:showLegendKey val="0"/>
          <c:showVal val="0"/>
          <c:showCatName val="0"/>
          <c:showSerName val="0"/>
          <c:showPercent val="0"/>
          <c:showBubbleSize val="0"/>
        </c:dLbls>
        <c:gapWidth val="150"/>
        <c:shape val="box"/>
        <c:axId val="669640064"/>
        <c:axId val="669638496"/>
        <c:axId val="0"/>
      </c:bar3DChart>
      <c:catAx>
        <c:axId val="6696400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9638496"/>
        <c:crosses val="autoZero"/>
        <c:auto val="0"/>
        <c:lblAlgn val="ctr"/>
        <c:lblOffset val="100"/>
        <c:noMultiLvlLbl val="0"/>
      </c:catAx>
      <c:valAx>
        <c:axId val="66963849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9640064"/>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tenure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45-4D9E-A408-DBF488A1B4DC}"/>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45-4D9E-A408-DBF488A1B4DC}"/>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45-4D9E-A408-DBF488A1B4DC}"/>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45-4D9E-A408-DBF488A1B4DC}"/>
                </c:ext>
              </c:extLst>
            </c:dLbl>
            <c:dLbl>
              <c:idx val="4"/>
              <c:layout>
                <c:manualLayout>
                  <c:x val="-2.7777777777778798E-3"/>
                  <c:y val="1.960024227740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45-4D9E-A408-DBF488A1B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(N=511)</c:v>
                </c:pt>
                <c:pt idx="1">
                  <c:v>2015-16
 (N=1 026)</c:v>
                </c:pt>
                <c:pt idx="2">
                  <c:v>2016-17
 (N=861)</c:v>
                </c:pt>
                <c:pt idx="3">
                  <c:v>2017-18
 (N=821)</c:v>
                </c:pt>
                <c:pt idx="4">
                  <c:v>2018-19
 (N=993)</c:v>
                </c:pt>
              </c:strCache>
            </c:strRef>
          </c:cat>
          <c:val>
            <c:numRef>
              <c:f>Sheet1!$B$2:$B$6</c:f>
              <c:numCache>
                <c:formatCode>#\ ###</c:formatCode>
                <c:ptCount val="5"/>
                <c:pt idx="0">
                  <c:v>268</c:v>
                </c:pt>
                <c:pt idx="1">
                  <c:v>580</c:v>
                </c:pt>
                <c:pt idx="2">
                  <c:v>468</c:v>
                </c:pt>
                <c:pt idx="3">
                  <c:v>461</c:v>
                </c:pt>
                <c:pt idx="4">
                  <c:v>549</c:v>
                </c:pt>
              </c:numCache>
            </c:numRef>
          </c:val>
          <c:extLst>
            <c:ext xmlns:c16="http://schemas.microsoft.com/office/drawing/2014/chart" uri="{C3380CC4-5D6E-409C-BE32-E72D297353CC}">
              <c16:uniqueId val="{00000005-C545-4D9E-A408-DBF488A1B4DC}"/>
            </c:ext>
          </c:extLst>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9417726630324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545-4D9E-A408-DBF488A1B4DC}"/>
                </c:ext>
              </c:extLst>
            </c:dLbl>
            <c:dLbl>
              <c:idx val="1"/>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545-4D9E-A408-DBF488A1B4DC}"/>
                </c:ext>
              </c:extLst>
            </c:dLbl>
            <c:dLbl>
              <c:idx val="2"/>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545-4D9E-A408-DBF488A1B4DC}"/>
                </c:ext>
              </c:extLst>
            </c:dLbl>
            <c:dLbl>
              <c:idx val="3"/>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545-4D9E-A408-DBF488A1B4DC}"/>
                </c:ext>
              </c:extLst>
            </c:dLbl>
            <c:dLbl>
              <c:idx val="4"/>
              <c:layout>
                <c:manualLayout>
                  <c:x val="-1.0185067526415994E-16"/>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545-4D9E-A408-DBF488A1B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(N=511)</c:v>
                </c:pt>
                <c:pt idx="1">
                  <c:v>2015-16
 (N=1 026)</c:v>
                </c:pt>
                <c:pt idx="2">
                  <c:v>2016-17
 (N=861)</c:v>
                </c:pt>
                <c:pt idx="3">
                  <c:v>2017-18
 (N=821)</c:v>
                </c:pt>
                <c:pt idx="4">
                  <c:v>2018-19
 (N=993)</c:v>
                </c:pt>
              </c:strCache>
            </c:strRef>
          </c:cat>
          <c:val>
            <c:numRef>
              <c:f>Sheet1!$C$2:$C$6</c:f>
              <c:numCache>
                <c:formatCode>#\ ###</c:formatCode>
                <c:ptCount val="5"/>
                <c:pt idx="0">
                  <c:v>21</c:v>
                </c:pt>
                <c:pt idx="1">
                  <c:v>79</c:v>
                </c:pt>
                <c:pt idx="2">
                  <c:v>61</c:v>
                </c:pt>
                <c:pt idx="3">
                  <c:v>68</c:v>
                </c:pt>
                <c:pt idx="4">
                  <c:v>94</c:v>
                </c:pt>
              </c:numCache>
            </c:numRef>
          </c:val>
          <c:extLst>
            <c:ext xmlns:c16="http://schemas.microsoft.com/office/drawing/2014/chart" uri="{C3380CC4-5D6E-409C-BE32-E72D297353CC}">
              <c16:uniqueId val="{0000000B-C545-4D9E-A408-DBF488A1B4DC}"/>
            </c:ext>
          </c:extLst>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4432868968302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545-4D9E-A408-DBF488A1B4DC}"/>
                </c:ext>
              </c:extLst>
            </c:dLbl>
            <c:dLbl>
              <c:idx val="1"/>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545-4D9E-A408-DBF488A1B4DC}"/>
                </c:ext>
              </c:extLst>
            </c:dLbl>
            <c:dLbl>
              <c:idx val="2"/>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545-4D9E-A408-DBF488A1B4DC}"/>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545-4D9E-A408-DBF488A1B4DC}"/>
                </c:ext>
              </c:extLst>
            </c:dLbl>
            <c:dLbl>
              <c:idx val="4"/>
              <c:layout>
                <c:manualLayout>
                  <c:x val="5.5555555555553519E-3"/>
                  <c:y val="2.3885322027054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545-4D9E-A408-DBF488A1B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(N=511)</c:v>
                </c:pt>
                <c:pt idx="1">
                  <c:v>2015-16
 (N=1 026)</c:v>
                </c:pt>
                <c:pt idx="2">
                  <c:v>2016-17
 (N=861)</c:v>
                </c:pt>
                <c:pt idx="3">
                  <c:v>2017-18
 (N=821)</c:v>
                </c:pt>
                <c:pt idx="4">
                  <c:v>2018-19
 (N=993)</c:v>
                </c:pt>
              </c:strCache>
            </c:strRef>
          </c:cat>
          <c:val>
            <c:numRef>
              <c:f>Sheet1!$D$2:$D$6</c:f>
              <c:numCache>
                <c:formatCode>#\ ###</c:formatCode>
                <c:ptCount val="5"/>
                <c:pt idx="0">
                  <c:v>140</c:v>
                </c:pt>
                <c:pt idx="1">
                  <c:v>225</c:v>
                </c:pt>
                <c:pt idx="2">
                  <c:v>217</c:v>
                </c:pt>
                <c:pt idx="3">
                  <c:v>185</c:v>
                </c:pt>
                <c:pt idx="4">
                  <c:v>241</c:v>
                </c:pt>
              </c:numCache>
            </c:numRef>
          </c:val>
          <c:extLst>
            <c:ext xmlns:c16="http://schemas.microsoft.com/office/drawing/2014/chart" uri="{C3380CC4-5D6E-409C-BE32-E72D297353CC}">
              <c16:uniqueId val="{00000011-C545-4D9E-A408-DBF488A1B4DC}"/>
            </c:ext>
          </c:extLst>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545-4D9E-A408-DBF488A1B4DC}"/>
                </c:ext>
              </c:extLst>
            </c:dLbl>
            <c:dLbl>
              <c:idx val="1"/>
              <c:layout>
                <c:manualLayout>
                  <c:x val="5.5555555555555046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545-4D9E-A408-DBF488A1B4DC}"/>
                </c:ext>
              </c:extLst>
            </c:dLbl>
            <c:dLbl>
              <c:idx val="2"/>
              <c:layout>
                <c:manualLayout>
                  <c:x val="2.777777777777676E-3"/>
                  <c:y val="2.7622854835453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545-4D9E-A408-DBF488A1B4DC}"/>
                </c:ext>
              </c:extLst>
            </c:dLbl>
            <c:dLbl>
              <c:idx val="3"/>
              <c:layout>
                <c:manualLayout>
                  <c:x val="8.3333333333334356E-3"/>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545-4D9E-A408-DBF488A1B4DC}"/>
                </c:ext>
              </c:extLst>
            </c:dLbl>
            <c:dLbl>
              <c:idx val="4"/>
              <c:layout>
                <c:manualLayout>
                  <c:x val="2.777777777777879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545-4D9E-A408-DBF488A1B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(N=511)</c:v>
                </c:pt>
                <c:pt idx="1">
                  <c:v>2015-16
 (N=1 026)</c:v>
                </c:pt>
                <c:pt idx="2">
                  <c:v>2016-17
 (N=861)</c:v>
                </c:pt>
                <c:pt idx="3">
                  <c:v>2017-18
 (N=821)</c:v>
                </c:pt>
                <c:pt idx="4">
                  <c:v>2018-19
 (N=993)</c:v>
                </c:pt>
              </c:strCache>
            </c:strRef>
          </c:cat>
          <c:val>
            <c:numRef>
              <c:f>Sheet1!$E$2:$E$6</c:f>
              <c:numCache>
                <c:formatCode>#\ ###</c:formatCode>
                <c:ptCount val="5"/>
                <c:pt idx="0">
                  <c:v>82</c:v>
                </c:pt>
                <c:pt idx="1">
                  <c:v>142</c:v>
                </c:pt>
                <c:pt idx="2">
                  <c:v>115</c:v>
                </c:pt>
                <c:pt idx="3">
                  <c:v>107</c:v>
                </c:pt>
                <c:pt idx="4">
                  <c:v>109</c:v>
                </c:pt>
              </c:numCache>
            </c:numRef>
          </c:val>
          <c:extLst>
            <c:ext xmlns:c16="http://schemas.microsoft.com/office/drawing/2014/chart" uri="{C3380CC4-5D6E-409C-BE32-E72D297353CC}">
              <c16:uniqueId val="{00000017-C545-4D9E-A408-DBF488A1B4DC}"/>
            </c:ext>
          </c:extLst>
        </c:ser>
        <c:dLbls>
          <c:showLegendKey val="0"/>
          <c:showVal val="1"/>
          <c:showCatName val="0"/>
          <c:showSerName val="0"/>
          <c:showPercent val="0"/>
          <c:showBubbleSize val="0"/>
        </c:dLbls>
        <c:gapWidth val="150"/>
        <c:shape val="box"/>
        <c:axId val="669638888"/>
        <c:axId val="669640456"/>
        <c:axId val="0"/>
      </c:bar3DChart>
      <c:catAx>
        <c:axId val="669638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9640456"/>
        <c:crosses val="autoZero"/>
        <c:auto val="1"/>
        <c:lblAlgn val="ctr"/>
        <c:lblOffset val="100"/>
        <c:noMultiLvlLbl val="0"/>
      </c:catAx>
      <c:valAx>
        <c:axId val="66964045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9638888"/>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384</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3</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a:t>
          </a:r>
          <a:r>
            <a:rPr lang="en-CA" sz="850" baseline="0"/>
            <a:t>Includes indeterminate and specified term appointments</a:t>
          </a:r>
        </a:p>
        <a:p xmlns:a="http://schemas.openxmlformats.org/drawingml/2006/main">
          <a:pPr>
            <a:lnSpc>
              <a:spcPts val="900"/>
            </a:lnSpc>
          </a:pPr>
          <a:r>
            <a:rPr lang="en-CA" sz="850" baseline="0"/>
            <a:t>-Excludes lateral and downward movements, deployments and acting appointments  of less than 4 months</a:t>
          </a:r>
        </a:p>
        <a:p xmlns:a="http://schemas.openxmlformats.org/drawingml/2006/main">
          <a:pPr>
            <a:lnSpc>
              <a:spcPts val="900"/>
            </a:lnSpc>
          </a:pPr>
          <a:r>
            <a:rPr lang="en-CA" sz="850" baseline="0"/>
            <a:t>-Includes only appointments where the staffing process type is known </a:t>
          </a:r>
          <a:r>
            <a:rPr lang="en-CA" sz="850" baseline="0">
              <a:solidFill>
                <a:sysClr val="windowText" lastClr="000000"/>
              </a:solidFill>
            </a:rPr>
            <a:t>(63% to 83</a:t>
          </a:r>
          <a:r>
            <a:rPr lang="en-CA" sz="850" baseline="0"/>
            <a:t>% of appointments)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0.85764</cdr:y>
    </cdr:from>
    <cdr:to>
      <cdr:x>0.89136</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50"/>
          <a:ext cx="3045042" cy="471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1100"/>
            <a:t>* </a:t>
          </a:r>
          <a:r>
            <a:rPr lang="en-CA" sz="800"/>
            <a:t>Hires with experience in a federal student recruitment program within the last 10 years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0.24797</cdr:x>
      <cdr:y>0.19651</cdr:y>
    </cdr:from>
    <cdr:to>
      <cdr:x>0.24936</cdr:x>
      <cdr:y>0.74653</cdr:y>
    </cdr:to>
    <cdr:cxnSp macro="">
      <cdr:nvCxnSpPr>
        <cdr:cNvPr id="5" name="Straight Connector 4" descr="Median line fof the specified organization's internal time to staff graphic"/>
        <cdr:cNvCxnSpPr/>
      </cdr:nvCxnSpPr>
      <cdr:spPr>
        <a:xfrm xmlns:a="http://schemas.openxmlformats.org/drawingml/2006/main" flipV="1">
          <a:off x="1091198" y="557780"/>
          <a:ext cx="6116"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0.24895</cdr:x>
      <cdr:y>0.21675</cdr:y>
    </cdr:from>
    <cdr:to>
      <cdr:x>0.25034</cdr:x>
      <cdr:y>0.76677</cdr:y>
    </cdr:to>
    <cdr:cxnSp macro="">
      <cdr:nvCxnSpPr>
        <cdr:cNvPr id="5" name="Straight Connector 4" descr="Median line fof the specified organization's internal time to staff graphic"/>
        <cdr:cNvCxnSpPr/>
      </cdr:nvCxnSpPr>
      <cdr:spPr>
        <a:xfrm xmlns:a="http://schemas.openxmlformats.org/drawingml/2006/main" flipV="1">
          <a:off x="1095534" y="600780"/>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0.26302</cdr:x>
      <cdr:y>0.19986</cdr:y>
    </cdr:from>
    <cdr:to>
      <cdr:x>0.26441</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52409" y="568689"/>
          <a:ext cx="6090" cy="1565046"/>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21014-06DA-49BB-BDE0-5ECD6C3F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4</TotalTime>
  <Pages>28</Pages>
  <Words>4401</Words>
  <Characters>25091</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Nicolas Lacroix</cp:lastModifiedBy>
  <cp:revision>3</cp:revision>
  <dcterms:created xsi:type="dcterms:W3CDTF">2022-03-04T19:38:00Z</dcterms:created>
  <dcterms:modified xsi:type="dcterms:W3CDTF">2022-04-12T17:20:00Z</dcterms:modified>
</cp:coreProperties>
</file>