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4.xml" ContentType="application/vnd.openxmlformats-officedocument.wordprocessingml.footer+xml"/>
  <Override PartName="/word/footer5.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2.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3.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4.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5.xml" ContentType="application/vnd.openxmlformats-officedocument.drawingml.chartshapes+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drawings/drawing6.xml" ContentType="application/vnd.openxmlformats-officedocument.drawingml.chartshapes+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drawings/drawing7.xml" ContentType="application/vnd.openxmlformats-officedocument.drawingml.chartshapes+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drawings/drawing8.xml" ContentType="application/vnd.openxmlformats-officedocument.drawingml.chartshapes+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D1400" w14:textId="77777777" w:rsidR="00591DC8" w:rsidRPr="00E76E17" w:rsidRDefault="00036953" w:rsidP="00E76E17">
      <w:pPr>
        <w:pStyle w:val="Heading1"/>
        <w:jc w:val="center"/>
        <w:rPr>
          <w:sz w:val="52"/>
        </w:rPr>
      </w:pPr>
      <w:r w:rsidRPr="00E76E17">
        <w:rPr>
          <w:sz w:val="52"/>
        </w:rPr>
        <w:t xml:space="preserve">Réunion </w:t>
      </w:r>
      <w:r w:rsidR="00581367" w:rsidRPr="00E76E17">
        <w:rPr>
          <w:sz w:val="52"/>
        </w:rPr>
        <w:t>du</w:t>
      </w:r>
      <w:r w:rsidRPr="00E76E17">
        <w:rPr>
          <w:sz w:val="52"/>
        </w:rPr>
        <w:t xml:space="preserve"> président </w:t>
      </w:r>
      <w:r w:rsidR="00581367" w:rsidRPr="00E76E17">
        <w:rPr>
          <w:sz w:val="52"/>
        </w:rPr>
        <w:t xml:space="preserve">avec </w:t>
      </w:r>
      <w:r w:rsidRPr="00E76E17">
        <w:rPr>
          <w:sz w:val="52"/>
        </w:rPr>
        <w:t>M. Rob Stewart, sous-ministre de Sécurité publique</w:t>
      </w:r>
    </w:p>
    <w:p w14:paraId="1D252483" w14:textId="77777777" w:rsidR="00591DC8" w:rsidRPr="00E76E17" w:rsidRDefault="00F617C6" w:rsidP="00E76E17">
      <w:pPr>
        <w:pStyle w:val="Heading1"/>
        <w:spacing w:before="0" w:after="240"/>
        <w:jc w:val="center"/>
        <w:rPr>
          <w:sz w:val="52"/>
        </w:rPr>
      </w:pPr>
      <w:r w:rsidRPr="00E76E17">
        <w:rPr>
          <w:sz w:val="52"/>
        </w:rPr>
        <w:t>14</w:t>
      </w:r>
      <w:r w:rsidR="004B6811" w:rsidRPr="00E76E17">
        <w:rPr>
          <w:sz w:val="52"/>
        </w:rPr>
        <w:t> </w:t>
      </w:r>
      <w:r w:rsidR="00036953" w:rsidRPr="00E76E17">
        <w:rPr>
          <w:sz w:val="52"/>
        </w:rPr>
        <w:t>février</w:t>
      </w:r>
      <w:r w:rsidR="004B6811" w:rsidRPr="00E76E17">
        <w:rPr>
          <w:sz w:val="52"/>
        </w:rPr>
        <w:t> </w:t>
      </w:r>
      <w:r w:rsidRPr="00E76E17">
        <w:rPr>
          <w:sz w:val="52"/>
        </w:rPr>
        <w:t>2020</w:t>
      </w:r>
    </w:p>
    <w:p w14:paraId="34F66745" w14:textId="77777777" w:rsidR="006D1AFD" w:rsidRPr="00E76E17" w:rsidRDefault="00F861D1" w:rsidP="004F458A">
      <w:pPr>
        <w:pStyle w:val="Heading2"/>
        <w:rPr>
          <w:lang w:val="fr-CA"/>
        </w:rPr>
      </w:pPr>
      <w:r w:rsidRPr="00E76E17">
        <w:rPr>
          <w:lang w:val="fr-CA"/>
        </w:rPr>
        <w:t>Introduction</w:t>
      </w:r>
    </w:p>
    <w:p w14:paraId="6BE485F3" w14:textId="77777777" w:rsidR="006D1AFD" w:rsidRPr="008F610A" w:rsidRDefault="00591DC8" w:rsidP="004F458A">
      <w:pPr>
        <w:pStyle w:val="Heading3"/>
        <w:rPr>
          <w:u w:val="single"/>
          <w:lang w:val="fr-CA"/>
        </w:rPr>
      </w:pPr>
      <w:r w:rsidRPr="008F610A">
        <w:rPr>
          <w:lang w:val="fr-CA"/>
        </w:rPr>
        <w:t>Administrateur général</w:t>
      </w:r>
    </w:p>
    <w:p w14:paraId="38F3AAD9" w14:textId="77777777" w:rsidR="00591DC8" w:rsidRPr="008F610A" w:rsidRDefault="00591DC8" w:rsidP="008F610A">
      <w:pPr>
        <w:pStyle w:val="NoSpacing"/>
        <w:spacing w:after="120"/>
        <w:rPr>
          <w:rFonts w:asciiTheme="minorHAnsi" w:hAnsiTheme="minorHAnsi" w:cstheme="minorHAnsi"/>
          <w:sz w:val="22"/>
          <w:szCs w:val="22"/>
          <w:lang w:val="fr-CA"/>
        </w:rPr>
      </w:pPr>
      <w:r w:rsidRPr="008F610A">
        <w:rPr>
          <w:rFonts w:asciiTheme="minorHAnsi" w:hAnsiTheme="minorHAnsi"/>
          <w:sz w:val="22"/>
          <w:szCs w:val="22"/>
          <w:lang w:val="fr-CA"/>
        </w:rPr>
        <w:t>Monsieur Rob</w:t>
      </w:r>
      <w:r w:rsidR="007E3AA8" w:rsidRPr="008F610A">
        <w:rPr>
          <w:rFonts w:asciiTheme="minorHAnsi" w:hAnsiTheme="minorHAnsi"/>
          <w:sz w:val="22"/>
          <w:szCs w:val="22"/>
          <w:lang w:val="fr-CA"/>
        </w:rPr>
        <w:t> </w:t>
      </w:r>
      <w:r w:rsidRPr="008F610A">
        <w:rPr>
          <w:rFonts w:asciiTheme="minorHAnsi" w:hAnsiTheme="minorHAnsi"/>
          <w:sz w:val="22"/>
          <w:szCs w:val="22"/>
          <w:lang w:val="fr-CA"/>
        </w:rPr>
        <w:t xml:space="preserve">Stewart a été nommé sous-ministre de Sécurité publique Canada (SP) le 11 décembre 2019. </w:t>
      </w:r>
    </w:p>
    <w:p w14:paraId="76EE0C23" w14:textId="77777777" w:rsidR="008F610A" w:rsidRPr="008F610A" w:rsidRDefault="008F610A" w:rsidP="008F610A">
      <w:pPr>
        <w:pStyle w:val="NoSpacing"/>
        <w:spacing w:after="120"/>
        <w:rPr>
          <w:rFonts w:asciiTheme="minorHAnsi" w:hAnsiTheme="minorHAnsi" w:cstheme="minorHAnsi"/>
          <w:sz w:val="22"/>
          <w:szCs w:val="22"/>
          <w:lang w:val="fr-CA"/>
        </w:rPr>
      </w:pPr>
      <w:r w:rsidRPr="008F610A">
        <w:rPr>
          <w:rFonts w:asciiTheme="minorHAnsi" w:hAnsiTheme="minorHAnsi" w:cstheme="minorHAnsi"/>
          <w:sz w:val="22"/>
          <w:szCs w:val="22"/>
          <w:lang w:val="fr-CA"/>
        </w:rPr>
        <w:t xml:space="preserve">M. Stewart exerce l’autorité de la Commission de la fonction publique (CFP) pour la première fois en tant qu’Administrateur Général (AG).  Une copie du document Faits Saillants de la Nouvelle orientation en dotation (NOD) pour les AG est jointe à </w:t>
      </w:r>
      <w:hyperlink w:anchor="Annexe_A" w:history="1">
        <w:r w:rsidRPr="00BF469C">
          <w:rPr>
            <w:rStyle w:val="Hyperlink"/>
            <w:rFonts w:asciiTheme="minorHAnsi" w:hAnsiTheme="minorHAnsi" w:cstheme="minorHAnsi"/>
            <w:sz w:val="22"/>
            <w:szCs w:val="22"/>
            <w:lang w:val="fr-CA"/>
          </w:rPr>
          <w:t>l’annexe A.</w:t>
        </w:r>
      </w:hyperlink>
    </w:p>
    <w:p w14:paraId="25549B98" w14:textId="77777777" w:rsidR="006D1AFD" w:rsidRPr="008F610A" w:rsidRDefault="006D1AFD" w:rsidP="004F458A">
      <w:pPr>
        <w:pStyle w:val="Heading2"/>
        <w:rPr>
          <w:lang w:val="fr-CA"/>
        </w:rPr>
      </w:pPr>
      <w:r w:rsidRPr="008F610A">
        <w:rPr>
          <w:lang w:val="fr-CA"/>
        </w:rPr>
        <w:t>Contexte organisationnel</w:t>
      </w:r>
    </w:p>
    <w:p w14:paraId="39E1D9E1" w14:textId="77777777" w:rsidR="006D1AFD" w:rsidRPr="008F610A" w:rsidRDefault="001D3A1C" w:rsidP="004F458A">
      <w:pPr>
        <w:pStyle w:val="Heading3"/>
        <w:rPr>
          <w:lang w:val="fr-CA"/>
        </w:rPr>
      </w:pPr>
      <w:r w:rsidRPr="008F610A">
        <w:rPr>
          <w:lang w:val="fr-CA"/>
        </w:rPr>
        <w:t>Mandat</w:t>
      </w:r>
    </w:p>
    <w:p w14:paraId="28706767" w14:textId="55A7B713" w:rsidR="00591DC8" w:rsidRPr="008F610A" w:rsidRDefault="00591DC8" w:rsidP="008F610A">
      <w:pPr>
        <w:spacing w:after="120"/>
        <w:rPr>
          <w:rFonts w:asciiTheme="minorHAnsi" w:hAnsiTheme="minorHAnsi" w:cstheme="minorHAnsi"/>
          <w:sz w:val="22"/>
          <w:szCs w:val="22"/>
          <w:lang w:val="fr-CA"/>
        </w:rPr>
      </w:pPr>
      <w:r w:rsidRPr="008F610A">
        <w:rPr>
          <w:rFonts w:asciiTheme="minorHAnsi" w:hAnsiTheme="minorHAnsi"/>
          <w:sz w:val="22"/>
          <w:szCs w:val="22"/>
          <w:lang w:val="fr-CA"/>
        </w:rPr>
        <w:t xml:space="preserve">SP a été créé en 2003 pour assurer la coordination entre les ministères et les organismes fédéraux responsables de la sécurité nationale et de la sécurité des Canadiens. La </w:t>
      </w:r>
      <w:r w:rsidRPr="008F610A">
        <w:rPr>
          <w:rStyle w:val="Emphasis"/>
          <w:rFonts w:asciiTheme="minorHAnsi" w:hAnsiTheme="minorHAnsi" w:cstheme="minorHAnsi"/>
          <w:sz w:val="22"/>
          <w:lang w:val="fr-CA"/>
        </w:rPr>
        <w:t>Loi sur le ministère de la Sécurité publique et de la Protection civile</w:t>
      </w:r>
      <w:r w:rsidRPr="008F610A">
        <w:rPr>
          <w:rFonts w:asciiTheme="minorHAnsi" w:hAnsiTheme="minorHAnsi"/>
          <w:i/>
          <w:iCs/>
          <w:sz w:val="22"/>
          <w:szCs w:val="22"/>
          <w:lang w:val="fr-CA"/>
        </w:rPr>
        <w:t xml:space="preserve"> </w:t>
      </w:r>
      <w:r w:rsidRPr="008F610A">
        <w:rPr>
          <w:rFonts w:asciiTheme="minorHAnsi" w:hAnsiTheme="minorHAnsi"/>
          <w:iCs/>
          <w:sz w:val="22"/>
          <w:szCs w:val="22"/>
          <w:lang w:val="fr-CA"/>
        </w:rPr>
        <w:t>(2005)</w:t>
      </w:r>
      <w:r w:rsidRPr="008F610A">
        <w:rPr>
          <w:rFonts w:asciiTheme="minorHAnsi" w:hAnsiTheme="minorHAnsi"/>
          <w:sz w:val="22"/>
          <w:szCs w:val="22"/>
          <w:lang w:val="fr-CA"/>
        </w:rPr>
        <w:t xml:space="preserve"> et la </w:t>
      </w:r>
      <w:r w:rsidRPr="008F610A">
        <w:rPr>
          <w:rStyle w:val="Emphasis"/>
          <w:rFonts w:asciiTheme="minorHAnsi" w:hAnsiTheme="minorHAnsi" w:cstheme="minorHAnsi"/>
          <w:sz w:val="22"/>
          <w:lang w:val="fr-CA"/>
        </w:rPr>
        <w:t>Loi sur la gestion des urgences</w:t>
      </w:r>
      <w:r w:rsidRPr="008F610A">
        <w:rPr>
          <w:rFonts w:asciiTheme="minorHAnsi" w:hAnsiTheme="minorHAnsi"/>
          <w:i/>
          <w:iCs/>
          <w:sz w:val="22"/>
          <w:szCs w:val="22"/>
          <w:lang w:val="fr-CA"/>
        </w:rPr>
        <w:t xml:space="preserve"> </w:t>
      </w:r>
      <w:r w:rsidRPr="008F610A">
        <w:rPr>
          <w:rFonts w:asciiTheme="minorHAnsi" w:hAnsiTheme="minorHAnsi"/>
          <w:iCs/>
          <w:sz w:val="22"/>
          <w:szCs w:val="22"/>
          <w:lang w:val="fr-CA"/>
        </w:rPr>
        <w:t>(2007)</w:t>
      </w:r>
      <w:r w:rsidRPr="008F610A">
        <w:rPr>
          <w:rFonts w:asciiTheme="minorHAnsi" w:hAnsiTheme="minorHAnsi"/>
          <w:sz w:val="22"/>
          <w:szCs w:val="22"/>
          <w:lang w:val="fr-CA"/>
        </w:rPr>
        <w:t xml:space="preserve"> établissent les rôles fondamentaux du Ministère. </w:t>
      </w:r>
      <w:r w:rsidR="00922AC1" w:rsidRPr="008F610A">
        <w:rPr>
          <w:rFonts w:asciiTheme="minorHAnsi" w:hAnsiTheme="minorHAnsi"/>
          <w:sz w:val="22"/>
          <w:szCs w:val="22"/>
          <w:lang w:val="fr-CA"/>
        </w:rPr>
        <w:t xml:space="preserve">Sa mission </w:t>
      </w:r>
      <w:r w:rsidRPr="008F610A">
        <w:rPr>
          <w:rFonts w:asciiTheme="minorHAnsi" w:hAnsiTheme="minorHAnsi"/>
          <w:sz w:val="22"/>
          <w:szCs w:val="22"/>
          <w:lang w:val="fr-CA"/>
        </w:rPr>
        <w:t xml:space="preserve">consiste à </w:t>
      </w:r>
      <w:r w:rsidR="00922AC1" w:rsidRPr="008F610A">
        <w:rPr>
          <w:rFonts w:asciiTheme="minorHAnsi" w:hAnsiTheme="minorHAnsi"/>
          <w:sz w:val="22"/>
          <w:szCs w:val="22"/>
          <w:lang w:val="fr-CA"/>
        </w:rPr>
        <w:t xml:space="preserve">assurer </w:t>
      </w:r>
      <w:r w:rsidRPr="008F610A">
        <w:rPr>
          <w:rFonts w:asciiTheme="minorHAnsi" w:hAnsiTheme="minorHAnsi"/>
          <w:sz w:val="22"/>
          <w:szCs w:val="22"/>
          <w:lang w:val="fr-CA"/>
        </w:rPr>
        <w:t xml:space="preserve">la sécurité des Canadiens sur tous les plans, </w:t>
      </w:r>
      <w:r w:rsidR="00922AC1" w:rsidRPr="008F610A">
        <w:rPr>
          <w:rFonts w:asciiTheme="minorHAnsi" w:hAnsiTheme="minorHAnsi"/>
          <w:sz w:val="22"/>
          <w:szCs w:val="22"/>
          <w:lang w:val="fr-CA"/>
        </w:rPr>
        <w:t>qu</w:t>
      </w:r>
      <w:r w:rsidR="00E346A8" w:rsidRPr="008F610A">
        <w:rPr>
          <w:rFonts w:asciiTheme="minorHAnsi" w:hAnsiTheme="minorHAnsi"/>
          <w:sz w:val="22"/>
          <w:szCs w:val="22"/>
          <w:lang w:val="fr-CA"/>
        </w:rPr>
        <w:t>’</w:t>
      </w:r>
      <w:r w:rsidR="00922AC1" w:rsidRPr="008F610A">
        <w:rPr>
          <w:rFonts w:asciiTheme="minorHAnsi" w:hAnsiTheme="minorHAnsi"/>
          <w:sz w:val="22"/>
          <w:szCs w:val="22"/>
          <w:lang w:val="fr-CA"/>
        </w:rPr>
        <w:t>il s</w:t>
      </w:r>
      <w:r w:rsidR="00E346A8" w:rsidRPr="008F610A">
        <w:rPr>
          <w:rFonts w:asciiTheme="minorHAnsi" w:hAnsiTheme="minorHAnsi"/>
          <w:sz w:val="22"/>
          <w:szCs w:val="22"/>
          <w:lang w:val="fr-CA"/>
        </w:rPr>
        <w:t>’</w:t>
      </w:r>
      <w:r w:rsidR="00922AC1" w:rsidRPr="008F610A">
        <w:rPr>
          <w:rFonts w:asciiTheme="minorHAnsi" w:hAnsiTheme="minorHAnsi"/>
          <w:sz w:val="22"/>
          <w:szCs w:val="22"/>
          <w:lang w:val="fr-CA"/>
        </w:rPr>
        <w:t xml:space="preserve">agisse des catastrophes naturelles, des </w:t>
      </w:r>
      <w:r w:rsidRPr="008F610A">
        <w:rPr>
          <w:rFonts w:asciiTheme="minorHAnsi" w:hAnsiTheme="minorHAnsi"/>
          <w:sz w:val="22"/>
          <w:szCs w:val="22"/>
          <w:lang w:val="fr-CA"/>
        </w:rPr>
        <w:t xml:space="preserve">crimes </w:t>
      </w:r>
      <w:r w:rsidR="00922AC1" w:rsidRPr="008F610A">
        <w:rPr>
          <w:rFonts w:asciiTheme="minorHAnsi" w:hAnsiTheme="minorHAnsi"/>
          <w:sz w:val="22"/>
          <w:szCs w:val="22"/>
          <w:lang w:val="fr-CA"/>
        </w:rPr>
        <w:t>ou d</w:t>
      </w:r>
      <w:r w:rsidRPr="008F610A">
        <w:rPr>
          <w:rFonts w:asciiTheme="minorHAnsi" w:hAnsiTheme="minorHAnsi"/>
          <w:sz w:val="22"/>
          <w:szCs w:val="22"/>
          <w:lang w:val="fr-CA"/>
        </w:rPr>
        <w:t>u terrorisme.</w:t>
      </w:r>
    </w:p>
    <w:p w14:paraId="7B3BAC03" w14:textId="77777777" w:rsidR="006D1AFD" w:rsidRPr="008F610A" w:rsidRDefault="006D1AFD" w:rsidP="004F458A">
      <w:pPr>
        <w:pStyle w:val="Heading3"/>
        <w:rPr>
          <w:u w:val="single"/>
          <w:lang w:val="fr-CA"/>
        </w:rPr>
      </w:pPr>
      <w:r w:rsidRPr="008F610A">
        <w:rPr>
          <w:lang w:val="fr-CA"/>
        </w:rPr>
        <w:t>D</w:t>
      </w:r>
      <w:r w:rsidR="00922AC1" w:rsidRPr="008F610A">
        <w:rPr>
          <w:lang w:val="fr-CA"/>
        </w:rPr>
        <w:t>éfis</w:t>
      </w:r>
    </w:p>
    <w:p w14:paraId="3B42E7E0" w14:textId="77777777" w:rsidR="00591DC8" w:rsidRPr="008F610A" w:rsidRDefault="00591DC8" w:rsidP="008F610A">
      <w:pPr>
        <w:pStyle w:val="NoSpacing"/>
        <w:spacing w:after="120"/>
        <w:rPr>
          <w:rFonts w:asciiTheme="minorHAnsi" w:hAnsiTheme="minorHAnsi" w:cstheme="minorHAnsi"/>
          <w:sz w:val="22"/>
          <w:szCs w:val="22"/>
          <w:lang w:val="fr-CA"/>
        </w:rPr>
      </w:pPr>
      <w:r w:rsidRPr="008F610A">
        <w:rPr>
          <w:rFonts w:asciiTheme="minorHAnsi" w:hAnsiTheme="minorHAnsi"/>
          <w:sz w:val="22"/>
          <w:szCs w:val="22"/>
          <w:lang w:val="fr-CA"/>
        </w:rPr>
        <w:t>SP exerce ses activités dans un environnement dynami</w:t>
      </w:r>
      <w:r w:rsidR="00922AC1" w:rsidRPr="008F610A">
        <w:rPr>
          <w:rFonts w:asciiTheme="minorHAnsi" w:hAnsiTheme="minorHAnsi"/>
          <w:sz w:val="22"/>
          <w:szCs w:val="22"/>
          <w:lang w:val="fr-CA"/>
        </w:rPr>
        <w:t xml:space="preserve">que. Selon son Plan ministériel de </w:t>
      </w:r>
      <w:r w:rsidRPr="008F610A">
        <w:rPr>
          <w:rFonts w:asciiTheme="minorHAnsi" w:hAnsiTheme="minorHAnsi"/>
          <w:sz w:val="22"/>
          <w:szCs w:val="22"/>
          <w:lang w:val="fr-CA"/>
        </w:rPr>
        <w:t xml:space="preserve">2019-2020, le Ministère doit faire </w:t>
      </w:r>
      <w:r w:rsidR="00E346A8" w:rsidRPr="008F610A">
        <w:rPr>
          <w:rFonts w:asciiTheme="minorHAnsi" w:hAnsiTheme="minorHAnsi"/>
          <w:sz w:val="22"/>
          <w:szCs w:val="22"/>
          <w:lang w:val="fr-CA"/>
        </w:rPr>
        <w:t>preuve</w:t>
      </w:r>
      <w:r w:rsidRPr="008F610A">
        <w:rPr>
          <w:rFonts w:asciiTheme="minorHAnsi" w:hAnsiTheme="minorHAnsi"/>
          <w:sz w:val="22"/>
          <w:szCs w:val="22"/>
          <w:lang w:val="fr-CA"/>
        </w:rPr>
        <w:t xml:space="preserve"> d</w:t>
      </w:r>
      <w:r w:rsidR="00E346A8" w:rsidRPr="008F610A">
        <w:rPr>
          <w:rFonts w:asciiTheme="minorHAnsi" w:hAnsiTheme="minorHAnsi"/>
          <w:sz w:val="22"/>
          <w:szCs w:val="22"/>
          <w:lang w:val="fr-CA"/>
        </w:rPr>
        <w:t>’</w:t>
      </w:r>
      <w:r w:rsidRPr="008F610A">
        <w:rPr>
          <w:rFonts w:asciiTheme="minorHAnsi" w:hAnsiTheme="minorHAnsi"/>
          <w:sz w:val="22"/>
          <w:szCs w:val="22"/>
          <w:lang w:val="fr-CA"/>
        </w:rPr>
        <w:t xml:space="preserve">un haut niveau de </w:t>
      </w:r>
      <w:r w:rsidR="00E346A8" w:rsidRPr="008F610A">
        <w:rPr>
          <w:rFonts w:asciiTheme="minorHAnsi" w:hAnsiTheme="minorHAnsi"/>
          <w:sz w:val="22"/>
          <w:szCs w:val="22"/>
          <w:lang w:val="fr-CA"/>
        </w:rPr>
        <w:t>conscience</w:t>
      </w:r>
      <w:r w:rsidRPr="008F610A">
        <w:rPr>
          <w:rFonts w:asciiTheme="minorHAnsi" w:hAnsiTheme="minorHAnsi"/>
          <w:sz w:val="22"/>
          <w:szCs w:val="22"/>
          <w:lang w:val="fr-CA"/>
        </w:rPr>
        <w:t>, d</w:t>
      </w:r>
      <w:r w:rsidR="00E346A8" w:rsidRPr="008F610A">
        <w:rPr>
          <w:rFonts w:asciiTheme="minorHAnsi" w:hAnsiTheme="minorHAnsi"/>
          <w:sz w:val="22"/>
          <w:szCs w:val="22"/>
          <w:lang w:val="fr-CA"/>
        </w:rPr>
        <w:t>’engagement</w:t>
      </w:r>
      <w:r w:rsidRPr="008F610A">
        <w:rPr>
          <w:rFonts w:asciiTheme="minorHAnsi" w:hAnsiTheme="minorHAnsi"/>
          <w:sz w:val="22"/>
          <w:szCs w:val="22"/>
          <w:lang w:val="fr-CA"/>
        </w:rPr>
        <w:t xml:space="preserve"> et d</w:t>
      </w:r>
      <w:r w:rsidR="00E346A8" w:rsidRPr="008F610A">
        <w:rPr>
          <w:rFonts w:asciiTheme="minorHAnsi" w:hAnsiTheme="minorHAnsi"/>
          <w:sz w:val="22"/>
          <w:szCs w:val="22"/>
          <w:lang w:val="fr-CA"/>
        </w:rPr>
        <w:t>’</w:t>
      </w:r>
      <w:r w:rsidRPr="008F610A">
        <w:rPr>
          <w:rFonts w:asciiTheme="minorHAnsi" w:hAnsiTheme="minorHAnsi"/>
          <w:sz w:val="22"/>
          <w:szCs w:val="22"/>
          <w:lang w:val="fr-CA"/>
        </w:rPr>
        <w:t xml:space="preserve">adaptabilité pour réaliser </w:t>
      </w:r>
      <w:r w:rsidR="00E346A8" w:rsidRPr="008F610A">
        <w:rPr>
          <w:rFonts w:asciiTheme="minorHAnsi" w:hAnsiTheme="minorHAnsi"/>
          <w:sz w:val="22"/>
          <w:szCs w:val="22"/>
          <w:lang w:val="fr-CA"/>
        </w:rPr>
        <w:t>sa mission</w:t>
      </w:r>
      <w:r w:rsidRPr="008F610A">
        <w:rPr>
          <w:rFonts w:asciiTheme="minorHAnsi" w:hAnsiTheme="minorHAnsi"/>
          <w:sz w:val="22"/>
          <w:szCs w:val="22"/>
          <w:lang w:val="fr-CA"/>
        </w:rPr>
        <w:t>, conserver une approche cohérente et coordonnée en matière de sûreté et de sécurité</w:t>
      </w:r>
      <w:r w:rsidR="00E346A8" w:rsidRPr="008F610A">
        <w:rPr>
          <w:rFonts w:asciiTheme="minorHAnsi" w:hAnsiTheme="minorHAnsi"/>
          <w:sz w:val="22"/>
          <w:szCs w:val="22"/>
          <w:lang w:val="fr-CA"/>
        </w:rPr>
        <w:t>,</w:t>
      </w:r>
      <w:r w:rsidRPr="008F610A">
        <w:rPr>
          <w:rFonts w:asciiTheme="minorHAnsi" w:hAnsiTheme="minorHAnsi"/>
          <w:sz w:val="22"/>
          <w:szCs w:val="22"/>
          <w:lang w:val="fr-CA"/>
        </w:rPr>
        <w:t xml:space="preserve"> et produire des résultats à l</w:t>
      </w:r>
      <w:r w:rsidR="00E346A8" w:rsidRPr="008F610A">
        <w:rPr>
          <w:rFonts w:asciiTheme="minorHAnsi" w:hAnsiTheme="minorHAnsi"/>
          <w:sz w:val="22"/>
          <w:szCs w:val="22"/>
          <w:lang w:val="fr-CA"/>
        </w:rPr>
        <w:t>’</w:t>
      </w:r>
      <w:r w:rsidRPr="008F610A">
        <w:rPr>
          <w:rFonts w:asciiTheme="minorHAnsi" w:hAnsiTheme="minorHAnsi"/>
          <w:sz w:val="22"/>
          <w:szCs w:val="22"/>
          <w:lang w:val="fr-CA"/>
        </w:rPr>
        <w:t>intention des Canadiens en gérant un éventail de risques. Le Canada doit composer avec de nombreux défis sur le plan de la sécurité publique, y compris les cybermenaces, le terrorisme, le crime organisé et les catastrophes naturelles. Il est essentiel d</w:t>
      </w:r>
      <w:r w:rsidR="00E346A8" w:rsidRPr="008F610A">
        <w:rPr>
          <w:rFonts w:asciiTheme="minorHAnsi" w:hAnsiTheme="minorHAnsi"/>
          <w:sz w:val="22"/>
          <w:szCs w:val="22"/>
          <w:lang w:val="fr-CA"/>
        </w:rPr>
        <w:t>’</w:t>
      </w:r>
      <w:r w:rsidRPr="008F610A">
        <w:rPr>
          <w:rFonts w:asciiTheme="minorHAnsi" w:hAnsiTheme="minorHAnsi"/>
          <w:sz w:val="22"/>
          <w:szCs w:val="22"/>
          <w:lang w:val="fr-CA"/>
        </w:rPr>
        <w:t>établir des partenariats avec un large éventail d</w:t>
      </w:r>
      <w:r w:rsidR="00E346A8" w:rsidRPr="008F610A">
        <w:rPr>
          <w:rFonts w:asciiTheme="minorHAnsi" w:hAnsiTheme="minorHAnsi"/>
          <w:sz w:val="22"/>
          <w:szCs w:val="22"/>
          <w:lang w:val="fr-CA"/>
        </w:rPr>
        <w:t>’</w:t>
      </w:r>
      <w:r w:rsidRPr="008F610A">
        <w:rPr>
          <w:rFonts w:asciiTheme="minorHAnsi" w:hAnsiTheme="minorHAnsi"/>
          <w:sz w:val="22"/>
          <w:szCs w:val="22"/>
          <w:lang w:val="fr-CA"/>
        </w:rPr>
        <w:t>intervenants si l</w:t>
      </w:r>
      <w:r w:rsidR="00E346A8" w:rsidRPr="008F610A">
        <w:rPr>
          <w:rFonts w:asciiTheme="minorHAnsi" w:hAnsiTheme="minorHAnsi"/>
          <w:sz w:val="22"/>
          <w:szCs w:val="22"/>
          <w:lang w:val="fr-CA"/>
        </w:rPr>
        <w:t>’</w:t>
      </w:r>
      <w:r w:rsidRPr="008F610A">
        <w:rPr>
          <w:rFonts w:asciiTheme="minorHAnsi" w:hAnsiTheme="minorHAnsi"/>
          <w:sz w:val="22"/>
          <w:szCs w:val="22"/>
          <w:lang w:val="fr-CA"/>
        </w:rPr>
        <w:t>on veut être efficace dans l</w:t>
      </w:r>
      <w:r w:rsidR="00E346A8" w:rsidRPr="008F610A">
        <w:rPr>
          <w:rFonts w:asciiTheme="minorHAnsi" w:hAnsiTheme="minorHAnsi"/>
          <w:sz w:val="22"/>
          <w:szCs w:val="22"/>
          <w:lang w:val="fr-CA"/>
        </w:rPr>
        <w:t>’</w:t>
      </w:r>
      <w:r w:rsidRPr="008F610A">
        <w:rPr>
          <w:rFonts w:asciiTheme="minorHAnsi" w:hAnsiTheme="minorHAnsi"/>
          <w:sz w:val="22"/>
          <w:szCs w:val="22"/>
          <w:lang w:val="fr-CA"/>
        </w:rPr>
        <w:t>élaboration de</w:t>
      </w:r>
      <w:r w:rsidR="00D17F66" w:rsidRPr="008F610A">
        <w:rPr>
          <w:rFonts w:asciiTheme="minorHAnsi" w:hAnsiTheme="minorHAnsi"/>
          <w:sz w:val="22"/>
          <w:szCs w:val="22"/>
          <w:lang w:val="fr-CA"/>
        </w:rPr>
        <w:t>s</w:t>
      </w:r>
      <w:r w:rsidRPr="008F610A">
        <w:rPr>
          <w:rFonts w:asciiTheme="minorHAnsi" w:hAnsiTheme="minorHAnsi"/>
          <w:sz w:val="22"/>
          <w:szCs w:val="22"/>
          <w:lang w:val="fr-CA"/>
        </w:rPr>
        <w:t xml:space="preserve"> politiques et l</w:t>
      </w:r>
      <w:r w:rsidR="00D17F66" w:rsidRPr="008F610A">
        <w:rPr>
          <w:rFonts w:asciiTheme="minorHAnsi" w:hAnsiTheme="minorHAnsi"/>
          <w:sz w:val="22"/>
          <w:szCs w:val="22"/>
          <w:lang w:val="fr-CA"/>
        </w:rPr>
        <w:t>’exécution des</w:t>
      </w:r>
      <w:r w:rsidRPr="008F610A">
        <w:rPr>
          <w:rFonts w:asciiTheme="minorHAnsi" w:hAnsiTheme="minorHAnsi"/>
          <w:sz w:val="22"/>
          <w:szCs w:val="22"/>
          <w:lang w:val="fr-CA"/>
        </w:rPr>
        <w:t xml:space="preserve"> programmes. Dans un tel contexte opérationnel, SP a cerné certains risques pour l</w:t>
      </w:r>
      <w:r w:rsidR="00E346A8" w:rsidRPr="008F610A">
        <w:rPr>
          <w:rFonts w:asciiTheme="minorHAnsi" w:hAnsiTheme="minorHAnsi"/>
          <w:sz w:val="22"/>
          <w:szCs w:val="22"/>
          <w:lang w:val="fr-CA"/>
        </w:rPr>
        <w:t>’</w:t>
      </w:r>
      <w:r w:rsidRPr="008F610A">
        <w:rPr>
          <w:rFonts w:asciiTheme="minorHAnsi" w:hAnsiTheme="minorHAnsi"/>
          <w:sz w:val="22"/>
          <w:szCs w:val="22"/>
          <w:lang w:val="fr-CA"/>
        </w:rPr>
        <w:t>organisation, l</w:t>
      </w:r>
      <w:r w:rsidR="00E346A8" w:rsidRPr="008F610A">
        <w:rPr>
          <w:rFonts w:asciiTheme="minorHAnsi" w:hAnsiTheme="minorHAnsi"/>
          <w:sz w:val="22"/>
          <w:szCs w:val="22"/>
          <w:lang w:val="fr-CA"/>
        </w:rPr>
        <w:t>’</w:t>
      </w:r>
      <w:r w:rsidRPr="008F610A">
        <w:rPr>
          <w:rFonts w:asciiTheme="minorHAnsi" w:hAnsiTheme="minorHAnsi"/>
          <w:sz w:val="22"/>
          <w:szCs w:val="22"/>
          <w:lang w:val="fr-CA"/>
        </w:rPr>
        <w:t>un deux étant le fait que le Ministère ne réussira pas à attirer et à garder en poste les employés dont il a besoin pour atteindre ses objectifs organisationnels.</w:t>
      </w:r>
    </w:p>
    <w:p w14:paraId="10C64EB9" w14:textId="77777777" w:rsidR="00591DC8" w:rsidRPr="008F610A" w:rsidRDefault="00591DC8" w:rsidP="008F610A">
      <w:pPr>
        <w:pStyle w:val="NoSpacing"/>
        <w:spacing w:after="120"/>
        <w:rPr>
          <w:rFonts w:asciiTheme="minorHAnsi" w:hAnsiTheme="minorHAnsi" w:cstheme="minorHAnsi"/>
          <w:color w:val="000000"/>
          <w:sz w:val="22"/>
          <w:szCs w:val="22"/>
          <w:lang w:val="fr-CA"/>
        </w:rPr>
      </w:pPr>
      <w:r w:rsidRPr="008F610A">
        <w:rPr>
          <w:rFonts w:asciiTheme="minorHAnsi" w:hAnsiTheme="minorHAnsi"/>
          <w:sz w:val="22"/>
          <w:szCs w:val="22"/>
          <w:lang w:val="fr-CA"/>
        </w:rPr>
        <w:t>À la suite du Sondage auprès des fonctionnaires fédéraux, SP a créé un</w:t>
      </w:r>
      <w:r w:rsidR="00D17F66" w:rsidRPr="008F610A">
        <w:rPr>
          <w:rFonts w:asciiTheme="minorHAnsi" w:hAnsiTheme="minorHAnsi"/>
          <w:sz w:val="22"/>
          <w:szCs w:val="22"/>
          <w:lang w:val="fr-CA"/>
        </w:rPr>
        <w:t>e équipe spéciale sur la dotation</w:t>
      </w:r>
      <w:r w:rsidRPr="008F610A">
        <w:rPr>
          <w:rFonts w:asciiTheme="minorHAnsi" w:hAnsiTheme="minorHAnsi"/>
          <w:sz w:val="22"/>
          <w:szCs w:val="22"/>
          <w:lang w:val="fr-CA"/>
        </w:rPr>
        <w:t xml:space="preserve"> </w:t>
      </w:r>
      <w:r w:rsidR="00D17F66" w:rsidRPr="008F610A">
        <w:rPr>
          <w:rFonts w:asciiTheme="minorHAnsi" w:hAnsiTheme="minorHAnsi"/>
          <w:sz w:val="22"/>
          <w:szCs w:val="22"/>
          <w:lang w:val="fr-CA"/>
        </w:rPr>
        <w:t xml:space="preserve">chargée de </w:t>
      </w:r>
      <w:r w:rsidRPr="008F610A">
        <w:rPr>
          <w:rFonts w:asciiTheme="minorHAnsi" w:hAnsiTheme="minorHAnsi"/>
          <w:sz w:val="22"/>
          <w:szCs w:val="22"/>
          <w:lang w:val="fr-CA"/>
        </w:rPr>
        <w:t xml:space="preserve">faire progresser les efforts </w:t>
      </w:r>
      <w:r w:rsidR="00D17F66" w:rsidRPr="008F610A">
        <w:rPr>
          <w:rFonts w:asciiTheme="minorHAnsi" w:hAnsiTheme="minorHAnsi"/>
          <w:sz w:val="22"/>
          <w:szCs w:val="22"/>
          <w:lang w:val="fr-CA"/>
        </w:rPr>
        <w:t xml:space="preserve">sur </w:t>
      </w:r>
      <w:r w:rsidRPr="008F610A">
        <w:rPr>
          <w:rFonts w:asciiTheme="minorHAnsi" w:hAnsiTheme="minorHAnsi"/>
          <w:sz w:val="22"/>
          <w:szCs w:val="22"/>
          <w:lang w:val="fr-CA"/>
        </w:rPr>
        <w:t xml:space="preserve">trois </w:t>
      </w:r>
      <w:r w:rsidR="00D17F66" w:rsidRPr="008F610A">
        <w:rPr>
          <w:rFonts w:asciiTheme="minorHAnsi" w:hAnsiTheme="minorHAnsi"/>
          <w:sz w:val="22"/>
          <w:szCs w:val="22"/>
          <w:lang w:val="fr-CA"/>
        </w:rPr>
        <w:t>grands plans</w:t>
      </w:r>
      <w:r w:rsidRPr="008F610A">
        <w:rPr>
          <w:rFonts w:asciiTheme="minorHAnsi" w:hAnsiTheme="minorHAnsi"/>
          <w:sz w:val="22"/>
          <w:szCs w:val="22"/>
          <w:lang w:val="fr-CA"/>
        </w:rPr>
        <w:t> : le recrutement, la dotation et le maintien e</w:t>
      </w:r>
      <w:r w:rsidR="00D17F66" w:rsidRPr="008F610A">
        <w:rPr>
          <w:rFonts w:asciiTheme="minorHAnsi" w:hAnsiTheme="minorHAnsi"/>
          <w:sz w:val="22"/>
          <w:szCs w:val="22"/>
          <w:lang w:val="fr-CA"/>
        </w:rPr>
        <w:t xml:space="preserve">n poste. De plus, on a formé au sein de cette équipe spéciale </w:t>
      </w:r>
      <w:r w:rsidRPr="008F610A">
        <w:rPr>
          <w:rFonts w:asciiTheme="minorHAnsi" w:hAnsiTheme="minorHAnsi"/>
          <w:sz w:val="22"/>
          <w:szCs w:val="22"/>
          <w:lang w:val="fr-CA"/>
        </w:rPr>
        <w:t xml:space="preserve">un groupe de travail </w:t>
      </w:r>
      <w:r w:rsidR="00D17F66" w:rsidRPr="008F610A">
        <w:rPr>
          <w:rFonts w:asciiTheme="minorHAnsi" w:hAnsiTheme="minorHAnsi"/>
          <w:sz w:val="22"/>
          <w:szCs w:val="22"/>
          <w:lang w:val="fr-CA"/>
        </w:rPr>
        <w:t xml:space="preserve">qui examinera les options en vue de </w:t>
      </w:r>
      <w:r w:rsidRPr="008F610A">
        <w:rPr>
          <w:rFonts w:asciiTheme="minorHAnsi" w:hAnsiTheme="minorHAnsi"/>
          <w:sz w:val="22"/>
          <w:szCs w:val="22"/>
          <w:lang w:val="fr-CA"/>
        </w:rPr>
        <w:t xml:space="preserve">désigner un ombudsman. Le </w:t>
      </w:r>
      <w:r w:rsidR="00D17F66" w:rsidRPr="008F610A">
        <w:rPr>
          <w:rFonts w:asciiTheme="minorHAnsi" w:hAnsiTheme="minorHAnsi"/>
          <w:sz w:val="22"/>
          <w:szCs w:val="22"/>
          <w:lang w:val="fr-CA"/>
        </w:rPr>
        <w:t>groupe de travail</w:t>
      </w:r>
      <w:r w:rsidRPr="008F610A">
        <w:rPr>
          <w:rFonts w:asciiTheme="minorHAnsi" w:hAnsiTheme="minorHAnsi"/>
          <w:sz w:val="22"/>
          <w:szCs w:val="22"/>
          <w:lang w:val="fr-CA"/>
        </w:rPr>
        <w:t xml:space="preserve"> a rencontré les ombudsmans de Patrimoine canadien, de Santé</w:t>
      </w:r>
      <w:r w:rsidR="004B6811" w:rsidRPr="008F610A">
        <w:rPr>
          <w:rFonts w:asciiTheme="minorHAnsi" w:hAnsiTheme="minorHAnsi"/>
          <w:sz w:val="22"/>
          <w:szCs w:val="22"/>
          <w:lang w:val="fr-CA"/>
        </w:rPr>
        <w:t> </w:t>
      </w:r>
      <w:r w:rsidRPr="008F610A">
        <w:rPr>
          <w:rFonts w:asciiTheme="minorHAnsi" w:hAnsiTheme="minorHAnsi"/>
          <w:sz w:val="22"/>
          <w:szCs w:val="22"/>
          <w:lang w:val="fr-CA"/>
        </w:rPr>
        <w:t>Canada, du Secrétariat du Conseil du Trésor et de l</w:t>
      </w:r>
      <w:r w:rsidR="00E346A8" w:rsidRPr="008F610A">
        <w:rPr>
          <w:rFonts w:asciiTheme="minorHAnsi" w:hAnsiTheme="minorHAnsi"/>
          <w:sz w:val="22"/>
          <w:szCs w:val="22"/>
          <w:lang w:val="fr-CA"/>
        </w:rPr>
        <w:t>’</w:t>
      </w:r>
      <w:r w:rsidRPr="008F610A">
        <w:rPr>
          <w:rFonts w:asciiTheme="minorHAnsi" w:hAnsiTheme="minorHAnsi"/>
          <w:sz w:val="22"/>
          <w:szCs w:val="22"/>
          <w:lang w:val="fr-CA"/>
        </w:rPr>
        <w:t>Université d</w:t>
      </w:r>
      <w:r w:rsidR="00E346A8" w:rsidRPr="008F610A">
        <w:rPr>
          <w:rFonts w:asciiTheme="minorHAnsi" w:hAnsiTheme="minorHAnsi"/>
          <w:sz w:val="22"/>
          <w:szCs w:val="22"/>
          <w:lang w:val="fr-CA"/>
        </w:rPr>
        <w:t>’</w:t>
      </w:r>
      <w:r w:rsidRPr="008F610A">
        <w:rPr>
          <w:rFonts w:asciiTheme="minorHAnsi" w:hAnsiTheme="minorHAnsi"/>
          <w:sz w:val="22"/>
          <w:szCs w:val="22"/>
          <w:lang w:val="fr-CA"/>
        </w:rPr>
        <w:t>Ottawa afin d</w:t>
      </w:r>
      <w:r w:rsidR="00E346A8" w:rsidRPr="008F610A">
        <w:rPr>
          <w:rFonts w:asciiTheme="minorHAnsi" w:hAnsiTheme="minorHAnsi"/>
          <w:sz w:val="22"/>
          <w:szCs w:val="22"/>
          <w:lang w:val="fr-CA"/>
        </w:rPr>
        <w:t>’</w:t>
      </w:r>
      <w:r w:rsidRPr="008F610A">
        <w:rPr>
          <w:rFonts w:asciiTheme="minorHAnsi" w:hAnsiTheme="minorHAnsi"/>
          <w:sz w:val="22"/>
          <w:szCs w:val="22"/>
          <w:lang w:val="fr-CA"/>
        </w:rPr>
        <w:t xml:space="preserve">obtenir des conseils </w:t>
      </w:r>
      <w:r w:rsidR="00D17F66" w:rsidRPr="008F610A">
        <w:rPr>
          <w:rFonts w:asciiTheme="minorHAnsi" w:hAnsiTheme="minorHAnsi"/>
          <w:sz w:val="22"/>
          <w:szCs w:val="22"/>
          <w:lang w:val="fr-CA"/>
        </w:rPr>
        <w:t>sur la création d’</w:t>
      </w:r>
      <w:r w:rsidRPr="008F610A">
        <w:rPr>
          <w:rFonts w:asciiTheme="minorHAnsi" w:hAnsiTheme="minorHAnsi"/>
          <w:sz w:val="22"/>
          <w:szCs w:val="22"/>
          <w:lang w:val="fr-CA"/>
        </w:rPr>
        <w:t>un</w:t>
      </w:r>
      <w:r w:rsidRPr="008F610A">
        <w:rPr>
          <w:rFonts w:asciiTheme="minorHAnsi" w:hAnsiTheme="minorHAnsi"/>
          <w:color w:val="000000"/>
          <w:sz w:val="22"/>
          <w:szCs w:val="22"/>
          <w:lang w:val="fr-CA"/>
        </w:rPr>
        <w:t xml:space="preserve"> Bureau de l</w:t>
      </w:r>
      <w:r w:rsidR="00E346A8" w:rsidRPr="008F610A">
        <w:rPr>
          <w:rFonts w:asciiTheme="minorHAnsi" w:hAnsiTheme="minorHAnsi"/>
          <w:color w:val="000000"/>
          <w:sz w:val="22"/>
          <w:szCs w:val="22"/>
          <w:lang w:val="fr-CA"/>
        </w:rPr>
        <w:t>’</w:t>
      </w:r>
      <w:r w:rsidRPr="008F610A">
        <w:rPr>
          <w:rFonts w:asciiTheme="minorHAnsi" w:hAnsiTheme="minorHAnsi"/>
          <w:color w:val="000000"/>
          <w:sz w:val="22"/>
          <w:szCs w:val="22"/>
          <w:lang w:val="fr-CA"/>
        </w:rPr>
        <w:t xml:space="preserve">ombudsman. </w:t>
      </w:r>
      <w:r w:rsidR="00D17F66" w:rsidRPr="008F610A">
        <w:rPr>
          <w:rFonts w:asciiTheme="minorHAnsi" w:hAnsiTheme="minorHAnsi"/>
          <w:color w:val="000000"/>
          <w:sz w:val="22"/>
          <w:szCs w:val="22"/>
          <w:lang w:val="fr-CA"/>
        </w:rPr>
        <w:t xml:space="preserve">En </w:t>
      </w:r>
      <w:r w:rsidRPr="008F610A">
        <w:rPr>
          <w:rFonts w:asciiTheme="minorHAnsi" w:hAnsiTheme="minorHAnsi"/>
          <w:color w:val="000000"/>
          <w:sz w:val="22"/>
          <w:szCs w:val="22"/>
          <w:lang w:val="fr-CA"/>
        </w:rPr>
        <w:t>2019</w:t>
      </w:r>
      <w:r w:rsidR="00D17F66" w:rsidRPr="008F610A">
        <w:rPr>
          <w:rFonts w:asciiTheme="minorHAnsi" w:hAnsiTheme="minorHAnsi"/>
          <w:color w:val="000000"/>
          <w:sz w:val="22"/>
          <w:szCs w:val="22"/>
          <w:lang w:val="fr-CA"/>
        </w:rPr>
        <w:noBreakHyphen/>
      </w:r>
      <w:r w:rsidRPr="008F610A">
        <w:rPr>
          <w:rFonts w:asciiTheme="minorHAnsi" w:hAnsiTheme="minorHAnsi"/>
          <w:color w:val="000000"/>
          <w:sz w:val="22"/>
          <w:szCs w:val="22"/>
          <w:lang w:val="fr-CA"/>
        </w:rPr>
        <w:t xml:space="preserve">2020, le </w:t>
      </w:r>
      <w:r w:rsidR="00D17F66" w:rsidRPr="008F610A">
        <w:rPr>
          <w:rFonts w:asciiTheme="minorHAnsi" w:hAnsiTheme="minorHAnsi"/>
          <w:color w:val="000000"/>
          <w:sz w:val="22"/>
          <w:szCs w:val="22"/>
          <w:lang w:val="fr-CA"/>
        </w:rPr>
        <w:t xml:space="preserve">groupe de travail entend présenter des recommandations à l’équipe spéciale </w:t>
      </w:r>
      <w:r w:rsidRPr="008F610A">
        <w:rPr>
          <w:rFonts w:asciiTheme="minorHAnsi" w:hAnsiTheme="minorHAnsi"/>
          <w:color w:val="000000"/>
          <w:sz w:val="22"/>
          <w:szCs w:val="22"/>
          <w:lang w:val="fr-CA"/>
        </w:rPr>
        <w:t xml:space="preserve">et demander </w:t>
      </w:r>
      <w:r w:rsidR="00D17F66" w:rsidRPr="008F610A">
        <w:rPr>
          <w:rFonts w:asciiTheme="minorHAnsi" w:hAnsiTheme="minorHAnsi"/>
          <w:color w:val="000000"/>
          <w:sz w:val="22"/>
          <w:szCs w:val="22"/>
          <w:lang w:val="fr-CA"/>
        </w:rPr>
        <w:t xml:space="preserve">qu’elle </w:t>
      </w:r>
      <w:r w:rsidRPr="008F610A">
        <w:rPr>
          <w:rFonts w:asciiTheme="minorHAnsi" w:hAnsiTheme="minorHAnsi"/>
          <w:color w:val="000000"/>
          <w:sz w:val="22"/>
          <w:szCs w:val="22"/>
          <w:lang w:val="fr-CA"/>
        </w:rPr>
        <w:t xml:space="preserve">approuve la création de cette fonction </w:t>
      </w:r>
      <w:r w:rsidR="00D17F66" w:rsidRPr="008F610A">
        <w:rPr>
          <w:rFonts w:asciiTheme="minorHAnsi" w:hAnsiTheme="minorHAnsi"/>
          <w:color w:val="000000"/>
          <w:sz w:val="22"/>
          <w:szCs w:val="22"/>
          <w:lang w:val="fr-CA"/>
        </w:rPr>
        <w:t xml:space="preserve">dans </w:t>
      </w:r>
      <w:r w:rsidRPr="008F610A">
        <w:rPr>
          <w:rFonts w:asciiTheme="minorHAnsi" w:hAnsiTheme="minorHAnsi"/>
          <w:color w:val="000000"/>
          <w:sz w:val="22"/>
          <w:szCs w:val="22"/>
          <w:lang w:val="fr-CA"/>
        </w:rPr>
        <w:t>l</w:t>
      </w:r>
      <w:r w:rsidR="00E346A8" w:rsidRPr="008F610A">
        <w:rPr>
          <w:rFonts w:asciiTheme="minorHAnsi" w:hAnsiTheme="minorHAnsi"/>
          <w:color w:val="000000"/>
          <w:sz w:val="22"/>
          <w:szCs w:val="22"/>
          <w:lang w:val="fr-CA"/>
        </w:rPr>
        <w:t>’</w:t>
      </w:r>
      <w:r w:rsidRPr="008F610A">
        <w:rPr>
          <w:rFonts w:asciiTheme="minorHAnsi" w:hAnsiTheme="minorHAnsi"/>
          <w:color w:val="000000"/>
          <w:sz w:val="22"/>
          <w:szCs w:val="22"/>
          <w:lang w:val="fr-CA"/>
        </w:rPr>
        <w:t>organisation.</w:t>
      </w:r>
    </w:p>
    <w:p w14:paraId="22C6DA96" w14:textId="77777777" w:rsidR="006D1AFD" w:rsidRPr="008F610A" w:rsidRDefault="006D1AFD" w:rsidP="004F458A">
      <w:pPr>
        <w:pStyle w:val="Heading2"/>
        <w:rPr>
          <w:lang w:val="fr-CA"/>
        </w:rPr>
      </w:pPr>
      <w:r w:rsidRPr="008F610A">
        <w:rPr>
          <w:lang w:val="fr-CA"/>
        </w:rPr>
        <w:lastRenderedPageBreak/>
        <w:t>Effectif et activités de dotation</w:t>
      </w:r>
    </w:p>
    <w:p w14:paraId="41BC7BFE" w14:textId="77777777" w:rsidR="006D1AFD" w:rsidRPr="008F610A" w:rsidRDefault="006D1AFD" w:rsidP="004F458A">
      <w:pPr>
        <w:pStyle w:val="Heading3"/>
        <w:rPr>
          <w:u w:val="single"/>
          <w:lang w:val="fr-CA"/>
        </w:rPr>
      </w:pPr>
      <w:r w:rsidRPr="008F610A">
        <w:rPr>
          <w:lang w:val="fr-CA"/>
        </w:rPr>
        <w:t>Effectif</w:t>
      </w:r>
    </w:p>
    <w:p w14:paraId="76ED8E65" w14:textId="77777777" w:rsidR="00591DC8" w:rsidRPr="008F610A" w:rsidRDefault="00591DC8" w:rsidP="008F610A">
      <w:pPr>
        <w:pStyle w:val="NoSpacing"/>
        <w:spacing w:after="120"/>
        <w:rPr>
          <w:rFonts w:asciiTheme="minorHAnsi" w:hAnsiTheme="minorHAnsi" w:cstheme="minorHAnsi"/>
          <w:color w:val="000000"/>
          <w:sz w:val="22"/>
          <w:szCs w:val="22"/>
          <w:lang w:val="fr-CA"/>
        </w:rPr>
      </w:pPr>
      <w:r w:rsidRPr="008F610A">
        <w:rPr>
          <w:rFonts w:asciiTheme="minorHAnsi" w:hAnsiTheme="minorHAnsi"/>
          <w:color w:val="000000"/>
          <w:sz w:val="22"/>
          <w:szCs w:val="22"/>
          <w:lang w:val="fr-CA"/>
        </w:rPr>
        <w:t>SP est une organisation de taille moyenne qui compte 1</w:t>
      </w:r>
      <w:r w:rsidR="004B6811" w:rsidRPr="008F610A">
        <w:rPr>
          <w:rFonts w:asciiTheme="minorHAnsi" w:hAnsiTheme="minorHAnsi"/>
          <w:color w:val="000000"/>
          <w:sz w:val="22"/>
          <w:szCs w:val="22"/>
          <w:lang w:val="fr-CA"/>
        </w:rPr>
        <w:t> </w:t>
      </w:r>
      <w:r w:rsidRPr="008F610A">
        <w:rPr>
          <w:rFonts w:asciiTheme="minorHAnsi" w:hAnsiTheme="minorHAnsi"/>
          <w:color w:val="000000"/>
          <w:sz w:val="22"/>
          <w:szCs w:val="22"/>
          <w:lang w:val="fr-CA"/>
        </w:rPr>
        <w:t>334</w:t>
      </w:r>
      <w:r w:rsidR="004B6811" w:rsidRPr="008F610A">
        <w:rPr>
          <w:rFonts w:asciiTheme="minorHAnsi" w:hAnsiTheme="minorHAnsi"/>
          <w:color w:val="000000"/>
          <w:sz w:val="22"/>
          <w:szCs w:val="22"/>
          <w:lang w:val="fr-CA"/>
        </w:rPr>
        <w:t> </w:t>
      </w:r>
      <w:r w:rsidRPr="008F610A">
        <w:rPr>
          <w:rFonts w:asciiTheme="minorHAnsi" w:hAnsiTheme="minorHAnsi"/>
          <w:color w:val="000000"/>
          <w:sz w:val="22"/>
          <w:szCs w:val="22"/>
          <w:lang w:val="fr-CA"/>
        </w:rPr>
        <w:t>employés (au 31</w:t>
      </w:r>
      <w:r w:rsidR="004B6811" w:rsidRPr="008F610A">
        <w:rPr>
          <w:rFonts w:asciiTheme="minorHAnsi" w:hAnsiTheme="minorHAnsi"/>
          <w:color w:val="000000"/>
          <w:sz w:val="22"/>
          <w:szCs w:val="22"/>
          <w:lang w:val="fr-CA"/>
        </w:rPr>
        <w:t> </w:t>
      </w:r>
      <w:r w:rsidRPr="008F610A">
        <w:rPr>
          <w:rFonts w:asciiTheme="minorHAnsi" w:hAnsiTheme="minorHAnsi"/>
          <w:color w:val="000000"/>
          <w:sz w:val="22"/>
          <w:szCs w:val="22"/>
          <w:lang w:val="fr-CA"/>
        </w:rPr>
        <w:t>mars</w:t>
      </w:r>
      <w:r w:rsidR="004B6811" w:rsidRPr="008F610A">
        <w:rPr>
          <w:rFonts w:asciiTheme="minorHAnsi" w:hAnsiTheme="minorHAnsi"/>
          <w:color w:val="000000"/>
          <w:sz w:val="22"/>
          <w:szCs w:val="22"/>
          <w:lang w:val="fr-CA"/>
        </w:rPr>
        <w:t> </w:t>
      </w:r>
      <w:r w:rsidR="009A116B" w:rsidRPr="008F610A">
        <w:rPr>
          <w:rFonts w:asciiTheme="minorHAnsi" w:hAnsiTheme="minorHAnsi"/>
          <w:color w:val="000000"/>
          <w:sz w:val="22"/>
          <w:szCs w:val="22"/>
          <w:lang w:val="fr-CA"/>
        </w:rPr>
        <w:t xml:space="preserve">2019). La plupart (81 %) sont des </w:t>
      </w:r>
      <w:r w:rsidRPr="008F610A">
        <w:rPr>
          <w:rFonts w:asciiTheme="minorHAnsi" w:hAnsiTheme="minorHAnsi"/>
          <w:color w:val="000000"/>
          <w:sz w:val="22"/>
          <w:szCs w:val="22"/>
          <w:lang w:val="fr-CA"/>
        </w:rPr>
        <w:t xml:space="preserve">employés </w:t>
      </w:r>
      <w:r w:rsidR="009A116B" w:rsidRPr="008F610A">
        <w:rPr>
          <w:rFonts w:asciiTheme="minorHAnsi" w:hAnsiTheme="minorHAnsi"/>
          <w:color w:val="000000"/>
          <w:sz w:val="22"/>
          <w:szCs w:val="22"/>
          <w:lang w:val="fr-CA"/>
        </w:rPr>
        <w:t>nommés pour une période indéterminée</w:t>
      </w:r>
      <w:r w:rsidRPr="008F610A">
        <w:rPr>
          <w:rFonts w:asciiTheme="minorHAnsi" w:hAnsiTheme="minorHAnsi"/>
          <w:color w:val="000000"/>
          <w:sz w:val="22"/>
          <w:szCs w:val="22"/>
          <w:lang w:val="fr-CA"/>
        </w:rPr>
        <w:t xml:space="preserve">, et 91 % </w:t>
      </w:r>
      <w:r w:rsidR="009A116B" w:rsidRPr="008F610A">
        <w:rPr>
          <w:rFonts w:asciiTheme="minorHAnsi" w:hAnsiTheme="minorHAnsi"/>
          <w:color w:val="000000"/>
          <w:sz w:val="22"/>
          <w:szCs w:val="22"/>
          <w:lang w:val="fr-CA"/>
        </w:rPr>
        <w:t xml:space="preserve">travaillent </w:t>
      </w:r>
      <w:r w:rsidRPr="008F610A">
        <w:rPr>
          <w:rFonts w:asciiTheme="minorHAnsi" w:hAnsiTheme="minorHAnsi"/>
          <w:color w:val="000000"/>
          <w:sz w:val="22"/>
          <w:szCs w:val="22"/>
          <w:lang w:val="fr-CA"/>
        </w:rPr>
        <w:t>dans la région de la capitale nationale. Au cours de l</w:t>
      </w:r>
      <w:r w:rsidR="00E346A8" w:rsidRPr="008F610A">
        <w:rPr>
          <w:rFonts w:asciiTheme="minorHAnsi" w:hAnsiTheme="minorHAnsi"/>
          <w:color w:val="000000"/>
          <w:sz w:val="22"/>
          <w:szCs w:val="22"/>
          <w:lang w:val="fr-CA"/>
        </w:rPr>
        <w:t>’</w:t>
      </w:r>
      <w:r w:rsidRPr="008F610A">
        <w:rPr>
          <w:rFonts w:asciiTheme="minorHAnsi" w:hAnsiTheme="minorHAnsi"/>
          <w:color w:val="000000"/>
          <w:sz w:val="22"/>
          <w:szCs w:val="22"/>
          <w:lang w:val="fr-CA"/>
        </w:rPr>
        <w:t xml:space="preserve">année financière 2018-2019, SP a </w:t>
      </w:r>
      <w:r w:rsidR="009A116B" w:rsidRPr="008F610A">
        <w:rPr>
          <w:rFonts w:asciiTheme="minorHAnsi" w:hAnsiTheme="minorHAnsi"/>
          <w:color w:val="000000"/>
          <w:sz w:val="22"/>
          <w:szCs w:val="22"/>
          <w:lang w:val="fr-CA"/>
        </w:rPr>
        <w:t>effectué</w:t>
      </w:r>
      <w:r w:rsidRPr="008F610A">
        <w:rPr>
          <w:rFonts w:asciiTheme="minorHAnsi" w:hAnsiTheme="minorHAnsi"/>
          <w:color w:val="000000"/>
          <w:sz w:val="22"/>
          <w:szCs w:val="22"/>
          <w:lang w:val="fr-CA"/>
        </w:rPr>
        <w:t xml:space="preserve"> 993 mesures de dotation, </w:t>
      </w:r>
      <w:r w:rsidR="009A116B" w:rsidRPr="008F610A">
        <w:rPr>
          <w:rFonts w:asciiTheme="minorHAnsi" w:hAnsiTheme="minorHAnsi"/>
          <w:color w:val="000000"/>
          <w:sz w:val="22"/>
          <w:szCs w:val="22"/>
          <w:lang w:val="fr-CA"/>
        </w:rPr>
        <w:t xml:space="preserve">la plupart étant des </w:t>
      </w:r>
      <w:r w:rsidRPr="008F610A">
        <w:rPr>
          <w:rFonts w:asciiTheme="minorHAnsi" w:hAnsiTheme="minorHAnsi"/>
          <w:color w:val="000000"/>
          <w:sz w:val="22"/>
          <w:szCs w:val="22"/>
          <w:lang w:val="fr-CA"/>
        </w:rPr>
        <w:t>processus externes.</w:t>
      </w:r>
    </w:p>
    <w:p w14:paraId="127CB1B4" w14:textId="77777777" w:rsidR="006D1AFD" w:rsidRPr="008F610A" w:rsidRDefault="001D3A1C" w:rsidP="004F458A">
      <w:pPr>
        <w:pStyle w:val="Heading3"/>
        <w:rPr>
          <w:u w:val="single"/>
          <w:lang w:val="fr-CA"/>
        </w:rPr>
      </w:pPr>
      <w:r w:rsidRPr="008F610A">
        <w:rPr>
          <w:lang w:val="fr-CA"/>
        </w:rPr>
        <w:t>Activités</w:t>
      </w:r>
      <w:r w:rsidR="006D1AFD" w:rsidRPr="008F610A">
        <w:rPr>
          <w:lang w:val="fr-CA"/>
        </w:rPr>
        <w:t xml:space="preserve"> de dotation</w:t>
      </w:r>
    </w:p>
    <w:p w14:paraId="54BA075A" w14:textId="77777777" w:rsidR="00591DC8" w:rsidRPr="008F610A" w:rsidRDefault="00591DC8" w:rsidP="00591DC8">
      <w:pPr>
        <w:rPr>
          <w:rFonts w:asciiTheme="minorHAnsi" w:hAnsiTheme="minorHAnsi" w:cstheme="minorHAnsi"/>
          <w:color w:val="000000"/>
          <w:sz w:val="22"/>
          <w:szCs w:val="22"/>
          <w:lang w:val="fr-CA"/>
        </w:rPr>
      </w:pPr>
      <w:r w:rsidRPr="008F610A">
        <w:rPr>
          <w:rFonts w:asciiTheme="minorHAnsi" w:hAnsiTheme="minorHAnsi"/>
          <w:color w:val="000000"/>
          <w:sz w:val="22"/>
          <w:szCs w:val="22"/>
          <w:lang w:val="fr-CA"/>
        </w:rPr>
        <w:t>En 2018-2019, SP a procédé à un total de 993</w:t>
      </w:r>
      <w:r w:rsidR="004B6811" w:rsidRPr="008F610A">
        <w:rPr>
          <w:rFonts w:asciiTheme="minorHAnsi" w:hAnsiTheme="minorHAnsi"/>
          <w:color w:val="000000"/>
          <w:sz w:val="22"/>
          <w:szCs w:val="22"/>
          <w:lang w:val="fr-CA"/>
        </w:rPr>
        <w:t> </w:t>
      </w:r>
      <w:r w:rsidRPr="008F610A">
        <w:rPr>
          <w:rFonts w:asciiTheme="minorHAnsi" w:hAnsiTheme="minorHAnsi"/>
          <w:color w:val="000000"/>
          <w:sz w:val="22"/>
          <w:szCs w:val="22"/>
          <w:lang w:val="fr-CA"/>
        </w:rPr>
        <w:t>activités de dotation</w:t>
      </w:r>
      <w:r w:rsidR="004B6811" w:rsidRPr="008F610A">
        <w:rPr>
          <w:rFonts w:asciiTheme="minorHAnsi" w:hAnsiTheme="minorHAnsi"/>
          <w:color w:val="000000"/>
          <w:sz w:val="22"/>
          <w:szCs w:val="22"/>
          <w:lang w:val="fr-CA"/>
        </w:rPr>
        <w:t> </w:t>
      </w:r>
      <w:r w:rsidRPr="008F610A">
        <w:rPr>
          <w:rFonts w:asciiTheme="minorHAnsi" w:hAnsiTheme="minorHAnsi"/>
          <w:color w:val="000000"/>
          <w:sz w:val="22"/>
          <w:szCs w:val="22"/>
          <w:lang w:val="fr-CA"/>
        </w:rPr>
        <w:t>:</w:t>
      </w:r>
    </w:p>
    <w:p w14:paraId="7FB8F40A" w14:textId="77777777" w:rsidR="00591DC8" w:rsidRPr="008F610A" w:rsidRDefault="00591DC8" w:rsidP="00591DC8">
      <w:pPr>
        <w:numPr>
          <w:ilvl w:val="0"/>
          <w:numId w:val="5"/>
        </w:numPr>
        <w:rPr>
          <w:rFonts w:asciiTheme="minorHAnsi" w:hAnsiTheme="minorHAnsi" w:cstheme="minorHAnsi"/>
          <w:color w:val="000000"/>
          <w:sz w:val="22"/>
          <w:szCs w:val="22"/>
          <w:lang w:val="fr-CA"/>
        </w:rPr>
      </w:pPr>
      <w:r w:rsidRPr="008F610A">
        <w:rPr>
          <w:rFonts w:asciiTheme="minorHAnsi" w:hAnsiTheme="minorHAnsi"/>
          <w:color w:val="000000"/>
          <w:sz w:val="22"/>
          <w:szCs w:val="22"/>
          <w:lang w:val="fr-CA"/>
        </w:rPr>
        <w:t xml:space="preserve">163 nominations à la fonction publique; </w:t>
      </w:r>
    </w:p>
    <w:p w14:paraId="7577167F" w14:textId="77777777" w:rsidR="00591DC8" w:rsidRPr="008F610A" w:rsidRDefault="00591DC8" w:rsidP="00591DC8">
      <w:pPr>
        <w:numPr>
          <w:ilvl w:val="0"/>
          <w:numId w:val="5"/>
        </w:numPr>
        <w:rPr>
          <w:rFonts w:asciiTheme="minorHAnsi" w:hAnsiTheme="minorHAnsi" w:cstheme="minorHAnsi"/>
          <w:color w:val="000000"/>
          <w:sz w:val="22"/>
          <w:szCs w:val="22"/>
          <w:lang w:val="fr-CA"/>
        </w:rPr>
      </w:pPr>
      <w:r w:rsidRPr="008F610A">
        <w:rPr>
          <w:rFonts w:asciiTheme="minorHAnsi" w:hAnsiTheme="minorHAnsi"/>
          <w:color w:val="000000"/>
          <w:sz w:val="22"/>
          <w:szCs w:val="22"/>
          <w:lang w:val="fr-CA"/>
        </w:rPr>
        <w:t>194</w:t>
      </w:r>
      <w:r w:rsidR="004B6811" w:rsidRPr="008F610A">
        <w:rPr>
          <w:rFonts w:asciiTheme="minorHAnsi" w:hAnsiTheme="minorHAnsi"/>
          <w:color w:val="000000"/>
          <w:sz w:val="22"/>
          <w:szCs w:val="22"/>
          <w:lang w:val="fr-CA"/>
        </w:rPr>
        <w:t> </w:t>
      </w:r>
      <w:r w:rsidRPr="008F610A">
        <w:rPr>
          <w:rFonts w:asciiTheme="minorHAnsi" w:hAnsiTheme="minorHAnsi"/>
          <w:color w:val="000000"/>
          <w:sz w:val="22"/>
          <w:szCs w:val="22"/>
          <w:lang w:val="fr-CA"/>
        </w:rPr>
        <w:t>promotions;</w:t>
      </w:r>
    </w:p>
    <w:p w14:paraId="74A6F182" w14:textId="77777777" w:rsidR="00591DC8" w:rsidRPr="008F610A" w:rsidRDefault="00591DC8" w:rsidP="00591DC8">
      <w:pPr>
        <w:numPr>
          <w:ilvl w:val="0"/>
          <w:numId w:val="5"/>
        </w:numPr>
        <w:rPr>
          <w:rFonts w:asciiTheme="minorHAnsi" w:hAnsiTheme="minorHAnsi" w:cstheme="minorHAnsi"/>
          <w:color w:val="000000"/>
          <w:sz w:val="22"/>
          <w:szCs w:val="22"/>
          <w:lang w:val="fr-CA"/>
        </w:rPr>
      </w:pPr>
      <w:r w:rsidRPr="008F610A">
        <w:rPr>
          <w:rFonts w:asciiTheme="minorHAnsi" w:hAnsiTheme="minorHAnsi"/>
          <w:color w:val="000000"/>
          <w:sz w:val="22"/>
          <w:szCs w:val="22"/>
          <w:lang w:val="fr-CA"/>
        </w:rPr>
        <w:t>68</w:t>
      </w:r>
      <w:r w:rsidR="004B6811" w:rsidRPr="008F610A">
        <w:rPr>
          <w:rFonts w:asciiTheme="minorHAnsi" w:hAnsiTheme="minorHAnsi"/>
          <w:color w:val="000000"/>
          <w:sz w:val="22"/>
          <w:szCs w:val="22"/>
          <w:lang w:val="fr-CA"/>
        </w:rPr>
        <w:t> </w:t>
      </w:r>
      <w:r w:rsidRPr="008F610A">
        <w:rPr>
          <w:rFonts w:asciiTheme="minorHAnsi" w:hAnsiTheme="minorHAnsi"/>
          <w:color w:val="000000"/>
          <w:sz w:val="22"/>
          <w:szCs w:val="22"/>
          <w:lang w:val="fr-CA"/>
        </w:rPr>
        <w:t xml:space="preserve">nominations intérimaires; </w:t>
      </w:r>
    </w:p>
    <w:p w14:paraId="438BED4E" w14:textId="77777777" w:rsidR="00591DC8" w:rsidRPr="008F610A" w:rsidRDefault="00591DC8" w:rsidP="00591DC8">
      <w:pPr>
        <w:numPr>
          <w:ilvl w:val="0"/>
          <w:numId w:val="5"/>
        </w:numPr>
        <w:rPr>
          <w:rFonts w:asciiTheme="minorHAnsi" w:hAnsiTheme="minorHAnsi" w:cstheme="minorHAnsi"/>
          <w:color w:val="000000"/>
          <w:sz w:val="22"/>
          <w:szCs w:val="22"/>
          <w:lang w:val="fr-CA"/>
        </w:rPr>
      </w:pPr>
      <w:r w:rsidRPr="008F610A">
        <w:rPr>
          <w:rFonts w:asciiTheme="minorHAnsi" w:hAnsiTheme="minorHAnsi"/>
          <w:color w:val="000000"/>
          <w:sz w:val="22"/>
          <w:szCs w:val="22"/>
          <w:lang w:val="fr-CA"/>
        </w:rPr>
        <w:t>241</w:t>
      </w:r>
      <w:r w:rsidR="004B6811" w:rsidRPr="008F610A">
        <w:rPr>
          <w:rFonts w:asciiTheme="minorHAnsi" w:hAnsiTheme="minorHAnsi"/>
          <w:color w:val="000000"/>
          <w:sz w:val="22"/>
          <w:szCs w:val="22"/>
          <w:lang w:val="fr-CA"/>
        </w:rPr>
        <w:t> </w:t>
      </w:r>
      <w:r w:rsidR="00017392" w:rsidRPr="008F610A">
        <w:rPr>
          <w:rFonts w:asciiTheme="minorHAnsi" w:hAnsiTheme="minorHAnsi"/>
          <w:color w:val="000000"/>
          <w:sz w:val="22"/>
          <w:szCs w:val="22"/>
          <w:lang w:val="fr-CA"/>
        </w:rPr>
        <w:t>embauches d’employés occasionnels</w:t>
      </w:r>
      <w:r w:rsidRPr="008F610A">
        <w:rPr>
          <w:rFonts w:asciiTheme="minorHAnsi" w:hAnsiTheme="minorHAnsi"/>
          <w:color w:val="000000"/>
          <w:sz w:val="22"/>
          <w:szCs w:val="22"/>
          <w:lang w:val="fr-CA"/>
        </w:rPr>
        <w:t xml:space="preserve">; </w:t>
      </w:r>
    </w:p>
    <w:p w14:paraId="6A1BA485" w14:textId="77777777" w:rsidR="00591DC8" w:rsidRPr="008F610A" w:rsidRDefault="00591DC8" w:rsidP="00591DC8">
      <w:pPr>
        <w:numPr>
          <w:ilvl w:val="0"/>
          <w:numId w:val="5"/>
        </w:numPr>
        <w:rPr>
          <w:rFonts w:asciiTheme="minorHAnsi" w:hAnsiTheme="minorHAnsi" w:cstheme="minorHAnsi"/>
          <w:color w:val="000000"/>
          <w:sz w:val="22"/>
          <w:szCs w:val="22"/>
          <w:lang w:val="fr-CA"/>
        </w:rPr>
      </w:pPr>
      <w:r w:rsidRPr="008F610A">
        <w:rPr>
          <w:rFonts w:asciiTheme="minorHAnsi" w:hAnsiTheme="minorHAnsi"/>
          <w:color w:val="000000"/>
          <w:sz w:val="22"/>
          <w:szCs w:val="22"/>
          <w:lang w:val="fr-CA"/>
        </w:rPr>
        <w:t>109</w:t>
      </w:r>
      <w:r w:rsidR="004B6811" w:rsidRPr="008F610A">
        <w:rPr>
          <w:rFonts w:asciiTheme="minorHAnsi" w:hAnsiTheme="minorHAnsi"/>
          <w:color w:val="000000"/>
          <w:sz w:val="22"/>
          <w:szCs w:val="22"/>
          <w:lang w:val="fr-CA"/>
        </w:rPr>
        <w:t> </w:t>
      </w:r>
      <w:r w:rsidR="00017392" w:rsidRPr="008F610A">
        <w:rPr>
          <w:rFonts w:asciiTheme="minorHAnsi" w:hAnsiTheme="minorHAnsi"/>
          <w:color w:val="000000"/>
          <w:sz w:val="22"/>
          <w:szCs w:val="22"/>
          <w:lang w:val="fr-CA"/>
        </w:rPr>
        <w:t xml:space="preserve">embauches </w:t>
      </w:r>
      <w:r w:rsidRPr="008F610A">
        <w:rPr>
          <w:rFonts w:asciiTheme="minorHAnsi" w:hAnsiTheme="minorHAnsi"/>
          <w:color w:val="000000"/>
          <w:sz w:val="22"/>
          <w:szCs w:val="22"/>
          <w:lang w:val="fr-CA"/>
        </w:rPr>
        <w:t>d</w:t>
      </w:r>
      <w:r w:rsidR="00E346A8" w:rsidRPr="008F610A">
        <w:rPr>
          <w:rFonts w:asciiTheme="minorHAnsi" w:hAnsiTheme="minorHAnsi"/>
          <w:color w:val="000000"/>
          <w:sz w:val="22"/>
          <w:szCs w:val="22"/>
          <w:lang w:val="fr-CA"/>
        </w:rPr>
        <w:t>’</w:t>
      </w:r>
      <w:r w:rsidRPr="008F610A">
        <w:rPr>
          <w:rFonts w:asciiTheme="minorHAnsi" w:hAnsiTheme="minorHAnsi"/>
          <w:color w:val="000000"/>
          <w:sz w:val="22"/>
          <w:szCs w:val="22"/>
          <w:lang w:val="fr-CA"/>
        </w:rPr>
        <w:t xml:space="preserve">étudiants; </w:t>
      </w:r>
    </w:p>
    <w:p w14:paraId="418384B1" w14:textId="77777777" w:rsidR="00591DC8" w:rsidRPr="008F610A" w:rsidRDefault="00591DC8" w:rsidP="008F610A">
      <w:pPr>
        <w:numPr>
          <w:ilvl w:val="0"/>
          <w:numId w:val="5"/>
        </w:numPr>
        <w:spacing w:after="120"/>
        <w:rPr>
          <w:rFonts w:asciiTheme="minorHAnsi" w:hAnsiTheme="minorHAnsi" w:cstheme="minorHAnsi"/>
          <w:color w:val="000000"/>
          <w:sz w:val="22"/>
          <w:szCs w:val="22"/>
          <w:lang w:val="fr-CA"/>
        </w:rPr>
      </w:pPr>
      <w:r w:rsidRPr="008F610A">
        <w:rPr>
          <w:rFonts w:asciiTheme="minorHAnsi" w:hAnsiTheme="minorHAnsi"/>
          <w:color w:val="000000"/>
          <w:sz w:val="22"/>
          <w:szCs w:val="22"/>
          <w:lang w:val="fr-CA"/>
        </w:rPr>
        <w:t>218</w:t>
      </w:r>
      <w:r w:rsidR="004B6811" w:rsidRPr="008F610A">
        <w:rPr>
          <w:rFonts w:asciiTheme="minorHAnsi" w:hAnsiTheme="minorHAnsi"/>
          <w:color w:val="000000"/>
          <w:sz w:val="22"/>
          <w:szCs w:val="22"/>
          <w:lang w:val="fr-CA"/>
        </w:rPr>
        <w:t> </w:t>
      </w:r>
      <w:r w:rsidR="00017392" w:rsidRPr="008F610A">
        <w:rPr>
          <w:rFonts w:asciiTheme="minorHAnsi" w:hAnsiTheme="minorHAnsi"/>
          <w:color w:val="000000"/>
          <w:sz w:val="22"/>
          <w:szCs w:val="22"/>
          <w:lang w:val="fr-CA"/>
        </w:rPr>
        <w:t>déplacements latéraux et vers un échelon inférieur</w:t>
      </w:r>
      <w:r w:rsidRPr="008F610A">
        <w:rPr>
          <w:rFonts w:asciiTheme="minorHAnsi" w:hAnsiTheme="minorHAnsi"/>
          <w:color w:val="000000"/>
          <w:sz w:val="22"/>
          <w:szCs w:val="22"/>
          <w:lang w:val="fr-CA"/>
        </w:rPr>
        <w:t xml:space="preserve">. </w:t>
      </w:r>
    </w:p>
    <w:p w14:paraId="6D86563C" w14:textId="77777777" w:rsidR="00591DC8" w:rsidRPr="008F610A" w:rsidRDefault="00F35AFA" w:rsidP="00591DC8">
      <w:pPr>
        <w:pStyle w:val="NoSpacing"/>
        <w:rPr>
          <w:rFonts w:asciiTheme="minorHAnsi" w:hAnsiTheme="minorHAnsi" w:cstheme="minorHAnsi"/>
          <w:sz w:val="22"/>
          <w:szCs w:val="22"/>
          <w:lang w:val="fr-CA"/>
        </w:rPr>
      </w:pPr>
      <w:r w:rsidRPr="008F610A">
        <w:rPr>
          <w:rFonts w:asciiTheme="minorHAnsi" w:hAnsiTheme="minorHAnsi"/>
          <w:sz w:val="22"/>
          <w:szCs w:val="22"/>
          <w:lang w:val="fr-CA"/>
        </w:rPr>
        <w:t xml:space="preserve">Veuillez </w:t>
      </w:r>
      <w:r w:rsidR="00591DC8" w:rsidRPr="008F610A">
        <w:rPr>
          <w:rFonts w:asciiTheme="minorHAnsi" w:hAnsiTheme="minorHAnsi"/>
          <w:sz w:val="22"/>
          <w:szCs w:val="22"/>
          <w:lang w:val="fr-CA"/>
        </w:rPr>
        <w:t xml:space="preserve">consulter </w:t>
      </w:r>
      <w:hyperlink w:anchor="Annexe_B" w:history="1">
        <w:r w:rsidR="00591DC8" w:rsidRPr="00BF469C">
          <w:rPr>
            <w:rStyle w:val="Hyperlink"/>
            <w:rFonts w:asciiTheme="minorHAnsi" w:hAnsiTheme="minorHAnsi"/>
            <w:sz w:val="22"/>
            <w:szCs w:val="22"/>
            <w:lang w:val="fr-CA"/>
          </w:rPr>
          <w:t>l</w:t>
        </w:r>
        <w:r w:rsidR="00E346A8" w:rsidRPr="00BF469C">
          <w:rPr>
            <w:rStyle w:val="Hyperlink"/>
            <w:rFonts w:asciiTheme="minorHAnsi" w:hAnsiTheme="minorHAnsi"/>
            <w:sz w:val="22"/>
            <w:szCs w:val="22"/>
            <w:lang w:val="fr-CA"/>
          </w:rPr>
          <w:t>’</w:t>
        </w:r>
        <w:r w:rsidR="008F610A" w:rsidRPr="00BF469C">
          <w:rPr>
            <w:rStyle w:val="Hyperlink"/>
            <w:rFonts w:asciiTheme="minorHAnsi" w:hAnsiTheme="minorHAnsi"/>
            <w:sz w:val="22"/>
            <w:szCs w:val="22"/>
            <w:lang w:val="fr-CA"/>
          </w:rPr>
          <w:t>annexe B</w:t>
        </w:r>
      </w:hyperlink>
      <w:r w:rsidR="008F610A" w:rsidRPr="008F610A">
        <w:rPr>
          <w:rFonts w:asciiTheme="minorHAnsi" w:hAnsiTheme="minorHAnsi"/>
          <w:sz w:val="22"/>
          <w:szCs w:val="22"/>
          <w:lang w:val="fr-CA"/>
        </w:rPr>
        <w:t xml:space="preserve"> pour obtenir </w:t>
      </w:r>
      <w:r w:rsidR="00591DC8" w:rsidRPr="008F610A">
        <w:rPr>
          <w:rFonts w:asciiTheme="minorHAnsi" w:hAnsiTheme="minorHAnsi"/>
          <w:sz w:val="22"/>
          <w:szCs w:val="22"/>
          <w:lang w:val="fr-CA"/>
        </w:rPr>
        <w:t xml:space="preserve">plus </w:t>
      </w:r>
      <w:r w:rsidR="008F610A" w:rsidRPr="008F610A">
        <w:rPr>
          <w:rFonts w:asciiTheme="minorHAnsi" w:hAnsiTheme="minorHAnsi"/>
          <w:sz w:val="22"/>
          <w:szCs w:val="22"/>
          <w:lang w:val="fr-CA"/>
        </w:rPr>
        <w:t xml:space="preserve">de </w:t>
      </w:r>
      <w:r w:rsidR="00591DC8" w:rsidRPr="008F610A">
        <w:rPr>
          <w:rFonts w:asciiTheme="minorHAnsi" w:hAnsiTheme="minorHAnsi"/>
          <w:sz w:val="22"/>
          <w:szCs w:val="22"/>
          <w:lang w:val="fr-CA"/>
        </w:rPr>
        <w:t>détails</w:t>
      </w:r>
      <w:r w:rsidR="008F610A" w:rsidRPr="008F610A">
        <w:rPr>
          <w:rFonts w:asciiTheme="minorHAnsi" w:hAnsiTheme="minorHAnsi"/>
          <w:sz w:val="22"/>
          <w:szCs w:val="22"/>
          <w:lang w:val="fr-CA"/>
        </w:rPr>
        <w:t xml:space="preserve"> sur les activités de dotation</w:t>
      </w:r>
      <w:r w:rsidR="00591DC8" w:rsidRPr="008F610A">
        <w:rPr>
          <w:rFonts w:asciiTheme="minorHAnsi" w:hAnsiTheme="minorHAnsi"/>
          <w:sz w:val="22"/>
          <w:szCs w:val="22"/>
          <w:lang w:val="fr-CA"/>
        </w:rPr>
        <w:t>.</w:t>
      </w:r>
    </w:p>
    <w:p w14:paraId="55A73721" w14:textId="77777777" w:rsidR="006D1AFD" w:rsidRPr="008F610A" w:rsidRDefault="006D1AFD" w:rsidP="004F458A">
      <w:pPr>
        <w:pStyle w:val="Heading2"/>
        <w:rPr>
          <w:lang w:val="fr-CA"/>
        </w:rPr>
      </w:pPr>
      <w:r w:rsidRPr="008F610A">
        <w:rPr>
          <w:lang w:val="fr-CA"/>
        </w:rPr>
        <w:t>Durée du processus de dotation</w:t>
      </w:r>
    </w:p>
    <w:p w14:paraId="0AFAC63B" w14:textId="77777777" w:rsidR="00591DC8" w:rsidRPr="008F610A" w:rsidRDefault="00F35AFA" w:rsidP="008F610A">
      <w:pPr>
        <w:pStyle w:val="NoSpacing"/>
        <w:spacing w:after="120"/>
        <w:rPr>
          <w:rFonts w:asciiTheme="minorHAnsi" w:hAnsiTheme="minorHAnsi" w:cstheme="minorHAnsi"/>
          <w:color w:val="000000"/>
          <w:sz w:val="22"/>
          <w:szCs w:val="22"/>
          <w:lang w:val="fr-CA"/>
        </w:rPr>
      </w:pPr>
      <w:r w:rsidRPr="008F610A">
        <w:rPr>
          <w:rFonts w:asciiTheme="minorHAnsi" w:hAnsiTheme="minorHAnsi"/>
          <w:sz w:val="22"/>
          <w:szCs w:val="22"/>
          <w:lang w:val="fr-CA"/>
        </w:rPr>
        <w:t>SP enregistre</w:t>
      </w:r>
      <w:r w:rsidR="00591DC8" w:rsidRPr="008F610A">
        <w:rPr>
          <w:rFonts w:asciiTheme="minorHAnsi" w:hAnsiTheme="minorHAnsi"/>
          <w:sz w:val="22"/>
          <w:szCs w:val="22"/>
          <w:lang w:val="fr-CA"/>
        </w:rPr>
        <w:t xml:space="preserve"> un délai médian de 170</w:t>
      </w:r>
      <w:r w:rsidR="004B6811" w:rsidRPr="008F610A">
        <w:rPr>
          <w:rFonts w:asciiTheme="minorHAnsi" w:hAnsiTheme="minorHAnsi"/>
          <w:sz w:val="22"/>
          <w:szCs w:val="22"/>
          <w:lang w:val="fr-CA"/>
        </w:rPr>
        <w:t> </w:t>
      </w:r>
      <w:r w:rsidR="00591DC8" w:rsidRPr="008F610A">
        <w:rPr>
          <w:rFonts w:asciiTheme="minorHAnsi" w:hAnsiTheme="minorHAnsi"/>
          <w:sz w:val="22"/>
          <w:szCs w:val="22"/>
          <w:lang w:val="fr-CA"/>
        </w:rPr>
        <w:t>jours pour les nominations internes, ce qui est inférieur à la médiane de 176</w:t>
      </w:r>
      <w:r w:rsidR="004B6811" w:rsidRPr="008F610A">
        <w:rPr>
          <w:rFonts w:asciiTheme="minorHAnsi" w:hAnsiTheme="minorHAnsi"/>
          <w:sz w:val="22"/>
          <w:szCs w:val="22"/>
          <w:lang w:val="fr-CA"/>
        </w:rPr>
        <w:t> </w:t>
      </w:r>
      <w:r w:rsidR="00591DC8" w:rsidRPr="008F610A">
        <w:rPr>
          <w:rFonts w:asciiTheme="minorHAnsi" w:hAnsiTheme="minorHAnsi"/>
          <w:sz w:val="22"/>
          <w:szCs w:val="22"/>
          <w:lang w:val="fr-CA"/>
        </w:rPr>
        <w:t xml:space="preserve">jours </w:t>
      </w:r>
      <w:r w:rsidRPr="008F610A">
        <w:rPr>
          <w:rFonts w:asciiTheme="minorHAnsi" w:hAnsiTheme="minorHAnsi"/>
          <w:sz w:val="22"/>
          <w:szCs w:val="22"/>
          <w:lang w:val="fr-CA"/>
        </w:rPr>
        <w:t xml:space="preserve">observée à l’échelle </w:t>
      </w:r>
      <w:r w:rsidR="00591DC8" w:rsidRPr="008F610A">
        <w:rPr>
          <w:rFonts w:asciiTheme="minorHAnsi" w:hAnsiTheme="minorHAnsi"/>
          <w:sz w:val="22"/>
          <w:szCs w:val="22"/>
          <w:lang w:val="fr-CA"/>
        </w:rPr>
        <w:t>de la fonction publique</w:t>
      </w:r>
      <w:r w:rsidR="00591DC8" w:rsidRPr="008F610A">
        <w:rPr>
          <w:rFonts w:asciiTheme="minorHAnsi" w:hAnsiTheme="minorHAnsi" w:cstheme="minorHAnsi"/>
          <w:sz w:val="22"/>
          <w:szCs w:val="22"/>
          <w:lang w:val="fr-CA"/>
        </w:rPr>
        <w:t>.</w:t>
      </w:r>
      <w:r w:rsidR="00591DC8" w:rsidRPr="008F610A">
        <w:rPr>
          <w:rFonts w:asciiTheme="minorHAnsi" w:hAnsiTheme="minorHAnsi" w:cstheme="minorHAnsi"/>
          <w:color w:val="222222"/>
          <w:sz w:val="22"/>
          <w:szCs w:val="22"/>
          <w:lang w:val="fr-CA"/>
        </w:rPr>
        <w:t xml:space="preserve"> </w:t>
      </w:r>
    </w:p>
    <w:p w14:paraId="519385B9" w14:textId="77777777" w:rsidR="00591DC8" w:rsidRPr="008F610A" w:rsidRDefault="00591DC8" w:rsidP="008F610A">
      <w:pPr>
        <w:pStyle w:val="NoSpacing"/>
        <w:spacing w:after="120"/>
        <w:rPr>
          <w:rFonts w:asciiTheme="minorHAnsi" w:hAnsiTheme="minorHAnsi" w:cstheme="minorHAnsi"/>
          <w:color w:val="000000"/>
          <w:sz w:val="22"/>
          <w:szCs w:val="22"/>
          <w:lang w:val="fr-CA"/>
        </w:rPr>
      </w:pPr>
      <w:r w:rsidRPr="008F610A">
        <w:rPr>
          <w:rFonts w:asciiTheme="minorHAnsi" w:hAnsiTheme="minorHAnsi"/>
          <w:color w:val="000000"/>
          <w:sz w:val="22"/>
          <w:szCs w:val="22"/>
          <w:lang w:val="fr-CA"/>
        </w:rPr>
        <w:t>Les données sont insuffisantes po</w:t>
      </w:r>
      <w:r w:rsidR="00F35AFA" w:rsidRPr="008F610A">
        <w:rPr>
          <w:rFonts w:asciiTheme="minorHAnsi" w:hAnsiTheme="minorHAnsi"/>
          <w:color w:val="000000"/>
          <w:sz w:val="22"/>
          <w:szCs w:val="22"/>
          <w:lang w:val="fr-CA"/>
        </w:rPr>
        <w:t>ur produire des résultats sur la durée des processus externes à SP</w:t>
      </w:r>
      <w:r w:rsidRPr="008F610A">
        <w:rPr>
          <w:rFonts w:asciiTheme="minorHAnsi" w:hAnsiTheme="minorHAnsi"/>
          <w:color w:val="000000"/>
          <w:sz w:val="22"/>
          <w:szCs w:val="22"/>
          <w:lang w:val="fr-CA"/>
        </w:rPr>
        <w:t>.</w:t>
      </w:r>
    </w:p>
    <w:p w14:paraId="237DDE34" w14:textId="77777777" w:rsidR="006D1AFD" w:rsidRPr="008F610A" w:rsidRDefault="006D1AFD" w:rsidP="004F458A">
      <w:pPr>
        <w:pStyle w:val="Heading2"/>
        <w:rPr>
          <w:lang w:val="fr-CA"/>
        </w:rPr>
      </w:pPr>
      <w:r w:rsidRPr="008F610A">
        <w:rPr>
          <w:lang w:val="fr-CA"/>
        </w:rPr>
        <w:t>Cadre de dotation</w:t>
      </w:r>
    </w:p>
    <w:p w14:paraId="2EC23C1F" w14:textId="77777777" w:rsidR="006D1AFD" w:rsidRPr="008F610A" w:rsidRDefault="00782019" w:rsidP="004F458A">
      <w:pPr>
        <w:pStyle w:val="Heading3"/>
        <w:rPr>
          <w:lang w:val="fr-CA"/>
        </w:rPr>
      </w:pPr>
      <w:r w:rsidRPr="008F610A">
        <w:rPr>
          <w:lang w:val="fr-CA"/>
        </w:rPr>
        <w:t>Mise en œuvre de la n</w:t>
      </w:r>
      <w:r w:rsidR="00F35AFA" w:rsidRPr="008F610A">
        <w:rPr>
          <w:lang w:val="fr-CA"/>
        </w:rPr>
        <w:t>ouvelle o</w:t>
      </w:r>
      <w:r w:rsidR="006D1AFD" w:rsidRPr="008F610A">
        <w:rPr>
          <w:lang w:val="fr-CA"/>
        </w:rPr>
        <w:t>rientation en dotation</w:t>
      </w:r>
    </w:p>
    <w:p w14:paraId="6C8932D2" w14:textId="77777777" w:rsidR="00591DC8" w:rsidRPr="008F610A" w:rsidRDefault="00591DC8" w:rsidP="004F458A">
      <w:pPr>
        <w:pStyle w:val="Heading4"/>
        <w:rPr>
          <w:lang w:val="fr-CA"/>
        </w:rPr>
      </w:pPr>
      <w:r w:rsidRPr="008F610A">
        <w:rPr>
          <w:lang w:val="fr-CA"/>
        </w:rPr>
        <w:t>Politique</w:t>
      </w:r>
    </w:p>
    <w:p w14:paraId="666FA004" w14:textId="77777777" w:rsidR="00591DC8" w:rsidRPr="008F610A" w:rsidRDefault="00591DC8" w:rsidP="008F610A">
      <w:pPr>
        <w:pStyle w:val="NormalWeb"/>
        <w:spacing w:before="0" w:beforeAutospacing="0" w:after="120" w:afterAutospacing="0"/>
        <w:rPr>
          <w:rFonts w:asciiTheme="minorHAnsi" w:hAnsiTheme="minorHAnsi" w:cstheme="minorHAnsi"/>
          <w:b/>
          <w:color w:val="000000"/>
          <w:sz w:val="22"/>
          <w:szCs w:val="22"/>
          <w:lang w:val="fr-CA"/>
        </w:rPr>
      </w:pPr>
      <w:r w:rsidRPr="008F610A">
        <w:rPr>
          <w:rFonts w:asciiTheme="minorHAnsi" w:hAnsiTheme="minorHAnsi"/>
          <w:color w:val="000000"/>
          <w:sz w:val="22"/>
          <w:szCs w:val="22"/>
          <w:lang w:val="fr-CA"/>
        </w:rPr>
        <w:t>SP répondait à toutes les exigences de la NOD au 1</w:t>
      </w:r>
      <w:r w:rsidRPr="008F610A">
        <w:rPr>
          <w:rFonts w:asciiTheme="minorHAnsi" w:hAnsiTheme="minorHAnsi"/>
          <w:color w:val="000000"/>
          <w:sz w:val="22"/>
          <w:szCs w:val="22"/>
          <w:vertAlign w:val="superscript"/>
          <w:lang w:val="fr-CA"/>
        </w:rPr>
        <w:t>er</w:t>
      </w:r>
      <w:r w:rsidR="00F24318" w:rsidRPr="008F610A">
        <w:rPr>
          <w:rFonts w:asciiTheme="minorHAnsi" w:hAnsiTheme="minorHAnsi"/>
          <w:color w:val="000000"/>
          <w:sz w:val="22"/>
          <w:szCs w:val="22"/>
          <w:vertAlign w:val="superscript"/>
          <w:lang w:val="fr-CA"/>
        </w:rPr>
        <w:t> </w:t>
      </w:r>
      <w:r w:rsidRPr="008F610A">
        <w:rPr>
          <w:rFonts w:asciiTheme="minorHAnsi" w:hAnsiTheme="minorHAnsi"/>
          <w:color w:val="000000"/>
          <w:sz w:val="22"/>
          <w:szCs w:val="22"/>
          <w:lang w:val="fr-CA"/>
        </w:rPr>
        <w:t>avril 2016 et utilise l</w:t>
      </w:r>
      <w:r w:rsidR="00E346A8" w:rsidRPr="008F610A">
        <w:rPr>
          <w:rFonts w:asciiTheme="minorHAnsi" w:hAnsiTheme="minorHAnsi"/>
          <w:color w:val="000000"/>
          <w:sz w:val="22"/>
          <w:szCs w:val="22"/>
          <w:lang w:val="fr-CA"/>
        </w:rPr>
        <w:t>’</w:t>
      </w:r>
      <w:r w:rsidRPr="008F610A">
        <w:rPr>
          <w:rFonts w:asciiTheme="minorHAnsi" w:hAnsiTheme="minorHAnsi"/>
          <w:color w:val="000000"/>
          <w:sz w:val="22"/>
          <w:szCs w:val="22"/>
          <w:lang w:val="fr-CA"/>
        </w:rPr>
        <w:t xml:space="preserve">approche de dotation fondée sur les résultats et les risques depuis octobre 2012. </w:t>
      </w:r>
    </w:p>
    <w:p w14:paraId="635AB1DC" w14:textId="77777777" w:rsidR="00591DC8" w:rsidRPr="008F610A" w:rsidRDefault="00591DC8" w:rsidP="004F458A">
      <w:pPr>
        <w:pStyle w:val="Heading4"/>
        <w:rPr>
          <w:lang w:val="fr-CA"/>
        </w:rPr>
      </w:pPr>
      <w:r w:rsidRPr="008F610A">
        <w:rPr>
          <w:lang w:val="fr-CA"/>
        </w:rPr>
        <w:t>Délégation</w:t>
      </w:r>
    </w:p>
    <w:p w14:paraId="29664128" w14:textId="77777777" w:rsidR="00591DC8" w:rsidRPr="008F610A" w:rsidRDefault="00591DC8" w:rsidP="00E76E17">
      <w:pPr>
        <w:pStyle w:val="NormalWeb"/>
        <w:spacing w:before="0" w:beforeAutospacing="0" w:after="120" w:afterAutospacing="0"/>
        <w:rPr>
          <w:rFonts w:asciiTheme="minorHAnsi" w:hAnsiTheme="minorHAnsi" w:cstheme="minorHAnsi"/>
          <w:color w:val="000000"/>
          <w:sz w:val="22"/>
          <w:szCs w:val="22"/>
          <w:lang w:val="fr-CA"/>
        </w:rPr>
      </w:pPr>
      <w:r w:rsidRPr="008F610A">
        <w:rPr>
          <w:rFonts w:asciiTheme="minorHAnsi" w:hAnsiTheme="minorHAnsi"/>
          <w:color w:val="000000"/>
          <w:sz w:val="22"/>
          <w:szCs w:val="22"/>
          <w:lang w:val="fr-CA"/>
        </w:rPr>
        <w:t>En date du 1</w:t>
      </w:r>
      <w:r w:rsidRPr="008F610A">
        <w:rPr>
          <w:rFonts w:asciiTheme="minorHAnsi" w:hAnsiTheme="minorHAnsi"/>
          <w:color w:val="000000"/>
          <w:sz w:val="22"/>
          <w:szCs w:val="22"/>
          <w:vertAlign w:val="superscript"/>
          <w:lang w:val="fr-CA"/>
        </w:rPr>
        <w:t>er</w:t>
      </w:r>
      <w:r w:rsidR="00F24318" w:rsidRPr="008F610A">
        <w:rPr>
          <w:rFonts w:asciiTheme="minorHAnsi" w:hAnsiTheme="minorHAnsi"/>
          <w:color w:val="000000"/>
          <w:sz w:val="22"/>
          <w:szCs w:val="22"/>
          <w:vertAlign w:val="superscript"/>
          <w:lang w:val="fr-CA"/>
        </w:rPr>
        <w:t> </w:t>
      </w:r>
      <w:r w:rsidRPr="008F610A">
        <w:rPr>
          <w:rFonts w:asciiTheme="minorHAnsi" w:hAnsiTheme="minorHAnsi"/>
          <w:color w:val="000000"/>
          <w:sz w:val="22"/>
          <w:szCs w:val="22"/>
          <w:lang w:val="fr-CA"/>
        </w:rPr>
        <w:t>avril</w:t>
      </w:r>
      <w:r w:rsidR="00F24318" w:rsidRPr="008F610A">
        <w:rPr>
          <w:rFonts w:asciiTheme="minorHAnsi" w:hAnsiTheme="minorHAnsi"/>
          <w:color w:val="000000"/>
          <w:sz w:val="22"/>
          <w:szCs w:val="22"/>
          <w:lang w:val="fr-CA"/>
        </w:rPr>
        <w:t> </w:t>
      </w:r>
      <w:r w:rsidRPr="008F610A">
        <w:rPr>
          <w:rFonts w:asciiTheme="minorHAnsi" w:hAnsiTheme="minorHAnsi"/>
          <w:color w:val="000000"/>
          <w:sz w:val="22"/>
          <w:szCs w:val="22"/>
          <w:lang w:val="fr-CA"/>
        </w:rPr>
        <w:t xml:space="preserve">2016, tous les gestionnaires </w:t>
      </w:r>
      <w:proofErr w:type="spellStart"/>
      <w:r w:rsidRPr="008F610A">
        <w:rPr>
          <w:rFonts w:asciiTheme="minorHAnsi" w:hAnsiTheme="minorHAnsi"/>
          <w:color w:val="000000"/>
          <w:sz w:val="22"/>
          <w:szCs w:val="22"/>
          <w:lang w:val="fr-CA"/>
        </w:rPr>
        <w:t>subdélégataires</w:t>
      </w:r>
      <w:proofErr w:type="spellEnd"/>
      <w:r w:rsidR="00F35AFA" w:rsidRPr="008F610A">
        <w:rPr>
          <w:rFonts w:asciiTheme="minorHAnsi" w:hAnsiTheme="minorHAnsi"/>
          <w:color w:val="000000"/>
          <w:sz w:val="22"/>
          <w:szCs w:val="22"/>
          <w:lang w:val="fr-CA"/>
        </w:rPr>
        <w:t xml:space="preserve"> avaient signé les formulaires d’attestation requis</w:t>
      </w:r>
      <w:r w:rsidRPr="008F610A">
        <w:rPr>
          <w:rFonts w:asciiTheme="minorHAnsi" w:hAnsiTheme="minorHAnsi"/>
          <w:color w:val="000000"/>
          <w:sz w:val="22"/>
          <w:szCs w:val="22"/>
          <w:lang w:val="fr-CA"/>
        </w:rPr>
        <w:t xml:space="preserve">. </w:t>
      </w:r>
      <w:r w:rsidR="00F35AFA" w:rsidRPr="008F610A">
        <w:rPr>
          <w:rFonts w:asciiTheme="minorHAnsi" w:hAnsiTheme="minorHAnsi"/>
          <w:color w:val="000000"/>
          <w:sz w:val="22"/>
          <w:szCs w:val="22"/>
          <w:lang w:val="fr-CA"/>
        </w:rPr>
        <w:t>Les gestionnaires</w:t>
      </w:r>
      <w:r w:rsidRPr="008F610A">
        <w:rPr>
          <w:rFonts w:asciiTheme="minorHAnsi" w:hAnsiTheme="minorHAnsi"/>
          <w:color w:val="000000"/>
          <w:sz w:val="22"/>
          <w:szCs w:val="22"/>
          <w:lang w:val="fr-CA"/>
        </w:rPr>
        <w:t xml:space="preserve"> ont mis à jour leur instrument de subdélégation </w:t>
      </w:r>
      <w:proofErr w:type="gramStart"/>
      <w:r w:rsidRPr="008F610A">
        <w:rPr>
          <w:rFonts w:asciiTheme="minorHAnsi" w:hAnsiTheme="minorHAnsi"/>
          <w:color w:val="000000"/>
          <w:sz w:val="22"/>
          <w:szCs w:val="22"/>
          <w:lang w:val="fr-CA"/>
        </w:rPr>
        <w:t xml:space="preserve">de </w:t>
      </w:r>
      <w:r w:rsidR="00F35AFA" w:rsidRPr="008F610A">
        <w:rPr>
          <w:rFonts w:asciiTheme="minorHAnsi" w:hAnsiTheme="minorHAnsi"/>
          <w:color w:val="000000"/>
          <w:sz w:val="22"/>
          <w:szCs w:val="22"/>
          <w:lang w:val="fr-CA"/>
        </w:rPr>
        <w:t>façon à ce</w:t>
      </w:r>
      <w:proofErr w:type="gramEnd"/>
      <w:r w:rsidR="00F35AFA" w:rsidRPr="008F610A">
        <w:rPr>
          <w:rFonts w:asciiTheme="minorHAnsi" w:hAnsiTheme="minorHAnsi"/>
          <w:color w:val="000000"/>
          <w:sz w:val="22"/>
          <w:szCs w:val="22"/>
          <w:lang w:val="fr-CA"/>
        </w:rPr>
        <w:t xml:space="preserve"> qu’il concorde </w:t>
      </w:r>
      <w:r w:rsidRPr="008F610A">
        <w:rPr>
          <w:rFonts w:asciiTheme="minorHAnsi" w:hAnsiTheme="minorHAnsi"/>
          <w:color w:val="000000"/>
          <w:sz w:val="22"/>
          <w:szCs w:val="22"/>
          <w:lang w:val="fr-CA"/>
        </w:rPr>
        <w:t>avec l</w:t>
      </w:r>
      <w:r w:rsidR="00E346A8" w:rsidRPr="008F610A">
        <w:rPr>
          <w:rFonts w:asciiTheme="minorHAnsi" w:hAnsiTheme="minorHAnsi"/>
          <w:color w:val="000000"/>
          <w:sz w:val="22"/>
          <w:szCs w:val="22"/>
          <w:lang w:val="fr-CA"/>
        </w:rPr>
        <w:t>’</w:t>
      </w:r>
      <w:r w:rsidRPr="008F610A">
        <w:rPr>
          <w:rFonts w:asciiTheme="minorHAnsi" w:hAnsiTheme="minorHAnsi"/>
          <w:color w:val="000000"/>
          <w:sz w:val="22"/>
          <w:szCs w:val="22"/>
          <w:lang w:val="fr-CA"/>
        </w:rPr>
        <w:t>Instrument de délégation et de responsabilisation en matière de nomination et la Politique de nomination de la CFP.</w:t>
      </w:r>
    </w:p>
    <w:p w14:paraId="27EE243C" w14:textId="77777777" w:rsidR="00953691" w:rsidRPr="00953691" w:rsidRDefault="00953691" w:rsidP="004F458A">
      <w:pPr>
        <w:pStyle w:val="Heading2"/>
      </w:pPr>
      <w:r w:rsidRPr="00953691">
        <w:t>Rapport prévu par l’annexe D de l’instrument de délégation et de responsabilisation en matière de nomination</w:t>
      </w:r>
    </w:p>
    <w:p w14:paraId="367586CB" w14:textId="76414321" w:rsidR="006D1AFD" w:rsidRPr="008F610A" w:rsidRDefault="005824BE" w:rsidP="004F458A">
      <w:pPr>
        <w:pStyle w:val="Heading3"/>
        <w:rPr>
          <w:lang w:val="fr-CA"/>
        </w:rPr>
      </w:pPr>
      <w:r w:rsidRPr="005824BE">
        <w:rPr>
          <w:lang w:val="fr-CA"/>
        </w:rPr>
        <w:t>Rapports</w:t>
      </w:r>
      <w:r>
        <w:rPr>
          <w:lang w:val="fr-CA"/>
        </w:rPr>
        <w:t xml:space="preserve"> </w:t>
      </w:r>
      <w:r w:rsidR="006D1AFD" w:rsidRPr="008F610A">
        <w:rPr>
          <w:lang w:val="fr-CA"/>
        </w:rPr>
        <w:t xml:space="preserve">Recours au </w:t>
      </w:r>
      <w:r w:rsidR="006D1AFD" w:rsidRPr="008F610A">
        <w:rPr>
          <w:rStyle w:val="Emphasis"/>
          <w:lang w:val="fr-CA"/>
        </w:rPr>
        <w:t>Décret d</w:t>
      </w:r>
      <w:r w:rsidR="00E346A8" w:rsidRPr="008F610A">
        <w:rPr>
          <w:rStyle w:val="Emphasis"/>
          <w:lang w:val="fr-CA"/>
        </w:rPr>
        <w:t>’</w:t>
      </w:r>
      <w:r w:rsidR="006D1AFD" w:rsidRPr="008F610A">
        <w:rPr>
          <w:rStyle w:val="Emphasis"/>
          <w:lang w:val="fr-CA"/>
        </w:rPr>
        <w:t>exemption concernant les langues officielles dans la fonction publique</w:t>
      </w:r>
      <w:r w:rsidR="006D1AFD" w:rsidRPr="008F610A">
        <w:rPr>
          <w:lang w:val="fr-CA"/>
        </w:rPr>
        <w:t xml:space="preserve"> et au </w:t>
      </w:r>
      <w:r w:rsidR="006D1AFD" w:rsidRPr="008F610A">
        <w:rPr>
          <w:rStyle w:val="Emphasis"/>
          <w:lang w:val="fr-CA"/>
        </w:rPr>
        <w:t>Règlement sur les langues officielles – nominations dans la fonction publique</w:t>
      </w:r>
    </w:p>
    <w:p w14:paraId="55C0FA7A" w14:textId="77777777" w:rsidR="00591DC8" w:rsidRPr="008F610A" w:rsidRDefault="00591DC8" w:rsidP="008F610A">
      <w:pPr>
        <w:pStyle w:val="NoSpacing"/>
        <w:spacing w:after="120"/>
        <w:rPr>
          <w:rFonts w:asciiTheme="minorHAnsi" w:hAnsiTheme="minorHAnsi" w:cstheme="minorHAnsi"/>
          <w:color w:val="222222"/>
          <w:sz w:val="22"/>
          <w:szCs w:val="22"/>
          <w:lang w:val="fr-CA"/>
        </w:rPr>
      </w:pPr>
      <w:r w:rsidRPr="008F610A">
        <w:rPr>
          <w:rFonts w:asciiTheme="minorHAnsi" w:hAnsiTheme="minorHAnsi"/>
          <w:color w:val="222222"/>
          <w:sz w:val="22"/>
          <w:szCs w:val="22"/>
          <w:lang w:val="fr-CA"/>
        </w:rPr>
        <w:t xml:space="preserve">SP a </w:t>
      </w:r>
      <w:r w:rsidR="001D3A1C" w:rsidRPr="008F610A">
        <w:rPr>
          <w:rFonts w:asciiTheme="minorHAnsi" w:hAnsiTheme="minorHAnsi"/>
          <w:color w:val="222222"/>
          <w:sz w:val="22"/>
          <w:szCs w:val="22"/>
          <w:lang w:val="fr-CA"/>
        </w:rPr>
        <w:t>indiqué</w:t>
      </w:r>
      <w:r w:rsidRPr="008F610A">
        <w:rPr>
          <w:rFonts w:asciiTheme="minorHAnsi" w:hAnsiTheme="minorHAnsi"/>
          <w:color w:val="222222"/>
          <w:sz w:val="22"/>
          <w:szCs w:val="22"/>
          <w:lang w:val="fr-CA"/>
        </w:rPr>
        <w:t xml:space="preserve"> que l</w:t>
      </w:r>
      <w:r w:rsidR="00E346A8" w:rsidRPr="008F610A">
        <w:rPr>
          <w:rFonts w:asciiTheme="minorHAnsi" w:hAnsiTheme="minorHAnsi"/>
          <w:color w:val="222222"/>
          <w:sz w:val="22"/>
          <w:szCs w:val="22"/>
          <w:lang w:val="fr-CA"/>
        </w:rPr>
        <w:t>’</w:t>
      </w:r>
      <w:r w:rsidRPr="008F610A">
        <w:rPr>
          <w:rFonts w:asciiTheme="minorHAnsi" w:hAnsiTheme="minorHAnsi"/>
          <w:color w:val="222222"/>
          <w:sz w:val="22"/>
          <w:szCs w:val="22"/>
          <w:lang w:val="fr-CA"/>
        </w:rPr>
        <w:t xml:space="preserve">organisation avait approuvé deux </w:t>
      </w:r>
      <w:r w:rsidR="00F35AFA" w:rsidRPr="008F610A">
        <w:rPr>
          <w:rFonts w:asciiTheme="minorHAnsi" w:hAnsiTheme="minorHAnsi"/>
          <w:color w:val="222222"/>
          <w:sz w:val="22"/>
          <w:szCs w:val="22"/>
          <w:lang w:val="fr-CA"/>
        </w:rPr>
        <w:t>prolongations</w:t>
      </w:r>
      <w:r w:rsidRPr="008F610A">
        <w:rPr>
          <w:rFonts w:asciiTheme="minorHAnsi" w:hAnsiTheme="minorHAnsi"/>
          <w:color w:val="222222"/>
          <w:sz w:val="22"/>
          <w:szCs w:val="22"/>
          <w:lang w:val="fr-CA"/>
        </w:rPr>
        <w:t xml:space="preserve"> </w:t>
      </w:r>
      <w:r w:rsidR="00F35AFA" w:rsidRPr="008F610A">
        <w:rPr>
          <w:rFonts w:asciiTheme="minorHAnsi" w:hAnsiTheme="minorHAnsi"/>
          <w:color w:val="222222"/>
          <w:sz w:val="22"/>
          <w:szCs w:val="22"/>
          <w:lang w:val="fr-CA"/>
        </w:rPr>
        <w:t xml:space="preserve">au titre </w:t>
      </w:r>
      <w:r w:rsidRPr="008F610A">
        <w:rPr>
          <w:rFonts w:asciiTheme="minorHAnsi" w:hAnsiTheme="minorHAnsi"/>
          <w:color w:val="222222"/>
          <w:sz w:val="22"/>
          <w:szCs w:val="22"/>
          <w:lang w:val="fr-CA"/>
        </w:rPr>
        <w:t xml:space="preserve">du </w:t>
      </w:r>
      <w:r w:rsidRPr="008F610A">
        <w:rPr>
          <w:rStyle w:val="Emphasis"/>
          <w:rFonts w:asciiTheme="minorHAnsi" w:hAnsiTheme="minorHAnsi" w:cstheme="minorHAnsi"/>
          <w:sz w:val="22"/>
          <w:lang w:val="fr-CA"/>
        </w:rPr>
        <w:t>Règlement sur les langues officielles – nominations dans la fonction publique</w:t>
      </w:r>
      <w:r w:rsidRPr="008F610A">
        <w:rPr>
          <w:rFonts w:asciiTheme="minorHAnsi" w:hAnsiTheme="minorHAnsi"/>
          <w:i/>
          <w:color w:val="222222"/>
          <w:sz w:val="20"/>
          <w:szCs w:val="22"/>
          <w:lang w:val="fr-CA"/>
        </w:rPr>
        <w:t xml:space="preserve"> </w:t>
      </w:r>
      <w:r w:rsidRPr="008F610A">
        <w:rPr>
          <w:rFonts w:asciiTheme="minorHAnsi" w:hAnsiTheme="minorHAnsi"/>
          <w:color w:val="222222"/>
          <w:sz w:val="22"/>
          <w:szCs w:val="22"/>
          <w:lang w:val="fr-CA"/>
        </w:rPr>
        <w:t>(RLONFP) pour la période allant du 1</w:t>
      </w:r>
      <w:r w:rsidRPr="008F610A">
        <w:rPr>
          <w:rFonts w:asciiTheme="minorHAnsi" w:hAnsiTheme="minorHAnsi"/>
          <w:color w:val="222222"/>
          <w:sz w:val="22"/>
          <w:szCs w:val="22"/>
          <w:vertAlign w:val="superscript"/>
          <w:lang w:val="fr-CA"/>
        </w:rPr>
        <w:t>er</w:t>
      </w:r>
      <w:r w:rsidRPr="008F610A">
        <w:rPr>
          <w:rFonts w:asciiTheme="minorHAnsi" w:hAnsiTheme="minorHAnsi"/>
          <w:color w:val="222222"/>
          <w:sz w:val="22"/>
          <w:szCs w:val="22"/>
          <w:lang w:val="fr-CA"/>
        </w:rPr>
        <w:t> avril 2018 au 31 mars 2019. Par ailleurs, une troisième situation a été jugée non conforme puisque la période de deux ans avait pris fin et qu</w:t>
      </w:r>
      <w:r w:rsidR="00E346A8" w:rsidRPr="008F610A">
        <w:rPr>
          <w:rFonts w:asciiTheme="minorHAnsi" w:hAnsiTheme="minorHAnsi"/>
          <w:color w:val="222222"/>
          <w:sz w:val="22"/>
          <w:szCs w:val="22"/>
          <w:lang w:val="fr-CA"/>
        </w:rPr>
        <w:t>’</w:t>
      </w:r>
      <w:r w:rsidRPr="008F610A">
        <w:rPr>
          <w:rFonts w:asciiTheme="minorHAnsi" w:hAnsiTheme="minorHAnsi"/>
          <w:color w:val="222222"/>
          <w:sz w:val="22"/>
          <w:szCs w:val="22"/>
          <w:lang w:val="fr-CA"/>
        </w:rPr>
        <w:t xml:space="preserve">aucune </w:t>
      </w:r>
      <w:r w:rsidR="00F35AFA" w:rsidRPr="008F610A">
        <w:rPr>
          <w:rFonts w:asciiTheme="minorHAnsi" w:hAnsiTheme="minorHAnsi"/>
          <w:color w:val="222222"/>
          <w:sz w:val="22"/>
          <w:szCs w:val="22"/>
          <w:lang w:val="fr-CA"/>
        </w:rPr>
        <w:t>prolongation</w:t>
      </w:r>
      <w:r w:rsidRPr="008F610A">
        <w:rPr>
          <w:rFonts w:asciiTheme="minorHAnsi" w:hAnsiTheme="minorHAnsi"/>
          <w:color w:val="222222"/>
          <w:sz w:val="22"/>
          <w:szCs w:val="22"/>
          <w:lang w:val="fr-CA"/>
        </w:rPr>
        <w:t xml:space="preserve"> en vertu du RLONFP n</w:t>
      </w:r>
      <w:r w:rsidR="00E346A8" w:rsidRPr="008F610A">
        <w:rPr>
          <w:rFonts w:asciiTheme="minorHAnsi" w:hAnsiTheme="minorHAnsi"/>
          <w:color w:val="222222"/>
          <w:sz w:val="22"/>
          <w:szCs w:val="22"/>
          <w:lang w:val="fr-CA"/>
        </w:rPr>
        <w:t>’</w:t>
      </w:r>
      <w:r w:rsidRPr="008F610A">
        <w:rPr>
          <w:rFonts w:asciiTheme="minorHAnsi" w:hAnsiTheme="minorHAnsi"/>
          <w:color w:val="222222"/>
          <w:sz w:val="22"/>
          <w:szCs w:val="22"/>
          <w:lang w:val="fr-CA"/>
        </w:rPr>
        <w:t>avait été approuvée. La direction prépare une demande de prorogation; l</w:t>
      </w:r>
      <w:r w:rsidR="00E346A8" w:rsidRPr="008F610A">
        <w:rPr>
          <w:rFonts w:asciiTheme="minorHAnsi" w:hAnsiTheme="minorHAnsi"/>
          <w:color w:val="222222"/>
          <w:sz w:val="22"/>
          <w:szCs w:val="22"/>
          <w:lang w:val="fr-CA"/>
        </w:rPr>
        <w:t>’</w:t>
      </w:r>
      <w:r w:rsidRPr="008F610A">
        <w:rPr>
          <w:rFonts w:asciiTheme="minorHAnsi" w:hAnsiTheme="minorHAnsi"/>
          <w:color w:val="222222"/>
          <w:sz w:val="22"/>
          <w:szCs w:val="22"/>
          <w:lang w:val="fr-CA"/>
        </w:rPr>
        <w:t>employé reprendra la formation linguistique sous peu.</w:t>
      </w:r>
    </w:p>
    <w:p w14:paraId="67560744" w14:textId="77777777" w:rsidR="006D1AFD" w:rsidRPr="008F610A" w:rsidRDefault="001D3A1C" w:rsidP="004F458A">
      <w:pPr>
        <w:pStyle w:val="Heading3"/>
        <w:rPr>
          <w:lang w:val="fr-CA"/>
        </w:rPr>
      </w:pPr>
      <w:r w:rsidRPr="008F610A">
        <w:rPr>
          <w:lang w:val="fr-CA"/>
        </w:rPr>
        <w:lastRenderedPageBreak/>
        <w:t>Exceptions approuvées par l’Administrateur général aux exigences de la zone nationale de sélection pour un processus de nomination externe annoncé</w:t>
      </w:r>
    </w:p>
    <w:p w14:paraId="6A619996" w14:textId="77777777" w:rsidR="00591DC8" w:rsidRPr="008F610A" w:rsidRDefault="00591DC8" w:rsidP="008F610A">
      <w:pPr>
        <w:pStyle w:val="NoSpacing"/>
        <w:spacing w:after="120"/>
        <w:rPr>
          <w:rFonts w:asciiTheme="minorHAnsi" w:hAnsiTheme="minorHAnsi" w:cstheme="minorHAnsi"/>
          <w:color w:val="000000"/>
          <w:sz w:val="22"/>
          <w:szCs w:val="22"/>
          <w:lang w:val="fr-CA"/>
        </w:rPr>
      </w:pPr>
      <w:r w:rsidRPr="008F610A">
        <w:rPr>
          <w:rFonts w:asciiTheme="minorHAnsi" w:hAnsiTheme="minorHAnsi"/>
          <w:color w:val="000000"/>
          <w:sz w:val="22"/>
          <w:szCs w:val="22"/>
          <w:lang w:val="fr-CA"/>
        </w:rPr>
        <w:t xml:space="preserve">SP a </w:t>
      </w:r>
      <w:r w:rsidR="001D3A1C" w:rsidRPr="008F610A">
        <w:rPr>
          <w:rFonts w:asciiTheme="minorHAnsi" w:hAnsiTheme="minorHAnsi"/>
          <w:color w:val="000000"/>
          <w:sz w:val="22"/>
          <w:szCs w:val="22"/>
          <w:lang w:val="fr-CA"/>
        </w:rPr>
        <w:t>indiqué</w:t>
      </w:r>
      <w:r w:rsidRPr="008F610A">
        <w:rPr>
          <w:rFonts w:asciiTheme="minorHAnsi" w:hAnsiTheme="minorHAnsi"/>
          <w:color w:val="000000"/>
          <w:sz w:val="22"/>
          <w:szCs w:val="22"/>
          <w:lang w:val="fr-CA"/>
        </w:rPr>
        <w:t xml:space="preserve"> n</w:t>
      </w:r>
      <w:r w:rsidR="00E346A8" w:rsidRPr="008F610A">
        <w:rPr>
          <w:rFonts w:asciiTheme="minorHAnsi" w:hAnsiTheme="minorHAnsi"/>
          <w:color w:val="000000"/>
          <w:sz w:val="22"/>
          <w:szCs w:val="22"/>
          <w:lang w:val="fr-CA"/>
        </w:rPr>
        <w:t>’</w:t>
      </w:r>
      <w:r w:rsidRPr="008F610A">
        <w:rPr>
          <w:rFonts w:asciiTheme="minorHAnsi" w:hAnsiTheme="minorHAnsi"/>
          <w:color w:val="000000"/>
          <w:sz w:val="22"/>
          <w:szCs w:val="22"/>
          <w:lang w:val="fr-CA"/>
        </w:rPr>
        <w:t>avoir fait aucune exception à la zone nationale de sélection.</w:t>
      </w:r>
    </w:p>
    <w:p w14:paraId="3D4E002F" w14:textId="77777777" w:rsidR="006D1AFD" w:rsidRPr="008F610A" w:rsidRDefault="006D1AFD" w:rsidP="004F458A">
      <w:pPr>
        <w:pStyle w:val="Heading3"/>
        <w:rPr>
          <w:lang w:val="fr-CA"/>
        </w:rPr>
      </w:pPr>
      <w:r w:rsidRPr="008F610A">
        <w:rPr>
          <w:lang w:val="fr-CA"/>
        </w:rPr>
        <w:t>Résultats de l</w:t>
      </w:r>
      <w:r w:rsidR="00E346A8" w:rsidRPr="008F610A">
        <w:rPr>
          <w:lang w:val="fr-CA"/>
        </w:rPr>
        <w:t>’</w:t>
      </w:r>
      <w:r w:rsidRPr="008F610A">
        <w:rPr>
          <w:lang w:val="fr-CA"/>
        </w:rPr>
        <w:t xml:space="preserve">évaluation cyclique </w:t>
      </w:r>
      <w:r w:rsidR="001D3A1C" w:rsidRPr="008F610A">
        <w:rPr>
          <w:lang w:val="fr-CA"/>
        </w:rPr>
        <w:t>de l’organisation</w:t>
      </w:r>
    </w:p>
    <w:p w14:paraId="7469EC1A" w14:textId="77777777" w:rsidR="00591DC8" w:rsidRPr="008F610A" w:rsidRDefault="00591DC8" w:rsidP="008F610A">
      <w:pPr>
        <w:pStyle w:val="NoSpacing"/>
        <w:spacing w:after="120"/>
        <w:rPr>
          <w:rFonts w:asciiTheme="minorHAnsi" w:hAnsiTheme="minorHAnsi" w:cstheme="minorHAnsi"/>
          <w:color w:val="222222"/>
          <w:sz w:val="22"/>
          <w:szCs w:val="22"/>
          <w:lang w:val="fr-CA"/>
        </w:rPr>
      </w:pPr>
      <w:r w:rsidRPr="008F610A">
        <w:rPr>
          <w:rFonts w:asciiTheme="minorHAnsi" w:hAnsiTheme="minorHAnsi"/>
          <w:sz w:val="22"/>
          <w:szCs w:val="22"/>
          <w:lang w:val="fr-CA"/>
        </w:rPr>
        <w:t>Pour une deuxième année consécutive, S</w:t>
      </w:r>
      <w:r w:rsidRPr="008F610A">
        <w:rPr>
          <w:rFonts w:asciiTheme="minorHAnsi" w:hAnsiTheme="minorHAnsi"/>
          <w:color w:val="000000"/>
          <w:sz w:val="22"/>
          <w:szCs w:val="22"/>
          <w:lang w:val="fr-CA"/>
        </w:rPr>
        <w:t xml:space="preserve">P a produit une évaluation cyclique, </w:t>
      </w:r>
      <w:r w:rsidRPr="008F610A">
        <w:rPr>
          <w:rFonts w:asciiTheme="minorHAnsi" w:hAnsiTheme="minorHAnsi"/>
          <w:sz w:val="22"/>
          <w:szCs w:val="22"/>
          <w:lang w:val="fr-CA"/>
        </w:rPr>
        <w:t>pour la période du 1</w:t>
      </w:r>
      <w:r w:rsidRPr="008F610A">
        <w:rPr>
          <w:rFonts w:asciiTheme="minorHAnsi" w:hAnsiTheme="minorHAnsi"/>
          <w:sz w:val="22"/>
          <w:szCs w:val="22"/>
          <w:vertAlign w:val="superscript"/>
          <w:lang w:val="fr-CA"/>
        </w:rPr>
        <w:t>er</w:t>
      </w:r>
      <w:r w:rsidR="00F24318" w:rsidRPr="008F610A">
        <w:rPr>
          <w:rFonts w:asciiTheme="minorHAnsi" w:hAnsiTheme="minorHAnsi"/>
          <w:sz w:val="22"/>
          <w:szCs w:val="22"/>
          <w:vertAlign w:val="superscript"/>
          <w:lang w:val="fr-CA"/>
        </w:rPr>
        <w:t> </w:t>
      </w:r>
      <w:r w:rsidRPr="008F610A">
        <w:rPr>
          <w:rFonts w:asciiTheme="minorHAnsi" w:hAnsiTheme="minorHAnsi"/>
          <w:sz w:val="22"/>
          <w:szCs w:val="22"/>
          <w:lang w:val="fr-CA"/>
        </w:rPr>
        <w:t>avril</w:t>
      </w:r>
      <w:r w:rsidRPr="008F610A">
        <w:rPr>
          <w:rFonts w:asciiTheme="minorHAnsi" w:hAnsiTheme="minorHAnsi"/>
          <w:color w:val="222222"/>
          <w:sz w:val="22"/>
          <w:szCs w:val="22"/>
          <w:lang w:val="fr-CA"/>
        </w:rPr>
        <w:t> 2018 au 31 mars 2019. Pour l</w:t>
      </w:r>
      <w:r w:rsidR="00E346A8" w:rsidRPr="008F610A">
        <w:rPr>
          <w:rFonts w:asciiTheme="minorHAnsi" w:hAnsiTheme="minorHAnsi"/>
          <w:color w:val="222222"/>
          <w:sz w:val="22"/>
          <w:szCs w:val="22"/>
          <w:lang w:val="fr-CA"/>
        </w:rPr>
        <w:t>’</w:t>
      </w:r>
      <w:r w:rsidRPr="008F610A">
        <w:rPr>
          <w:rFonts w:asciiTheme="minorHAnsi" w:hAnsiTheme="minorHAnsi"/>
          <w:color w:val="222222"/>
          <w:sz w:val="22"/>
          <w:szCs w:val="22"/>
          <w:lang w:val="fr-CA"/>
        </w:rPr>
        <w:t>instant, SP a décidé de produire un rapport d</w:t>
      </w:r>
      <w:r w:rsidR="00E346A8" w:rsidRPr="008F610A">
        <w:rPr>
          <w:rFonts w:asciiTheme="minorHAnsi" w:hAnsiTheme="minorHAnsi"/>
          <w:color w:val="222222"/>
          <w:sz w:val="22"/>
          <w:szCs w:val="22"/>
          <w:lang w:val="fr-CA"/>
        </w:rPr>
        <w:t>’</w:t>
      </w:r>
      <w:r w:rsidRPr="008F610A">
        <w:rPr>
          <w:rFonts w:asciiTheme="minorHAnsi" w:hAnsiTheme="minorHAnsi"/>
          <w:color w:val="222222"/>
          <w:sz w:val="22"/>
          <w:szCs w:val="22"/>
          <w:lang w:val="fr-CA"/>
        </w:rPr>
        <w:t xml:space="preserve">évaluation cyclique à la CFP </w:t>
      </w:r>
      <w:r w:rsidR="00714081" w:rsidRPr="008F610A">
        <w:rPr>
          <w:rFonts w:asciiTheme="minorHAnsi" w:hAnsiTheme="minorHAnsi"/>
          <w:color w:val="222222"/>
          <w:sz w:val="22"/>
          <w:szCs w:val="22"/>
          <w:lang w:val="fr-CA"/>
        </w:rPr>
        <w:t>sur une base annuelle. La CFP</w:t>
      </w:r>
      <w:r w:rsidRPr="008F610A">
        <w:rPr>
          <w:rFonts w:asciiTheme="minorHAnsi" w:hAnsiTheme="minorHAnsi"/>
          <w:color w:val="222222"/>
          <w:sz w:val="22"/>
          <w:szCs w:val="22"/>
          <w:lang w:val="fr-CA"/>
        </w:rPr>
        <w:t xml:space="preserve"> a transmis </w:t>
      </w:r>
      <w:r w:rsidR="00714081" w:rsidRPr="008F610A">
        <w:rPr>
          <w:rFonts w:asciiTheme="minorHAnsi" w:hAnsiTheme="minorHAnsi"/>
          <w:color w:val="222222"/>
          <w:sz w:val="22"/>
          <w:szCs w:val="22"/>
          <w:lang w:val="fr-CA"/>
        </w:rPr>
        <w:t>d</w:t>
      </w:r>
      <w:r w:rsidRPr="008F610A">
        <w:rPr>
          <w:rFonts w:asciiTheme="minorHAnsi" w:hAnsiTheme="minorHAnsi"/>
          <w:color w:val="222222"/>
          <w:sz w:val="22"/>
          <w:szCs w:val="22"/>
          <w:lang w:val="fr-CA"/>
        </w:rPr>
        <w:t xml:space="preserve">es commentaires au sujet de </w:t>
      </w:r>
      <w:r w:rsidR="00714081" w:rsidRPr="008F610A">
        <w:rPr>
          <w:rFonts w:asciiTheme="minorHAnsi" w:hAnsiTheme="minorHAnsi"/>
          <w:color w:val="222222"/>
          <w:sz w:val="22"/>
          <w:szCs w:val="22"/>
          <w:lang w:val="fr-CA"/>
        </w:rPr>
        <w:t>l</w:t>
      </w:r>
      <w:r w:rsidRPr="008F610A">
        <w:rPr>
          <w:rFonts w:asciiTheme="minorHAnsi" w:hAnsiTheme="minorHAnsi"/>
          <w:color w:val="222222"/>
          <w:sz w:val="22"/>
          <w:szCs w:val="22"/>
          <w:lang w:val="fr-CA"/>
        </w:rPr>
        <w:t>a première évaluation cyclique en juin 2019.</w:t>
      </w:r>
      <w:r w:rsidR="00714081" w:rsidRPr="008F610A">
        <w:rPr>
          <w:rFonts w:asciiTheme="minorHAnsi" w:hAnsiTheme="minorHAnsi"/>
          <w:color w:val="222222"/>
          <w:sz w:val="22"/>
          <w:szCs w:val="22"/>
          <w:lang w:val="fr-CA"/>
        </w:rPr>
        <w:t xml:space="preserve"> L</w:t>
      </w:r>
      <w:r w:rsidRPr="008F610A">
        <w:rPr>
          <w:rFonts w:asciiTheme="minorHAnsi" w:hAnsiTheme="minorHAnsi"/>
          <w:color w:val="222222"/>
          <w:sz w:val="22"/>
          <w:szCs w:val="22"/>
          <w:lang w:val="fr-CA"/>
        </w:rPr>
        <w:t>a première évaluation cyclique était exhaustive</w:t>
      </w:r>
      <w:r w:rsidR="00714081" w:rsidRPr="008F610A">
        <w:rPr>
          <w:rFonts w:asciiTheme="minorHAnsi" w:hAnsiTheme="minorHAnsi"/>
          <w:color w:val="222222"/>
          <w:sz w:val="22"/>
          <w:szCs w:val="22"/>
          <w:lang w:val="fr-CA"/>
        </w:rPr>
        <w:t xml:space="preserve"> dans l’ensemble</w:t>
      </w:r>
      <w:r w:rsidRPr="008F610A">
        <w:rPr>
          <w:rFonts w:asciiTheme="minorHAnsi" w:hAnsiTheme="minorHAnsi"/>
          <w:color w:val="222222"/>
          <w:sz w:val="22"/>
          <w:szCs w:val="22"/>
          <w:lang w:val="fr-CA"/>
        </w:rPr>
        <w:t>, et SP n</w:t>
      </w:r>
      <w:r w:rsidR="00E346A8" w:rsidRPr="008F610A">
        <w:rPr>
          <w:rFonts w:asciiTheme="minorHAnsi" w:hAnsiTheme="minorHAnsi"/>
          <w:color w:val="222222"/>
          <w:sz w:val="22"/>
          <w:szCs w:val="22"/>
          <w:lang w:val="fr-CA"/>
        </w:rPr>
        <w:t>’</w:t>
      </w:r>
      <w:r w:rsidRPr="008F610A">
        <w:rPr>
          <w:rFonts w:asciiTheme="minorHAnsi" w:hAnsiTheme="minorHAnsi"/>
          <w:color w:val="222222"/>
          <w:sz w:val="22"/>
          <w:szCs w:val="22"/>
          <w:lang w:val="fr-CA"/>
        </w:rPr>
        <w:t>a pas demandé le soutien de la CFP pour les présentations subséquentes.</w:t>
      </w:r>
    </w:p>
    <w:p w14:paraId="1E93AA44" w14:textId="77777777" w:rsidR="006D1AFD" w:rsidRPr="008F610A" w:rsidRDefault="006D1AFD" w:rsidP="004F458A">
      <w:pPr>
        <w:pStyle w:val="Heading3"/>
        <w:rPr>
          <w:lang w:val="fr-CA"/>
        </w:rPr>
      </w:pPr>
      <w:r w:rsidRPr="008F610A">
        <w:rPr>
          <w:lang w:val="fr-CA"/>
        </w:rPr>
        <w:t>Demandes de renseignements et tendances</w:t>
      </w:r>
    </w:p>
    <w:p w14:paraId="21F7C042" w14:textId="7FACFF4D" w:rsidR="00591DC8" w:rsidRPr="008F610A" w:rsidRDefault="00591DC8" w:rsidP="00E76E17">
      <w:pPr>
        <w:pStyle w:val="NoSpacing"/>
        <w:spacing w:after="120"/>
        <w:rPr>
          <w:rFonts w:asciiTheme="minorHAnsi" w:hAnsiTheme="minorHAnsi" w:cstheme="minorHAnsi"/>
          <w:color w:val="000000"/>
          <w:sz w:val="22"/>
          <w:szCs w:val="22"/>
          <w:lang w:val="fr-CA"/>
        </w:rPr>
      </w:pPr>
      <w:r w:rsidRPr="008F610A">
        <w:rPr>
          <w:rFonts w:asciiTheme="minorHAnsi" w:hAnsiTheme="minorHAnsi"/>
          <w:color w:val="000000"/>
          <w:sz w:val="22"/>
          <w:szCs w:val="22"/>
          <w:lang w:val="fr-CA"/>
        </w:rPr>
        <w:t>Du 1</w:t>
      </w:r>
      <w:r w:rsidRPr="008F610A">
        <w:rPr>
          <w:rFonts w:asciiTheme="minorHAnsi" w:hAnsiTheme="minorHAnsi"/>
          <w:color w:val="000000"/>
          <w:sz w:val="22"/>
          <w:szCs w:val="22"/>
          <w:vertAlign w:val="superscript"/>
          <w:lang w:val="fr-CA"/>
        </w:rPr>
        <w:t>er</w:t>
      </w:r>
      <w:r w:rsidR="00A1067C" w:rsidRPr="008F610A">
        <w:rPr>
          <w:rFonts w:asciiTheme="minorHAnsi" w:hAnsiTheme="minorHAnsi"/>
          <w:color w:val="000000"/>
          <w:sz w:val="22"/>
          <w:szCs w:val="22"/>
          <w:lang w:val="fr-CA"/>
        </w:rPr>
        <w:t> avril 2017 au 30</w:t>
      </w:r>
      <w:r w:rsidRPr="008F610A">
        <w:rPr>
          <w:rFonts w:asciiTheme="minorHAnsi" w:hAnsiTheme="minorHAnsi"/>
          <w:color w:val="000000"/>
          <w:sz w:val="22"/>
          <w:szCs w:val="22"/>
          <w:lang w:val="fr-CA"/>
        </w:rPr>
        <w:t xml:space="preserve"> septembre 2019, SP a communiqué avec </w:t>
      </w:r>
      <w:r w:rsidR="00714081" w:rsidRPr="008F610A">
        <w:rPr>
          <w:rFonts w:asciiTheme="minorHAnsi" w:hAnsiTheme="minorHAnsi"/>
          <w:color w:val="000000"/>
          <w:sz w:val="22"/>
          <w:szCs w:val="22"/>
          <w:lang w:val="fr-CA"/>
        </w:rPr>
        <w:t>un conseiller</w:t>
      </w:r>
      <w:r w:rsidRPr="008F610A">
        <w:rPr>
          <w:rFonts w:asciiTheme="minorHAnsi" w:hAnsiTheme="minorHAnsi"/>
          <w:color w:val="000000"/>
          <w:sz w:val="22"/>
          <w:szCs w:val="22"/>
          <w:lang w:val="fr-CA"/>
        </w:rPr>
        <w:t xml:space="preserve"> au soutien en dotation</w:t>
      </w:r>
      <w:r w:rsidR="00FB4912">
        <w:rPr>
          <w:rFonts w:asciiTheme="minorHAnsi" w:hAnsiTheme="minorHAnsi"/>
          <w:color w:val="000000"/>
          <w:sz w:val="22"/>
          <w:szCs w:val="22"/>
          <w:lang w:val="fr-CA"/>
        </w:rPr>
        <w:t xml:space="preserve"> (CSD)</w:t>
      </w:r>
      <w:r w:rsidRPr="008F610A">
        <w:rPr>
          <w:rFonts w:asciiTheme="minorHAnsi" w:hAnsiTheme="minorHAnsi"/>
          <w:color w:val="000000"/>
          <w:sz w:val="22"/>
          <w:szCs w:val="22"/>
          <w:lang w:val="fr-CA"/>
        </w:rPr>
        <w:t xml:space="preserve"> à 108</w:t>
      </w:r>
      <w:r w:rsidR="00F24318" w:rsidRPr="008F610A">
        <w:rPr>
          <w:rFonts w:asciiTheme="minorHAnsi" w:hAnsiTheme="minorHAnsi"/>
          <w:color w:val="000000"/>
          <w:sz w:val="22"/>
          <w:szCs w:val="22"/>
          <w:lang w:val="fr-CA"/>
        </w:rPr>
        <w:t> </w:t>
      </w:r>
      <w:r w:rsidRPr="008F610A">
        <w:rPr>
          <w:rFonts w:asciiTheme="minorHAnsi" w:hAnsiTheme="minorHAnsi"/>
          <w:color w:val="000000"/>
          <w:sz w:val="22"/>
          <w:szCs w:val="22"/>
          <w:lang w:val="fr-CA"/>
        </w:rPr>
        <w:t xml:space="preserve">reprises. </w:t>
      </w:r>
      <w:r w:rsidR="00714081" w:rsidRPr="008F610A">
        <w:rPr>
          <w:rFonts w:asciiTheme="minorHAnsi" w:hAnsiTheme="minorHAnsi"/>
          <w:color w:val="000000"/>
          <w:sz w:val="22"/>
          <w:szCs w:val="22"/>
          <w:lang w:val="fr-CA"/>
        </w:rPr>
        <w:t xml:space="preserve">Les </w:t>
      </w:r>
      <w:r w:rsidRPr="008F610A">
        <w:rPr>
          <w:rFonts w:asciiTheme="minorHAnsi" w:hAnsiTheme="minorHAnsi"/>
          <w:color w:val="000000"/>
          <w:sz w:val="22"/>
          <w:szCs w:val="22"/>
          <w:lang w:val="fr-CA"/>
        </w:rPr>
        <w:t xml:space="preserve">demandes de renseignements concernaient </w:t>
      </w:r>
      <w:r w:rsidR="00714081" w:rsidRPr="008F610A">
        <w:rPr>
          <w:rFonts w:asciiTheme="minorHAnsi" w:hAnsiTheme="minorHAnsi"/>
          <w:color w:val="000000"/>
          <w:sz w:val="22"/>
          <w:szCs w:val="22"/>
          <w:lang w:val="fr-CA"/>
        </w:rPr>
        <w:t>dans une plus forte proportion l</w:t>
      </w:r>
      <w:r w:rsidRPr="008F610A">
        <w:rPr>
          <w:rFonts w:asciiTheme="minorHAnsi" w:hAnsiTheme="minorHAnsi"/>
          <w:color w:val="000000"/>
          <w:sz w:val="22"/>
          <w:szCs w:val="22"/>
          <w:lang w:val="fr-CA"/>
        </w:rPr>
        <w:t xml:space="preserve">es droits de priorité (18 %) et la </w:t>
      </w:r>
      <w:r w:rsidRPr="008F610A">
        <w:rPr>
          <w:rStyle w:val="Emphasis"/>
          <w:rFonts w:asciiTheme="minorHAnsi" w:hAnsiTheme="minorHAnsi" w:cstheme="minorHAnsi"/>
          <w:sz w:val="22"/>
          <w:lang w:val="fr-CA"/>
        </w:rPr>
        <w:t>Loi sur l</w:t>
      </w:r>
      <w:r w:rsidR="00E346A8" w:rsidRPr="008F610A">
        <w:rPr>
          <w:rStyle w:val="Emphasis"/>
          <w:rFonts w:asciiTheme="minorHAnsi" w:hAnsiTheme="minorHAnsi" w:cstheme="minorHAnsi"/>
          <w:sz w:val="22"/>
          <w:lang w:val="fr-CA"/>
        </w:rPr>
        <w:t>’</w:t>
      </w:r>
      <w:r w:rsidRPr="008F610A">
        <w:rPr>
          <w:rStyle w:val="Emphasis"/>
          <w:rFonts w:asciiTheme="minorHAnsi" w:hAnsiTheme="minorHAnsi" w:cstheme="minorHAnsi"/>
          <w:sz w:val="22"/>
          <w:lang w:val="fr-CA"/>
        </w:rPr>
        <w:t>emploi dans la fonction publique</w:t>
      </w:r>
      <w:r w:rsidRPr="008F610A">
        <w:rPr>
          <w:rFonts w:asciiTheme="minorHAnsi" w:hAnsiTheme="minorHAnsi"/>
          <w:color w:val="000000"/>
          <w:sz w:val="20"/>
          <w:szCs w:val="22"/>
          <w:lang w:val="fr-CA"/>
        </w:rPr>
        <w:t xml:space="preserve"> </w:t>
      </w:r>
      <w:r w:rsidRPr="008F610A">
        <w:rPr>
          <w:rFonts w:asciiTheme="minorHAnsi" w:hAnsiTheme="minorHAnsi"/>
          <w:color w:val="000000"/>
          <w:sz w:val="22"/>
          <w:szCs w:val="22"/>
          <w:lang w:val="fr-CA"/>
        </w:rPr>
        <w:t>(13 %).</w:t>
      </w:r>
    </w:p>
    <w:p w14:paraId="38975761" w14:textId="77777777" w:rsidR="006D1AFD" w:rsidRPr="008F610A" w:rsidRDefault="006D1AFD" w:rsidP="004F458A">
      <w:pPr>
        <w:pStyle w:val="Heading2"/>
        <w:rPr>
          <w:lang w:val="fr-CA"/>
        </w:rPr>
      </w:pPr>
      <w:r w:rsidRPr="008F610A">
        <w:rPr>
          <w:lang w:val="fr-CA"/>
        </w:rPr>
        <w:t>Su</w:t>
      </w:r>
      <w:r w:rsidR="00714081" w:rsidRPr="008F610A">
        <w:rPr>
          <w:lang w:val="fr-CA"/>
        </w:rPr>
        <w:t>rveillance</w:t>
      </w:r>
    </w:p>
    <w:p w14:paraId="20FFEEF2" w14:textId="77777777" w:rsidR="006D1AFD" w:rsidRPr="008F610A" w:rsidRDefault="006D1AFD" w:rsidP="004F458A">
      <w:pPr>
        <w:pStyle w:val="Heading3"/>
        <w:rPr>
          <w:u w:val="single"/>
          <w:lang w:val="fr-CA"/>
        </w:rPr>
      </w:pPr>
      <w:r w:rsidRPr="008F610A">
        <w:rPr>
          <w:lang w:val="fr-CA"/>
        </w:rPr>
        <w:t>Vérifications</w:t>
      </w:r>
    </w:p>
    <w:p w14:paraId="157E7110" w14:textId="77777777" w:rsidR="00591DC8" w:rsidRPr="008F610A" w:rsidRDefault="00591DC8" w:rsidP="001639B2">
      <w:pPr>
        <w:pStyle w:val="NoSpacing"/>
        <w:spacing w:after="120"/>
        <w:rPr>
          <w:rFonts w:asciiTheme="minorHAnsi" w:hAnsiTheme="minorHAnsi" w:cstheme="minorHAnsi"/>
          <w:color w:val="000000"/>
          <w:sz w:val="22"/>
          <w:szCs w:val="22"/>
          <w:lang w:val="fr-CA"/>
        </w:rPr>
      </w:pPr>
      <w:r w:rsidRPr="008F610A">
        <w:rPr>
          <w:rFonts w:asciiTheme="minorHAnsi" w:hAnsiTheme="minorHAnsi"/>
          <w:color w:val="000000"/>
          <w:sz w:val="22"/>
          <w:szCs w:val="22"/>
          <w:lang w:val="fr-CA"/>
        </w:rPr>
        <w:t xml:space="preserve">SP </w:t>
      </w:r>
      <w:r w:rsidR="00714081" w:rsidRPr="008F610A">
        <w:rPr>
          <w:rFonts w:asciiTheme="minorHAnsi" w:hAnsiTheme="minorHAnsi"/>
          <w:color w:val="000000"/>
          <w:sz w:val="22"/>
          <w:szCs w:val="22"/>
          <w:lang w:val="fr-CA"/>
        </w:rPr>
        <w:t>faisait partie de</w:t>
      </w:r>
      <w:r w:rsidRPr="008F610A">
        <w:rPr>
          <w:rFonts w:asciiTheme="minorHAnsi" w:hAnsiTheme="minorHAnsi"/>
          <w:color w:val="000000"/>
          <w:sz w:val="22"/>
          <w:szCs w:val="22"/>
          <w:lang w:val="fr-CA"/>
        </w:rPr>
        <w:t xml:space="preserve"> la première vérification de la dotation à l</w:t>
      </w:r>
      <w:r w:rsidR="00E346A8" w:rsidRPr="008F610A">
        <w:rPr>
          <w:rFonts w:asciiTheme="minorHAnsi" w:hAnsiTheme="minorHAnsi"/>
          <w:color w:val="000000"/>
          <w:sz w:val="22"/>
          <w:szCs w:val="22"/>
          <w:lang w:val="fr-CA"/>
        </w:rPr>
        <w:t>’</w:t>
      </w:r>
      <w:r w:rsidRPr="008F610A">
        <w:rPr>
          <w:rFonts w:asciiTheme="minorHAnsi" w:hAnsiTheme="minorHAnsi"/>
          <w:color w:val="000000"/>
          <w:sz w:val="22"/>
          <w:szCs w:val="22"/>
          <w:lang w:val="fr-CA"/>
        </w:rPr>
        <w:t>échelle du système, dont le rapport final a été publié en décembre</w:t>
      </w:r>
      <w:r w:rsidR="00F24318" w:rsidRPr="008F610A">
        <w:rPr>
          <w:rFonts w:asciiTheme="minorHAnsi" w:hAnsiTheme="minorHAnsi"/>
          <w:color w:val="000000"/>
          <w:sz w:val="22"/>
          <w:szCs w:val="22"/>
          <w:lang w:val="fr-CA"/>
        </w:rPr>
        <w:t> </w:t>
      </w:r>
      <w:r w:rsidRPr="008F610A">
        <w:rPr>
          <w:rFonts w:asciiTheme="minorHAnsi" w:hAnsiTheme="minorHAnsi"/>
          <w:color w:val="000000"/>
          <w:sz w:val="22"/>
          <w:szCs w:val="22"/>
          <w:lang w:val="fr-CA"/>
        </w:rPr>
        <w:t>2018. SP figurait également parmi les 15</w:t>
      </w:r>
      <w:r w:rsidR="00F24318" w:rsidRPr="008F610A">
        <w:rPr>
          <w:rFonts w:asciiTheme="minorHAnsi" w:hAnsiTheme="minorHAnsi"/>
          <w:color w:val="000000"/>
          <w:sz w:val="22"/>
          <w:szCs w:val="22"/>
          <w:lang w:val="fr-CA"/>
        </w:rPr>
        <w:t> </w:t>
      </w:r>
      <w:r w:rsidRPr="008F610A">
        <w:rPr>
          <w:rFonts w:asciiTheme="minorHAnsi" w:hAnsiTheme="minorHAnsi"/>
          <w:color w:val="000000"/>
          <w:sz w:val="22"/>
          <w:szCs w:val="22"/>
          <w:lang w:val="fr-CA"/>
        </w:rPr>
        <w:t>organis</w:t>
      </w:r>
      <w:r w:rsidR="005C3A96" w:rsidRPr="008F610A">
        <w:rPr>
          <w:rFonts w:asciiTheme="minorHAnsi" w:hAnsiTheme="minorHAnsi"/>
          <w:color w:val="000000"/>
          <w:sz w:val="22"/>
          <w:szCs w:val="22"/>
          <w:lang w:val="fr-CA"/>
        </w:rPr>
        <w:t>ations</w:t>
      </w:r>
      <w:r w:rsidRPr="008F610A">
        <w:rPr>
          <w:rFonts w:asciiTheme="minorHAnsi" w:hAnsiTheme="minorHAnsi"/>
          <w:color w:val="000000"/>
          <w:sz w:val="22"/>
          <w:szCs w:val="22"/>
          <w:lang w:val="fr-CA"/>
        </w:rPr>
        <w:t xml:space="preserve"> choisi</w:t>
      </w:r>
      <w:r w:rsidR="005C3A96" w:rsidRPr="008F610A">
        <w:rPr>
          <w:rFonts w:asciiTheme="minorHAnsi" w:hAnsiTheme="minorHAnsi"/>
          <w:color w:val="000000"/>
          <w:sz w:val="22"/>
          <w:szCs w:val="22"/>
          <w:lang w:val="fr-CA"/>
        </w:rPr>
        <w:t>e</w:t>
      </w:r>
      <w:r w:rsidRPr="008F610A">
        <w:rPr>
          <w:rFonts w:asciiTheme="minorHAnsi" w:hAnsiTheme="minorHAnsi"/>
          <w:color w:val="000000"/>
          <w:sz w:val="22"/>
          <w:szCs w:val="22"/>
          <w:lang w:val="fr-CA"/>
        </w:rPr>
        <w:t xml:space="preserve">s aux fins de la vérification horizontale de la validation des titres de compétences. Le rapport final de cette </w:t>
      </w:r>
      <w:r w:rsidR="00E76E17">
        <w:rPr>
          <w:rFonts w:asciiTheme="minorHAnsi" w:hAnsiTheme="minorHAnsi"/>
          <w:color w:val="000000"/>
          <w:sz w:val="22"/>
          <w:szCs w:val="22"/>
          <w:lang w:val="fr-CA"/>
        </w:rPr>
        <w:t>v</w:t>
      </w:r>
      <w:r w:rsidRPr="008F610A">
        <w:rPr>
          <w:rFonts w:asciiTheme="minorHAnsi" w:hAnsiTheme="minorHAnsi"/>
          <w:color w:val="000000"/>
          <w:sz w:val="22"/>
          <w:szCs w:val="22"/>
          <w:lang w:val="fr-CA"/>
        </w:rPr>
        <w:t>érification a été publié en mai</w:t>
      </w:r>
      <w:r w:rsidR="00F24318" w:rsidRPr="008F610A">
        <w:rPr>
          <w:rFonts w:asciiTheme="minorHAnsi" w:hAnsiTheme="minorHAnsi"/>
          <w:color w:val="000000"/>
          <w:sz w:val="22"/>
          <w:szCs w:val="22"/>
          <w:lang w:val="fr-CA"/>
        </w:rPr>
        <w:t> </w:t>
      </w:r>
      <w:r w:rsidRPr="008F610A">
        <w:rPr>
          <w:rFonts w:asciiTheme="minorHAnsi" w:hAnsiTheme="minorHAnsi"/>
          <w:color w:val="000000"/>
          <w:sz w:val="22"/>
          <w:szCs w:val="22"/>
          <w:lang w:val="fr-CA"/>
        </w:rPr>
        <w:t>2019.</w:t>
      </w:r>
    </w:p>
    <w:p w14:paraId="2EC440AA" w14:textId="77777777" w:rsidR="006D1AFD" w:rsidRPr="008F610A" w:rsidRDefault="006D1AFD" w:rsidP="004F458A">
      <w:pPr>
        <w:pStyle w:val="Heading3"/>
        <w:rPr>
          <w:u w:val="single"/>
          <w:lang w:val="fr-CA"/>
        </w:rPr>
      </w:pPr>
      <w:r w:rsidRPr="008F610A">
        <w:rPr>
          <w:lang w:val="fr-CA"/>
        </w:rPr>
        <w:t>Enquêtes</w:t>
      </w:r>
    </w:p>
    <w:p w14:paraId="39F18908" w14:textId="77777777" w:rsidR="00591DC8" w:rsidRPr="008F610A" w:rsidRDefault="00591DC8" w:rsidP="001639B2">
      <w:pPr>
        <w:pStyle w:val="NoSpacing"/>
        <w:spacing w:after="120"/>
        <w:rPr>
          <w:rFonts w:asciiTheme="minorHAnsi" w:hAnsiTheme="minorHAnsi" w:cstheme="minorHAnsi"/>
          <w:sz w:val="22"/>
          <w:szCs w:val="22"/>
          <w:lang w:val="fr-CA"/>
        </w:rPr>
      </w:pPr>
      <w:r w:rsidRPr="008F610A">
        <w:rPr>
          <w:rFonts w:asciiTheme="minorHAnsi" w:hAnsiTheme="minorHAnsi"/>
          <w:sz w:val="22"/>
          <w:szCs w:val="22"/>
          <w:lang w:val="fr-CA"/>
        </w:rPr>
        <w:t>Entre le 13 décembre 2016 et le 13 décembre 2019, la CFP a reçu six dossiers d</w:t>
      </w:r>
      <w:r w:rsidR="00E346A8" w:rsidRPr="008F610A">
        <w:rPr>
          <w:rFonts w:asciiTheme="minorHAnsi" w:hAnsiTheme="minorHAnsi"/>
          <w:sz w:val="22"/>
          <w:szCs w:val="22"/>
          <w:lang w:val="fr-CA"/>
        </w:rPr>
        <w:t>’</w:t>
      </w:r>
      <w:r w:rsidRPr="008F610A">
        <w:rPr>
          <w:rFonts w:asciiTheme="minorHAnsi" w:hAnsiTheme="minorHAnsi"/>
          <w:sz w:val="22"/>
          <w:szCs w:val="22"/>
          <w:lang w:val="fr-CA"/>
        </w:rPr>
        <w:t xml:space="preserve">enquête se rapportant à SP. Parmi ceux-ci, trois dossiers </w:t>
      </w:r>
      <w:r w:rsidR="0036525C" w:rsidRPr="008F610A">
        <w:rPr>
          <w:rFonts w:asciiTheme="minorHAnsi" w:hAnsiTheme="minorHAnsi"/>
          <w:sz w:val="22"/>
          <w:szCs w:val="22"/>
          <w:lang w:val="fr-CA"/>
        </w:rPr>
        <w:t>avaient été transmis</w:t>
      </w:r>
      <w:r w:rsidRPr="008F610A">
        <w:rPr>
          <w:rFonts w:asciiTheme="minorHAnsi" w:hAnsiTheme="minorHAnsi"/>
          <w:sz w:val="22"/>
          <w:szCs w:val="22"/>
          <w:lang w:val="fr-CA"/>
        </w:rPr>
        <w:t xml:space="preserve"> par l</w:t>
      </w:r>
      <w:r w:rsidR="00E346A8" w:rsidRPr="008F610A">
        <w:rPr>
          <w:rFonts w:asciiTheme="minorHAnsi" w:hAnsiTheme="minorHAnsi"/>
          <w:sz w:val="22"/>
          <w:szCs w:val="22"/>
          <w:lang w:val="fr-CA"/>
        </w:rPr>
        <w:t>’</w:t>
      </w:r>
      <w:r w:rsidRPr="008F610A">
        <w:rPr>
          <w:rFonts w:asciiTheme="minorHAnsi" w:hAnsiTheme="minorHAnsi"/>
          <w:sz w:val="22"/>
          <w:szCs w:val="22"/>
          <w:lang w:val="fr-CA"/>
        </w:rPr>
        <w:t xml:space="preserve">organisation. </w:t>
      </w:r>
    </w:p>
    <w:p w14:paraId="0222D87E" w14:textId="77777777" w:rsidR="00591DC8" w:rsidRPr="008F610A" w:rsidRDefault="00591DC8" w:rsidP="00591DC8">
      <w:pPr>
        <w:pStyle w:val="NoSpacing"/>
        <w:rPr>
          <w:rFonts w:asciiTheme="minorHAnsi" w:hAnsiTheme="minorHAnsi" w:cstheme="minorHAnsi"/>
          <w:sz w:val="22"/>
          <w:szCs w:val="22"/>
          <w:lang w:val="fr-CA"/>
        </w:rPr>
      </w:pPr>
      <w:r w:rsidRPr="008F610A">
        <w:rPr>
          <w:rFonts w:asciiTheme="minorHAnsi" w:hAnsiTheme="minorHAnsi"/>
          <w:sz w:val="22"/>
          <w:szCs w:val="22"/>
          <w:lang w:val="fr-CA"/>
        </w:rPr>
        <w:t>Pendant cette période</w:t>
      </w:r>
      <w:r w:rsidR="00F24318" w:rsidRPr="008F610A">
        <w:rPr>
          <w:rFonts w:asciiTheme="minorHAnsi" w:hAnsiTheme="minorHAnsi"/>
          <w:sz w:val="22"/>
          <w:szCs w:val="22"/>
          <w:lang w:val="fr-CA"/>
        </w:rPr>
        <w:t> </w:t>
      </w:r>
      <w:r w:rsidRPr="008F610A">
        <w:rPr>
          <w:rFonts w:asciiTheme="minorHAnsi" w:hAnsiTheme="minorHAnsi"/>
          <w:sz w:val="22"/>
          <w:szCs w:val="22"/>
          <w:lang w:val="fr-CA"/>
        </w:rPr>
        <w:t>:</w:t>
      </w:r>
    </w:p>
    <w:p w14:paraId="0DD8126C" w14:textId="77777777" w:rsidR="00591DC8" w:rsidRPr="008F610A" w:rsidRDefault="00591DC8" w:rsidP="00591DC8">
      <w:pPr>
        <w:pStyle w:val="NoSpacing"/>
        <w:numPr>
          <w:ilvl w:val="0"/>
          <w:numId w:val="10"/>
        </w:numPr>
        <w:rPr>
          <w:rFonts w:asciiTheme="minorHAnsi" w:hAnsiTheme="minorHAnsi" w:cstheme="minorHAnsi"/>
          <w:color w:val="000000"/>
          <w:sz w:val="22"/>
          <w:szCs w:val="22"/>
          <w:lang w:val="fr-CA"/>
        </w:rPr>
      </w:pPr>
      <w:proofErr w:type="gramStart"/>
      <w:r w:rsidRPr="008F610A">
        <w:rPr>
          <w:rFonts w:asciiTheme="minorHAnsi" w:hAnsiTheme="minorHAnsi"/>
          <w:sz w:val="22"/>
          <w:szCs w:val="22"/>
          <w:lang w:val="fr-CA"/>
        </w:rPr>
        <w:t>deux</w:t>
      </w:r>
      <w:proofErr w:type="gramEnd"/>
      <w:r w:rsidRPr="008F610A">
        <w:rPr>
          <w:rFonts w:asciiTheme="minorHAnsi" w:hAnsiTheme="minorHAnsi"/>
          <w:sz w:val="22"/>
          <w:szCs w:val="22"/>
          <w:lang w:val="fr-CA"/>
        </w:rPr>
        <w:t xml:space="preserve"> dossiers n</w:t>
      </w:r>
      <w:r w:rsidR="00E346A8" w:rsidRPr="008F610A">
        <w:rPr>
          <w:rFonts w:asciiTheme="minorHAnsi" w:hAnsiTheme="minorHAnsi"/>
          <w:sz w:val="22"/>
          <w:szCs w:val="22"/>
          <w:lang w:val="fr-CA"/>
        </w:rPr>
        <w:t>’</w:t>
      </w:r>
      <w:r w:rsidRPr="008F610A">
        <w:rPr>
          <w:rFonts w:asciiTheme="minorHAnsi" w:hAnsiTheme="minorHAnsi"/>
          <w:sz w:val="22"/>
          <w:szCs w:val="22"/>
          <w:lang w:val="fr-CA"/>
        </w:rPr>
        <w:t>ont pas été acceptés;</w:t>
      </w:r>
    </w:p>
    <w:p w14:paraId="35477900" w14:textId="77777777" w:rsidR="00591DC8" w:rsidRPr="008F610A" w:rsidRDefault="00591DC8" w:rsidP="00591DC8">
      <w:pPr>
        <w:pStyle w:val="NoSpacing"/>
        <w:numPr>
          <w:ilvl w:val="0"/>
          <w:numId w:val="10"/>
        </w:numPr>
        <w:rPr>
          <w:rFonts w:asciiTheme="minorHAnsi" w:hAnsiTheme="minorHAnsi" w:cstheme="minorHAnsi"/>
          <w:color w:val="000000"/>
          <w:sz w:val="22"/>
          <w:szCs w:val="22"/>
          <w:lang w:val="fr-CA"/>
        </w:rPr>
      </w:pPr>
      <w:proofErr w:type="gramStart"/>
      <w:r w:rsidRPr="008F610A">
        <w:rPr>
          <w:rFonts w:asciiTheme="minorHAnsi" w:hAnsiTheme="minorHAnsi"/>
          <w:sz w:val="22"/>
          <w:szCs w:val="22"/>
          <w:lang w:val="fr-CA"/>
        </w:rPr>
        <w:t>quatre</w:t>
      </w:r>
      <w:proofErr w:type="gramEnd"/>
      <w:r w:rsidRPr="008F610A">
        <w:rPr>
          <w:rFonts w:asciiTheme="minorHAnsi" w:hAnsiTheme="minorHAnsi"/>
          <w:sz w:val="22"/>
          <w:szCs w:val="22"/>
          <w:lang w:val="fr-CA"/>
        </w:rPr>
        <w:t xml:space="preserve"> dossiers de fraude étaient fondés; </w:t>
      </w:r>
    </w:p>
    <w:p w14:paraId="11F9D596" w14:textId="77777777" w:rsidR="00591DC8" w:rsidRPr="008F610A" w:rsidRDefault="00591DC8" w:rsidP="001639B2">
      <w:pPr>
        <w:pStyle w:val="NoSpacing"/>
        <w:numPr>
          <w:ilvl w:val="0"/>
          <w:numId w:val="10"/>
        </w:numPr>
        <w:spacing w:after="120"/>
        <w:rPr>
          <w:rFonts w:asciiTheme="minorHAnsi" w:hAnsiTheme="minorHAnsi" w:cstheme="minorHAnsi"/>
          <w:color w:val="000000"/>
          <w:sz w:val="22"/>
          <w:szCs w:val="22"/>
          <w:lang w:val="fr-CA"/>
        </w:rPr>
      </w:pPr>
      <w:proofErr w:type="gramStart"/>
      <w:r w:rsidRPr="008F610A">
        <w:rPr>
          <w:rFonts w:asciiTheme="minorHAnsi" w:hAnsiTheme="minorHAnsi"/>
          <w:sz w:val="22"/>
          <w:szCs w:val="22"/>
          <w:lang w:val="fr-CA"/>
        </w:rPr>
        <w:t>un</w:t>
      </w:r>
      <w:proofErr w:type="gramEnd"/>
      <w:r w:rsidRPr="008F610A">
        <w:rPr>
          <w:rFonts w:asciiTheme="minorHAnsi" w:hAnsiTheme="minorHAnsi"/>
          <w:sz w:val="22"/>
          <w:szCs w:val="22"/>
          <w:lang w:val="fr-CA"/>
        </w:rPr>
        <w:t xml:space="preserve"> dossier d</w:t>
      </w:r>
      <w:r w:rsidR="00E346A8" w:rsidRPr="008F610A">
        <w:rPr>
          <w:rFonts w:asciiTheme="minorHAnsi" w:hAnsiTheme="minorHAnsi"/>
          <w:sz w:val="22"/>
          <w:szCs w:val="22"/>
          <w:lang w:val="fr-CA"/>
        </w:rPr>
        <w:t>’</w:t>
      </w:r>
      <w:r w:rsidRPr="008F610A">
        <w:rPr>
          <w:rFonts w:asciiTheme="minorHAnsi" w:hAnsiTheme="minorHAnsi"/>
          <w:sz w:val="22"/>
          <w:szCs w:val="22"/>
          <w:lang w:val="fr-CA"/>
        </w:rPr>
        <w:t xml:space="preserve">enquête est toujours en cours. </w:t>
      </w:r>
    </w:p>
    <w:p w14:paraId="38839424" w14:textId="77777777" w:rsidR="001639B2" w:rsidRPr="001639B2" w:rsidRDefault="001639B2" w:rsidP="001639B2">
      <w:pPr>
        <w:pStyle w:val="Caption"/>
        <w:keepNext/>
        <w:spacing w:after="0"/>
        <w:rPr>
          <w:rFonts w:asciiTheme="minorHAnsi" w:hAnsiTheme="minorHAnsi" w:cstheme="minorHAnsi"/>
          <w:i w:val="0"/>
          <w:color w:val="auto"/>
        </w:rPr>
      </w:pPr>
      <w:r w:rsidRPr="001639B2">
        <w:rPr>
          <w:rFonts w:asciiTheme="minorHAnsi" w:hAnsiTheme="minorHAnsi" w:cstheme="minorHAnsi"/>
          <w:i w:val="0"/>
          <w:color w:val="auto"/>
        </w:rPr>
        <w:lastRenderedPageBreak/>
        <w:t xml:space="preserve">Table </w:t>
      </w:r>
      <w:r w:rsidRPr="001639B2">
        <w:rPr>
          <w:rFonts w:asciiTheme="minorHAnsi" w:hAnsiTheme="minorHAnsi" w:cstheme="minorHAnsi"/>
          <w:i w:val="0"/>
          <w:color w:val="auto"/>
        </w:rPr>
        <w:fldChar w:fldCharType="begin"/>
      </w:r>
      <w:r w:rsidRPr="001639B2">
        <w:rPr>
          <w:rFonts w:asciiTheme="minorHAnsi" w:hAnsiTheme="minorHAnsi" w:cstheme="minorHAnsi"/>
          <w:i w:val="0"/>
          <w:color w:val="auto"/>
        </w:rPr>
        <w:instrText xml:space="preserve"> SEQ Table \* ARABIC </w:instrText>
      </w:r>
      <w:r w:rsidRPr="001639B2">
        <w:rPr>
          <w:rFonts w:asciiTheme="minorHAnsi" w:hAnsiTheme="minorHAnsi" w:cstheme="minorHAnsi"/>
          <w:i w:val="0"/>
          <w:color w:val="auto"/>
        </w:rPr>
        <w:fldChar w:fldCharType="separate"/>
      </w:r>
      <w:r w:rsidR="00766F9D">
        <w:rPr>
          <w:rFonts w:asciiTheme="minorHAnsi" w:hAnsiTheme="minorHAnsi" w:cstheme="minorHAnsi"/>
          <w:i w:val="0"/>
          <w:noProof/>
          <w:color w:val="auto"/>
        </w:rPr>
        <w:t>1</w:t>
      </w:r>
      <w:r w:rsidRPr="001639B2">
        <w:rPr>
          <w:rFonts w:asciiTheme="minorHAnsi" w:hAnsiTheme="minorHAnsi" w:cstheme="minorHAnsi"/>
          <w:i w:val="0"/>
          <w:color w:val="auto"/>
        </w:rPr>
        <w:fldChar w:fldCharType="end"/>
      </w:r>
      <w:r w:rsidRPr="001639B2">
        <w:rPr>
          <w:rFonts w:asciiTheme="minorHAnsi" w:hAnsiTheme="minorHAnsi" w:cstheme="minorHAnsi"/>
          <w:i w:val="0"/>
          <w:color w:val="auto"/>
        </w:rPr>
        <w:t xml:space="preserve"> - Enquêtes</w:t>
      </w:r>
    </w:p>
    <w:tbl>
      <w:tblPr>
        <w:tblStyle w:val="TableGrid"/>
        <w:tblW w:w="5000" w:type="pct"/>
        <w:jc w:val="center"/>
        <w:tblLook w:val="04A0" w:firstRow="1" w:lastRow="0" w:firstColumn="1" w:lastColumn="0" w:noHBand="0" w:noVBand="1"/>
        <w:tblDescription w:val="Enquêtes&#10;"/>
      </w:tblPr>
      <w:tblGrid>
        <w:gridCol w:w="2355"/>
        <w:gridCol w:w="1101"/>
        <w:gridCol w:w="1658"/>
        <w:gridCol w:w="1241"/>
        <w:gridCol w:w="1378"/>
        <w:gridCol w:w="1241"/>
        <w:gridCol w:w="1096"/>
      </w:tblGrid>
      <w:tr w:rsidR="001639B2" w:rsidRPr="001639B2" w14:paraId="46B09E2F" w14:textId="77777777" w:rsidTr="001639B2">
        <w:trPr>
          <w:cantSplit/>
          <w:trHeight w:val="1200"/>
          <w:tblHeader/>
          <w:jc w:val="center"/>
        </w:trPr>
        <w:tc>
          <w:tcPr>
            <w:tcW w:w="1170" w:type="pct"/>
            <w:shd w:val="clear" w:color="auto" w:fill="54575A" w:themeFill="text1"/>
            <w:hideMark/>
          </w:tcPr>
          <w:p w14:paraId="2AD6E8D8" w14:textId="77777777" w:rsidR="001639B2" w:rsidRPr="001639B2" w:rsidRDefault="001639B2" w:rsidP="001639B2">
            <w:pPr>
              <w:pStyle w:val="TableTitle"/>
              <w:rPr>
                <w:rFonts w:cs="Segoe UI Semibold"/>
                <w:sz w:val="22"/>
                <w:lang w:val="fr-CA"/>
              </w:rPr>
            </w:pPr>
            <w:r w:rsidRPr="001639B2">
              <w:rPr>
                <w:rFonts w:cs="Segoe UI Semibold"/>
                <w:color w:val="FFFFFF" w:themeColor="background1"/>
                <w:sz w:val="22"/>
                <w:lang w:val="fr-CA"/>
              </w:rPr>
              <w:t>Nature du problème</w:t>
            </w:r>
          </w:p>
        </w:tc>
        <w:tc>
          <w:tcPr>
            <w:tcW w:w="547" w:type="pct"/>
            <w:shd w:val="clear" w:color="auto" w:fill="54575A" w:themeFill="text1"/>
            <w:hideMark/>
          </w:tcPr>
          <w:p w14:paraId="11AF700D" w14:textId="77777777" w:rsidR="001639B2" w:rsidRPr="001639B2" w:rsidRDefault="001639B2" w:rsidP="001639B2">
            <w:pPr>
              <w:pStyle w:val="TableTitle"/>
              <w:rPr>
                <w:rFonts w:cs="Segoe UI Semibold"/>
                <w:color w:val="FFFFFF"/>
                <w:sz w:val="22"/>
                <w:lang w:val="fr-CA"/>
              </w:rPr>
            </w:pPr>
            <w:r w:rsidRPr="001639B2">
              <w:rPr>
                <w:rFonts w:cs="Segoe UI Semibold"/>
                <w:color w:val="FFFFFF"/>
                <w:sz w:val="22"/>
                <w:lang w:val="fr-CA"/>
              </w:rPr>
              <w:t>Cas reçus</w:t>
            </w:r>
          </w:p>
        </w:tc>
        <w:tc>
          <w:tcPr>
            <w:tcW w:w="823" w:type="pct"/>
            <w:shd w:val="clear" w:color="auto" w:fill="54575A" w:themeFill="text1"/>
            <w:hideMark/>
          </w:tcPr>
          <w:p w14:paraId="126A6470" w14:textId="77777777" w:rsidR="001639B2" w:rsidRPr="001639B2" w:rsidRDefault="001639B2" w:rsidP="001639B2">
            <w:pPr>
              <w:pStyle w:val="TableTitle"/>
              <w:rPr>
                <w:rFonts w:cs="Segoe UI Semibold"/>
                <w:color w:val="FFFFFF"/>
                <w:sz w:val="22"/>
                <w:lang w:val="fr-CA"/>
              </w:rPr>
            </w:pPr>
            <w:r w:rsidRPr="001639B2">
              <w:rPr>
                <w:rFonts w:cs="Segoe UI Semibold"/>
                <w:color w:val="FFFFFF"/>
                <w:sz w:val="22"/>
                <w:lang w:val="fr-CA"/>
              </w:rPr>
              <w:t>Cas transmis par l’organisation</w:t>
            </w:r>
          </w:p>
        </w:tc>
        <w:tc>
          <w:tcPr>
            <w:tcW w:w="616" w:type="pct"/>
            <w:shd w:val="clear" w:color="auto" w:fill="54575A" w:themeFill="text1"/>
            <w:hideMark/>
          </w:tcPr>
          <w:p w14:paraId="169BDBA1" w14:textId="77777777" w:rsidR="001639B2" w:rsidRPr="001639B2" w:rsidRDefault="001639B2" w:rsidP="001639B2">
            <w:pPr>
              <w:pStyle w:val="TableTitle"/>
              <w:rPr>
                <w:rFonts w:cs="Segoe UI Semibold"/>
                <w:color w:val="FFFFFF"/>
                <w:sz w:val="22"/>
                <w:lang w:val="fr-CA"/>
              </w:rPr>
            </w:pPr>
            <w:r w:rsidRPr="001639B2">
              <w:rPr>
                <w:rFonts w:cs="Segoe UI Semibold"/>
                <w:color w:val="FFFFFF"/>
                <w:sz w:val="22"/>
                <w:lang w:val="fr-CA"/>
              </w:rPr>
              <w:t>Cas fermés – refusés</w:t>
            </w:r>
          </w:p>
        </w:tc>
        <w:tc>
          <w:tcPr>
            <w:tcW w:w="684" w:type="pct"/>
            <w:shd w:val="clear" w:color="auto" w:fill="54575A" w:themeFill="text1"/>
            <w:hideMark/>
          </w:tcPr>
          <w:p w14:paraId="74457924" w14:textId="77777777" w:rsidR="001639B2" w:rsidRPr="001639B2" w:rsidRDefault="001639B2" w:rsidP="001639B2">
            <w:pPr>
              <w:pStyle w:val="TableTitle"/>
              <w:rPr>
                <w:rFonts w:cs="Segoe UI Semibold"/>
                <w:color w:val="FFFFFF"/>
                <w:sz w:val="22"/>
                <w:lang w:val="fr-CA"/>
              </w:rPr>
            </w:pPr>
            <w:r w:rsidRPr="001639B2">
              <w:rPr>
                <w:rFonts w:cs="Segoe UI Semibold"/>
                <w:color w:val="FFFFFF"/>
                <w:sz w:val="22"/>
                <w:lang w:val="fr-CA"/>
              </w:rPr>
              <w:t>Cas traités – non fondés</w:t>
            </w:r>
          </w:p>
        </w:tc>
        <w:tc>
          <w:tcPr>
            <w:tcW w:w="616" w:type="pct"/>
            <w:shd w:val="clear" w:color="auto" w:fill="54575A" w:themeFill="text1"/>
            <w:hideMark/>
          </w:tcPr>
          <w:p w14:paraId="28454920" w14:textId="77777777" w:rsidR="001639B2" w:rsidRPr="001639B2" w:rsidRDefault="001639B2" w:rsidP="001639B2">
            <w:pPr>
              <w:pStyle w:val="TableTitle"/>
              <w:rPr>
                <w:rFonts w:cs="Segoe UI Semibold"/>
                <w:color w:val="FFFFFF"/>
                <w:sz w:val="22"/>
                <w:lang w:val="fr-CA"/>
              </w:rPr>
            </w:pPr>
            <w:r w:rsidRPr="001639B2">
              <w:rPr>
                <w:rFonts w:cs="Segoe UI Semibold"/>
                <w:color w:val="FFFFFF"/>
                <w:sz w:val="22"/>
                <w:lang w:val="fr-CA"/>
              </w:rPr>
              <w:t>Cas traités – fondés</w:t>
            </w:r>
          </w:p>
        </w:tc>
        <w:tc>
          <w:tcPr>
            <w:tcW w:w="546" w:type="pct"/>
            <w:shd w:val="clear" w:color="auto" w:fill="54575A" w:themeFill="text1"/>
            <w:hideMark/>
          </w:tcPr>
          <w:p w14:paraId="05130B99" w14:textId="77777777" w:rsidR="001639B2" w:rsidRPr="001639B2" w:rsidRDefault="001639B2" w:rsidP="001639B2">
            <w:pPr>
              <w:pStyle w:val="TableTitle"/>
              <w:rPr>
                <w:rFonts w:cs="Segoe UI Semibold"/>
                <w:color w:val="FFFFFF"/>
                <w:sz w:val="22"/>
                <w:lang w:val="fr-CA"/>
              </w:rPr>
            </w:pPr>
            <w:r w:rsidRPr="001639B2">
              <w:rPr>
                <w:rFonts w:cs="Segoe UI Semibold"/>
                <w:color w:val="FFFFFF"/>
                <w:sz w:val="22"/>
                <w:lang w:val="fr-CA"/>
              </w:rPr>
              <w:t>En cours</w:t>
            </w:r>
          </w:p>
        </w:tc>
      </w:tr>
      <w:tr w:rsidR="001639B2" w:rsidRPr="001639B2" w14:paraId="3732C473" w14:textId="77777777" w:rsidTr="001639B2">
        <w:trPr>
          <w:cantSplit/>
          <w:trHeight w:val="600"/>
          <w:tblHeader/>
          <w:jc w:val="center"/>
        </w:trPr>
        <w:tc>
          <w:tcPr>
            <w:tcW w:w="1170" w:type="pct"/>
            <w:shd w:val="clear" w:color="auto" w:fill="54575A" w:themeFill="text1"/>
            <w:hideMark/>
          </w:tcPr>
          <w:p w14:paraId="00B1545C" w14:textId="77777777" w:rsidR="001639B2" w:rsidRPr="001639B2" w:rsidRDefault="001639B2" w:rsidP="001639B2">
            <w:pPr>
              <w:rPr>
                <w:rFonts w:asciiTheme="minorHAnsi" w:hAnsiTheme="minorHAnsi" w:cstheme="minorHAnsi"/>
                <w:color w:val="FFFFFF" w:themeColor="background1"/>
                <w:sz w:val="22"/>
                <w:szCs w:val="22"/>
                <w:lang w:val="fr-CA"/>
              </w:rPr>
            </w:pPr>
            <w:r w:rsidRPr="001639B2">
              <w:rPr>
                <w:rFonts w:asciiTheme="minorHAnsi" w:hAnsiTheme="minorHAnsi" w:cstheme="minorHAnsi"/>
                <w:color w:val="FFFFFF" w:themeColor="background1"/>
                <w:sz w:val="22"/>
                <w:szCs w:val="22"/>
                <w:lang w:val="fr-CA"/>
              </w:rPr>
              <w:t>Article 66 – Nominations externes (mérite, erreur, omission, conduite irrégulière)</w:t>
            </w:r>
          </w:p>
        </w:tc>
        <w:tc>
          <w:tcPr>
            <w:tcW w:w="547" w:type="pct"/>
            <w:noWrap/>
            <w:hideMark/>
          </w:tcPr>
          <w:p w14:paraId="2DFDF463" w14:textId="77777777" w:rsidR="001639B2" w:rsidRPr="001639B2" w:rsidRDefault="001639B2" w:rsidP="001639B2">
            <w:pPr>
              <w:jc w:val="center"/>
              <w:rPr>
                <w:rFonts w:asciiTheme="minorHAnsi" w:hAnsiTheme="minorHAnsi" w:cstheme="minorHAnsi"/>
                <w:sz w:val="22"/>
                <w:szCs w:val="22"/>
                <w:lang w:val="fr-CA"/>
              </w:rPr>
            </w:pPr>
            <w:r w:rsidRPr="001639B2">
              <w:rPr>
                <w:rFonts w:asciiTheme="minorHAnsi" w:hAnsiTheme="minorHAnsi" w:cstheme="minorHAnsi"/>
                <w:sz w:val="22"/>
                <w:szCs w:val="22"/>
                <w:lang w:val="fr-CA"/>
              </w:rPr>
              <w:t>2</w:t>
            </w:r>
          </w:p>
        </w:tc>
        <w:tc>
          <w:tcPr>
            <w:tcW w:w="823" w:type="pct"/>
            <w:noWrap/>
            <w:hideMark/>
          </w:tcPr>
          <w:p w14:paraId="02953ED4" w14:textId="77777777" w:rsidR="001639B2" w:rsidRPr="001639B2" w:rsidRDefault="001639B2" w:rsidP="001639B2">
            <w:pPr>
              <w:jc w:val="center"/>
              <w:rPr>
                <w:rFonts w:asciiTheme="minorHAnsi" w:hAnsiTheme="minorHAnsi" w:cstheme="minorHAnsi"/>
                <w:sz w:val="22"/>
                <w:szCs w:val="22"/>
                <w:lang w:val="fr-CA"/>
              </w:rPr>
            </w:pPr>
            <w:r w:rsidRPr="001639B2">
              <w:rPr>
                <w:rFonts w:asciiTheme="minorHAnsi" w:hAnsiTheme="minorHAnsi" w:cstheme="minorHAnsi"/>
                <w:sz w:val="22"/>
                <w:szCs w:val="22"/>
                <w:lang w:val="fr-CA"/>
              </w:rPr>
              <w:t>1</w:t>
            </w:r>
          </w:p>
        </w:tc>
        <w:tc>
          <w:tcPr>
            <w:tcW w:w="616" w:type="pct"/>
            <w:noWrap/>
            <w:hideMark/>
          </w:tcPr>
          <w:p w14:paraId="32980739" w14:textId="77777777" w:rsidR="001639B2" w:rsidRPr="001639B2" w:rsidRDefault="001639B2" w:rsidP="001639B2">
            <w:pPr>
              <w:jc w:val="center"/>
              <w:rPr>
                <w:rFonts w:asciiTheme="minorHAnsi" w:hAnsiTheme="minorHAnsi" w:cstheme="minorHAnsi"/>
                <w:sz w:val="22"/>
                <w:szCs w:val="22"/>
                <w:lang w:val="fr-CA"/>
              </w:rPr>
            </w:pPr>
            <w:r w:rsidRPr="001639B2">
              <w:rPr>
                <w:rFonts w:asciiTheme="minorHAnsi" w:hAnsiTheme="minorHAnsi" w:cstheme="minorHAnsi"/>
                <w:sz w:val="22"/>
                <w:szCs w:val="22"/>
                <w:lang w:val="fr-CA"/>
              </w:rPr>
              <w:t>2</w:t>
            </w:r>
          </w:p>
        </w:tc>
        <w:tc>
          <w:tcPr>
            <w:tcW w:w="684" w:type="pct"/>
            <w:noWrap/>
            <w:hideMark/>
          </w:tcPr>
          <w:p w14:paraId="0D59DA62" w14:textId="77777777" w:rsidR="001639B2" w:rsidRPr="001639B2" w:rsidRDefault="001639B2" w:rsidP="001639B2">
            <w:pPr>
              <w:jc w:val="center"/>
              <w:rPr>
                <w:rFonts w:asciiTheme="minorHAnsi" w:hAnsiTheme="minorHAnsi" w:cstheme="minorHAnsi"/>
                <w:sz w:val="22"/>
                <w:szCs w:val="22"/>
                <w:lang w:val="fr-CA"/>
              </w:rPr>
            </w:pPr>
            <w:r w:rsidRPr="001639B2">
              <w:rPr>
                <w:rFonts w:asciiTheme="minorHAnsi" w:hAnsiTheme="minorHAnsi" w:cstheme="minorHAnsi"/>
                <w:sz w:val="22"/>
                <w:szCs w:val="22"/>
                <w:lang w:val="fr-CA"/>
              </w:rPr>
              <w:t>0</w:t>
            </w:r>
          </w:p>
        </w:tc>
        <w:tc>
          <w:tcPr>
            <w:tcW w:w="616" w:type="pct"/>
            <w:noWrap/>
            <w:hideMark/>
          </w:tcPr>
          <w:p w14:paraId="4B1BAB12" w14:textId="77777777" w:rsidR="001639B2" w:rsidRPr="001639B2" w:rsidRDefault="001639B2" w:rsidP="001639B2">
            <w:pPr>
              <w:jc w:val="center"/>
              <w:rPr>
                <w:rFonts w:asciiTheme="minorHAnsi" w:hAnsiTheme="minorHAnsi" w:cstheme="minorHAnsi"/>
                <w:sz w:val="22"/>
                <w:szCs w:val="22"/>
                <w:lang w:val="fr-CA"/>
              </w:rPr>
            </w:pPr>
            <w:r w:rsidRPr="001639B2">
              <w:rPr>
                <w:rFonts w:asciiTheme="minorHAnsi" w:hAnsiTheme="minorHAnsi" w:cstheme="minorHAnsi"/>
                <w:sz w:val="22"/>
                <w:szCs w:val="22"/>
                <w:lang w:val="fr-CA"/>
              </w:rPr>
              <w:t>0</w:t>
            </w:r>
          </w:p>
        </w:tc>
        <w:tc>
          <w:tcPr>
            <w:tcW w:w="546" w:type="pct"/>
            <w:noWrap/>
            <w:hideMark/>
          </w:tcPr>
          <w:p w14:paraId="7F7E9BFA" w14:textId="77777777" w:rsidR="001639B2" w:rsidRPr="001639B2" w:rsidRDefault="001639B2" w:rsidP="001639B2">
            <w:pPr>
              <w:jc w:val="center"/>
              <w:rPr>
                <w:rFonts w:asciiTheme="minorHAnsi" w:hAnsiTheme="minorHAnsi" w:cstheme="minorHAnsi"/>
                <w:sz w:val="22"/>
                <w:szCs w:val="22"/>
                <w:lang w:val="fr-CA"/>
              </w:rPr>
            </w:pPr>
            <w:r w:rsidRPr="001639B2">
              <w:rPr>
                <w:rFonts w:asciiTheme="minorHAnsi" w:hAnsiTheme="minorHAnsi" w:cstheme="minorHAnsi"/>
                <w:sz w:val="22"/>
                <w:szCs w:val="22"/>
                <w:lang w:val="fr-CA"/>
              </w:rPr>
              <w:t>0</w:t>
            </w:r>
          </w:p>
        </w:tc>
      </w:tr>
      <w:tr w:rsidR="001639B2" w:rsidRPr="001639B2" w14:paraId="2B489588" w14:textId="77777777" w:rsidTr="001639B2">
        <w:trPr>
          <w:cantSplit/>
          <w:trHeight w:val="300"/>
          <w:tblHeader/>
          <w:jc w:val="center"/>
        </w:trPr>
        <w:tc>
          <w:tcPr>
            <w:tcW w:w="1170" w:type="pct"/>
            <w:shd w:val="clear" w:color="auto" w:fill="54575A" w:themeFill="text1"/>
            <w:hideMark/>
          </w:tcPr>
          <w:p w14:paraId="31A748B8" w14:textId="77777777" w:rsidR="001639B2" w:rsidRPr="001639B2" w:rsidRDefault="001639B2" w:rsidP="001639B2">
            <w:pPr>
              <w:rPr>
                <w:rFonts w:asciiTheme="minorHAnsi" w:hAnsiTheme="minorHAnsi" w:cstheme="minorHAnsi"/>
                <w:color w:val="FFFFFF" w:themeColor="background1"/>
                <w:sz w:val="22"/>
                <w:szCs w:val="22"/>
                <w:lang w:val="fr-CA"/>
              </w:rPr>
            </w:pPr>
            <w:r w:rsidRPr="001639B2">
              <w:rPr>
                <w:rFonts w:asciiTheme="minorHAnsi" w:hAnsiTheme="minorHAnsi" w:cstheme="minorHAnsi"/>
                <w:color w:val="FFFFFF" w:themeColor="background1"/>
                <w:sz w:val="22"/>
                <w:szCs w:val="22"/>
                <w:lang w:val="fr-CA"/>
              </w:rPr>
              <w:t>Paragraphe 67(2) Nominations internes – demande de l’AG</w:t>
            </w:r>
          </w:p>
        </w:tc>
        <w:tc>
          <w:tcPr>
            <w:tcW w:w="547" w:type="pct"/>
            <w:noWrap/>
            <w:hideMark/>
          </w:tcPr>
          <w:p w14:paraId="799D859E" w14:textId="77777777" w:rsidR="001639B2" w:rsidRPr="001639B2" w:rsidRDefault="001639B2" w:rsidP="001639B2">
            <w:pPr>
              <w:jc w:val="center"/>
              <w:rPr>
                <w:rFonts w:asciiTheme="minorHAnsi" w:hAnsiTheme="minorHAnsi" w:cstheme="minorHAnsi"/>
                <w:sz w:val="22"/>
                <w:szCs w:val="22"/>
                <w:lang w:val="fr-CA"/>
              </w:rPr>
            </w:pPr>
            <w:r w:rsidRPr="001639B2">
              <w:rPr>
                <w:rFonts w:asciiTheme="minorHAnsi" w:hAnsiTheme="minorHAnsi" w:cstheme="minorHAnsi"/>
                <w:sz w:val="22"/>
                <w:szCs w:val="22"/>
                <w:lang w:val="fr-CA"/>
              </w:rPr>
              <w:t>0</w:t>
            </w:r>
          </w:p>
        </w:tc>
        <w:tc>
          <w:tcPr>
            <w:tcW w:w="823" w:type="pct"/>
            <w:noWrap/>
            <w:hideMark/>
          </w:tcPr>
          <w:p w14:paraId="2B1C093E" w14:textId="77777777" w:rsidR="001639B2" w:rsidRPr="001639B2" w:rsidRDefault="001639B2" w:rsidP="001639B2">
            <w:pPr>
              <w:jc w:val="center"/>
              <w:rPr>
                <w:rFonts w:asciiTheme="minorHAnsi" w:hAnsiTheme="minorHAnsi" w:cstheme="minorHAnsi"/>
                <w:sz w:val="22"/>
                <w:szCs w:val="22"/>
                <w:lang w:val="fr-CA"/>
              </w:rPr>
            </w:pPr>
            <w:r w:rsidRPr="001639B2">
              <w:rPr>
                <w:rFonts w:asciiTheme="minorHAnsi" w:hAnsiTheme="minorHAnsi" w:cstheme="minorHAnsi"/>
                <w:sz w:val="22"/>
                <w:szCs w:val="22"/>
                <w:lang w:val="fr-CA"/>
              </w:rPr>
              <w:t>0</w:t>
            </w:r>
          </w:p>
        </w:tc>
        <w:tc>
          <w:tcPr>
            <w:tcW w:w="616" w:type="pct"/>
            <w:noWrap/>
            <w:hideMark/>
          </w:tcPr>
          <w:p w14:paraId="6D9B5953" w14:textId="77777777" w:rsidR="001639B2" w:rsidRPr="001639B2" w:rsidRDefault="001639B2" w:rsidP="001639B2">
            <w:pPr>
              <w:jc w:val="center"/>
              <w:rPr>
                <w:rFonts w:asciiTheme="minorHAnsi" w:hAnsiTheme="minorHAnsi" w:cstheme="minorHAnsi"/>
                <w:sz w:val="22"/>
                <w:szCs w:val="22"/>
                <w:lang w:val="fr-CA"/>
              </w:rPr>
            </w:pPr>
            <w:r w:rsidRPr="001639B2">
              <w:rPr>
                <w:rFonts w:asciiTheme="minorHAnsi" w:hAnsiTheme="minorHAnsi" w:cstheme="minorHAnsi"/>
                <w:sz w:val="22"/>
                <w:szCs w:val="22"/>
                <w:lang w:val="fr-CA"/>
              </w:rPr>
              <w:t>0</w:t>
            </w:r>
          </w:p>
        </w:tc>
        <w:tc>
          <w:tcPr>
            <w:tcW w:w="684" w:type="pct"/>
            <w:noWrap/>
            <w:hideMark/>
          </w:tcPr>
          <w:p w14:paraId="7BBEC221" w14:textId="77777777" w:rsidR="001639B2" w:rsidRPr="001639B2" w:rsidRDefault="001639B2" w:rsidP="001639B2">
            <w:pPr>
              <w:jc w:val="center"/>
              <w:rPr>
                <w:rFonts w:asciiTheme="minorHAnsi" w:hAnsiTheme="minorHAnsi" w:cstheme="minorHAnsi"/>
                <w:sz w:val="22"/>
                <w:szCs w:val="22"/>
                <w:lang w:val="fr-CA"/>
              </w:rPr>
            </w:pPr>
            <w:r w:rsidRPr="001639B2">
              <w:rPr>
                <w:rFonts w:asciiTheme="minorHAnsi" w:hAnsiTheme="minorHAnsi" w:cstheme="minorHAnsi"/>
                <w:sz w:val="22"/>
                <w:szCs w:val="22"/>
                <w:lang w:val="fr-CA"/>
              </w:rPr>
              <w:t>0</w:t>
            </w:r>
          </w:p>
        </w:tc>
        <w:tc>
          <w:tcPr>
            <w:tcW w:w="616" w:type="pct"/>
            <w:noWrap/>
            <w:hideMark/>
          </w:tcPr>
          <w:p w14:paraId="602A6B4A" w14:textId="77777777" w:rsidR="001639B2" w:rsidRPr="001639B2" w:rsidRDefault="001639B2" w:rsidP="001639B2">
            <w:pPr>
              <w:jc w:val="center"/>
              <w:rPr>
                <w:rFonts w:asciiTheme="minorHAnsi" w:hAnsiTheme="minorHAnsi" w:cstheme="minorHAnsi"/>
                <w:sz w:val="22"/>
                <w:szCs w:val="22"/>
                <w:lang w:val="fr-CA"/>
              </w:rPr>
            </w:pPr>
            <w:r w:rsidRPr="001639B2">
              <w:rPr>
                <w:rFonts w:asciiTheme="minorHAnsi" w:hAnsiTheme="minorHAnsi" w:cstheme="minorHAnsi"/>
                <w:sz w:val="22"/>
                <w:szCs w:val="22"/>
                <w:lang w:val="fr-CA"/>
              </w:rPr>
              <w:t>0</w:t>
            </w:r>
          </w:p>
        </w:tc>
        <w:tc>
          <w:tcPr>
            <w:tcW w:w="546" w:type="pct"/>
            <w:noWrap/>
            <w:hideMark/>
          </w:tcPr>
          <w:p w14:paraId="5662E719" w14:textId="77777777" w:rsidR="001639B2" w:rsidRPr="001639B2" w:rsidRDefault="001639B2" w:rsidP="001639B2">
            <w:pPr>
              <w:jc w:val="center"/>
              <w:rPr>
                <w:rFonts w:asciiTheme="minorHAnsi" w:hAnsiTheme="minorHAnsi" w:cstheme="minorHAnsi"/>
                <w:sz w:val="22"/>
                <w:szCs w:val="22"/>
                <w:lang w:val="fr-CA"/>
              </w:rPr>
            </w:pPr>
            <w:r w:rsidRPr="001639B2">
              <w:rPr>
                <w:rFonts w:asciiTheme="minorHAnsi" w:hAnsiTheme="minorHAnsi" w:cstheme="minorHAnsi"/>
                <w:sz w:val="22"/>
                <w:szCs w:val="22"/>
                <w:lang w:val="fr-CA"/>
              </w:rPr>
              <w:t>0</w:t>
            </w:r>
          </w:p>
        </w:tc>
      </w:tr>
      <w:tr w:rsidR="001639B2" w:rsidRPr="001639B2" w14:paraId="2447CE57" w14:textId="77777777" w:rsidTr="001639B2">
        <w:trPr>
          <w:cantSplit/>
          <w:trHeight w:val="600"/>
          <w:tblHeader/>
          <w:jc w:val="center"/>
        </w:trPr>
        <w:tc>
          <w:tcPr>
            <w:tcW w:w="1170" w:type="pct"/>
            <w:shd w:val="clear" w:color="auto" w:fill="54575A" w:themeFill="text1"/>
            <w:hideMark/>
          </w:tcPr>
          <w:p w14:paraId="1A9D4804" w14:textId="77777777" w:rsidR="001639B2" w:rsidRPr="001639B2" w:rsidRDefault="001639B2" w:rsidP="001639B2">
            <w:pPr>
              <w:rPr>
                <w:rFonts w:asciiTheme="minorHAnsi" w:hAnsiTheme="minorHAnsi" w:cstheme="minorHAnsi"/>
                <w:color w:val="FFFFFF" w:themeColor="background1"/>
                <w:sz w:val="22"/>
                <w:szCs w:val="22"/>
                <w:lang w:val="fr-CA"/>
              </w:rPr>
            </w:pPr>
            <w:r w:rsidRPr="001639B2">
              <w:rPr>
                <w:rFonts w:asciiTheme="minorHAnsi" w:hAnsiTheme="minorHAnsi" w:cstheme="minorHAnsi"/>
                <w:color w:val="FFFFFF" w:themeColor="background1"/>
                <w:sz w:val="22"/>
                <w:szCs w:val="22"/>
                <w:lang w:val="fr-CA"/>
              </w:rPr>
              <w:t>Article 68 – Nomination fondée sur des motifs d’ordre politique</w:t>
            </w:r>
          </w:p>
        </w:tc>
        <w:tc>
          <w:tcPr>
            <w:tcW w:w="547" w:type="pct"/>
            <w:noWrap/>
            <w:hideMark/>
          </w:tcPr>
          <w:p w14:paraId="1EE0917B" w14:textId="77777777" w:rsidR="001639B2" w:rsidRPr="001639B2" w:rsidRDefault="001639B2" w:rsidP="001639B2">
            <w:pPr>
              <w:jc w:val="center"/>
              <w:rPr>
                <w:rFonts w:asciiTheme="minorHAnsi" w:hAnsiTheme="minorHAnsi" w:cstheme="minorHAnsi"/>
                <w:sz w:val="22"/>
                <w:szCs w:val="22"/>
                <w:lang w:val="fr-CA"/>
              </w:rPr>
            </w:pPr>
            <w:r w:rsidRPr="001639B2">
              <w:rPr>
                <w:rFonts w:asciiTheme="minorHAnsi" w:hAnsiTheme="minorHAnsi" w:cstheme="minorHAnsi"/>
                <w:sz w:val="22"/>
                <w:szCs w:val="22"/>
                <w:lang w:val="fr-CA"/>
              </w:rPr>
              <w:t>0</w:t>
            </w:r>
          </w:p>
        </w:tc>
        <w:tc>
          <w:tcPr>
            <w:tcW w:w="823" w:type="pct"/>
            <w:noWrap/>
            <w:hideMark/>
          </w:tcPr>
          <w:p w14:paraId="2839CEDD" w14:textId="77777777" w:rsidR="001639B2" w:rsidRPr="001639B2" w:rsidRDefault="001639B2" w:rsidP="001639B2">
            <w:pPr>
              <w:jc w:val="center"/>
              <w:rPr>
                <w:rFonts w:asciiTheme="minorHAnsi" w:hAnsiTheme="minorHAnsi" w:cstheme="minorHAnsi"/>
                <w:sz w:val="22"/>
                <w:szCs w:val="22"/>
                <w:lang w:val="fr-CA"/>
              </w:rPr>
            </w:pPr>
            <w:r w:rsidRPr="001639B2">
              <w:rPr>
                <w:rFonts w:asciiTheme="minorHAnsi" w:hAnsiTheme="minorHAnsi" w:cstheme="minorHAnsi"/>
                <w:sz w:val="22"/>
                <w:szCs w:val="22"/>
                <w:lang w:val="fr-CA"/>
              </w:rPr>
              <w:t>0</w:t>
            </w:r>
          </w:p>
        </w:tc>
        <w:tc>
          <w:tcPr>
            <w:tcW w:w="616" w:type="pct"/>
            <w:noWrap/>
            <w:hideMark/>
          </w:tcPr>
          <w:p w14:paraId="4CC1AA15" w14:textId="77777777" w:rsidR="001639B2" w:rsidRPr="001639B2" w:rsidRDefault="001639B2" w:rsidP="001639B2">
            <w:pPr>
              <w:jc w:val="center"/>
              <w:rPr>
                <w:rFonts w:asciiTheme="minorHAnsi" w:hAnsiTheme="minorHAnsi" w:cstheme="minorHAnsi"/>
                <w:sz w:val="22"/>
                <w:szCs w:val="22"/>
                <w:lang w:val="fr-CA"/>
              </w:rPr>
            </w:pPr>
            <w:r w:rsidRPr="001639B2">
              <w:rPr>
                <w:rFonts w:asciiTheme="minorHAnsi" w:hAnsiTheme="minorHAnsi" w:cstheme="minorHAnsi"/>
                <w:sz w:val="22"/>
                <w:szCs w:val="22"/>
                <w:lang w:val="fr-CA"/>
              </w:rPr>
              <w:t>0</w:t>
            </w:r>
          </w:p>
        </w:tc>
        <w:tc>
          <w:tcPr>
            <w:tcW w:w="684" w:type="pct"/>
            <w:noWrap/>
            <w:hideMark/>
          </w:tcPr>
          <w:p w14:paraId="3CA6D181" w14:textId="77777777" w:rsidR="001639B2" w:rsidRPr="001639B2" w:rsidRDefault="001639B2" w:rsidP="001639B2">
            <w:pPr>
              <w:jc w:val="center"/>
              <w:rPr>
                <w:rFonts w:asciiTheme="minorHAnsi" w:hAnsiTheme="minorHAnsi" w:cstheme="minorHAnsi"/>
                <w:sz w:val="22"/>
                <w:szCs w:val="22"/>
                <w:lang w:val="fr-CA"/>
              </w:rPr>
            </w:pPr>
            <w:r w:rsidRPr="001639B2">
              <w:rPr>
                <w:rFonts w:asciiTheme="minorHAnsi" w:hAnsiTheme="minorHAnsi" w:cstheme="minorHAnsi"/>
                <w:sz w:val="22"/>
                <w:szCs w:val="22"/>
                <w:lang w:val="fr-CA"/>
              </w:rPr>
              <w:t>0</w:t>
            </w:r>
          </w:p>
        </w:tc>
        <w:tc>
          <w:tcPr>
            <w:tcW w:w="616" w:type="pct"/>
            <w:noWrap/>
            <w:hideMark/>
          </w:tcPr>
          <w:p w14:paraId="66C00E96" w14:textId="77777777" w:rsidR="001639B2" w:rsidRPr="001639B2" w:rsidRDefault="001639B2" w:rsidP="001639B2">
            <w:pPr>
              <w:jc w:val="center"/>
              <w:rPr>
                <w:rFonts w:asciiTheme="minorHAnsi" w:hAnsiTheme="minorHAnsi" w:cstheme="minorHAnsi"/>
                <w:sz w:val="22"/>
                <w:szCs w:val="22"/>
                <w:lang w:val="fr-CA"/>
              </w:rPr>
            </w:pPr>
            <w:r w:rsidRPr="001639B2">
              <w:rPr>
                <w:rFonts w:asciiTheme="minorHAnsi" w:hAnsiTheme="minorHAnsi" w:cstheme="minorHAnsi"/>
                <w:sz w:val="22"/>
                <w:szCs w:val="22"/>
                <w:lang w:val="fr-CA"/>
              </w:rPr>
              <w:t>0</w:t>
            </w:r>
          </w:p>
        </w:tc>
        <w:tc>
          <w:tcPr>
            <w:tcW w:w="546" w:type="pct"/>
            <w:noWrap/>
            <w:hideMark/>
          </w:tcPr>
          <w:p w14:paraId="70FC90B1" w14:textId="77777777" w:rsidR="001639B2" w:rsidRPr="001639B2" w:rsidRDefault="001639B2" w:rsidP="001639B2">
            <w:pPr>
              <w:jc w:val="center"/>
              <w:rPr>
                <w:rFonts w:asciiTheme="minorHAnsi" w:hAnsiTheme="minorHAnsi" w:cstheme="minorHAnsi"/>
                <w:sz w:val="22"/>
                <w:szCs w:val="22"/>
                <w:lang w:val="fr-CA"/>
              </w:rPr>
            </w:pPr>
            <w:r w:rsidRPr="001639B2">
              <w:rPr>
                <w:rFonts w:asciiTheme="minorHAnsi" w:hAnsiTheme="minorHAnsi" w:cstheme="minorHAnsi"/>
                <w:sz w:val="22"/>
                <w:szCs w:val="22"/>
                <w:lang w:val="fr-CA"/>
              </w:rPr>
              <w:t>0</w:t>
            </w:r>
          </w:p>
        </w:tc>
      </w:tr>
      <w:tr w:rsidR="001639B2" w:rsidRPr="001639B2" w14:paraId="62CC2B1E" w14:textId="77777777" w:rsidTr="001639B2">
        <w:trPr>
          <w:cantSplit/>
          <w:trHeight w:val="600"/>
          <w:tblHeader/>
          <w:jc w:val="center"/>
        </w:trPr>
        <w:tc>
          <w:tcPr>
            <w:tcW w:w="1170" w:type="pct"/>
            <w:shd w:val="clear" w:color="auto" w:fill="54575A" w:themeFill="text1"/>
          </w:tcPr>
          <w:p w14:paraId="71C392C7" w14:textId="77777777" w:rsidR="001639B2" w:rsidRPr="001639B2" w:rsidRDefault="001639B2" w:rsidP="001639B2">
            <w:pPr>
              <w:rPr>
                <w:rFonts w:asciiTheme="minorHAnsi" w:hAnsiTheme="minorHAnsi" w:cstheme="minorHAnsi"/>
                <w:color w:val="FFFFFF" w:themeColor="background1"/>
                <w:sz w:val="22"/>
                <w:szCs w:val="22"/>
                <w:lang w:val="fr-CA"/>
              </w:rPr>
            </w:pPr>
            <w:r w:rsidRPr="001639B2">
              <w:rPr>
                <w:rFonts w:asciiTheme="minorHAnsi" w:hAnsiTheme="minorHAnsi" w:cstheme="minorHAnsi"/>
                <w:color w:val="FFFFFF" w:themeColor="background1"/>
                <w:sz w:val="22"/>
                <w:szCs w:val="22"/>
                <w:lang w:val="fr-CA"/>
              </w:rPr>
              <w:t>Article 69 – Fraude</w:t>
            </w:r>
          </w:p>
        </w:tc>
        <w:tc>
          <w:tcPr>
            <w:tcW w:w="547" w:type="pct"/>
            <w:noWrap/>
          </w:tcPr>
          <w:p w14:paraId="76E2DED1" w14:textId="77777777" w:rsidR="001639B2" w:rsidRPr="001639B2" w:rsidRDefault="001639B2" w:rsidP="001639B2">
            <w:pPr>
              <w:jc w:val="center"/>
              <w:rPr>
                <w:rFonts w:asciiTheme="minorHAnsi" w:hAnsiTheme="minorHAnsi" w:cstheme="minorHAnsi"/>
                <w:sz w:val="22"/>
                <w:szCs w:val="22"/>
                <w:lang w:val="fr-CA"/>
              </w:rPr>
            </w:pPr>
            <w:r w:rsidRPr="001639B2">
              <w:rPr>
                <w:rFonts w:asciiTheme="minorHAnsi" w:hAnsiTheme="minorHAnsi" w:cstheme="minorHAnsi"/>
                <w:sz w:val="22"/>
                <w:szCs w:val="22"/>
                <w:lang w:val="fr-CA"/>
              </w:rPr>
              <w:t>2</w:t>
            </w:r>
          </w:p>
        </w:tc>
        <w:tc>
          <w:tcPr>
            <w:tcW w:w="823" w:type="pct"/>
            <w:noWrap/>
          </w:tcPr>
          <w:p w14:paraId="788AE1F2" w14:textId="77777777" w:rsidR="001639B2" w:rsidRPr="001639B2" w:rsidRDefault="001639B2" w:rsidP="001639B2">
            <w:pPr>
              <w:jc w:val="center"/>
              <w:rPr>
                <w:rFonts w:asciiTheme="minorHAnsi" w:hAnsiTheme="minorHAnsi" w:cstheme="minorHAnsi"/>
                <w:sz w:val="22"/>
                <w:szCs w:val="22"/>
                <w:lang w:val="fr-CA"/>
              </w:rPr>
            </w:pPr>
            <w:r w:rsidRPr="001639B2">
              <w:rPr>
                <w:rFonts w:asciiTheme="minorHAnsi" w:hAnsiTheme="minorHAnsi" w:cstheme="minorHAnsi"/>
                <w:sz w:val="22"/>
                <w:szCs w:val="22"/>
                <w:lang w:val="fr-CA"/>
              </w:rPr>
              <w:t>2</w:t>
            </w:r>
          </w:p>
        </w:tc>
        <w:tc>
          <w:tcPr>
            <w:tcW w:w="616" w:type="pct"/>
            <w:noWrap/>
          </w:tcPr>
          <w:p w14:paraId="030B0205" w14:textId="77777777" w:rsidR="001639B2" w:rsidRPr="001639B2" w:rsidRDefault="001639B2" w:rsidP="001639B2">
            <w:pPr>
              <w:jc w:val="center"/>
              <w:rPr>
                <w:rFonts w:asciiTheme="minorHAnsi" w:hAnsiTheme="minorHAnsi" w:cstheme="minorHAnsi"/>
                <w:sz w:val="22"/>
                <w:szCs w:val="22"/>
                <w:lang w:val="fr-CA"/>
              </w:rPr>
            </w:pPr>
            <w:r w:rsidRPr="001639B2">
              <w:rPr>
                <w:rFonts w:asciiTheme="minorHAnsi" w:hAnsiTheme="minorHAnsi" w:cstheme="minorHAnsi"/>
                <w:sz w:val="22"/>
                <w:szCs w:val="22"/>
                <w:lang w:val="fr-CA"/>
              </w:rPr>
              <w:t>0</w:t>
            </w:r>
          </w:p>
        </w:tc>
        <w:tc>
          <w:tcPr>
            <w:tcW w:w="684" w:type="pct"/>
            <w:noWrap/>
          </w:tcPr>
          <w:p w14:paraId="58592C18" w14:textId="77777777" w:rsidR="001639B2" w:rsidRPr="001639B2" w:rsidRDefault="001639B2" w:rsidP="001639B2">
            <w:pPr>
              <w:jc w:val="center"/>
              <w:rPr>
                <w:rFonts w:asciiTheme="minorHAnsi" w:hAnsiTheme="minorHAnsi" w:cstheme="minorHAnsi"/>
                <w:sz w:val="22"/>
                <w:szCs w:val="22"/>
                <w:lang w:val="fr-CA"/>
              </w:rPr>
            </w:pPr>
            <w:r w:rsidRPr="001639B2">
              <w:rPr>
                <w:rFonts w:asciiTheme="minorHAnsi" w:hAnsiTheme="minorHAnsi" w:cstheme="minorHAnsi"/>
                <w:sz w:val="22"/>
                <w:szCs w:val="22"/>
                <w:lang w:val="fr-CA"/>
              </w:rPr>
              <w:t>0</w:t>
            </w:r>
          </w:p>
        </w:tc>
        <w:tc>
          <w:tcPr>
            <w:tcW w:w="616" w:type="pct"/>
            <w:noWrap/>
          </w:tcPr>
          <w:p w14:paraId="6FFD69FD" w14:textId="77777777" w:rsidR="001639B2" w:rsidRPr="001639B2" w:rsidRDefault="001639B2" w:rsidP="001639B2">
            <w:pPr>
              <w:jc w:val="center"/>
              <w:rPr>
                <w:rFonts w:asciiTheme="minorHAnsi" w:hAnsiTheme="minorHAnsi" w:cstheme="minorHAnsi"/>
                <w:sz w:val="22"/>
                <w:szCs w:val="22"/>
                <w:lang w:val="fr-CA"/>
              </w:rPr>
            </w:pPr>
            <w:r w:rsidRPr="001639B2">
              <w:rPr>
                <w:rFonts w:asciiTheme="minorHAnsi" w:hAnsiTheme="minorHAnsi" w:cstheme="minorHAnsi"/>
                <w:sz w:val="22"/>
                <w:szCs w:val="22"/>
                <w:lang w:val="fr-CA"/>
              </w:rPr>
              <w:t>4</w:t>
            </w:r>
          </w:p>
        </w:tc>
        <w:tc>
          <w:tcPr>
            <w:tcW w:w="546" w:type="pct"/>
            <w:noWrap/>
          </w:tcPr>
          <w:p w14:paraId="67D7F483" w14:textId="77777777" w:rsidR="001639B2" w:rsidRPr="001639B2" w:rsidRDefault="001639B2" w:rsidP="001639B2">
            <w:pPr>
              <w:jc w:val="center"/>
              <w:rPr>
                <w:rFonts w:asciiTheme="minorHAnsi" w:hAnsiTheme="minorHAnsi" w:cstheme="minorHAnsi"/>
                <w:sz w:val="22"/>
                <w:szCs w:val="22"/>
                <w:lang w:val="fr-CA"/>
              </w:rPr>
            </w:pPr>
            <w:r w:rsidRPr="001639B2">
              <w:rPr>
                <w:rFonts w:asciiTheme="minorHAnsi" w:hAnsiTheme="minorHAnsi" w:cstheme="minorHAnsi"/>
                <w:sz w:val="22"/>
                <w:szCs w:val="22"/>
                <w:lang w:val="fr-CA"/>
              </w:rPr>
              <w:t>0</w:t>
            </w:r>
          </w:p>
        </w:tc>
      </w:tr>
      <w:tr w:rsidR="001639B2" w:rsidRPr="001639B2" w14:paraId="62C96110" w14:textId="77777777" w:rsidTr="001639B2">
        <w:trPr>
          <w:cantSplit/>
          <w:trHeight w:val="600"/>
          <w:tblHeader/>
          <w:jc w:val="center"/>
        </w:trPr>
        <w:tc>
          <w:tcPr>
            <w:tcW w:w="1170" w:type="pct"/>
            <w:shd w:val="clear" w:color="auto" w:fill="54575A" w:themeFill="text1"/>
          </w:tcPr>
          <w:p w14:paraId="4D9EFC75" w14:textId="77777777" w:rsidR="001639B2" w:rsidRPr="001639B2" w:rsidRDefault="001639B2" w:rsidP="001639B2">
            <w:pPr>
              <w:rPr>
                <w:rFonts w:asciiTheme="minorHAnsi" w:hAnsiTheme="minorHAnsi" w:cstheme="minorHAnsi"/>
                <w:color w:val="FFFFFF" w:themeColor="background1"/>
                <w:sz w:val="22"/>
                <w:szCs w:val="22"/>
                <w:lang w:val="fr-CA"/>
              </w:rPr>
            </w:pPr>
            <w:r w:rsidRPr="001639B2">
              <w:rPr>
                <w:rFonts w:asciiTheme="minorHAnsi" w:hAnsiTheme="minorHAnsi" w:cstheme="minorHAnsi"/>
                <w:color w:val="FFFFFF" w:themeColor="background1"/>
                <w:sz w:val="22"/>
                <w:szCs w:val="22"/>
                <w:lang w:val="fr-CA"/>
              </w:rPr>
              <w:t>Article 118 – Activités politiques irrégulières – fonctionnaires</w:t>
            </w:r>
          </w:p>
        </w:tc>
        <w:tc>
          <w:tcPr>
            <w:tcW w:w="547" w:type="pct"/>
            <w:noWrap/>
          </w:tcPr>
          <w:p w14:paraId="6747F72F" w14:textId="77777777" w:rsidR="001639B2" w:rsidRPr="001639B2" w:rsidRDefault="001639B2" w:rsidP="001639B2">
            <w:pPr>
              <w:jc w:val="center"/>
              <w:rPr>
                <w:rFonts w:asciiTheme="minorHAnsi" w:hAnsiTheme="minorHAnsi" w:cstheme="minorHAnsi"/>
                <w:sz w:val="22"/>
                <w:szCs w:val="22"/>
                <w:lang w:val="fr-CA"/>
              </w:rPr>
            </w:pPr>
            <w:r w:rsidRPr="001639B2">
              <w:rPr>
                <w:rFonts w:asciiTheme="minorHAnsi" w:hAnsiTheme="minorHAnsi" w:cstheme="minorHAnsi"/>
                <w:sz w:val="22"/>
                <w:szCs w:val="22"/>
                <w:lang w:val="fr-CA"/>
              </w:rPr>
              <w:t>2</w:t>
            </w:r>
          </w:p>
        </w:tc>
        <w:tc>
          <w:tcPr>
            <w:tcW w:w="823" w:type="pct"/>
            <w:noWrap/>
          </w:tcPr>
          <w:p w14:paraId="4EE2A861" w14:textId="77777777" w:rsidR="001639B2" w:rsidRPr="001639B2" w:rsidRDefault="001639B2" w:rsidP="001639B2">
            <w:pPr>
              <w:jc w:val="center"/>
              <w:rPr>
                <w:rFonts w:asciiTheme="minorHAnsi" w:hAnsiTheme="minorHAnsi" w:cstheme="minorHAnsi"/>
                <w:sz w:val="22"/>
                <w:szCs w:val="22"/>
                <w:lang w:val="fr-CA"/>
              </w:rPr>
            </w:pPr>
            <w:r w:rsidRPr="001639B2">
              <w:rPr>
                <w:rFonts w:asciiTheme="minorHAnsi" w:hAnsiTheme="minorHAnsi" w:cstheme="minorHAnsi"/>
                <w:sz w:val="22"/>
                <w:szCs w:val="22"/>
                <w:lang w:val="fr-CA"/>
              </w:rPr>
              <w:t>0</w:t>
            </w:r>
          </w:p>
        </w:tc>
        <w:tc>
          <w:tcPr>
            <w:tcW w:w="616" w:type="pct"/>
            <w:noWrap/>
          </w:tcPr>
          <w:p w14:paraId="68627710" w14:textId="77777777" w:rsidR="001639B2" w:rsidRPr="001639B2" w:rsidRDefault="001639B2" w:rsidP="001639B2">
            <w:pPr>
              <w:jc w:val="center"/>
              <w:rPr>
                <w:rFonts w:asciiTheme="minorHAnsi" w:hAnsiTheme="minorHAnsi" w:cstheme="minorHAnsi"/>
                <w:sz w:val="22"/>
                <w:szCs w:val="22"/>
                <w:lang w:val="fr-CA"/>
              </w:rPr>
            </w:pPr>
            <w:r w:rsidRPr="001639B2">
              <w:rPr>
                <w:rFonts w:asciiTheme="minorHAnsi" w:hAnsiTheme="minorHAnsi" w:cstheme="minorHAnsi"/>
                <w:sz w:val="22"/>
                <w:szCs w:val="22"/>
                <w:lang w:val="fr-CA"/>
              </w:rPr>
              <w:t>0</w:t>
            </w:r>
          </w:p>
        </w:tc>
        <w:tc>
          <w:tcPr>
            <w:tcW w:w="684" w:type="pct"/>
            <w:noWrap/>
          </w:tcPr>
          <w:p w14:paraId="247E9B3F" w14:textId="77777777" w:rsidR="001639B2" w:rsidRPr="001639B2" w:rsidRDefault="001639B2" w:rsidP="001639B2">
            <w:pPr>
              <w:jc w:val="center"/>
              <w:rPr>
                <w:rFonts w:asciiTheme="minorHAnsi" w:hAnsiTheme="minorHAnsi" w:cstheme="minorHAnsi"/>
                <w:sz w:val="22"/>
                <w:szCs w:val="22"/>
                <w:lang w:val="fr-CA"/>
              </w:rPr>
            </w:pPr>
            <w:r w:rsidRPr="001639B2">
              <w:rPr>
                <w:rFonts w:asciiTheme="minorHAnsi" w:hAnsiTheme="minorHAnsi" w:cstheme="minorHAnsi"/>
                <w:sz w:val="22"/>
                <w:szCs w:val="22"/>
                <w:lang w:val="fr-CA"/>
              </w:rPr>
              <w:t>0</w:t>
            </w:r>
          </w:p>
        </w:tc>
        <w:tc>
          <w:tcPr>
            <w:tcW w:w="616" w:type="pct"/>
            <w:noWrap/>
          </w:tcPr>
          <w:p w14:paraId="28169216" w14:textId="77777777" w:rsidR="001639B2" w:rsidRPr="001639B2" w:rsidRDefault="001639B2" w:rsidP="001639B2">
            <w:pPr>
              <w:jc w:val="center"/>
              <w:rPr>
                <w:rFonts w:asciiTheme="minorHAnsi" w:hAnsiTheme="minorHAnsi" w:cstheme="minorHAnsi"/>
                <w:sz w:val="22"/>
                <w:szCs w:val="22"/>
                <w:lang w:val="fr-CA"/>
              </w:rPr>
            </w:pPr>
            <w:r w:rsidRPr="001639B2">
              <w:rPr>
                <w:rFonts w:asciiTheme="minorHAnsi" w:hAnsiTheme="minorHAnsi" w:cstheme="minorHAnsi"/>
                <w:sz w:val="22"/>
                <w:szCs w:val="22"/>
                <w:lang w:val="fr-CA"/>
              </w:rPr>
              <w:t>0</w:t>
            </w:r>
          </w:p>
        </w:tc>
        <w:tc>
          <w:tcPr>
            <w:tcW w:w="546" w:type="pct"/>
            <w:noWrap/>
          </w:tcPr>
          <w:p w14:paraId="04EF1370" w14:textId="77777777" w:rsidR="001639B2" w:rsidRPr="001639B2" w:rsidRDefault="001639B2" w:rsidP="001639B2">
            <w:pPr>
              <w:jc w:val="center"/>
              <w:rPr>
                <w:rFonts w:asciiTheme="minorHAnsi" w:hAnsiTheme="minorHAnsi" w:cstheme="minorHAnsi"/>
                <w:sz w:val="22"/>
                <w:szCs w:val="22"/>
                <w:lang w:val="fr-CA"/>
              </w:rPr>
            </w:pPr>
            <w:r w:rsidRPr="001639B2">
              <w:rPr>
                <w:rFonts w:asciiTheme="minorHAnsi" w:hAnsiTheme="minorHAnsi" w:cstheme="minorHAnsi"/>
                <w:sz w:val="22"/>
                <w:szCs w:val="22"/>
                <w:lang w:val="fr-CA"/>
              </w:rPr>
              <w:t>1</w:t>
            </w:r>
          </w:p>
        </w:tc>
      </w:tr>
      <w:tr w:rsidR="001639B2" w:rsidRPr="001639B2" w14:paraId="516129BE" w14:textId="77777777" w:rsidTr="00BF469C">
        <w:trPr>
          <w:cantSplit/>
          <w:trHeight w:val="552"/>
          <w:tblHeader/>
          <w:jc w:val="center"/>
        </w:trPr>
        <w:tc>
          <w:tcPr>
            <w:tcW w:w="1170" w:type="pct"/>
            <w:shd w:val="clear" w:color="auto" w:fill="54575A" w:themeFill="text1"/>
            <w:hideMark/>
          </w:tcPr>
          <w:p w14:paraId="629D978D" w14:textId="77777777" w:rsidR="001639B2" w:rsidRPr="00BF469C" w:rsidRDefault="001639B2" w:rsidP="001639B2">
            <w:pPr>
              <w:rPr>
                <w:rFonts w:asciiTheme="minorHAnsi" w:hAnsiTheme="minorHAnsi" w:cstheme="minorHAnsi"/>
                <w:bCs/>
                <w:color w:val="FFFFFF" w:themeColor="background1"/>
                <w:sz w:val="22"/>
                <w:szCs w:val="22"/>
                <w:lang w:val="fr-CA"/>
              </w:rPr>
            </w:pPr>
            <w:r w:rsidRPr="00BF469C">
              <w:rPr>
                <w:rFonts w:asciiTheme="minorHAnsi" w:hAnsiTheme="minorHAnsi" w:cstheme="minorHAnsi"/>
                <w:bCs/>
                <w:color w:val="FFFFFF" w:themeColor="background1"/>
                <w:sz w:val="22"/>
                <w:szCs w:val="22"/>
                <w:lang w:val="fr-CA"/>
              </w:rPr>
              <w:t>Total</w:t>
            </w:r>
          </w:p>
        </w:tc>
        <w:tc>
          <w:tcPr>
            <w:tcW w:w="547" w:type="pct"/>
            <w:noWrap/>
            <w:hideMark/>
          </w:tcPr>
          <w:p w14:paraId="52CBD5E9" w14:textId="77777777" w:rsidR="001639B2" w:rsidRPr="001639B2" w:rsidRDefault="001639B2" w:rsidP="001639B2">
            <w:pPr>
              <w:jc w:val="center"/>
              <w:rPr>
                <w:rFonts w:asciiTheme="minorHAnsi" w:hAnsiTheme="minorHAnsi" w:cstheme="minorHAnsi"/>
                <w:bCs/>
                <w:sz w:val="22"/>
                <w:szCs w:val="22"/>
                <w:lang w:val="fr-CA"/>
              </w:rPr>
            </w:pPr>
            <w:r w:rsidRPr="001639B2">
              <w:rPr>
                <w:rFonts w:asciiTheme="minorHAnsi" w:hAnsiTheme="minorHAnsi" w:cstheme="minorHAnsi"/>
                <w:bCs/>
                <w:sz w:val="22"/>
                <w:szCs w:val="22"/>
                <w:lang w:val="fr-CA"/>
              </w:rPr>
              <w:t>6</w:t>
            </w:r>
          </w:p>
        </w:tc>
        <w:tc>
          <w:tcPr>
            <w:tcW w:w="823" w:type="pct"/>
            <w:noWrap/>
            <w:hideMark/>
          </w:tcPr>
          <w:p w14:paraId="70DA35BE" w14:textId="77777777" w:rsidR="001639B2" w:rsidRPr="001639B2" w:rsidRDefault="001639B2" w:rsidP="001639B2">
            <w:pPr>
              <w:jc w:val="center"/>
              <w:rPr>
                <w:rFonts w:asciiTheme="minorHAnsi" w:hAnsiTheme="minorHAnsi" w:cstheme="minorHAnsi"/>
                <w:bCs/>
                <w:sz w:val="22"/>
                <w:szCs w:val="22"/>
                <w:lang w:val="fr-CA"/>
              </w:rPr>
            </w:pPr>
            <w:r w:rsidRPr="001639B2">
              <w:rPr>
                <w:rFonts w:asciiTheme="minorHAnsi" w:hAnsiTheme="minorHAnsi" w:cstheme="minorHAnsi"/>
                <w:bCs/>
                <w:sz w:val="22"/>
                <w:szCs w:val="22"/>
                <w:lang w:val="fr-CA"/>
              </w:rPr>
              <w:t>3</w:t>
            </w:r>
          </w:p>
        </w:tc>
        <w:tc>
          <w:tcPr>
            <w:tcW w:w="616" w:type="pct"/>
            <w:noWrap/>
            <w:hideMark/>
          </w:tcPr>
          <w:p w14:paraId="7E4C9BA7" w14:textId="77777777" w:rsidR="001639B2" w:rsidRPr="001639B2" w:rsidRDefault="001639B2" w:rsidP="001639B2">
            <w:pPr>
              <w:jc w:val="center"/>
              <w:rPr>
                <w:rFonts w:asciiTheme="minorHAnsi" w:hAnsiTheme="minorHAnsi" w:cstheme="minorHAnsi"/>
                <w:bCs/>
                <w:sz w:val="22"/>
                <w:szCs w:val="22"/>
                <w:lang w:val="fr-CA"/>
              </w:rPr>
            </w:pPr>
            <w:r w:rsidRPr="001639B2">
              <w:rPr>
                <w:rFonts w:asciiTheme="minorHAnsi" w:hAnsiTheme="minorHAnsi" w:cstheme="minorHAnsi"/>
                <w:bCs/>
                <w:sz w:val="22"/>
                <w:szCs w:val="22"/>
                <w:lang w:val="fr-CA"/>
              </w:rPr>
              <w:t>2</w:t>
            </w:r>
          </w:p>
        </w:tc>
        <w:tc>
          <w:tcPr>
            <w:tcW w:w="684" w:type="pct"/>
            <w:noWrap/>
            <w:hideMark/>
          </w:tcPr>
          <w:p w14:paraId="5BFC4995" w14:textId="77777777" w:rsidR="001639B2" w:rsidRPr="001639B2" w:rsidRDefault="001639B2" w:rsidP="001639B2">
            <w:pPr>
              <w:jc w:val="center"/>
              <w:rPr>
                <w:rFonts w:asciiTheme="minorHAnsi" w:hAnsiTheme="minorHAnsi" w:cstheme="minorHAnsi"/>
                <w:bCs/>
                <w:sz w:val="22"/>
                <w:szCs w:val="22"/>
                <w:lang w:val="fr-CA"/>
              </w:rPr>
            </w:pPr>
            <w:r w:rsidRPr="001639B2">
              <w:rPr>
                <w:rFonts w:asciiTheme="minorHAnsi" w:hAnsiTheme="minorHAnsi" w:cstheme="minorHAnsi"/>
                <w:bCs/>
                <w:sz w:val="22"/>
                <w:szCs w:val="22"/>
                <w:lang w:val="fr-CA"/>
              </w:rPr>
              <w:t>0</w:t>
            </w:r>
          </w:p>
        </w:tc>
        <w:tc>
          <w:tcPr>
            <w:tcW w:w="616" w:type="pct"/>
            <w:noWrap/>
            <w:hideMark/>
          </w:tcPr>
          <w:p w14:paraId="789FB2F7" w14:textId="77777777" w:rsidR="001639B2" w:rsidRPr="001639B2" w:rsidRDefault="001639B2" w:rsidP="001639B2">
            <w:pPr>
              <w:jc w:val="center"/>
              <w:rPr>
                <w:rFonts w:asciiTheme="minorHAnsi" w:hAnsiTheme="minorHAnsi" w:cstheme="minorHAnsi"/>
                <w:bCs/>
                <w:sz w:val="22"/>
                <w:szCs w:val="22"/>
                <w:lang w:val="fr-CA"/>
              </w:rPr>
            </w:pPr>
            <w:r w:rsidRPr="001639B2">
              <w:rPr>
                <w:rFonts w:asciiTheme="minorHAnsi" w:hAnsiTheme="minorHAnsi" w:cstheme="minorHAnsi"/>
                <w:bCs/>
                <w:sz w:val="22"/>
                <w:szCs w:val="22"/>
                <w:lang w:val="fr-CA"/>
              </w:rPr>
              <w:t>4</w:t>
            </w:r>
          </w:p>
        </w:tc>
        <w:tc>
          <w:tcPr>
            <w:tcW w:w="546" w:type="pct"/>
            <w:noWrap/>
            <w:hideMark/>
          </w:tcPr>
          <w:p w14:paraId="21A1A5C5" w14:textId="77777777" w:rsidR="001639B2" w:rsidRPr="001639B2" w:rsidRDefault="001639B2" w:rsidP="001639B2">
            <w:pPr>
              <w:jc w:val="center"/>
              <w:rPr>
                <w:rFonts w:asciiTheme="minorHAnsi" w:hAnsiTheme="minorHAnsi" w:cstheme="minorHAnsi"/>
                <w:bCs/>
                <w:sz w:val="22"/>
                <w:szCs w:val="22"/>
                <w:lang w:val="fr-CA"/>
              </w:rPr>
            </w:pPr>
            <w:r w:rsidRPr="001639B2">
              <w:rPr>
                <w:rFonts w:asciiTheme="minorHAnsi" w:hAnsiTheme="minorHAnsi" w:cstheme="minorHAnsi"/>
                <w:bCs/>
                <w:sz w:val="22"/>
                <w:szCs w:val="22"/>
                <w:lang w:val="fr-CA"/>
              </w:rPr>
              <w:t>1</w:t>
            </w:r>
          </w:p>
        </w:tc>
      </w:tr>
    </w:tbl>
    <w:p w14:paraId="178B3A30" w14:textId="77777777" w:rsidR="00591DC8" w:rsidRPr="001639B2" w:rsidRDefault="00E76E17" w:rsidP="001639B2">
      <w:pPr>
        <w:autoSpaceDE w:val="0"/>
        <w:autoSpaceDN w:val="0"/>
        <w:adjustRightInd w:val="0"/>
        <w:spacing w:after="120"/>
        <w:ind w:right="50"/>
        <w:rPr>
          <w:rFonts w:ascii="Arial" w:hAnsi="Arial" w:cs="Arial"/>
          <w:sz w:val="28"/>
          <w:szCs w:val="22"/>
          <w:lang w:val="fr-CA"/>
        </w:rPr>
      </w:pPr>
      <w:r>
        <w:rPr>
          <w:rFonts w:asciiTheme="minorHAnsi" w:hAnsiTheme="minorHAnsi"/>
          <w:color w:val="000000"/>
          <w:sz w:val="22"/>
          <w:szCs w:val="18"/>
        </w:rPr>
        <w:t>Note</w:t>
      </w:r>
      <w:r w:rsidR="001639B2" w:rsidRPr="001639B2">
        <w:rPr>
          <w:rFonts w:asciiTheme="minorHAnsi" w:hAnsiTheme="minorHAnsi"/>
          <w:color w:val="000000"/>
          <w:sz w:val="22"/>
          <w:szCs w:val="18"/>
          <w:lang w:val="fr-CA"/>
        </w:rPr>
        <w:t> : La somme des chiffres pourrait ne pas correspondre au total puisque les cas abandonnés et ceux réglés par une intervention précoce ne sont pas inclus dans ce tableau.</w:t>
      </w:r>
    </w:p>
    <w:p w14:paraId="534406F2" w14:textId="77777777" w:rsidR="00591DC8" w:rsidRPr="004F458A" w:rsidRDefault="005A224F" w:rsidP="004F458A">
      <w:pPr>
        <w:pStyle w:val="Heading3"/>
      </w:pPr>
      <w:r w:rsidRPr="004F458A">
        <w:t>Résultats du s</w:t>
      </w:r>
      <w:r w:rsidR="00591DC8" w:rsidRPr="004F458A">
        <w:t>ondage sur la dotation et l</w:t>
      </w:r>
      <w:r w:rsidR="00E346A8" w:rsidRPr="004F458A">
        <w:t>’</w:t>
      </w:r>
      <w:r w:rsidR="00591DC8" w:rsidRPr="004F458A">
        <w:t>impartialité politique</w:t>
      </w:r>
    </w:p>
    <w:p w14:paraId="73CB6500" w14:textId="77777777" w:rsidR="00591DC8" w:rsidRPr="008F610A" w:rsidRDefault="00591DC8" w:rsidP="00CA06AA">
      <w:pPr>
        <w:pStyle w:val="ListParagraph"/>
        <w:spacing w:after="120"/>
        <w:contextualSpacing w:val="0"/>
        <w:rPr>
          <w:rFonts w:asciiTheme="minorHAnsi" w:hAnsiTheme="minorHAnsi" w:cstheme="minorHAnsi"/>
          <w:sz w:val="22"/>
          <w:szCs w:val="22"/>
          <w:lang w:val="fr-CA"/>
        </w:rPr>
      </w:pPr>
      <w:r w:rsidRPr="008F610A">
        <w:rPr>
          <w:rFonts w:asciiTheme="minorHAnsi" w:hAnsiTheme="minorHAnsi"/>
          <w:sz w:val="22"/>
          <w:szCs w:val="22"/>
          <w:lang w:val="fr-CA"/>
        </w:rPr>
        <w:t xml:space="preserve">Le </w:t>
      </w:r>
      <w:r w:rsidR="005A224F" w:rsidRPr="008F610A">
        <w:rPr>
          <w:rFonts w:asciiTheme="minorHAnsi" w:hAnsiTheme="minorHAnsi"/>
          <w:sz w:val="22"/>
          <w:szCs w:val="22"/>
          <w:lang w:val="fr-CA"/>
        </w:rPr>
        <w:t>taux de participation de SP au s</w:t>
      </w:r>
      <w:r w:rsidRPr="008F610A">
        <w:rPr>
          <w:rFonts w:asciiTheme="minorHAnsi" w:hAnsiTheme="minorHAnsi"/>
          <w:sz w:val="22"/>
          <w:szCs w:val="22"/>
          <w:lang w:val="fr-CA"/>
        </w:rPr>
        <w:t>ondage sur la dotation et l</w:t>
      </w:r>
      <w:r w:rsidR="00E346A8" w:rsidRPr="008F610A">
        <w:rPr>
          <w:rFonts w:asciiTheme="minorHAnsi" w:hAnsiTheme="minorHAnsi"/>
          <w:sz w:val="22"/>
          <w:szCs w:val="22"/>
          <w:lang w:val="fr-CA"/>
        </w:rPr>
        <w:t>’</w:t>
      </w:r>
      <w:r w:rsidRPr="008F610A">
        <w:rPr>
          <w:rFonts w:asciiTheme="minorHAnsi" w:hAnsiTheme="minorHAnsi"/>
          <w:sz w:val="22"/>
          <w:szCs w:val="22"/>
          <w:lang w:val="fr-CA"/>
        </w:rPr>
        <w:t>impartialité politique (SDIP) de 2018 était de 48,1 %. Dans l</w:t>
      </w:r>
      <w:r w:rsidR="00E346A8" w:rsidRPr="008F610A">
        <w:rPr>
          <w:rFonts w:asciiTheme="minorHAnsi" w:hAnsiTheme="minorHAnsi"/>
          <w:sz w:val="22"/>
          <w:szCs w:val="22"/>
          <w:lang w:val="fr-CA"/>
        </w:rPr>
        <w:t>’</w:t>
      </w:r>
      <w:r w:rsidRPr="008F610A">
        <w:rPr>
          <w:rFonts w:asciiTheme="minorHAnsi" w:hAnsiTheme="minorHAnsi"/>
          <w:sz w:val="22"/>
          <w:szCs w:val="22"/>
          <w:lang w:val="fr-CA"/>
        </w:rPr>
        <w:t>ensemble, les résultats obtenus révèlent que les employés sont moins satisfaits de la qualité des embauches que dans les autres organisations de taille moyenne. Les résultats indiquent aussi que les gestionnaires sont moins satisfaits de la façon dont ils embauchent et nomment des personnes ainsi que du fardeau du processus administratif depuis la mise en œuvre de la NOD</w:t>
      </w:r>
      <w:r w:rsidR="00C922AC" w:rsidRPr="008F610A">
        <w:rPr>
          <w:rFonts w:asciiTheme="minorHAnsi" w:hAnsiTheme="minorHAnsi"/>
          <w:sz w:val="22"/>
          <w:szCs w:val="22"/>
          <w:lang w:val="fr-CA"/>
        </w:rPr>
        <w:t>,</w:t>
      </w:r>
      <w:r w:rsidRPr="008F610A">
        <w:rPr>
          <w:rFonts w:asciiTheme="minorHAnsi" w:hAnsiTheme="minorHAnsi"/>
          <w:sz w:val="22"/>
          <w:szCs w:val="22"/>
          <w:lang w:val="fr-CA"/>
        </w:rPr>
        <w:t xml:space="preserve"> par </w:t>
      </w:r>
      <w:r w:rsidR="00C922AC" w:rsidRPr="008F610A">
        <w:rPr>
          <w:rFonts w:asciiTheme="minorHAnsi" w:hAnsiTheme="minorHAnsi"/>
          <w:sz w:val="22"/>
          <w:szCs w:val="22"/>
          <w:lang w:val="fr-CA"/>
        </w:rPr>
        <w:t xml:space="preserve">rapport </w:t>
      </w:r>
      <w:r w:rsidRPr="008F610A">
        <w:rPr>
          <w:rFonts w:asciiTheme="minorHAnsi" w:hAnsiTheme="minorHAnsi"/>
          <w:sz w:val="22"/>
          <w:szCs w:val="22"/>
          <w:lang w:val="fr-CA"/>
        </w:rPr>
        <w:t>aux résultats obtenus dans d</w:t>
      </w:r>
      <w:r w:rsidR="00E346A8" w:rsidRPr="008F610A">
        <w:rPr>
          <w:rFonts w:asciiTheme="minorHAnsi" w:hAnsiTheme="minorHAnsi"/>
          <w:sz w:val="22"/>
          <w:szCs w:val="22"/>
          <w:lang w:val="fr-CA"/>
        </w:rPr>
        <w:t>’</w:t>
      </w:r>
      <w:r w:rsidRPr="008F610A">
        <w:rPr>
          <w:rFonts w:asciiTheme="minorHAnsi" w:hAnsiTheme="minorHAnsi"/>
          <w:sz w:val="22"/>
          <w:szCs w:val="22"/>
          <w:lang w:val="fr-CA"/>
        </w:rPr>
        <w:t>autres organisations de taille moyenne.</w:t>
      </w:r>
    </w:p>
    <w:p w14:paraId="5CEEB133" w14:textId="77777777" w:rsidR="00591DC8" w:rsidRPr="008F610A" w:rsidRDefault="00591DC8" w:rsidP="00C922AC">
      <w:pPr>
        <w:pStyle w:val="ListParagraph"/>
        <w:keepNext/>
        <w:spacing w:after="0"/>
        <w:rPr>
          <w:rFonts w:asciiTheme="minorHAnsi" w:hAnsiTheme="minorHAnsi" w:cstheme="minorHAnsi"/>
          <w:i/>
          <w:sz w:val="22"/>
          <w:szCs w:val="22"/>
          <w:lang w:val="fr-CA"/>
        </w:rPr>
      </w:pPr>
      <w:r w:rsidRPr="008F610A">
        <w:rPr>
          <w:rFonts w:asciiTheme="minorHAnsi" w:hAnsiTheme="minorHAnsi"/>
          <w:sz w:val="22"/>
          <w:szCs w:val="22"/>
          <w:lang w:val="fr-CA"/>
        </w:rPr>
        <w:t>Vous trouverez ci-dessous les principales constatations tirées du SDIP de 2018 concernant S</w:t>
      </w:r>
      <w:r w:rsidR="00F24318" w:rsidRPr="008F610A">
        <w:rPr>
          <w:rFonts w:asciiTheme="minorHAnsi" w:hAnsiTheme="minorHAnsi"/>
          <w:sz w:val="22"/>
          <w:szCs w:val="22"/>
          <w:lang w:val="fr-CA"/>
        </w:rPr>
        <w:t>P </w:t>
      </w:r>
      <w:r w:rsidRPr="008F610A">
        <w:rPr>
          <w:rFonts w:asciiTheme="minorHAnsi" w:hAnsiTheme="minorHAnsi"/>
          <w:sz w:val="22"/>
          <w:szCs w:val="22"/>
          <w:lang w:val="fr-CA"/>
        </w:rPr>
        <w:t>:</w:t>
      </w:r>
    </w:p>
    <w:p w14:paraId="4C10E9A3" w14:textId="77777777" w:rsidR="00591DC8" w:rsidRPr="008F610A" w:rsidRDefault="00591DC8" w:rsidP="001639B2">
      <w:pPr>
        <w:pStyle w:val="ListParagraph"/>
        <w:keepNext/>
        <w:numPr>
          <w:ilvl w:val="0"/>
          <w:numId w:val="6"/>
        </w:numPr>
        <w:spacing w:after="0" w:line="259" w:lineRule="auto"/>
        <w:ind w:left="360"/>
        <w:rPr>
          <w:rFonts w:asciiTheme="minorHAnsi" w:hAnsiTheme="minorHAnsi" w:cstheme="minorHAnsi"/>
          <w:sz w:val="22"/>
          <w:szCs w:val="22"/>
          <w:lang w:val="fr-CA"/>
        </w:rPr>
      </w:pPr>
      <w:r w:rsidRPr="008F610A">
        <w:rPr>
          <w:rFonts w:asciiTheme="minorHAnsi" w:hAnsiTheme="minorHAnsi"/>
          <w:sz w:val="22"/>
          <w:szCs w:val="22"/>
          <w:lang w:val="fr-CA"/>
        </w:rPr>
        <w:t xml:space="preserve">96 % des gestionnaires </w:t>
      </w:r>
      <w:r w:rsidR="00C922AC" w:rsidRPr="008F610A">
        <w:rPr>
          <w:rFonts w:asciiTheme="minorHAnsi" w:hAnsiTheme="minorHAnsi"/>
          <w:sz w:val="22"/>
          <w:szCs w:val="22"/>
          <w:lang w:val="fr-CA"/>
        </w:rPr>
        <w:t>estiment</w:t>
      </w:r>
      <w:r w:rsidRPr="008F610A">
        <w:rPr>
          <w:rFonts w:asciiTheme="minorHAnsi" w:hAnsiTheme="minorHAnsi"/>
          <w:sz w:val="22"/>
          <w:szCs w:val="22"/>
          <w:lang w:val="fr-CA"/>
        </w:rPr>
        <w:t xml:space="preserve"> que les personnes nommées répondent aux attentes en matière de rendement des postes pour lesquels </w:t>
      </w:r>
      <w:r w:rsidR="00C922AC" w:rsidRPr="008F610A">
        <w:rPr>
          <w:rFonts w:asciiTheme="minorHAnsi" w:hAnsiTheme="minorHAnsi"/>
          <w:sz w:val="22"/>
          <w:szCs w:val="22"/>
          <w:lang w:val="fr-CA"/>
        </w:rPr>
        <w:t xml:space="preserve">elles </w:t>
      </w:r>
      <w:r w:rsidRPr="008F610A">
        <w:rPr>
          <w:rFonts w:asciiTheme="minorHAnsi" w:hAnsiTheme="minorHAnsi"/>
          <w:sz w:val="22"/>
          <w:szCs w:val="22"/>
          <w:lang w:val="fr-CA"/>
        </w:rPr>
        <w:t xml:space="preserve">ont été </w:t>
      </w:r>
      <w:r w:rsidR="00C922AC" w:rsidRPr="008F610A">
        <w:rPr>
          <w:rFonts w:asciiTheme="minorHAnsi" w:hAnsiTheme="minorHAnsi"/>
          <w:sz w:val="22"/>
          <w:szCs w:val="22"/>
          <w:lang w:val="fr-CA"/>
        </w:rPr>
        <w:t>embauchées</w:t>
      </w:r>
      <w:r w:rsidRPr="008F610A">
        <w:rPr>
          <w:rFonts w:asciiTheme="minorHAnsi" w:hAnsiTheme="minorHAnsi"/>
          <w:sz w:val="22"/>
          <w:szCs w:val="22"/>
          <w:lang w:val="fr-CA"/>
        </w:rPr>
        <w:t xml:space="preserve">, comparativement à 94,4 % dans les organisations de taille semblable et </w:t>
      </w:r>
      <w:r w:rsidR="003C46D1" w:rsidRPr="008F610A">
        <w:rPr>
          <w:rFonts w:asciiTheme="minorHAnsi" w:hAnsiTheme="minorHAnsi"/>
          <w:sz w:val="22"/>
          <w:szCs w:val="22"/>
          <w:lang w:val="fr-CA"/>
        </w:rPr>
        <w:t>à</w:t>
      </w:r>
      <w:r w:rsidRPr="008F610A">
        <w:rPr>
          <w:rFonts w:asciiTheme="minorHAnsi" w:hAnsiTheme="minorHAnsi"/>
          <w:sz w:val="22"/>
          <w:szCs w:val="22"/>
          <w:lang w:val="fr-CA"/>
        </w:rPr>
        <w:t xml:space="preserve"> 91,9 % dans la fonction publique fédérale.</w:t>
      </w:r>
    </w:p>
    <w:p w14:paraId="3FDFF293" w14:textId="77777777" w:rsidR="00591DC8" w:rsidRPr="008F610A" w:rsidRDefault="00591DC8" w:rsidP="001639B2">
      <w:pPr>
        <w:pStyle w:val="ListParagraph"/>
        <w:numPr>
          <w:ilvl w:val="0"/>
          <w:numId w:val="6"/>
        </w:numPr>
        <w:spacing w:after="0" w:line="259" w:lineRule="auto"/>
        <w:ind w:left="360"/>
        <w:rPr>
          <w:rFonts w:asciiTheme="minorHAnsi" w:hAnsiTheme="minorHAnsi" w:cstheme="minorHAnsi"/>
          <w:sz w:val="22"/>
          <w:szCs w:val="22"/>
          <w:lang w:val="fr-CA"/>
        </w:rPr>
      </w:pPr>
      <w:r w:rsidRPr="008F610A">
        <w:rPr>
          <w:rFonts w:asciiTheme="minorHAnsi" w:hAnsiTheme="minorHAnsi"/>
          <w:sz w:val="22"/>
          <w:szCs w:val="22"/>
          <w:lang w:val="fr-CA"/>
        </w:rPr>
        <w:t xml:space="preserve">56,2 % des employés </w:t>
      </w:r>
      <w:r w:rsidR="00C922AC" w:rsidRPr="008F610A">
        <w:rPr>
          <w:rFonts w:asciiTheme="minorHAnsi" w:hAnsiTheme="minorHAnsi"/>
          <w:sz w:val="22"/>
          <w:szCs w:val="22"/>
          <w:lang w:val="fr-CA"/>
        </w:rPr>
        <w:t xml:space="preserve">estiment </w:t>
      </w:r>
      <w:r w:rsidRPr="008F610A">
        <w:rPr>
          <w:rFonts w:asciiTheme="minorHAnsi" w:hAnsiTheme="minorHAnsi"/>
          <w:sz w:val="22"/>
          <w:szCs w:val="22"/>
          <w:lang w:val="fr-CA"/>
        </w:rPr>
        <w:t xml:space="preserve">que les personnes embauchées sont aptes à </w:t>
      </w:r>
      <w:proofErr w:type="gramStart"/>
      <w:r w:rsidRPr="008F610A">
        <w:rPr>
          <w:rFonts w:asciiTheme="minorHAnsi" w:hAnsiTheme="minorHAnsi"/>
          <w:sz w:val="22"/>
          <w:szCs w:val="22"/>
          <w:lang w:val="fr-CA"/>
        </w:rPr>
        <w:t>faire</w:t>
      </w:r>
      <w:proofErr w:type="gramEnd"/>
      <w:r w:rsidRPr="008F610A">
        <w:rPr>
          <w:rFonts w:asciiTheme="minorHAnsi" w:hAnsiTheme="minorHAnsi"/>
          <w:sz w:val="22"/>
          <w:szCs w:val="22"/>
          <w:lang w:val="fr-CA"/>
        </w:rPr>
        <w:t xml:space="preserve"> le travail, comparativement à 67,6</w:t>
      </w:r>
      <w:r w:rsidR="00F24318" w:rsidRPr="008F610A">
        <w:rPr>
          <w:rFonts w:asciiTheme="minorHAnsi" w:hAnsiTheme="minorHAnsi"/>
          <w:sz w:val="22"/>
          <w:szCs w:val="22"/>
          <w:lang w:val="fr-CA"/>
        </w:rPr>
        <w:t> </w:t>
      </w:r>
      <w:r w:rsidRPr="008F610A">
        <w:rPr>
          <w:rFonts w:asciiTheme="minorHAnsi" w:hAnsiTheme="minorHAnsi"/>
          <w:sz w:val="22"/>
          <w:szCs w:val="22"/>
          <w:lang w:val="fr-CA"/>
        </w:rPr>
        <w:t>% dans les organisations de taille semblable et à 53,8</w:t>
      </w:r>
      <w:r w:rsidR="00F24318" w:rsidRPr="008F610A">
        <w:rPr>
          <w:rFonts w:asciiTheme="minorHAnsi" w:hAnsiTheme="minorHAnsi"/>
          <w:sz w:val="22"/>
          <w:szCs w:val="22"/>
          <w:lang w:val="fr-CA"/>
        </w:rPr>
        <w:t> </w:t>
      </w:r>
      <w:r w:rsidRPr="008F610A">
        <w:rPr>
          <w:rFonts w:asciiTheme="minorHAnsi" w:hAnsiTheme="minorHAnsi"/>
          <w:sz w:val="22"/>
          <w:szCs w:val="22"/>
          <w:lang w:val="fr-CA"/>
        </w:rPr>
        <w:t>% dans la fonction publique fédérale;</w:t>
      </w:r>
    </w:p>
    <w:p w14:paraId="0D69BB83" w14:textId="77777777" w:rsidR="00591DC8" w:rsidRPr="008F610A" w:rsidRDefault="00591DC8" w:rsidP="001639B2">
      <w:pPr>
        <w:pStyle w:val="ListParagraph"/>
        <w:numPr>
          <w:ilvl w:val="0"/>
          <w:numId w:val="6"/>
        </w:numPr>
        <w:spacing w:after="0" w:line="259" w:lineRule="auto"/>
        <w:ind w:left="360"/>
        <w:rPr>
          <w:rFonts w:asciiTheme="minorHAnsi" w:hAnsiTheme="minorHAnsi" w:cstheme="minorHAnsi"/>
          <w:sz w:val="22"/>
          <w:szCs w:val="22"/>
          <w:lang w:val="fr-CA"/>
        </w:rPr>
      </w:pPr>
      <w:r w:rsidRPr="008F610A">
        <w:rPr>
          <w:rFonts w:asciiTheme="minorHAnsi" w:hAnsiTheme="minorHAnsi"/>
          <w:sz w:val="22"/>
          <w:szCs w:val="22"/>
          <w:lang w:val="fr-CA"/>
        </w:rPr>
        <w:lastRenderedPageBreak/>
        <w:t xml:space="preserve">63,4 % des gestionnaires </w:t>
      </w:r>
      <w:r w:rsidR="00C922AC" w:rsidRPr="008F610A">
        <w:rPr>
          <w:rFonts w:asciiTheme="minorHAnsi" w:hAnsiTheme="minorHAnsi"/>
          <w:sz w:val="22"/>
          <w:szCs w:val="22"/>
          <w:lang w:val="fr-CA"/>
        </w:rPr>
        <w:t xml:space="preserve">estiment </w:t>
      </w:r>
      <w:r w:rsidRPr="008F610A">
        <w:rPr>
          <w:rFonts w:asciiTheme="minorHAnsi" w:hAnsiTheme="minorHAnsi"/>
          <w:sz w:val="22"/>
          <w:szCs w:val="22"/>
          <w:lang w:val="fr-CA"/>
        </w:rPr>
        <w:t>que la NOD a amélioré la façon dont ils embauchent et nomment des personnes au sein de leur organisation, comparativement à 69,4</w:t>
      </w:r>
      <w:r w:rsidR="00F24318" w:rsidRPr="008F610A">
        <w:rPr>
          <w:rFonts w:asciiTheme="minorHAnsi" w:hAnsiTheme="minorHAnsi"/>
          <w:sz w:val="22"/>
          <w:szCs w:val="22"/>
          <w:lang w:val="fr-CA"/>
        </w:rPr>
        <w:t> </w:t>
      </w:r>
      <w:r w:rsidRPr="008F610A">
        <w:rPr>
          <w:rFonts w:asciiTheme="minorHAnsi" w:hAnsiTheme="minorHAnsi"/>
          <w:sz w:val="22"/>
          <w:szCs w:val="22"/>
          <w:lang w:val="fr-CA"/>
        </w:rPr>
        <w:t>% dans les organisations de taille semblable et à 56,1</w:t>
      </w:r>
      <w:r w:rsidR="00F24318" w:rsidRPr="008F610A">
        <w:rPr>
          <w:rFonts w:asciiTheme="minorHAnsi" w:hAnsiTheme="minorHAnsi"/>
          <w:sz w:val="22"/>
          <w:szCs w:val="22"/>
          <w:lang w:val="fr-CA"/>
        </w:rPr>
        <w:t> </w:t>
      </w:r>
      <w:r w:rsidRPr="008F610A">
        <w:rPr>
          <w:rFonts w:asciiTheme="minorHAnsi" w:hAnsiTheme="minorHAnsi"/>
          <w:sz w:val="22"/>
          <w:szCs w:val="22"/>
          <w:lang w:val="fr-CA"/>
        </w:rPr>
        <w:t>% dans la fonction publique fédérale;</w:t>
      </w:r>
    </w:p>
    <w:p w14:paraId="2C4B365B" w14:textId="77777777" w:rsidR="00591DC8" w:rsidRPr="008F610A" w:rsidRDefault="00591DC8" w:rsidP="001639B2">
      <w:pPr>
        <w:pStyle w:val="ListParagraph"/>
        <w:numPr>
          <w:ilvl w:val="0"/>
          <w:numId w:val="6"/>
        </w:numPr>
        <w:spacing w:after="120" w:line="259" w:lineRule="auto"/>
        <w:ind w:left="360"/>
        <w:rPr>
          <w:rFonts w:asciiTheme="minorHAnsi" w:hAnsiTheme="minorHAnsi" w:cstheme="minorHAnsi"/>
          <w:sz w:val="22"/>
          <w:szCs w:val="22"/>
          <w:lang w:val="fr-CA"/>
        </w:rPr>
      </w:pPr>
      <w:r w:rsidRPr="008F610A">
        <w:rPr>
          <w:rFonts w:asciiTheme="minorHAnsi" w:hAnsiTheme="minorHAnsi"/>
          <w:sz w:val="22"/>
          <w:szCs w:val="22"/>
          <w:lang w:val="fr-CA"/>
        </w:rPr>
        <w:t xml:space="preserve">91,7 % des gestionnaires </w:t>
      </w:r>
      <w:r w:rsidR="003C46D1" w:rsidRPr="008F610A">
        <w:rPr>
          <w:rFonts w:asciiTheme="minorHAnsi" w:hAnsiTheme="minorHAnsi"/>
          <w:sz w:val="22"/>
          <w:szCs w:val="22"/>
          <w:lang w:val="fr-CA"/>
        </w:rPr>
        <w:t xml:space="preserve">estiment </w:t>
      </w:r>
      <w:r w:rsidRPr="008F610A">
        <w:rPr>
          <w:rFonts w:asciiTheme="minorHAnsi" w:hAnsiTheme="minorHAnsi"/>
          <w:sz w:val="22"/>
          <w:szCs w:val="22"/>
          <w:lang w:val="fr-CA"/>
        </w:rPr>
        <w:t xml:space="preserve">que, au sein de leur organisation, le processus administratif </w:t>
      </w:r>
      <w:r w:rsidR="003C46D1" w:rsidRPr="008F610A">
        <w:rPr>
          <w:rFonts w:asciiTheme="minorHAnsi" w:hAnsiTheme="minorHAnsi"/>
          <w:sz w:val="22"/>
          <w:szCs w:val="22"/>
          <w:lang w:val="fr-CA"/>
        </w:rPr>
        <w:t xml:space="preserve">à suivre pour </w:t>
      </w:r>
      <w:r w:rsidRPr="008F610A">
        <w:rPr>
          <w:rFonts w:asciiTheme="minorHAnsi" w:hAnsiTheme="minorHAnsi"/>
          <w:sz w:val="22"/>
          <w:szCs w:val="22"/>
          <w:lang w:val="fr-CA"/>
        </w:rPr>
        <w:t xml:space="preserve">doter un poste est </w:t>
      </w:r>
      <w:r w:rsidR="003C46D1" w:rsidRPr="008F610A">
        <w:rPr>
          <w:rFonts w:asciiTheme="minorHAnsi" w:hAnsiTheme="minorHAnsi"/>
          <w:sz w:val="22"/>
          <w:szCs w:val="22"/>
          <w:lang w:val="fr-CA"/>
        </w:rPr>
        <w:t>lourd</w:t>
      </w:r>
      <w:r w:rsidRPr="008F610A">
        <w:rPr>
          <w:rFonts w:asciiTheme="minorHAnsi" w:hAnsiTheme="minorHAnsi"/>
          <w:sz w:val="22"/>
          <w:szCs w:val="22"/>
          <w:lang w:val="fr-CA"/>
        </w:rPr>
        <w:t>, comparativement à 84,0 % dans les organisations de taille semblable et à 87,9 % dans la fonction publique fédérale.</w:t>
      </w:r>
    </w:p>
    <w:p w14:paraId="5C710983" w14:textId="77777777" w:rsidR="00591DC8" w:rsidRPr="004F458A" w:rsidRDefault="00591DC8" w:rsidP="004F458A">
      <w:pPr>
        <w:pStyle w:val="Heading2"/>
        <w:rPr>
          <w:rStyle w:val="Heading1Char"/>
          <w:rFonts w:ascii="Segoe UI" w:hAnsi="Segoe UI" w:cs="Segoe UI"/>
          <w:color w:val="5B315E" w:themeColor="accent2"/>
          <w:sz w:val="32"/>
          <w:szCs w:val="32"/>
        </w:rPr>
      </w:pPr>
      <w:r w:rsidRPr="004F458A">
        <w:rPr>
          <w:rStyle w:val="Heading1Char"/>
          <w:rFonts w:ascii="Segoe UI" w:hAnsi="Segoe UI" w:cs="Segoe UI"/>
          <w:color w:val="5B315E" w:themeColor="accent2"/>
          <w:sz w:val="32"/>
          <w:szCs w:val="32"/>
        </w:rPr>
        <w:t xml:space="preserve">Profil de </w:t>
      </w:r>
      <w:r w:rsidR="001D3A1C" w:rsidRPr="004F458A">
        <w:rPr>
          <w:rStyle w:val="Heading1Char"/>
          <w:rFonts w:ascii="Segoe UI" w:hAnsi="Segoe UI" w:cs="Segoe UI"/>
          <w:color w:val="5B315E" w:themeColor="accent2"/>
          <w:sz w:val="32"/>
          <w:szCs w:val="32"/>
        </w:rPr>
        <w:t xml:space="preserve">la </w:t>
      </w:r>
      <w:r w:rsidRPr="004F458A">
        <w:rPr>
          <w:rStyle w:val="Heading1Char"/>
          <w:rFonts w:ascii="Segoe UI" w:hAnsi="Segoe UI" w:cs="Segoe UI"/>
          <w:color w:val="5B315E" w:themeColor="accent2"/>
          <w:sz w:val="32"/>
          <w:szCs w:val="32"/>
        </w:rPr>
        <w:t>diversité</w:t>
      </w:r>
    </w:p>
    <w:p w14:paraId="7786D93A" w14:textId="77777777" w:rsidR="00591DC8" w:rsidRPr="008F610A" w:rsidRDefault="00591DC8" w:rsidP="001639B2">
      <w:pPr>
        <w:pStyle w:val="NoSpacing"/>
        <w:spacing w:after="120"/>
        <w:rPr>
          <w:rFonts w:asciiTheme="minorHAnsi" w:hAnsiTheme="minorHAnsi" w:cstheme="minorHAnsi"/>
          <w:color w:val="000000"/>
          <w:sz w:val="22"/>
          <w:szCs w:val="22"/>
          <w:lang w:val="fr-CA"/>
        </w:rPr>
      </w:pPr>
      <w:r w:rsidRPr="008F610A">
        <w:rPr>
          <w:rFonts w:asciiTheme="minorHAnsi" w:hAnsiTheme="minorHAnsi"/>
          <w:color w:val="000000"/>
          <w:sz w:val="22"/>
          <w:szCs w:val="22"/>
          <w:lang w:val="fr-CA"/>
        </w:rPr>
        <w:t>SP dépasse présentement la disponibilité au sein de la population active (DPA) pour l</w:t>
      </w:r>
      <w:r w:rsidR="00E346A8" w:rsidRPr="008F610A">
        <w:rPr>
          <w:rFonts w:asciiTheme="minorHAnsi" w:hAnsiTheme="minorHAnsi"/>
          <w:color w:val="000000"/>
          <w:sz w:val="22"/>
          <w:szCs w:val="22"/>
          <w:lang w:val="fr-CA"/>
        </w:rPr>
        <w:t>’</w:t>
      </w:r>
      <w:r w:rsidRPr="008F610A">
        <w:rPr>
          <w:rFonts w:asciiTheme="minorHAnsi" w:hAnsiTheme="minorHAnsi"/>
          <w:color w:val="000000"/>
          <w:sz w:val="22"/>
          <w:szCs w:val="22"/>
          <w:lang w:val="fr-CA"/>
        </w:rPr>
        <w:t xml:space="preserve">ensemble des groupes désignés (selon les données de 2018). Les estimations de la DPA dans la fonction publique pour 2019 ont été </w:t>
      </w:r>
      <w:r w:rsidR="005A224F" w:rsidRPr="008F610A">
        <w:rPr>
          <w:rFonts w:asciiTheme="minorHAnsi" w:hAnsiTheme="minorHAnsi"/>
          <w:color w:val="000000"/>
          <w:sz w:val="22"/>
          <w:szCs w:val="22"/>
          <w:lang w:val="fr-CA"/>
        </w:rPr>
        <w:t xml:space="preserve">mises à jour dans le Profil de la diversité </w:t>
      </w:r>
      <w:r w:rsidRPr="008F610A">
        <w:rPr>
          <w:rFonts w:asciiTheme="minorHAnsi" w:hAnsiTheme="minorHAnsi"/>
          <w:color w:val="000000"/>
          <w:sz w:val="22"/>
          <w:szCs w:val="22"/>
          <w:lang w:val="fr-CA"/>
        </w:rPr>
        <w:t xml:space="preserve">même si </w:t>
      </w:r>
      <w:r w:rsidR="005A224F" w:rsidRPr="008F610A">
        <w:rPr>
          <w:rFonts w:asciiTheme="minorHAnsi" w:hAnsiTheme="minorHAnsi"/>
          <w:color w:val="000000"/>
          <w:sz w:val="22"/>
          <w:szCs w:val="22"/>
          <w:lang w:val="fr-CA"/>
        </w:rPr>
        <w:t>elles</w:t>
      </w:r>
      <w:r w:rsidRPr="008F610A">
        <w:rPr>
          <w:rFonts w:asciiTheme="minorHAnsi" w:hAnsiTheme="minorHAnsi"/>
          <w:color w:val="000000"/>
          <w:sz w:val="22"/>
          <w:szCs w:val="22"/>
          <w:lang w:val="fr-CA"/>
        </w:rPr>
        <w:t xml:space="preserve"> n</w:t>
      </w:r>
      <w:r w:rsidR="00E346A8" w:rsidRPr="008F610A">
        <w:rPr>
          <w:rFonts w:asciiTheme="minorHAnsi" w:hAnsiTheme="minorHAnsi"/>
          <w:color w:val="000000"/>
          <w:sz w:val="22"/>
          <w:szCs w:val="22"/>
          <w:lang w:val="fr-CA"/>
        </w:rPr>
        <w:t>’</w:t>
      </w:r>
      <w:r w:rsidRPr="008F610A">
        <w:rPr>
          <w:rFonts w:asciiTheme="minorHAnsi" w:hAnsiTheme="minorHAnsi"/>
          <w:color w:val="000000"/>
          <w:sz w:val="22"/>
          <w:szCs w:val="22"/>
          <w:lang w:val="fr-CA"/>
        </w:rPr>
        <w:t>ont pas encore été officiellement publiées.</w:t>
      </w:r>
    </w:p>
    <w:p w14:paraId="0B4882D4" w14:textId="77777777" w:rsidR="001639B2" w:rsidRPr="001639B2" w:rsidRDefault="001639B2" w:rsidP="001639B2">
      <w:pPr>
        <w:pStyle w:val="Caption"/>
        <w:keepNext/>
        <w:spacing w:after="0"/>
        <w:rPr>
          <w:rFonts w:asciiTheme="minorHAnsi" w:hAnsiTheme="minorHAnsi" w:cstheme="minorHAnsi"/>
          <w:i w:val="0"/>
          <w:color w:val="auto"/>
        </w:rPr>
      </w:pPr>
      <w:r>
        <w:rPr>
          <w:rFonts w:asciiTheme="minorHAnsi" w:hAnsiTheme="minorHAnsi" w:cstheme="minorHAnsi"/>
          <w:i w:val="0"/>
          <w:color w:val="auto"/>
        </w:rPr>
        <w:t xml:space="preserve">Table </w:t>
      </w:r>
      <w:r w:rsidRPr="001639B2">
        <w:rPr>
          <w:rFonts w:asciiTheme="minorHAnsi" w:hAnsiTheme="minorHAnsi" w:cstheme="minorHAnsi"/>
          <w:i w:val="0"/>
          <w:color w:val="auto"/>
        </w:rPr>
        <w:fldChar w:fldCharType="begin"/>
      </w:r>
      <w:r w:rsidRPr="001639B2">
        <w:rPr>
          <w:rFonts w:asciiTheme="minorHAnsi" w:hAnsiTheme="minorHAnsi" w:cstheme="minorHAnsi"/>
          <w:i w:val="0"/>
          <w:color w:val="auto"/>
        </w:rPr>
        <w:instrText xml:space="preserve"> SEQ Table \* ARABIC </w:instrText>
      </w:r>
      <w:r w:rsidRPr="001639B2">
        <w:rPr>
          <w:rFonts w:asciiTheme="minorHAnsi" w:hAnsiTheme="minorHAnsi" w:cstheme="minorHAnsi"/>
          <w:i w:val="0"/>
          <w:color w:val="auto"/>
        </w:rPr>
        <w:fldChar w:fldCharType="separate"/>
      </w:r>
      <w:r w:rsidR="00766F9D">
        <w:rPr>
          <w:rFonts w:asciiTheme="minorHAnsi" w:hAnsiTheme="minorHAnsi" w:cstheme="minorHAnsi"/>
          <w:i w:val="0"/>
          <w:noProof/>
          <w:color w:val="auto"/>
        </w:rPr>
        <w:t>2</w:t>
      </w:r>
      <w:r w:rsidRPr="001639B2">
        <w:rPr>
          <w:rFonts w:asciiTheme="minorHAnsi" w:hAnsiTheme="minorHAnsi" w:cstheme="minorHAnsi"/>
          <w:i w:val="0"/>
          <w:color w:val="auto"/>
        </w:rPr>
        <w:fldChar w:fldCharType="end"/>
      </w:r>
      <w:r w:rsidRPr="001639B2">
        <w:rPr>
          <w:rFonts w:asciiTheme="minorHAnsi" w:hAnsiTheme="minorHAnsi" w:cstheme="minorHAnsi"/>
          <w:i w:val="0"/>
          <w:color w:val="auto"/>
        </w:rPr>
        <w:t xml:space="preserve"> - Profil de la diversité</w:t>
      </w:r>
    </w:p>
    <w:tbl>
      <w:tblPr>
        <w:tblStyle w:val="TableGrid"/>
        <w:tblW w:w="5000" w:type="pct"/>
        <w:jc w:val="center"/>
        <w:tblLook w:val="04A0" w:firstRow="1" w:lastRow="0" w:firstColumn="1" w:lastColumn="0" w:noHBand="0" w:noVBand="1"/>
        <w:tblCaption w:val="Worforce Profile Public Safety Canada - Reporting period from march 31, 2017 to April 1, 2018"/>
        <w:tblDescription w:val="Profil de la diversité"/>
      </w:tblPr>
      <w:tblGrid>
        <w:gridCol w:w="1797"/>
        <w:gridCol w:w="2352"/>
        <w:gridCol w:w="1633"/>
        <w:gridCol w:w="2467"/>
        <w:gridCol w:w="1821"/>
      </w:tblGrid>
      <w:tr w:rsidR="001639B2" w:rsidRPr="001639B2" w14:paraId="565141C7" w14:textId="77777777" w:rsidTr="001639B2">
        <w:trPr>
          <w:cantSplit/>
          <w:trHeight w:val="759"/>
          <w:tblHeader/>
          <w:jc w:val="center"/>
        </w:trPr>
        <w:tc>
          <w:tcPr>
            <w:tcW w:w="892" w:type="pct"/>
            <w:tcBorders>
              <w:top w:val="single" w:sz="4" w:space="0" w:color="auto"/>
              <w:left w:val="single" w:sz="4" w:space="0" w:color="auto"/>
              <w:bottom w:val="single" w:sz="4" w:space="0" w:color="auto"/>
              <w:right w:val="single" w:sz="4" w:space="0" w:color="auto"/>
            </w:tcBorders>
            <w:shd w:val="clear" w:color="auto" w:fill="54575A" w:themeFill="text1"/>
            <w:vAlign w:val="center"/>
            <w:hideMark/>
          </w:tcPr>
          <w:p w14:paraId="77CFC31F" w14:textId="77777777" w:rsidR="001639B2" w:rsidRPr="001639B2" w:rsidRDefault="001639B2" w:rsidP="001639B2">
            <w:pPr>
              <w:pStyle w:val="TableTitle"/>
              <w:rPr>
                <w:rFonts w:cs="Segoe UI Semibold"/>
                <w:color w:val="FFFFFF" w:themeColor="background1"/>
                <w:sz w:val="22"/>
                <w:lang w:val="fr-CA"/>
              </w:rPr>
            </w:pPr>
            <w:r w:rsidRPr="001639B2">
              <w:rPr>
                <w:rFonts w:cs="Segoe UI Semibold"/>
                <w:color w:val="FFFFFF" w:themeColor="background1"/>
                <w:sz w:val="22"/>
                <w:lang w:val="fr-CA"/>
              </w:rPr>
              <w:t>Groupe désigné</w:t>
            </w:r>
          </w:p>
        </w:tc>
        <w:tc>
          <w:tcPr>
            <w:tcW w:w="1168" w:type="pct"/>
            <w:tcBorders>
              <w:top w:val="single" w:sz="4" w:space="0" w:color="auto"/>
              <w:left w:val="single" w:sz="4" w:space="0" w:color="auto"/>
              <w:bottom w:val="single" w:sz="4" w:space="0" w:color="auto"/>
              <w:right w:val="single" w:sz="4" w:space="0" w:color="auto"/>
            </w:tcBorders>
            <w:shd w:val="clear" w:color="auto" w:fill="54575A" w:themeFill="text1"/>
            <w:vAlign w:val="center"/>
            <w:hideMark/>
          </w:tcPr>
          <w:p w14:paraId="787D80BB" w14:textId="77777777" w:rsidR="001639B2" w:rsidRPr="001639B2" w:rsidRDefault="001639B2" w:rsidP="001639B2">
            <w:pPr>
              <w:pStyle w:val="TableTitle"/>
              <w:rPr>
                <w:rFonts w:cs="Segoe UI Semibold"/>
                <w:color w:val="FFFFFF" w:themeColor="background1"/>
                <w:sz w:val="22"/>
                <w:lang w:val="fr-CA"/>
              </w:rPr>
            </w:pPr>
            <w:r w:rsidRPr="001639B2">
              <w:rPr>
                <w:rFonts w:cs="Segoe UI Semibold"/>
                <w:color w:val="FFFFFF" w:themeColor="background1"/>
                <w:sz w:val="22"/>
                <w:lang w:val="fr-CA"/>
              </w:rPr>
              <w:t>Disponibilité au sein de la population active (DPA) dans la fonction publique</w:t>
            </w:r>
          </w:p>
        </w:tc>
        <w:tc>
          <w:tcPr>
            <w:tcW w:w="811" w:type="pct"/>
            <w:tcBorders>
              <w:top w:val="single" w:sz="4" w:space="0" w:color="auto"/>
              <w:left w:val="single" w:sz="4" w:space="0" w:color="auto"/>
              <w:right w:val="single" w:sz="4" w:space="0" w:color="auto"/>
            </w:tcBorders>
            <w:shd w:val="clear" w:color="auto" w:fill="BF3C00"/>
            <w:vAlign w:val="center"/>
            <w:hideMark/>
          </w:tcPr>
          <w:p w14:paraId="01C08B89" w14:textId="77777777" w:rsidR="001639B2" w:rsidRPr="001639B2" w:rsidRDefault="001639B2" w:rsidP="001639B2">
            <w:pPr>
              <w:pStyle w:val="TableTitle"/>
              <w:rPr>
                <w:rFonts w:cs="Segoe UI Semibold"/>
                <w:color w:val="FFFFFF" w:themeColor="background1"/>
                <w:sz w:val="22"/>
                <w:lang w:val="fr-CA"/>
              </w:rPr>
            </w:pPr>
            <w:r w:rsidRPr="001639B2">
              <w:rPr>
                <w:rFonts w:cs="Segoe UI Semibold"/>
                <w:color w:val="FFFFFF" w:themeColor="background1"/>
                <w:sz w:val="22"/>
                <w:lang w:val="fr-CA"/>
              </w:rPr>
              <w:t>Sécurité publique Canada</w:t>
            </w:r>
          </w:p>
        </w:tc>
        <w:tc>
          <w:tcPr>
            <w:tcW w:w="1225" w:type="pct"/>
            <w:tcBorders>
              <w:top w:val="single" w:sz="4" w:space="0" w:color="auto"/>
              <w:left w:val="single" w:sz="4" w:space="0" w:color="auto"/>
              <w:bottom w:val="single" w:sz="4" w:space="0" w:color="auto"/>
              <w:right w:val="single" w:sz="4" w:space="0" w:color="auto"/>
            </w:tcBorders>
            <w:shd w:val="clear" w:color="auto" w:fill="54575A" w:themeFill="text1"/>
            <w:hideMark/>
          </w:tcPr>
          <w:p w14:paraId="52B5B526" w14:textId="77777777" w:rsidR="001639B2" w:rsidRPr="001639B2" w:rsidRDefault="001639B2" w:rsidP="001639B2">
            <w:pPr>
              <w:pStyle w:val="TableTitle"/>
              <w:rPr>
                <w:rFonts w:cs="Segoe UI Semibold"/>
                <w:color w:val="FFFFFF" w:themeColor="background1"/>
                <w:sz w:val="22"/>
                <w:lang w:val="fr-CA"/>
              </w:rPr>
            </w:pPr>
            <w:r w:rsidRPr="001639B2">
              <w:rPr>
                <w:rFonts w:cs="Segoe UI Semibold"/>
                <w:color w:val="FFFFFF" w:themeColor="background1"/>
                <w:sz w:val="22"/>
                <w:lang w:val="fr-CA"/>
              </w:rPr>
              <w:t>Représentation dans l’ensemble de la fonction publique du Canada</w:t>
            </w:r>
          </w:p>
        </w:tc>
        <w:tc>
          <w:tcPr>
            <w:tcW w:w="904" w:type="pct"/>
            <w:shd w:val="clear" w:color="auto" w:fill="54575A" w:themeFill="text1"/>
            <w:vAlign w:val="center"/>
          </w:tcPr>
          <w:p w14:paraId="1FF35D5B" w14:textId="77777777" w:rsidR="001639B2" w:rsidRPr="001639B2" w:rsidRDefault="001639B2" w:rsidP="001639B2">
            <w:pPr>
              <w:pStyle w:val="TableTitle"/>
              <w:rPr>
                <w:rFonts w:cs="Segoe UI Semibold"/>
                <w:color w:val="FFFFFF" w:themeColor="background1"/>
                <w:sz w:val="22"/>
                <w:lang w:val="fr-CA"/>
              </w:rPr>
            </w:pPr>
            <w:r w:rsidRPr="001639B2">
              <w:rPr>
                <w:rFonts w:cs="Segoe UI Semibold"/>
                <w:color w:val="FFFFFF" w:themeColor="background1"/>
                <w:sz w:val="22"/>
                <w:lang w:val="fr-CA"/>
              </w:rPr>
              <w:t xml:space="preserve">Nouvelles données sur la DPA – 2019 </w:t>
            </w:r>
          </w:p>
        </w:tc>
      </w:tr>
      <w:tr w:rsidR="001639B2" w:rsidRPr="001639B2" w14:paraId="49967336" w14:textId="77777777" w:rsidTr="00CA06AA">
        <w:trPr>
          <w:cantSplit/>
          <w:tblHeader/>
          <w:jc w:val="center"/>
        </w:trPr>
        <w:tc>
          <w:tcPr>
            <w:tcW w:w="892" w:type="pct"/>
            <w:tcBorders>
              <w:top w:val="single" w:sz="4" w:space="0" w:color="auto"/>
              <w:left w:val="single" w:sz="4" w:space="0" w:color="auto"/>
              <w:bottom w:val="single" w:sz="4" w:space="0" w:color="auto"/>
              <w:right w:val="single" w:sz="4" w:space="0" w:color="auto"/>
            </w:tcBorders>
            <w:shd w:val="clear" w:color="auto" w:fill="54575A" w:themeFill="text1"/>
            <w:hideMark/>
          </w:tcPr>
          <w:p w14:paraId="06554158" w14:textId="77777777" w:rsidR="001639B2" w:rsidRPr="00CA06AA" w:rsidRDefault="001639B2" w:rsidP="001639B2">
            <w:pPr>
              <w:rPr>
                <w:rFonts w:asciiTheme="minorHAnsi" w:hAnsiTheme="minorHAnsi" w:cstheme="minorHAnsi"/>
                <w:color w:val="FFFFFF" w:themeColor="background1"/>
                <w:sz w:val="22"/>
                <w:szCs w:val="22"/>
                <w:lang w:val="fr-CA"/>
              </w:rPr>
            </w:pPr>
            <w:r w:rsidRPr="00CA06AA">
              <w:rPr>
                <w:rFonts w:asciiTheme="minorHAnsi" w:hAnsiTheme="minorHAnsi"/>
                <w:color w:val="FFFFFF" w:themeColor="background1"/>
                <w:sz w:val="22"/>
                <w:szCs w:val="22"/>
                <w:lang w:val="fr-CA"/>
              </w:rPr>
              <w:t>Femmes</w:t>
            </w:r>
          </w:p>
        </w:tc>
        <w:tc>
          <w:tcPr>
            <w:tcW w:w="1168" w:type="pct"/>
            <w:tcBorders>
              <w:top w:val="single" w:sz="4" w:space="0" w:color="auto"/>
              <w:left w:val="single" w:sz="4" w:space="0" w:color="auto"/>
              <w:bottom w:val="single" w:sz="4" w:space="0" w:color="auto"/>
              <w:right w:val="single" w:sz="4" w:space="0" w:color="auto"/>
            </w:tcBorders>
            <w:vAlign w:val="center"/>
            <w:hideMark/>
          </w:tcPr>
          <w:p w14:paraId="0FB87C7A" w14:textId="77777777" w:rsidR="001639B2" w:rsidRPr="001639B2" w:rsidRDefault="001639B2" w:rsidP="001639B2">
            <w:pPr>
              <w:jc w:val="center"/>
              <w:rPr>
                <w:rFonts w:asciiTheme="minorHAnsi" w:hAnsiTheme="minorHAnsi" w:cstheme="minorHAnsi"/>
                <w:sz w:val="22"/>
                <w:szCs w:val="22"/>
                <w:lang w:val="fr-CA"/>
              </w:rPr>
            </w:pPr>
            <w:r w:rsidRPr="001639B2">
              <w:rPr>
                <w:rFonts w:asciiTheme="minorHAnsi" w:hAnsiTheme="minorHAnsi"/>
                <w:sz w:val="22"/>
                <w:szCs w:val="22"/>
                <w:lang w:val="fr-CA"/>
              </w:rPr>
              <w:t>52,5 %</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338C0DF1" w14:textId="77777777" w:rsidR="001639B2" w:rsidRPr="001639B2" w:rsidRDefault="001639B2" w:rsidP="001639B2">
            <w:pPr>
              <w:autoSpaceDE w:val="0"/>
              <w:autoSpaceDN w:val="0"/>
              <w:adjustRightInd w:val="0"/>
              <w:jc w:val="center"/>
              <w:rPr>
                <w:rFonts w:asciiTheme="minorHAnsi" w:hAnsiTheme="minorHAnsi" w:cstheme="minorHAnsi"/>
                <w:sz w:val="22"/>
                <w:szCs w:val="22"/>
                <w:lang w:val="fr-CA"/>
              </w:rPr>
            </w:pPr>
            <w:r w:rsidRPr="001639B2">
              <w:rPr>
                <w:rFonts w:asciiTheme="minorHAnsi" w:hAnsiTheme="minorHAnsi"/>
                <w:sz w:val="22"/>
                <w:szCs w:val="22"/>
                <w:lang w:val="fr-CA"/>
              </w:rPr>
              <w:t>60,3 %</w:t>
            </w:r>
          </w:p>
        </w:tc>
        <w:tc>
          <w:tcPr>
            <w:tcW w:w="1225" w:type="pct"/>
            <w:tcBorders>
              <w:top w:val="single" w:sz="4" w:space="0" w:color="auto"/>
              <w:left w:val="single" w:sz="4" w:space="0" w:color="auto"/>
              <w:bottom w:val="single" w:sz="4" w:space="0" w:color="auto"/>
              <w:right w:val="single" w:sz="4" w:space="0" w:color="auto"/>
            </w:tcBorders>
            <w:hideMark/>
          </w:tcPr>
          <w:p w14:paraId="1EFFA42E" w14:textId="77777777" w:rsidR="001639B2" w:rsidRPr="001639B2" w:rsidRDefault="001639B2" w:rsidP="001639B2">
            <w:pPr>
              <w:autoSpaceDE w:val="0"/>
              <w:autoSpaceDN w:val="0"/>
              <w:adjustRightInd w:val="0"/>
              <w:jc w:val="center"/>
              <w:rPr>
                <w:rFonts w:asciiTheme="minorHAnsi" w:hAnsiTheme="minorHAnsi" w:cstheme="minorHAnsi"/>
                <w:sz w:val="22"/>
                <w:szCs w:val="22"/>
                <w:lang w:val="fr-CA"/>
              </w:rPr>
            </w:pPr>
            <w:r w:rsidRPr="001639B2">
              <w:rPr>
                <w:rFonts w:asciiTheme="minorHAnsi" w:hAnsiTheme="minorHAnsi"/>
                <w:sz w:val="22"/>
                <w:szCs w:val="22"/>
                <w:lang w:val="fr-CA"/>
              </w:rPr>
              <w:t>54,8 %</w:t>
            </w:r>
          </w:p>
        </w:tc>
        <w:tc>
          <w:tcPr>
            <w:tcW w:w="904" w:type="pct"/>
            <w:vAlign w:val="center"/>
          </w:tcPr>
          <w:p w14:paraId="504A3314" w14:textId="77777777" w:rsidR="001639B2" w:rsidRPr="001639B2" w:rsidRDefault="001639B2" w:rsidP="001639B2">
            <w:pPr>
              <w:autoSpaceDE w:val="0"/>
              <w:autoSpaceDN w:val="0"/>
              <w:adjustRightInd w:val="0"/>
              <w:jc w:val="center"/>
              <w:rPr>
                <w:rFonts w:asciiTheme="minorHAnsi" w:hAnsiTheme="minorHAnsi" w:cstheme="minorHAnsi"/>
                <w:sz w:val="22"/>
                <w:szCs w:val="22"/>
                <w:lang w:val="fr-CA"/>
              </w:rPr>
            </w:pPr>
            <w:r w:rsidRPr="001639B2">
              <w:rPr>
                <w:rFonts w:asciiTheme="minorHAnsi" w:hAnsiTheme="minorHAnsi"/>
                <w:sz w:val="22"/>
                <w:szCs w:val="22"/>
                <w:lang w:val="fr-CA"/>
              </w:rPr>
              <w:t>52,6 %</w:t>
            </w:r>
          </w:p>
        </w:tc>
      </w:tr>
      <w:tr w:rsidR="001639B2" w:rsidRPr="001639B2" w14:paraId="154AC246" w14:textId="77777777" w:rsidTr="00CA06AA">
        <w:trPr>
          <w:cantSplit/>
          <w:tblHeader/>
          <w:jc w:val="center"/>
        </w:trPr>
        <w:tc>
          <w:tcPr>
            <w:tcW w:w="892" w:type="pct"/>
            <w:tcBorders>
              <w:top w:val="single" w:sz="4" w:space="0" w:color="auto"/>
              <w:left w:val="single" w:sz="4" w:space="0" w:color="auto"/>
              <w:bottom w:val="single" w:sz="4" w:space="0" w:color="auto"/>
              <w:right w:val="single" w:sz="4" w:space="0" w:color="auto"/>
            </w:tcBorders>
            <w:shd w:val="clear" w:color="auto" w:fill="54575A" w:themeFill="text1"/>
            <w:hideMark/>
          </w:tcPr>
          <w:p w14:paraId="2BCEBC81" w14:textId="77777777" w:rsidR="001639B2" w:rsidRPr="00CA06AA" w:rsidRDefault="001639B2" w:rsidP="001639B2">
            <w:pPr>
              <w:rPr>
                <w:rFonts w:asciiTheme="minorHAnsi" w:hAnsiTheme="minorHAnsi" w:cstheme="minorHAnsi"/>
                <w:color w:val="FFFFFF" w:themeColor="background1"/>
                <w:sz w:val="22"/>
                <w:szCs w:val="22"/>
                <w:lang w:val="fr-CA"/>
              </w:rPr>
            </w:pPr>
            <w:r w:rsidRPr="00CA06AA">
              <w:rPr>
                <w:rFonts w:asciiTheme="minorHAnsi" w:hAnsiTheme="minorHAnsi" w:cstheme="minorHAnsi"/>
                <w:color w:val="FFFFFF" w:themeColor="background1"/>
                <w:sz w:val="22"/>
                <w:szCs w:val="22"/>
                <w:lang w:val="fr-CA"/>
              </w:rPr>
              <w:t>Autochtones</w:t>
            </w:r>
          </w:p>
        </w:tc>
        <w:tc>
          <w:tcPr>
            <w:tcW w:w="1168" w:type="pct"/>
            <w:tcBorders>
              <w:top w:val="single" w:sz="4" w:space="0" w:color="auto"/>
              <w:left w:val="single" w:sz="4" w:space="0" w:color="auto"/>
              <w:bottom w:val="single" w:sz="4" w:space="0" w:color="auto"/>
              <w:right w:val="single" w:sz="4" w:space="0" w:color="auto"/>
            </w:tcBorders>
            <w:vAlign w:val="center"/>
            <w:hideMark/>
          </w:tcPr>
          <w:p w14:paraId="35226B31" w14:textId="77777777" w:rsidR="001639B2" w:rsidRPr="001639B2" w:rsidRDefault="001639B2" w:rsidP="001639B2">
            <w:pPr>
              <w:jc w:val="center"/>
              <w:rPr>
                <w:rFonts w:asciiTheme="minorHAnsi" w:hAnsiTheme="minorHAnsi" w:cstheme="minorHAnsi"/>
                <w:sz w:val="22"/>
                <w:szCs w:val="22"/>
                <w:lang w:val="fr-CA"/>
              </w:rPr>
            </w:pPr>
            <w:r w:rsidRPr="001639B2">
              <w:rPr>
                <w:rFonts w:asciiTheme="minorHAnsi" w:hAnsiTheme="minorHAnsi" w:cstheme="minorHAnsi"/>
                <w:sz w:val="22"/>
                <w:szCs w:val="22"/>
                <w:lang w:val="fr-CA"/>
              </w:rPr>
              <w:t>3,4 %</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047717D6" w14:textId="77777777" w:rsidR="001639B2" w:rsidRPr="001639B2" w:rsidRDefault="001639B2" w:rsidP="001639B2">
            <w:pPr>
              <w:autoSpaceDE w:val="0"/>
              <w:autoSpaceDN w:val="0"/>
              <w:adjustRightInd w:val="0"/>
              <w:jc w:val="center"/>
              <w:rPr>
                <w:rFonts w:asciiTheme="minorHAnsi" w:hAnsiTheme="minorHAnsi" w:cstheme="minorHAnsi"/>
                <w:sz w:val="22"/>
                <w:szCs w:val="22"/>
                <w:lang w:val="fr-CA"/>
              </w:rPr>
            </w:pPr>
            <w:r w:rsidRPr="001639B2">
              <w:rPr>
                <w:rFonts w:asciiTheme="minorHAnsi" w:hAnsiTheme="minorHAnsi" w:cstheme="minorHAnsi"/>
                <w:sz w:val="22"/>
                <w:szCs w:val="22"/>
                <w:lang w:val="fr-CA"/>
              </w:rPr>
              <w:t>5,1 %</w:t>
            </w:r>
          </w:p>
        </w:tc>
        <w:tc>
          <w:tcPr>
            <w:tcW w:w="1225" w:type="pct"/>
            <w:tcBorders>
              <w:top w:val="single" w:sz="4" w:space="0" w:color="auto"/>
              <w:left w:val="single" w:sz="4" w:space="0" w:color="auto"/>
              <w:bottom w:val="single" w:sz="4" w:space="0" w:color="auto"/>
              <w:right w:val="single" w:sz="4" w:space="0" w:color="auto"/>
            </w:tcBorders>
            <w:hideMark/>
          </w:tcPr>
          <w:p w14:paraId="67DA28D5" w14:textId="77777777" w:rsidR="001639B2" w:rsidRPr="001639B2" w:rsidRDefault="001639B2" w:rsidP="001639B2">
            <w:pPr>
              <w:autoSpaceDE w:val="0"/>
              <w:autoSpaceDN w:val="0"/>
              <w:adjustRightInd w:val="0"/>
              <w:jc w:val="center"/>
              <w:rPr>
                <w:rFonts w:asciiTheme="minorHAnsi" w:hAnsiTheme="minorHAnsi" w:cstheme="minorHAnsi"/>
                <w:sz w:val="22"/>
                <w:szCs w:val="22"/>
                <w:lang w:val="fr-CA"/>
              </w:rPr>
            </w:pPr>
            <w:r w:rsidRPr="001639B2">
              <w:rPr>
                <w:rFonts w:asciiTheme="minorHAnsi" w:hAnsiTheme="minorHAnsi" w:cstheme="minorHAnsi"/>
                <w:sz w:val="22"/>
                <w:szCs w:val="22"/>
                <w:lang w:val="fr-CA"/>
              </w:rPr>
              <w:t>5,1 %</w:t>
            </w:r>
          </w:p>
        </w:tc>
        <w:tc>
          <w:tcPr>
            <w:tcW w:w="904" w:type="pct"/>
            <w:vAlign w:val="center"/>
          </w:tcPr>
          <w:p w14:paraId="375D6725" w14:textId="77777777" w:rsidR="001639B2" w:rsidRPr="001639B2" w:rsidRDefault="001639B2" w:rsidP="001639B2">
            <w:pPr>
              <w:autoSpaceDE w:val="0"/>
              <w:autoSpaceDN w:val="0"/>
              <w:adjustRightInd w:val="0"/>
              <w:jc w:val="center"/>
              <w:rPr>
                <w:rFonts w:asciiTheme="minorHAnsi" w:hAnsiTheme="minorHAnsi" w:cstheme="minorHAnsi"/>
                <w:sz w:val="22"/>
                <w:szCs w:val="22"/>
                <w:lang w:val="fr-CA"/>
              </w:rPr>
            </w:pPr>
            <w:r w:rsidRPr="001639B2">
              <w:rPr>
                <w:rFonts w:asciiTheme="minorHAnsi" w:hAnsiTheme="minorHAnsi" w:cstheme="minorHAnsi"/>
                <w:sz w:val="22"/>
                <w:szCs w:val="22"/>
                <w:lang w:val="fr-CA"/>
              </w:rPr>
              <w:t>4,0 %</w:t>
            </w:r>
          </w:p>
        </w:tc>
      </w:tr>
      <w:tr w:rsidR="001639B2" w:rsidRPr="001639B2" w14:paraId="3D3422CD" w14:textId="77777777" w:rsidTr="00CA06AA">
        <w:trPr>
          <w:cantSplit/>
          <w:trHeight w:val="598"/>
          <w:tblHeader/>
          <w:jc w:val="center"/>
        </w:trPr>
        <w:tc>
          <w:tcPr>
            <w:tcW w:w="892" w:type="pct"/>
            <w:tcBorders>
              <w:top w:val="single" w:sz="4" w:space="0" w:color="auto"/>
              <w:left w:val="single" w:sz="4" w:space="0" w:color="auto"/>
              <w:bottom w:val="single" w:sz="4" w:space="0" w:color="auto"/>
              <w:right w:val="single" w:sz="4" w:space="0" w:color="auto"/>
            </w:tcBorders>
            <w:shd w:val="clear" w:color="auto" w:fill="54575A" w:themeFill="text1"/>
            <w:hideMark/>
          </w:tcPr>
          <w:p w14:paraId="700BA402" w14:textId="77777777" w:rsidR="001639B2" w:rsidRPr="00CA06AA" w:rsidRDefault="001639B2" w:rsidP="001639B2">
            <w:pPr>
              <w:rPr>
                <w:rFonts w:asciiTheme="minorHAnsi" w:hAnsiTheme="minorHAnsi" w:cstheme="minorHAnsi"/>
                <w:color w:val="FFFFFF" w:themeColor="background1"/>
                <w:sz w:val="22"/>
                <w:szCs w:val="22"/>
                <w:lang w:val="fr-CA"/>
              </w:rPr>
            </w:pPr>
            <w:r w:rsidRPr="00CA06AA">
              <w:rPr>
                <w:rFonts w:asciiTheme="minorHAnsi" w:hAnsiTheme="minorHAnsi" w:cstheme="minorHAnsi"/>
                <w:color w:val="FFFFFF" w:themeColor="background1"/>
                <w:sz w:val="22"/>
                <w:szCs w:val="22"/>
                <w:lang w:val="fr-CA"/>
              </w:rPr>
              <w:t>Personnes handicapées</w:t>
            </w:r>
          </w:p>
        </w:tc>
        <w:tc>
          <w:tcPr>
            <w:tcW w:w="1168" w:type="pct"/>
            <w:tcBorders>
              <w:top w:val="single" w:sz="4" w:space="0" w:color="auto"/>
              <w:left w:val="single" w:sz="4" w:space="0" w:color="auto"/>
              <w:bottom w:val="single" w:sz="4" w:space="0" w:color="auto"/>
              <w:right w:val="single" w:sz="4" w:space="0" w:color="auto"/>
            </w:tcBorders>
            <w:vAlign w:val="center"/>
            <w:hideMark/>
          </w:tcPr>
          <w:p w14:paraId="099FE3DB" w14:textId="77777777" w:rsidR="001639B2" w:rsidRPr="001639B2" w:rsidRDefault="001639B2" w:rsidP="001639B2">
            <w:pPr>
              <w:jc w:val="center"/>
              <w:rPr>
                <w:rFonts w:asciiTheme="minorHAnsi" w:hAnsiTheme="minorHAnsi" w:cstheme="minorHAnsi"/>
                <w:sz w:val="22"/>
                <w:szCs w:val="22"/>
                <w:lang w:val="fr-CA"/>
              </w:rPr>
            </w:pPr>
            <w:r w:rsidRPr="001639B2">
              <w:rPr>
                <w:rFonts w:asciiTheme="minorHAnsi" w:hAnsiTheme="minorHAnsi" w:cstheme="minorHAnsi"/>
                <w:sz w:val="22"/>
                <w:szCs w:val="22"/>
                <w:lang w:val="fr-CA"/>
              </w:rPr>
              <w:t>4,4 %</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55F4F73D" w14:textId="77777777" w:rsidR="001639B2" w:rsidRPr="001639B2" w:rsidRDefault="001639B2" w:rsidP="001639B2">
            <w:pPr>
              <w:autoSpaceDE w:val="0"/>
              <w:autoSpaceDN w:val="0"/>
              <w:adjustRightInd w:val="0"/>
              <w:jc w:val="center"/>
              <w:rPr>
                <w:rFonts w:asciiTheme="minorHAnsi" w:hAnsiTheme="minorHAnsi" w:cstheme="minorHAnsi"/>
                <w:sz w:val="22"/>
                <w:szCs w:val="22"/>
                <w:lang w:val="fr-CA"/>
              </w:rPr>
            </w:pPr>
            <w:r w:rsidRPr="001639B2">
              <w:rPr>
                <w:rFonts w:asciiTheme="minorHAnsi" w:hAnsiTheme="minorHAnsi" w:cstheme="minorHAnsi"/>
                <w:sz w:val="22"/>
                <w:szCs w:val="22"/>
                <w:lang w:val="fr-CA"/>
              </w:rPr>
              <w:t>7,0 %</w:t>
            </w:r>
          </w:p>
        </w:tc>
        <w:tc>
          <w:tcPr>
            <w:tcW w:w="1225" w:type="pct"/>
            <w:tcBorders>
              <w:top w:val="single" w:sz="4" w:space="0" w:color="auto"/>
              <w:left w:val="single" w:sz="4" w:space="0" w:color="auto"/>
              <w:bottom w:val="single" w:sz="4" w:space="0" w:color="auto"/>
              <w:right w:val="single" w:sz="4" w:space="0" w:color="auto"/>
            </w:tcBorders>
            <w:vAlign w:val="center"/>
            <w:hideMark/>
          </w:tcPr>
          <w:p w14:paraId="31BDBF38" w14:textId="77777777" w:rsidR="001639B2" w:rsidRPr="001639B2" w:rsidRDefault="001639B2" w:rsidP="001639B2">
            <w:pPr>
              <w:autoSpaceDE w:val="0"/>
              <w:autoSpaceDN w:val="0"/>
              <w:adjustRightInd w:val="0"/>
              <w:jc w:val="center"/>
              <w:rPr>
                <w:rFonts w:asciiTheme="minorHAnsi" w:hAnsiTheme="minorHAnsi" w:cstheme="minorHAnsi"/>
                <w:sz w:val="22"/>
                <w:szCs w:val="22"/>
                <w:lang w:val="fr-CA"/>
              </w:rPr>
            </w:pPr>
            <w:r w:rsidRPr="001639B2">
              <w:rPr>
                <w:rFonts w:asciiTheme="minorHAnsi" w:hAnsiTheme="minorHAnsi" w:cstheme="minorHAnsi"/>
                <w:sz w:val="22"/>
                <w:szCs w:val="22"/>
                <w:lang w:val="fr-CA"/>
              </w:rPr>
              <w:t>5,3 %</w:t>
            </w:r>
          </w:p>
        </w:tc>
        <w:tc>
          <w:tcPr>
            <w:tcW w:w="904" w:type="pct"/>
            <w:vAlign w:val="center"/>
          </w:tcPr>
          <w:p w14:paraId="575D9BF0" w14:textId="77777777" w:rsidR="001639B2" w:rsidRPr="001639B2" w:rsidRDefault="001639B2" w:rsidP="001639B2">
            <w:pPr>
              <w:autoSpaceDE w:val="0"/>
              <w:autoSpaceDN w:val="0"/>
              <w:adjustRightInd w:val="0"/>
              <w:jc w:val="center"/>
              <w:rPr>
                <w:rFonts w:asciiTheme="minorHAnsi" w:hAnsiTheme="minorHAnsi" w:cstheme="minorHAnsi"/>
                <w:sz w:val="22"/>
                <w:szCs w:val="22"/>
                <w:lang w:val="fr-CA"/>
              </w:rPr>
            </w:pPr>
            <w:r w:rsidRPr="001639B2">
              <w:rPr>
                <w:rFonts w:asciiTheme="minorHAnsi" w:hAnsiTheme="minorHAnsi" w:cstheme="minorHAnsi"/>
                <w:sz w:val="22"/>
                <w:szCs w:val="22"/>
                <w:lang w:val="fr-CA"/>
              </w:rPr>
              <w:t>9,0 %</w:t>
            </w:r>
          </w:p>
        </w:tc>
      </w:tr>
      <w:tr w:rsidR="001639B2" w:rsidRPr="001639B2" w14:paraId="01929EA6" w14:textId="77777777" w:rsidTr="00CA06AA">
        <w:trPr>
          <w:cantSplit/>
          <w:tblHeader/>
          <w:jc w:val="center"/>
        </w:trPr>
        <w:tc>
          <w:tcPr>
            <w:tcW w:w="892" w:type="pct"/>
            <w:tcBorders>
              <w:top w:val="single" w:sz="4" w:space="0" w:color="auto"/>
              <w:left w:val="single" w:sz="4" w:space="0" w:color="auto"/>
              <w:bottom w:val="single" w:sz="4" w:space="0" w:color="auto"/>
              <w:right w:val="single" w:sz="4" w:space="0" w:color="auto"/>
            </w:tcBorders>
            <w:shd w:val="clear" w:color="auto" w:fill="54575A" w:themeFill="text1"/>
            <w:hideMark/>
          </w:tcPr>
          <w:p w14:paraId="1427D96F" w14:textId="77777777" w:rsidR="001639B2" w:rsidRPr="00CA06AA" w:rsidRDefault="001639B2" w:rsidP="001639B2">
            <w:pPr>
              <w:rPr>
                <w:rFonts w:asciiTheme="minorHAnsi" w:hAnsiTheme="minorHAnsi" w:cstheme="minorHAnsi"/>
                <w:color w:val="FFFFFF" w:themeColor="background1"/>
                <w:sz w:val="22"/>
                <w:szCs w:val="22"/>
                <w:lang w:val="fr-CA"/>
              </w:rPr>
            </w:pPr>
            <w:r w:rsidRPr="00CA06AA">
              <w:rPr>
                <w:rFonts w:asciiTheme="minorHAnsi" w:hAnsiTheme="minorHAnsi" w:cstheme="minorHAnsi"/>
                <w:color w:val="FFFFFF" w:themeColor="background1"/>
                <w:sz w:val="22"/>
                <w:szCs w:val="22"/>
                <w:lang w:val="fr-CA"/>
              </w:rPr>
              <w:t>Membres des minorités visibles</w:t>
            </w:r>
          </w:p>
        </w:tc>
        <w:tc>
          <w:tcPr>
            <w:tcW w:w="1168" w:type="pct"/>
            <w:tcBorders>
              <w:top w:val="single" w:sz="4" w:space="0" w:color="auto"/>
              <w:left w:val="single" w:sz="4" w:space="0" w:color="auto"/>
              <w:bottom w:val="single" w:sz="4" w:space="0" w:color="auto"/>
              <w:right w:val="single" w:sz="4" w:space="0" w:color="auto"/>
            </w:tcBorders>
            <w:vAlign w:val="center"/>
            <w:hideMark/>
          </w:tcPr>
          <w:p w14:paraId="57CD2B53" w14:textId="77777777" w:rsidR="001639B2" w:rsidRPr="001639B2" w:rsidRDefault="001639B2" w:rsidP="001639B2">
            <w:pPr>
              <w:jc w:val="center"/>
              <w:rPr>
                <w:rFonts w:asciiTheme="minorHAnsi" w:hAnsiTheme="minorHAnsi" w:cstheme="minorHAnsi"/>
                <w:sz w:val="22"/>
                <w:szCs w:val="22"/>
                <w:lang w:val="fr-CA"/>
              </w:rPr>
            </w:pPr>
            <w:r w:rsidRPr="001639B2">
              <w:rPr>
                <w:rFonts w:asciiTheme="minorHAnsi" w:hAnsiTheme="minorHAnsi" w:cstheme="minorHAnsi"/>
                <w:sz w:val="22"/>
                <w:szCs w:val="22"/>
                <w:lang w:val="fr-CA"/>
              </w:rPr>
              <w:t>13,0 %</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7503EB3C" w14:textId="77777777" w:rsidR="001639B2" w:rsidRPr="001639B2" w:rsidRDefault="001639B2" w:rsidP="001639B2">
            <w:pPr>
              <w:autoSpaceDE w:val="0"/>
              <w:autoSpaceDN w:val="0"/>
              <w:adjustRightInd w:val="0"/>
              <w:jc w:val="center"/>
              <w:rPr>
                <w:rFonts w:asciiTheme="minorHAnsi" w:hAnsiTheme="minorHAnsi" w:cstheme="minorHAnsi"/>
                <w:sz w:val="22"/>
                <w:szCs w:val="22"/>
                <w:lang w:val="fr-CA"/>
              </w:rPr>
            </w:pPr>
            <w:r w:rsidRPr="001639B2">
              <w:rPr>
                <w:rFonts w:asciiTheme="minorHAnsi" w:hAnsiTheme="minorHAnsi" w:cstheme="minorHAnsi"/>
                <w:sz w:val="22"/>
                <w:szCs w:val="22"/>
                <w:lang w:val="fr-CA"/>
              </w:rPr>
              <w:t>15,2 %</w:t>
            </w:r>
          </w:p>
        </w:tc>
        <w:tc>
          <w:tcPr>
            <w:tcW w:w="1225" w:type="pct"/>
            <w:tcBorders>
              <w:top w:val="single" w:sz="4" w:space="0" w:color="auto"/>
              <w:left w:val="single" w:sz="4" w:space="0" w:color="auto"/>
              <w:bottom w:val="single" w:sz="4" w:space="0" w:color="auto"/>
              <w:right w:val="single" w:sz="4" w:space="0" w:color="auto"/>
            </w:tcBorders>
            <w:vAlign w:val="center"/>
            <w:hideMark/>
          </w:tcPr>
          <w:p w14:paraId="32646611" w14:textId="77777777" w:rsidR="001639B2" w:rsidRPr="001639B2" w:rsidRDefault="001639B2" w:rsidP="001639B2">
            <w:pPr>
              <w:autoSpaceDE w:val="0"/>
              <w:autoSpaceDN w:val="0"/>
              <w:adjustRightInd w:val="0"/>
              <w:jc w:val="center"/>
              <w:rPr>
                <w:rFonts w:asciiTheme="minorHAnsi" w:hAnsiTheme="minorHAnsi" w:cstheme="minorHAnsi"/>
                <w:sz w:val="22"/>
                <w:szCs w:val="22"/>
                <w:lang w:val="fr-CA"/>
              </w:rPr>
            </w:pPr>
            <w:r w:rsidRPr="001639B2">
              <w:rPr>
                <w:rFonts w:asciiTheme="minorHAnsi" w:hAnsiTheme="minorHAnsi" w:cstheme="minorHAnsi"/>
                <w:sz w:val="22"/>
                <w:szCs w:val="22"/>
                <w:lang w:val="fr-CA"/>
              </w:rPr>
              <w:t>15,7 %</w:t>
            </w:r>
          </w:p>
        </w:tc>
        <w:tc>
          <w:tcPr>
            <w:tcW w:w="904" w:type="pct"/>
            <w:vAlign w:val="center"/>
          </w:tcPr>
          <w:p w14:paraId="50AC6B06" w14:textId="77777777" w:rsidR="001639B2" w:rsidRPr="001639B2" w:rsidRDefault="001639B2" w:rsidP="001639B2">
            <w:pPr>
              <w:autoSpaceDE w:val="0"/>
              <w:autoSpaceDN w:val="0"/>
              <w:adjustRightInd w:val="0"/>
              <w:jc w:val="center"/>
              <w:rPr>
                <w:rFonts w:asciiTheme="minorHAnsi" w:hAnsiTheme="minorHAnsi" w:cstheme="minorHAnsi"/>
                <w:sz w:val="22"/>
                <w:szCs w:val="22"/>
                <w:lang w:val="fr-CA"/>
              </w:rPr>
            </w:pPr>
            <w:r w:rsidRPr="001639B2">
              <w:rPr>
                <w:rFonts w:asciiTheme="minorHAnsi" w:hAnsiTheme="minorHAnsi" w:cstheme="minorHAnsi"/>
                <w:sz w:val="22"/>
                <w:szCs w:val="22"/>
                <w:lang w:val="fr-CA"/>
              </w:rPr>
              <w:t>15,3 %</w:t>
            </w:r>
          </w:p>
        </w:tc>
      </w:tr>
    </w:tbl>
    <w:p w14:paraId="70DCF522" w14:textId="77777777" w:rsidR="00CA06AA" w:rsidRDefault="001639B2" w:rsidP="001639B2">
      <w:pPr>
        <w:rPr>
          <w:rFonts w:asciiTheme="minorHAnsi" w:hAnsiTheme="minorHAnsi"/>
          <w:sz w:val="22"/>
          <w:szCs w:val="22"/>
          <w:lang w:val="fr-CA"/>
        </w:rPr>
      </w:pPr>
      <w:r w:rsidRPr="008F610A">
        <w:rPr>
          <w:rFonts w:asciiTheme="minorHAnsi" w:hAnsiTheme="minorHAnsi"/>
          <w:sz w:val="22"/>
          <w:szCs w:val="22"/>
          <w:lang w:val="fr-CA"/>
        </w:rPr>
        <w:t xml:space="preserve">Source : </w:t>
      </w:r>
      <w:hyperlink r:id="rId8" w:history="1">
        <w:r w:rsidRPr="008F610A">
          <w:rPr>
            <w:rStyle w:val="Hyperlink"/>
            <w:rFonts w:asciiTheme="minorHAnsi" w:hAnsiTheme="minorHAnsi"/>
            <w:sz w:val="22"/>
            <w:szCs w:val="22"/>
            <w:lang w:val="fr-CA"/>
          </w:rPr>
          <w:t>L’équité en matière d’emploi dans la fonction publique du Canada, exercice 2017 à 2018</w:t>
        </w:r>
      </w:hyperlink>
      <w:r w:rsidRPr="008F610A">
        <w:rPr>
          <w:rFonts w:asciiTheme="minorHAnsi" w:hAnsiTheme="minorHAnsi"/>
          <w:sz w:val="22"/>
          <w:szCs w:val="22"/>
          <w:lang w:val="fr-CA"/>
        </w:rPr>
        <w:t> :</w:t>
      </w:r>
    </w:p>
    <w:p w14:paraId="67B50758" w14:textId="77777777" w:rsidR="001639B2" w:rsidRPr="008F610A" w:rsidRDefault="00CA06AA" w:rsidP="00673F3E">
      <w:pPr>
        <w:spacing w:after="120"/>
        <w:rPr>
          <w:rFonts w:asciiTheme="minorHAnsi" w:hAnsiTheme="minorHAnsi" w:cstheme="minorHAnsi"/>
          <w:sz w:val="22"/>
          <w:szCs w:val="22"/>
          <w:lang w:val="fr-CA"/>
        </w:rPr>
      </w:pPr>
      <w:r>
        <w:rPr>
          <w:rFonts w:asciiTheme="minorHAnsi" w:hAnsiTheme="minorHAnsi"/>
          <w:sz w:val="22"/>
          <w:szCs w:val="22"/>
          <w:lang w:val="fr-CA"/>
        </w:rPr>
        <w:t>Note :</w:t>
      </w:r>
      <w:r w:rsidR="00673F3E">
        <w:rPr>
          <w:rFonts w:asciiTheme="minorHAnsi" w:hAnsiTheme="minorHAnsi"/>
          <w:sz w:val="22"/>
          <w:szCs w:val="22"/>
          <w:lang w:val="fr-CA"/>
        </w:rPr>
        <w:t xml:space="preserve"> Les données sur l’équité en matière d’emploi</w:t>
      </w:r>
      <w:r w:rsidR="001639B2" w:rsidRPr="008F610A">
        <w:rPr>
          <w:rFonts w:asciiTheme="minorHAnsi" w:hAnsiTheme="minorHAnsi"/>
          <w:sz w:val="22"/>
          <w:szCs w:val="22"/>
          <w:lang w:val="fr-CA"/>
        </w:rPr>
        <w:t xml:space="preserve"> de l’organisation pour 2019 ne sont pas encore disponibles.</w:t>
      </w:r>
    </w:p>
    <w:p w14:paraId="26E7B93A" w14:textId="77777777" w:rsidR="00591DC8" w:rsidRPr="004F458A" w:rsidRDefault="00591DC8" w:rsidP="004F458A">
      <w:pPr>
        <w:pStyle w:val="Heading2"/>
        <w:rPr>
          <w:rStyle w:val="Heading1Char"/>
          <w:rFonts w:ascii="Segoe UI" w:hAnsi="Segoe UI" w:cs="Segoe UI"/>
          <w:color w:val="5B315E" w:themeColor="accent2"/>
          <w:sz w:val="32"/>
          <w:szCs w:val="32"/>
        </w:rPr>
      </w:pPr>
      <w:r w:rsidRPr="004F458A">
        <w:rPr>
          <w:rStyle w:val="Heading1Char"/>
          <w:rFonts w:ascii="Segoe UI" w:hAnsi="Segoe UI" w:cs="Segoe UI"/>
          <w:color w:val="5B315E" w:themeColor="accent2"/>
          <w:sz w:val="32"/>
          <w:szCs w:val="32"/>
        </w:rPr>
        <w:t xml:space="preserve">Droits de priorité et </w:t>
      </w:r>
      <w:r w:rsidR="001D3A1C" w:rsidRPr="004F458A">
        <w:rPr>
          <w:rStyle w:val="Heading1Char"/>
          <w:rFonts w:ascii="Segoe UI" w:hAnsi="Segoe UI" w:cs="Segoe UI"/>
          <w:color w:val="5B315E" w:themeColor="accent2"/>
          <w:sz w:val="32"/>
          <w:szCs w:val="32"/>
        </w:rPr>
        <w:t>vétérans</w:t>
      </w:r>
    </w:p>
    <w:p w14:paraId="22B99C05" w14:textId="77777777" w:rsidR="00591DC8" w:rsidRPr="008F610A" w:rsidRDefault="00591DC8" w:rsidP="001639B2">
      <w:pPr>
        <w:pStyle w:val="NoSpacing"/>
        <w:spacing w:after="120"/>
        <w:rPr>
          <w:rFonts w:asciiTheme="minorHAnsi" w:hAnsiTheme="minorHAnsi" w:cstheme="minorHAnsi"/>
          <w:sz w:val="22"/>
          <w:szCs w:val="22"/>
          <w:lang w:val="fr-CA"/>
        </w:rPr>
      </w:pPr>
      <w:r w:rsidRPr="008F610A">
        <w:rPr>
          <w:rFonts w:asciiTheme="minorHAnsi" w:hAnsiTheme="minorHAnsi"/>
          <w:color w:val="222222"/>
          <w:sz w:val="22"/>
          <w:szCs w:val="22"/>
          <w:lang w:val="fr-CA"/>
        </w:rPr>
        <w:t>En date du 28</w:t>
      </w:r>
      <w:r w:rsidR="00100960" w:rsidRPr="008F610A">
        <w:rPr>
          <w:rFonts w:asciiTheme="minorHAnsi" w:hAnsiTheme="minorHAnsi"/>
          <w:color w:val="222222"/>
          <w:sz w:val="22"/>
          <w:szCs w:val="22"/>
          <w:lang w:val="fr-CA"/>
        </w:rPr>
        <w:t> </w:t>
      </w:r>
      <w:r w:rsidRPr="008F610A">
        <w:rPr>
          <w:rFonts w:asciiTheme="minorHAnsi" w:hAnsiTheme="minorHAnsi"/>
          <w:color w:val="222222"/>
          <w:sz w:val="22"/>
          <w:szCs w:val="22"/>
          <w:lang w:val="fr-CA"/>
        </w:rPr>
        <w:t>décembre</w:t>
      </w:r>
      <w:r w:rsidR="00100960" w:rsidRPr="008F610A">
        <w:rPr>
          <w:rFonts w:asciiTheme="minorHAnsi" w:hAnsiTheme="minorHAnsi"/>
          <w:color w:val="222222"/>
          <w:sz w:val="22"/>
          <w:szCs w:val="22"/>
          <w:lang w:val="fr-CA"/>
        </w:rPr>
        <w:t> </w:t>
      </w:r>
      <w:r w:rsidRPr="008F610A">
        <w:rPr>
          <w:rFonts w:asciiTheme="minorHAnsi" w:hAnsiTheme="minorHAnsi"/>
          <w:color w:val="222222"/>
          <w:sz w:val="22"/>
          <w:szCs w:val="22"/>
          <w:lang w:val="fr-CA"/>
        </w:rPr>
        <w:t xml:space="preserve">2019, </w:t>
      </w:r>
      <w:r w:rsidR="003C46D1" w:rsidRPr="008F610A">
        <w:rPr>
          <w:rFonts w:asciiTheme="minorHAnsi" w:hAnsiTheme="minorHAnsi"/>
          <w:color w:val="222222"/>
          <w:sz w:val="22"/>
          <w:szCs w:val="22"/>
          <w:lang w:val="fr-CA"/>
        </w:rPr>
        <w:t>SP</w:t>
      </w:r>
      <w:r w:rsidRPr="008F610A">
        <w:rPr>
          <w:rFonts w:asciiTheme="minorHAnsi" w:hAnsiTheme="minorHAnsi"/>
          <w:color w:val="222222"/>
          <w:sz w:val="22"/>
          <w:szCs w:val="22"/>
          <w:lang w:val="fr-CA"/>
        </w:rPr>
        <w:t xml:space="preserve"> comptait 10</w:t>
      </w:r>
      <w:r w:rsidR="00100960" w:rsidRPr="008F610A">
        <w:rPr>
          <w:rFonts w:asciiTheme="minorHAnsi" w:hAnsiTheme="minorHAnsi"/>
          <w:color w:val="222222"/>
          <w:sz w:val="22"/>
          <w:szCs w:val="22"/>
          <w:lang w:val="fr-CA"/>
        </w:rPr>
        <w:t> </w:t>
      </w:r>
      <w:r w:rsidRPr="008F610A">
        <w:rPr>
          <w:rFonts w:asciiTheme="minorHAnsi" w:hAnsiTheme="minorHAnsi"/>
          <w:color w:val="222222"/>
          <w:sz w:val="22"/>
          <w:szCs w:val="22"/>
          <w:lang w:val="fr-CA"/>
        </w:rPr>
        <w:t>bénéficiaires de priorité.</w:t>
      </w:r>
    </w:p>
    <w:p w14:paraId="45A33D43" w14:textId="77777777" w:rsidR="00591DC8" w:rsidRPr="008F610A" w:rsidRDefault="00591DC8" w:rsidP="001639B2">
      <w:pPr>
        <w:pStyle w:val="NoSpacing"/>
        <w:spacing w:after="120"/>
        <w:rPr>
          <w:rFonts w:asciiTheme="minorHAnsi" w:hAnsiTheme="minorHAnsi" w:cstheme="minorHAnsi"/>
          <w:sz w:val="22"/>
          <w:szCs w:val="22"/>
          <w:lang w:val="fr-CA"/>
        </w:rPr>
      </w:pPr>
      <w:r w:rsidRPr="008F610A">
        <w:rPr>
          <w:rFonts w:asciiTheme="minorHAnsi" w:hAnsiTheme="minorHAnsi"/>
          <w:sz w:val="22"/>
          <w:szCs w:val="22"/>
          <w:lang w:val="fr-CA"/>
        </w:rPr>
        <w:t>Du 1</w:t>
      </w:r>
      <w:r w:rsidRPr="008F610A">
        <w:rPr>
          <w:rFonts w:asciiTheme="minorHAnsi" w:hAnsiTheme="minorHAnsi"/>
          <w:sz w:val="22"/>
          <w:szCs w:val="22"/>
          <w:vertAlign w:val="superscript"/>
          <w:lang w:val="fr-CA"/>
        </w:rPr>
        <w:t>er</w:t>
      </w:r>
      <w:r w:rsidRPr="008F610A">
        <w:rPr>
          <w:rFonts w:asciiTheme="minorHAnsi" w:hAnsiTheme="minorHAnsi"/>
          <w:sz w:val="22"/>
          <w:szCs w:val="22"/>
          <w:lang w:val="fr-CA"/>
        </w:rPr>
        <w:t> avril au 16 décembre 2019, SP a soumis 304 demandes d</w:t>
      </w:r>
      <w:r w:rsidR="00E346A8" w:rsidRPr="008F610A">
        <w:rPr>
          <w:rFonts w:asciiTheme="minorHAnsi" w:hAnsiTheme="minorHAnsi"/>
          <w:sz w:val="22"/>
          <w:szCs w:val="22"/>
          <w:lang w:val="fr-CA"/>
        </w:rPr>
        <w:t>’</w:t>
      </w:r>
      <w:r w:rsidRPr="008F610A">
        <w:rPr>
          <w:rFonts w:asciiTheme="minorHAnsi" w:hAnsiTheme="minorHAnsi"/>
          <w:sz w:val="22"/>
          <w:szCs w:val="22"/>
          <w:lang w:val="fr-CA"/>
        </w:rPr>
        <w:t>autorisation en matière de priorité</w:t>
      </w:r>
      <w:r w:rsidRPr="008F610A">
        <w:rPr>
          <w:rFonts w:asciiTheme="minorHAnsi" w:hAnsiTheme="minorHAnsi"/>
          <w:color w:val="222222"/>
          <w:sz w:val="22"/>
          <w:szCs w:val="22"/>
          <w:lang w:val="fr-CA"/>
        </w:rPr>
        <w:t>, dont une nomination de bénéficiaire de priorité</w:t>
      </w:r>
      <w:r w:rsidRPr="008F610A">
        <w:rPr>
          <w:rFonts w:asciiTheme="minorHAnsi" w:hAnsiTheme="minorHAnsi"/>
          <w:sz w:val="22"/>
          <w:szCs w:val="22"/>
          <w:lang w:val="fr-CA"/>
        </w:rPr>
        <w:t>.</w:t>
      </w:r>
    </w:p>
    <w:p w14:paraId="22721E31" w14:textId="77777777" w:rsidR="00591DC8" w:rsidRPr="008F610A" w:rsidRDefault="00591DC8" w:rsidP="001639B2">
      <w:pPr>
        <w:pStyle w:val="NoSpacing"/>
        <w:spacing w:after="120"/>
        <w:rPr>
          <w:rFonts w:asciiTheme="minorHAnsi" w:hAnsiTheme="minorHAnsi" w:cstheme="minorHAnsi"/>
          <w:sz w:val="22"/>
          <w:szCs w:val="22"/>
          <w:lang w:val="fr-CA"/>
        </w:rPr>
      </w:pPr>
      <w:r w:rsidRPr="008F610A">
        <w:rPr>
          <w:rFonts w:asciiTheme="minorHAnsi" w:hAnsiTheme="minorHAnsi"/>
          <w:color w:val="000000"/>
          <w:sz w:val="22"/>
          <w:szCs w:val="22"/>
          <w:lang w:val="fr-CA"/>
        </w:rPr>
        <w:t>SP a nommé un</w:t>
      </w:r>
      <w:r w:rsidR="003C46D1" w:rsidRPr="008F610A">
        <w:rPr>
          <w:rFonts w:asciiTheme="minorHAnsi" w:hAnsiTheme="minorHAnsi"/>
          <w:color w:val="000000"/>
          <w:sz w:val="22"/>
          <w:szCs w:val="22"/>
          <w:lang w:val="fr-CA"/>
        </w:rPr>
        <w:t xml:space="preserve"> membre des Forces armées canadiennes bénéficiant d’un droit de priorité prévu par la loi </w:t>
      </w:r>
      <w:r w:rsidRPr="008F610A">
        <w:rPr>
          <w:rFonts w:asciiTheme="minorHAnsi" w:hAnsiTheme="minorHAnsi"/>
          <w:color w:val="000000"/>
          <w:sz w:val="22"/>
          <w:szCs w:val="22"/>
          <w:lang w:val="fr-CA"/>
        </w:rPr>
        <w:t>(raisons attribuables au service) depuis l</w:t>
      </w:r>
      <w:r w:rsidR="00E346A8" w:rsidRPr="008F610A">
        <w:rPr>
          <w:rFonts w:asciiTheme="minorHAnsi" w:hAnsiTheme="minorHAnsi"/>
          <w:color w:val="000000"/>
          <w:sz w:val="22"/>
          <w:szCs w:val="22"/>
          <w:lang w:val="fr-CA"/>
        </w:rPr>
        <w:t>’</w:t>
      </w:r>
      <w:r w:rsidRPr="008F610A">
        <w:rPr>
          <w:rFonts w:asciiTheme="minorHAnsi" w:hAnsiTheme="minorHAnsi"/>
          <w:color w:val="000000"/>
          <w:sz w:val="22"/>
          <w:szCs w:val="22"/>
          <w:lang w:val="fr-CA"/>
        </w:rPr>
        <w:t xml:space="preserve">entrée en vigueur de la </w:t>
      </w:r>
      <w:r w:rsidRPr="001639B2">
        <w:rPr>
          <w:rStyle w:val="Emphasis"/>
          <w:rFonts w:asciiTheme="minorHAnsi" w:hAnsiTheme="minorHAnsi" w:cstheme="minorHAnsi"/>
          <w:sz w:val="22"/>
          <w:lang w:val="fr-CA"/>
        </w:rPr>
        <w:t>Loi sur l</w:t>
      </w:r>
      <w:r w:rsidR="00E346A8" w:rsidRPr="001639B2">
        <w:rPr>
          <w:rStyle w:val="Emphasis"/>
          <w:rFonts w:asciiTheme="minorHAnsi" w:hAnsiTheme="minorHAnsi" w:cstheme="minorHAnsi"/>
          <w:sz w:val="22"/>
          <w:lang w:val="fr-CA"/>
        </w:rPr>
        <w:t>’</w:t>
      </w:r>
      <w:r w:rsidRPr="001639B2">
        <w:rPr>
          <w:rStyle w:val="Emphasis"/>
          <w:rFonts w:asciiTheme="minorHAnsi" w:hAnsiTheme="minorHAnsi" w:cstheme="minorHAnsi"/>
          <w:sz w:val="22"/>
          <w:lang w:val="fr-CA"/>
        </w:rPr>
        <w:t>embauche des anciens combattants</w:t>
      </w:r>
      <w:r w:rsidRPr="008F610A">
        <w:rPr>
          <w:rFonts w:asciiTheme="minorHAnsi" w:hAnsiTheme="minorHAnsi"/>
          <w:color w:val="000000"/>
          <w:sz w:val="22"/>
          <w:szCs w:val="22"/>
          <w:lang w:val="fr-CA"/>
        </w:rPr>
        <w:t>, le 1</w:t>
      </w:r>
      <w:r w:rsidRPr="008F610A">
        <w:rPr>
          <w:rFonts w:asciiTheme="minorHAnsi" w:hAnsiTheme="minorHAnsi"/>
          <w:color w:val="000000"/>
          <w:sz w:val="22"/>
          <w:szCs w:val="22"/>
          <w:vertAlign w:val="superscript"/>
          <w:lang w:val="fr-CA"/>
        </w:rPr>
        <w:t>er</w:t>
      </w:r>
      <w:r w:rsidR="00100960" w:rsidRPr="008F610A">
        <w:rPr>
          <w:rFonts w:asciiTheme="minorHAnsi" w:hAnsiTheme="minorHAnsi"/>
          <w:color w:val="000000"/>
          <w:sz w:val="22"/>
          <w:szCs w:val="22"/>
          <w:vertAlign w:val="superscript"/>
          <w:lang w:val="fr-CA"/>
        </w:rPr>
        <w:t> </w:t>
      </w:r>
      <w:r w:rsidRPr="008F610A">
        <w:rPr>
          <w:rFonts w:asciiTheme="minorHAnsi" w:hAnsiTheme="minorHAnsi"/>
          <w:color w:val="000000"/>
          <w:sz w:val="22"/>
          <w:szCs w:val="22"/>
          <w:lang w:val="fr-CA"/>
        </w:rPr>
        <w:t>juillet</w:t>
      </w:r>
      <w:r w:rsidR="00100960" w:rsidRPr="008F610A">
        <w:rPr>
          <w:rFonts w:asciiTheme="minorHAnsi" w:hAnsiTheme="minorHAnsi"/>
          <w:color w:val="000000"/>
          <w:sz w:val="22"/>
          <w:szCs w:val="22"/>
          <w:lang w:val="fr-CA"/>
        </w:rPr>
        <w:t> </w:t>
      </w:r>
      <w:r w:rsidRPr="008F610A">
        <w:rPr>
          <w:rFonts w:asciiTheme="minorHAnsi" w:hAnsiTheme="minorHAnsi"/>
          <w:color w:val="000000"/>
          <w:sz w:val="22"/>
          <w:szCs w:val="22"/>
          <w:lang w:val="fr-CA"/>
        </w:rPr>
        <w:t>2015.</w:t>
      </w:r>
    </w:p>
    <w:p w14:paraId="0EFCF207" w14:textId="77777777" w:rsidR="00B3330F" w:rsidRPr="00B3330F" w:rsidRDefault="00B3330F" w:rsidP="00B3330F">
      <w:pPr>
        <w:pStyle w:val="Caption"/>
        <w:keepNext/>
        <w:spacing w:after="0"/>
        <w:rPr>
          <w:rFonts w:asciiTheme="minorHAnsi" w:hAnsiTheme="minorHAnsi" w:cstheme="minorHAnsi"/>
          <w:i w:val="0"/>
          <w:color w:val="auto"/>
        </w:rPr>
      </w:pPr>
      <w:r w:rsidRPr="00B3330F">
        <w:rPr>
          <w:rFonts w:asciiTheme="minorHAnsi" w:hAnsiTheme="minorHAnsi" w:cstheme="minorHAnsi"/>
          <w:i w:val="0"/>
          <w:color w:val="auto"/>
        </w:rPr>
        <w:lastRenderedPageBreak/>
        <w:t xml:space="preserve">Table </w:t>
      </w:r>
      <w:r w:rsidRPr="00B3330F">
        <w:rPr>
          <w:rFonts w:asciiTheme="minorHAnsi" w:hAnsiTheme="minorHAnsi" w:cstheme="minorHAnsi"/>
          <w:i w:val="0"/>
          <w:color w:val="auto"/>
        </w:rPr>
        <w:fldChar w:fldCharType="begin"/>
      </w:r>
      <w:r w:rsidRPr="00B3330F">
        <w:rPr>
          <w:rFonts w:asciiTheme="minorHAnsi" w:hAnsiTheme="minorHAnsi" w:cstheme="minorHAnsi"/>
          <w:i w:val="0"/>
          <w:color w:val="auto"/>
        </w:rPr>
        <w:instrText xml:space="preserve"> SEQ Table \* ARABIC </w:instrText>
      </w:r>
      <w:r w:rsidRPr="00B3330F">
        <w:rPr>
          <w:rFonts w:asciiTheme="minorHAnsi" w:hAnsiTheme="minorHAnsi" w:cstheme="minorHAnsi"/>
          <w:i w:val="0"/>
          <w:color w:val="auto"/>
        </w:rPr>
        <w:fldChar w:fldCharType="separate"/>
      </w:r>
      <w:r w:rsidR="00766F9D">
        <w:rPr>
          <w:rFonts w:asciiTheme="minorHAnsi" w:hAnsiTheme="minorHAnsi" w:cstheme="minorHAnsi"/>
          <w:i w:val="0"/>
          <w:noProof/>
          <w:color w:val="auto"/>
        </w:rPr>
        <w:t>3</w:t>
      </w:r>
      <w:r w:rsidRPr="00B3330F">
        <w:rPr>
          <w:rFonts w:asciiTheme="minorHAnsi" w:hAnsiTheme="minorHAnsi" w:cstheme="minorHAnsi"/>
          <w:i w:val="0"/>
          <w:color w:val="auto"/>
        </w:rPr>
        <w:fldChar w:fldCharType="end"/>
      </w:r>
      <w:r w:rsidRPr="00B3330F">
        <w:rPr>
          <w:rFonts w:asciiTheme="minorHAnsi" w:hAnsiTheme="minorHAnsi" w:cstheme="minorHAnsi"/>
          <w:i w:val="0"/>
          <w:color w:val="auto"/>
        </w:rPr>
        <w:t xml:space="preserve"> - Droits de priorité et vétérans</w:t>
      </w:r>
    </w:p>
    <w:tbl>
      <w:tblPr>
        <w:tblStyle w:val="TableGrid"/>
        <w:tblW w:w="5000" w:type="pct"/>
        <w:jc w:val="center"/>
        <w:tblLook w:val="04A0" w:firstRow="1" w:lastRow="0" w:firstColumn="1" w:lastColumn="0" w:noHBand="0" w:noVBand="1"/>
        <w:tblCaption w:val="PSC Priority Appointment Data Medically Released Military Members"/>
        <w:tblDescription w:val="Droits de priorité et vétérans"/>
      </w:tblPr>
      <w:tblGrid>
        <w:gridCol w:w="2263"/>
        <w:gridCol w:w="3686"/>
        <w:gridCol w:w="4121"/>
      </w:tblGrid>
      <w:tr w:rsidR="00673F3E" w:rsidRPr="00673F3E" w14:paraId="5891445A" w14:textId="77777777" w:rsidTr="00673F3E">
        <w:trPr>
          <w:cantSplit/>
          <w:tblHeader/>
          <w:jc w:val="center"/>
        </w:trPr>
        <w:tc>
          <w:tcPr>
            <w:tcW w:w="1124" w:type="pct"/>
            <w:shd w:val="clear" w:color="auto" w:fill="0070C0"/>
            <w:vAlign w:val="center"/>
          </w:tcPr>
          <w:p w14:paraId="18DDC12D" w14:textId="77777777" w:rsidR="001639B2" w:rsidRPr="00673F3E" w:rsidRDefault="001639B2" w:rsidP="00673F3E">
            <w:pPr>
              <w:pStyle w:val="TableTitle"/>
              <w:rPr>
                <w:rFonts w:cs="Segoe UI Semibold"/>
                <w:color w:val="FFFFFF" w:themeColor="background1"/>
                <w:sz w:val="22"/>
                <w:lang w:val="fr-CA"/>
              </w:rPr>
            </w:pPr>
            <w:r w:rsidRPr="00673F3E">
              <w:rPr>
                <w:rFonts w:cs="Segoe UI Semibold"/>
                <w:color w:val="FFFFFF" w:themeColor="background1"/>
                <w:sz w:val="22"/>
                <w:lang w:val="fr-CA"/>
              </w:rPr>
              <w:t>P</w:t>
            </w:r>
            <w:r w:rsidR="00BF469C" w:rsidRPr="00673F3E">
              <w:rPr>
                <w:rFonts w:cs="Segoe UI Semibold"/>
                <w:color w:val="FFFFFF" w:themeColor="background1"/>
                <w:sz w:val="22"/>
                <w:lang w:val="fr-CA"/>
              </w:rPr>
              <w:t>ériode</w:t>
            </w:r>
          </w:p>
        </w:tc>
        <w:tc>
          <w:tcPr>
            <w:tcW w:w="1830" w:type="pct"/>
            <w:shd w:val="clear" w:color="auto" w:fill="0070C0"/>
            <w:vAlign w:val="center"/>
          </w:tcPr>
          <w:p w14:paraId="0E488B88" w14:textId="77777777" w:rsidR="001639B2" w:rsidRPr="00673F3E" w:rsidRDefault="001639B2" w:rsidP="00673F3E">
            <w:pPr>
              <w:pStyle w:val="TableTitle"/>
              <w:rPr>
                <w:rFonts w:cs="Segoe UI Semibold"/>
                <w:color w:val="FFFFFF" w:themeColor="background1"/>
                <w:sz w:val="22"/>
                <w:lang w:val="fr-CA"/>
              </w:rPr>
            </w:pPr>
            <w:r w:rsidRPr="00673F3E">
              <w:rPr>
                <w:rFonts w:cs="Segoe UI Semibold"/>
                <w:color w:val="FFFFFF" w:themeColor="background1"/>
                <w:sz w:val="22"/>
                <w:lang w:val="fr-CA"/>
              </w:rPr>
              <w:t>Raisons attribuables au service (droit de priorité prévu par la loi)</w:t>
            </w:r>
          </w:p>
        </w:tc>
        <w:tc>
          <w:tcPr>
            <w:tcW w:w="2046" w:type="pct"/>
            <w:shd w:val="clear" w:color="auto" w:fill="0070C0"/>
            <w:vAlign w:val="center"/>
          </w:tcPr>
          <w:p w14:paraId="101D8C05" w14:textId="77777777" w:rsidR="001639B2" w:rsidRPr="00673F3E" w:rsidRDefault="001639B2" w:rsidP="00673F3E">
            <w:pPr>
              <w:pStyle w:val="TableTitle"/>
              <w:rPr>
                <w:rFonts w:cs="Segoe UI Semibold"/>
                <w:color w:val="FFFFFF" w:themeColor="background1"/>
                <w:sz w:val="22"/>
                <w:lang w:val="fr-CA"/>
              </w:rPr>
            </w:pPr>
            <w:r w:rsidRPr="00673F3E">
              <w:rPr>
                <w:rFonts w:cs="Segoe UI Semibold"/>
                <w:color w:val="FFFFFF" w:themeColor="background1"/>
                <w:sz w:val="22"/>
                <w:lang w:val="fr-CA"/>
              </w:rPr>
              <w:t>Raisons non attribuables au service (droit de priorité prévu par règlement)</w:t>
            </w:r>
          </w:p>
        </w:tc>
      </w:tr>
      <w:tr w:rsidR="001639B2" w:rsidRPr="00B3330F" w14:paraId="3502640E" w14:textId="77777777" w:rsidTr="00673F3E">
        <w:trPr>
          <w:cantSplit/>
          <w:tblHeader/>
          <w:jc w:val="center"/>
        </w:trPr>
        <w:tc>
          <w:tcPr>
            <w:tcW w:w="1124" w:type="pct"/>
            <w:shd w:val="clear" w:color="auto" w:fill="0070C0"/>
            <w:vAlign w:val="center"/>
          </w:tcPr>
          <w:p w14:paraId="57F814CC" w14:textId="77777777" w:rsidR="001639B2" w:rsidRPr="00B3330F" w:rsidRDefault="001639B2" w:rsidP="00B3330F">
            <w:pPr>
              <w:pStyle w:val="Level1"/>
              <w:tabs>
                <w:tab w:val="left" w:pos="-1440"/>
              </w:tabs>
              <w:autoSpaceDE w:val="0"/>
              <w:autoSpaceDN w:val="0"/>
              <w:adjustRightInd w:val="0"/>
              <w:spacing w:after="120" w:line="20" w:lineRule="atLeast"/>
              <w:rPr>
                <w:rFonts w:asciiTheme="minorHAnsi" w:hAnsiTheme="minorHAnsi" w:cstheme="minorHAnsi"/>
                <w:color w:val="FFFFFF" w:themeColor="background1"/>
                <w:sz w:val="22"/>
                <w:szCs w:val="22"/>
                <w:lang w:val="fr-CA"/>
              </w:rPr>
            </w:pPr>
            <w:r w:rsidRPr="00B3330F">
              <w:rPr>
                <w:rFonts w:asciiTheme="minorHAnsi" w:hAnsiTheme="minorHAnsi" w:cstheme="minorHAnsi"/>
                <w:color w:val="FFFFFF" w:themeColor="background1"/>
                <w:sz w:val="22"/>
                <w:szCs w:val="22"/>
                <w:lang w:val="fr-CA"/>
              </w:rPr>
              <w:t>2015 (1</w:t>
            </w:r>
            <w:r w:rsidRPr="00B3330F">
              <w:rPr>
                <w:rFonts w:asciiTheme="minorHAnsi" w:hAnsiTheme="minorHAnsi" w:cstheme="minorHAnsi"/>
                <w:color w:val="FFFFFF" w:themeColor="background1"/>
                <w:sz w:val="22"/>
                <w:szCs w:val="22"/>
                <w:vertAlign w:val="superscript"/>
                <w:lang w:val="fr-CA"/>
              </w:rPr>
              <w:t>er</w:t>
            </w:r>
            <w:r w:rsidRPr="00B3330F">
              <w:rPr>
                <w:rFonts w:asciiTheme="minorHAnsi" w:hAnsiTheme="minorHAnsi" w:cstheme="minorHAnsi"/>
                <w:color w:val="FFFFFF" w:themeColor="background1"/>
                <w:sz w:val="22"/>
                <w:szCs w:val="22"/>
                <w:lang w:val="fr-CA"/>
              </w:rPr>
              <w:t> juillet) – 2016</w:t>
            </w:r>
          </w:p>
        </w:tc>
        <w:tc>
          <w:tcPr>
            <w:tcW w:w="1830" w:type="pct"/>
            <w:shd w:val="clear" w:color="auto" w:fill="auto"/>
            <w:vAlign w:val="center"/>
          </w:tcPr>
          <w:p w14:paraId="6342C9B9" w14:textId="77777777" w:rsidR="001639B2" w:rsidRPr="00B3330F" w:rsidRDefault="001639B2" w:rsidP="001639B2">
            <w:pPr>
              <w:pStyle w:val="Level1"/>
              <w:tabs>
                <w:tab w:val="left" w:pos="-1440"/>
              </w:tabs>
              <w:autoSpaceDE w:val="0"/>
              <w:autoSpaceDN w:val="0"/>
              <w:adjustRightInd w:val="0"/>
              <w:spacing w:after="120" w:line="20" w:lineRule="atLeast"/>
              <w:jc w:val="center"/>
              <w:rPr>
                <w:rFonts w:asciiTheme="minorHAnsi" w:hAnsiTheme="minorHAnsi" w:cstheme="minorHAnsi"/>
                <w:sz w:val="22"/>
                <w:szCs w:val="22"/>
                <w:lang w:val="fr-CA"/>
              </w:rPr>
            </w:pPr>
            <w:r w:rsidRPr="00B3330F">
              <w:rPr>
                <w:rFonts w:asciiTheme="minorHAnsi" w:hAnsiTheme="minorHAnsi" w:cstheme="minorHAnsi"/>
                <w:sz w:val="22"/>
                <w:szCs w:val="22"/>
                <w:lang w:val="fr-CA"/>
              </w:rPr>
              <w:t>0</w:t>
            </w:r>
          </w:p>
        </w:tc>
        <w:tc>
          <w:tcPr>
            <w:tcW w:w="2046" w:type="pct"/>
            <w:shd w:val="clear" w:color="auto" w:fill="auto"/>
            <w:vAlign w:val="center"/>
          </w:tcPr>
          <w:p w14:paraId="1441A277" w14:textId="77777777" w:rsidR="001639B2" w:rsidRPr="00B3330F" w:rsidRDefault="001639B2" w:rsidP="001639B2">
            <w:pPr>
              <w:pStyle w:val="Level1"/>
              <w:tabs>
                <w:tab w:val="left" w:pos="-1440"/>
              </w:tabs>
              <w:autoSpaceDE w:val="0"/>
              <w:autoSpaceDN w:val="0"/>
              <w:adjustRightInd w:val="0"/>
              <w:spacing w:after="120" w:line="20" w:lineRule="atLeast"/>
              <w:jc w:val="center"/>
              <w:rPr>
                <w:rFonts w:asciiTheme="minorHAnsi" w:hAnsiTheme="minorHAnsi" w:cstheme="minorHAnsi"/>
                <w:sz w:val="22"/>
                <w:szCs w:val="22"/>
                <w:lang w:val="fr-CA"/>
              </w:rPr>
            </w:pPr>
            <w:r w:rsidRPr="00B3330F">
              <w:rPr>
                <w:rFonts w:asciiTheme="minorHAnsi" w:hAnsiTheme="minorHAnsi" w:cstheme="minorHAnsi"/>
                <w:sz w:val="22"/>
                <w:szCs w:val="22"/>
                <w:lang w:val="fr-CA"/>
              </w:rPr>
              <w:t>0</w:t>
            </w:r>
          </w:p>
        </w:tc>
      </w:tr>
      <w:tr w:rsidR="001639B2" w:rsidRPr="00B3330F" w14:paraId="7D6CDC1B" w14:textId="77777777" w:rsidTr="00673F3E">
        <w:trPr>
          <w:cantSplit/>
          <w:tblHeader/>
          <w:jc w:val="center"/>
        </w:trPr>
        <w:tc>
          <w:tcPr>
            <w:tcW w:w="1124" w:type="pct"/>
            <w:shd w:val="clear" w:color="auto" w:fill="0070C0"/>
            <w:vAlign w:val="center"/>
          </w:tcPr>
          <w:p w14:paraId="37C54919" w14:textId="77777777" w:rsidR="001639B2" w:rsidRPr="00B3330F" w:rsidRDefault="001639B2" w:rsidP="00B3330F">
            <w:pPr>
              <w:pStyle w:val="Level1"/>
              <w:tabs>
                <w:tab w:val="left" w:pos="-1440"/>
              </w:tabs>
              <w:autoSpaceDE w:val="0"/>
              <w:autoSpaceDN w:val="0"/>
              <w:adjustRightInd w:val="0"/>
              <w:spacing w:after="120" w:line="20" w:lineRule="atLeast"/>
              <w:rPr>
                <w:rFonts w:asciiTheme="minorHAnsi" w:hAnsiTheme="minorHAnsi" w:cstheme="minorHAnsi"/>
                <w:color w:val="FFFFFF" w:themeColor="background1"/>
                <w:sz w:val="22"/>
                <w:szCs w:val="22"/>
                <w:lang w:val="fr-CA"/>
              </w:rPr>
            </w:pPr>
            <w:r w:rsidRPr="00B3330F">
              <w:rPr>
                <w:rFonts w:asciiTheme="minorHAnsi" w:hAnsiTheme="minorHAnsi" w:cstheme="minorHAnsi"/>
                <w:color w:val="FFFFFF" w:themeColor="background1"/>
                <w:sz w:val="22"/>
                <w:szCs w:val="22"/>
                <w:lang w:val="fr-CA"/>
              </w:rPr>
              <w:t>2016 – 2017</w:t>
            </w:r>
          </w:p>
        </w:tc>
        <w:tc>
          <w:tcPr>
            <w:tcW w:w="1830" w:type="pct"/>
            <w:shd w:val="clear" w:color="auto" w:fill="auto"/>
            <w:vAlign w:val="center"/>
          </w:tcPr>
          <w:p w14:paraId="26922005" w14:textId="77777777" w:rsidR="001639B2" w:rsidRPr="00B3330F" w:rsidRDefault="001639B2" w:rsidP="001639B2">
            <w:pPr>
              <w:pStyle w:val="Level1"/>
              <w:tabs>
                <w:tab w:val="left" w:pos="-1440"/>
              </w:tabs>
              <w:autoSpaceDE w:val="0"/>
              <w:autoSpaceDN w:val="0"/>
              <w:adjustRightInd w:val="0"/>
              <w:spacing w:after="120" w:line="20" w:lineRule="atLeast"/>
              <w:jc w:val="center"/>
              <w:rPr>
                <w:rFonts w:asciiTheme="minorHAnsi" w:hAnsiTheme="minorHAnsi" w:cstheme="minorHAnsi"/>
                <w:sz w:val="22"/>
                <w:szCs w:val="22"/>
                <w:lang w:val="fr-CA"/>
              </w:rPr>
            </w:pPr>
            <w:r w:rsidRPr="00B3330F">
              <w:rPr>
                <w:rFonts w:asciiTheme="minorHAnsi" w:hAnsiTheme="minorHAnsi" w:cstheme="minorHAnsi"/>
                <w:sz w:val="22"/>
                <w:szCs w:val="22"/>
                <w:lang w:val="fr-CA"/>
              </w:rPr>
              <w:t>0</w:t>
            </w:r>
          </w:p>
        </w:tc>
        <w:tc>
          <w:tcPr>
            <w:tcW w:w="2046" w:type="pct"/>
            <w:shd w:val="clear" w:color="auto" w:fill="auto"/>
            <w:vAlign w:val="center"/>
          </w:tcPr>
          <w:p w14:paraId="4EE334C9" w14:textId="77777777" w:rsidR="001639B2" w:rsidRPr="00B3330F" w:rsidRDefault="001639B2" w:rsidP="001639B2">
            <w:pPr>
              <w:pStyle w:val="Level1"/>
              <w:tabs>
                <w:tab w:val="left" w:pos="-1440"/>
              </w:tabs>
              <w:autoSpaceDE w:val="0"/>
              <w:autoSpaceDN w:val="0"/>
              <w:adjustRightInd w:val="0"/>
              <w:spacing w:after="120" w:line="20" w:lineRule="atLeast"/>
              <w:jc w:val="center"/>
              <w:rPr>
                <w:rFonts w:asciiTheme="minorHAnsi" w:hAnsiTheme="minorHAnsi" w:cstheme="minorHAnsi"/>
                <w:sz w:val="22"/>
                <w:szCs w:val="22"/>
                <w:lang w:val="fr-CA"/>
              </w:rPr>
            </w:pPr>
            <w:r w:rsidRPr="00B3330F">
              <w:rPr>
                <w:rFonts w:asciiTheme="minorHAnsi" w:hAnsiTheme="minorHAnsi" w:cstheme="minorHAnsi"/>
                <w:sz w:val="22"/>
                <w:szCs w:val="22"/>
                <w:lang w:val="fr-CA"/>
              </w:rPr>
              <w:t>0</w:t>
            </w:r>
          </w:p>
        </w:tc>
      </w:tr>
      <w:tr w:rsidR="001639B2" w:rsidRPr="00B3330F" w14:paraId="3A48B8C5" w14:textId="77777777" w:rsidTr="00673F3E">
        <w:trPr>
          <w:cantSplit/>
          <w:tblHeader/>
          <w:jc w:val="center"/>
        </w:trPr>
        <w:tc>
          <w:tcPr>
            <w:tcW w:w="1124" w:type="pct"/>
            <w:shd w:val="clear" w:color="auto" w:fill="0070C0"/>
            <w:vAlign w:val="center"/>
          </w:tcPr>
          <w:p w14:paraId="5444F6E3" w14:textId="77777777" w:rsidR="001639B2" w:rsidRPr="00B3330F" w:rsidRDefault="001639B2" w:rsidP="00B3330F">
            <w:pPr>
              <w:pStyle w:val="Level1"/>
              <w:tabs>
                <w:tab w:val="left" w:pos="-1440"/>
              </w:tabs>
              <w:autoSpaceDE w:val="0"/>
              <w:autoSpaceDN w:val="0"/>
              <w:adjustRightInd w:val="0"/>
              <w:spacing w:after="120" w:line="20" w:lineRule="atLeast"/>
              <w:rPr>
                <w:rFonts w:asciiTheme="minorHAnsi" w:hAnsiTheme="minorHAnsi" w:cstheme="minorHAnsi"/>
                <w:color w:val="FFFFFF" w:themeColor="background1"/>
                <w:sz w:val="22"/>
                <w:szCs w:val="22"/>
                <w:lang w:val="fr-CA"/>
              </w:rPr>
            </w:pPr>
            <w:r w:rsidRPr="00B3330F">
              <w:rPr>
                <w:rFonts w:asciiTheme="minorHAnsi" w:hAnsiTheme="minorHAnsi" w:cstheme="minorHAnsi"/>
                <w:color w:val="FFFFFF" w:themeColor="background1"/>
                <w:sz w:val="22"/>
                <w:szCs w:val="22"/>
                <w:lang w:val="fr-CA"/>
              </w:rPr>
              <w:t>2017 – 2018</w:t>
            </w:r>
          </w:p>
        </w:tc>
        <w:tc>
          <w:tcPr>
            <w:tcW w:w="1830" w:type="pct"/>
            <w:shd w:val="clear" w:color="auto" w:fill="auto"/>
            <w:vAlign w:val="center"/>
          </w:tcPr>
          <w:p w14:paraId="74C03EB3" w14:textId="77777777" w:rsidR="001639B2" w:rsidRPr="00B3330F" w:rsidRDefault="001639B2" w:rsidP="001639B2">
            <w:pPr>
              <w:pStyle w:val="Level1"/>
              <w:tabs>
                <w:tab w:val="left" w:pos="-1440"/>
              </w:tabs>
              <w:autoSpaceDE w:val="0"/>
              <w:autoSpaceDN w:val="0"/>
              <w:adjustRightInd w:val="0"/>
              <w:spacing w:after="120" w:line="20" w:lineRule="atLeast"/>
              <w:jc w:val="center"/>
              <w:rPr>
                <w:rFonts w:asciiTheme="minorHAnsi" w:hAnsiTheme="minorHAnsi" w:cstheme="minorHAnsi"/>
                <w:sz w:val="22"/>
                <w:szCs w:val="22"/>
                <w:lang w:val="fr-CA"/>
              </w:rPr>
            </w:pPr>
            <w:r w:rsidRPr="00B3330F">
              <w:rPr>
                <w:rFonts w:asciiTheme="minorHAnsi" w:hAnsiTheme="minorHAnsi" w:cstheme="minorHAnsi"/>
                <w:sz w:val="22"/>
                <w:szCs w:val="22"/>
                <w:lang w:val="fr-CA"/>
              </w:rPr>
              <w:t>0</w:t>
            </w:r>
          </w:p>
        </w:tc>
        <w:tc>
          <w:tcPr>
            <w:tcW w:w="2046" w:type="pct"/>
            <w:shd w:val="clear" w:color="auto" w:fill="auto"/>
            <w:vAlign w:val="center"/>
          </w:tcPr>
          <w:p w14:paraId="0E3249DF" w14:textId="77777777" w:rsidR="001639B2" w:rsidRPr="00B3330F" w:rsidRDefault="001639B2" w:rsidP="001639B2">
            <w:pPr>
              <w:pStyle w:val="Level1"/>
              <w:tabs>
                <w:tab w:val="left" w:pos="-1440"/>
              </w:tabs>
              <w:autoSpaceDE w:val="0"/>
              <w:autoSpaceDN w:val="0"/>
              <w:adjustRightInd w:val="0"/>
              <w:spacing w:after="120" w:line="20" w:lineRule="atLeast"/>
              <w:jc w:val="center"/>
              <w:rPr>
                <w:rFonts w:asciiTheme="minorHAnsi" w:hAnsiTheme="minorHAnsi" w:cstheme="minorHAnsi"/>
                <w:sz w:val="22"/>
                <w:szCs w:val="22"/>
                <w:lang w:val="fr-CA"/>
              </w:rPr>
            </w:pPr>
            <w:r w:rsidRPr="00B3330F">
              <w:rPr>
                <w:rFonts w:asciiTheme="minorHAnsi" w:hAnsiTheme="minorHAnsi" w:cstheme="minorHAnsi"/>
                <w:sz w:val="22"/>
                <w:szCs w:val="22"/>
                <w:lang w:val="fr-CA"/>
              </w:rPr>
              <w:t>0</w:t>
            </w:r>
          </w:p>
        </w:tc>
      </w:tr>
      <w:tr w:rsidR="001639B2" w:rsidRPr="00B3330F" w14:paraId="2FF7FF8B" w14:textId="77777777" w:rsidTr="00673F3E">
        <w:trPr>
          <w:cantSplit/>
          <w:tblHeader/>
          <w:jc w:val="center"/>
        </w:trPr>
        <w:tc>
          <w:tcPr>
            <w:tcW w:w="1124" w:type="pct"/>
            <w:shd w:val="clear" w:color="auto" w:fill="0070C0"/>
            <w:vAlign w:val="center"/>
          </w:tcPr>
          <w:p w14:paraId="12E51F5B" w14:textId="77777777" w:rsidR="001639B2" w:rsidRPr="00B3330F" w:rsidRDefault="001639B2" w:rsidP="00B3330F">
            <w:pPr>
              <w:pStyle w:val="Level1"/>
              <w:tabs>
                <w:tab w:val="left" w:pos="-1440"/>
              </w:tabs>
              <w:autoSpaceDE w:val="0"/>
              <w:autoSpaceDN w:val="0"/>
              <w:adjustRightInd w:val="0"/>
              <w:spacing w:after="120" w:line="20" w:lineRule="atLeast"/>
              <w:rPr>
                <w:rFonts w:asciiTheme="minorHAnsi" w:hAnsiTheme="minorHAnsi" w:cstheme="minorHAnsi"/>
                <w:color w:val="FFFFFF" w:themeColor="background1"/>
                <w:sz w:val="22"/>
                <w:szCs w:val="22"/>
                <w:lang w:val="fr-CA"/>
              </w:rPr>
            </w:pPr>
            <w:r w:rsidRPr="00B3330F">
              <w:rPr>
                <w:rFonts w:asciiTheme="minorHAnsi" w:hAnsiTheme="minorHAnsi" w:cstheme="minorHAnsi"/>
                <w:color w:val="FFFFFF" w:themeColor="background1"/>
                <w:sz w:val="22"/>
                <w:szCs w:val="22"/>
                <w:lang w:val="fr-CA"/>
              </w:rPr>
              <w:t>2018 – 2019</w:t>
            </w:r>
          </w:p>
        </w:tc>
        <w:tc>
          <w:tcPr>
            <w:tcW w:w="1830" w:type="pct"/>
            <w:shd w:val="clear" w:color="auto" w:fill="auto"/>
            <w:vAlign w:val="center"/>
          </w:tcPr>
          <w:p w14:paraId="7AF0ABF7" w14:textId="77777777" w:rsidR="001639B2" w:rsidRPr="00B3330F" w:rsidRDefault="001639B2" w:rsidP="001639B2">
            <w:pPr>
              <w:pStyle w:val="Level1"/>
              <w:tabs>
                <w:tab w:val="left" w:pos="-1440"/>
              </w:tabs>
              <w:autoSpaceDE w:val="0"/>
              <w:autoSpaceDN w:val="0"/>
              <w:adjustRightInd w:val="0"/>
              <w:spacing w:after="120" w:line="20" w:lineRule="atLeast"/>
              <w:jc w:val="center"/>
              <w:rPr>
                <w:rFonts w:asciiTheme="minorHAnsi" w:hAnsiTheme="minorHAnsi" w:cstheme="minorHAnsi"/>
                <w:sz w:val="22"/>
                <w:szCs w:val="22"/>
                <w:lang w:val="fr-CA"/>
              </w:rPr>
            </w:pPr>
            <w:r w:rsidRPr="00B3330F">
              <w:rPr>
                <w:rFonts w:asciiTheme="minorHAnsi" w:hAnsiTheme="minorHAnsi" w:cstheme="minorHAnsi"/>
                <w:sz w:val="22"/>
                <w:szCs w:val="22"/>
                <w:lang w:val="fr-CA"/>
              </w:rPr>
              <w:t>1</w:t>
            </w:r>
          </w:p>
        </w:tc>
        <w:tc>
          <w:tcPr>
            <w:tcW w:w="2046" w:type="pct"/>
            <w:shd w:val="clear" w:color="auto" w:fill="auto"/>
            <w:vAlign w:val="center"/>
          </w:tcPr>
          <w:p w14:paraId="7E020EA0" w14:textId="77777777" w:rsidR="001639B2" w:rsidRPr="00B3330F" w:rsidRDefault="001639B2" w:rsidP="001639B2">
            <w:pPr>
              <w:pStyle w:val="Level1"/>
              <w:tabs>
                <w:tab w:val="left" w:pos="-1440"/>
              </w:tabs>
              <w:autoSpaceDE w:val="0"/>
              <w:autoSpaceDN w:val="0"/>
              <w:adjustRightInd w:val="0"/>
              <w:spacing w:after="120" w:line="20" w:lineRule="atLeast"/>
              <w:jc w:val="center"/>
              <w:rPr>
                <w:rFonts w:asciiTheme="minorHAnsi" w:hAnsiTheme="minorHAnsi" w:cstheme="minorHAnsi"/>
                <w:sz w:val="22"/>
                <w:szCs w:val="22"/>
                <w:lang w:val="fr-CA"/>
              </w:rPr>
            </w:pPr>
            <w:r w:rsidRPr="00B3330F">
              <w:rPr>
                <w:rFonts w:asciiTheme="minorHAnsi" w:hAnsiTheme="minorHAnsi" w:cstheme="minorHAnsi"/>
                <w:sz w:val="22"/>
                <w:szCs w:val="22"/>
                <w:lang w:val="fr-CA"/>
              </w:rPr>
              <w:t>0</w:t>
            </w:r>
          </w:p>
        </w:tc>
      </w:tr>
      <w:tr w:rsidR="001639B2" w:rsidRPr="00B3330F" w14:paraId="637B4CE6" w14:textId="77777777" w:rsidTr="00673F3E">
        <w:trPr>
          <w:cantSplit/>
          <w:tblHeader/>
          <w:jc w:val="center"/>
        </w:trPr>
        <w:tc>
          <w:tcPr>
            <w:tcW w:w="1124" w:type="pct"/>
            <w:shd w:val="clear" w:color="auto" w:fill="BAF8FF" w:themeFill="accent3" w:themeFillTint="33"/>
            <w:vAlign w:val="center"/>
          </w:tcPr>
          <w:p w14:paraId="5813553B" w14:textId="77777777" w:rsidR="001639B2" w:rsidRPr="00B3330F" w:rsidRDefault="001639B2" w:rsidP="00BF469C">
            <w:pPr>
              <w:pStyle w:val="Level1"/>
              <w:tabs>
                <w:tab w:val="left" w:pos="-1440"/>
              </w:tabs>
              <w:autoSpaceDE w:val="0"/>
              <w:autoSpaceDN w:val="0"/>
              <w:adjustRightInd w:val="0"/>
              <w:spacing w:after="120" w:line="20" w:lineRule="atLeast"/>
              <w:rPr>
                <w:rFonts w:asciiTheme="minorHAnsi" w:hAnsiTheme="minorHAnsi" w:cstheme="minorHAnsi"/>
                <w:sz w:val="22"/>
                <w:szCs w:val="22"/>
                <w:lang w:val="fr-CA"/>
              </w:rPr>
            </w:pPr>
            <w:r w:rsidRPr="00B3330F">
              <w:rPr>
                <w:rFonts w:asciiTheme="minorHAnsi" w:hAnsiTheme="minorHAnsi" w:cstheme="minorHAnsi"/>
                <w:sz w:val="22"/>
                <w:szCs w:val="22"/>
                <w:lang w:val="fr-CA"/>
              </w:rPr>
              <w:t>T</w:t>
            </w:r>
            <w:r w:rsidR="00BF469C">
              <w:rPr>
                <w:rFonts w:asciiTheme="minorHAnsi" w:hAnsiTheme="minorHAnsi" w:cstheme="minorHAnsi"/>
                <w:sz w:val="22"/>
                <w:szCs w:val="22"/>
                <w:lang w:val="fr-CA"/>
              </w:rPr>
              <w:t>otal</w:t>
            </w:r>
          </w:p>
        </w:tc>
        <w:tc>
          <w:tcPr>
            <w:tcW w:w="1830" w:type="pct"/>
            <w:shd w:val="clear" w:color="auto" w:fill="BAF8FF" w:themeFill="accent3" w:themeFillTint="33"/>
            <w:vAlign w:val="center"/>
          </w:tcPr>
          <w:p w14:paraId="78B99B30" w14:textId="77777777" w:rsidR="001639B2" w:rsidRPr="00B3330F" w:rsidRDefault="001639B2" w:rsidP="00B3330F">
            <w:pPr>
              <w:pStyle w:val="Level1"/>
              <w:tabs>
                <w:tab w:val="left" w:pos="-1440"/>
              </w:tabs>
              <w:autoSpaceDE w:val="0"/>
              <w:autoSpaceDN w:val="0"/>
              <w:adjustRightInd w:val="0"/>
              <w:spacing w:after="120" w:line="20" w:lineRule="atLeast"/>
              <w:jc w:val="center"/>
              <w:rPr>
                <w:rFonts w:asciiTheme="minorHAnsi" w:hAnsiTheme="minorHAnsi" w:cstheme="minorHAnsi"/>
                <w:sz w:val="22"/>
                <w:szCs w:val="22"/>
                <w:lang w:val="fr-CA"/>
              </w:rPr>
            </w:pPr>
            <w:r w:rsidRPr="00B3330F">
              <w:rPr>
                <w:rFonts w:asciiTheme="minorHAnsi" w:hAnsiTheme="minorHAnsi" w:cstheme="minorHAnsi"/>
                <w:sz w:val="22"/>
                <w:szCs w:val="22"/>
                <w:lang w:val="fr-CA"/>
              </w:rPr>
              <w:t>1</w:t>
            </w:r>
          </w:p>
        </w:tc>
        <w:tc>
          <w:tcPr>
            <w:tcW w:w="2046" w:type="pct"/>
            <w:shd w:val="clear" w:color="auto" w:fill="BAF8FF" w:themeFill="accent3" w:themeFillTint="33"/>
            <w:vAlign w:val="center"/>
          </w:tcPr>
          <w:p w14:paraId="038369B7" w14:textId="77777777" w:rsidR="001639B2" w:rsidRPr="00B3330F" w:rsidRDefault="001639B2" w:rsidP="001639B2">
            <w:pPr>
              <w:pStyle w:val="Level1"/>
              <w:tabs>
                <w:tab w:val="left" w:pos="-1440"/>
              </w:tabs>
              <w:autoSpaceDE w:val="0"/>
              <w:autoSpaceDN w:val="0"/>
              <w:adjustRightInd w:val="0"/>
              <w:spacing w:after="120" w:line="20" w:lineRule="atLeast"/>
              <w:jc w:val="center"/>
              <w:rPr>
                <w:rFonts w:asciiTheme="minorHAnsi" w:hAnsiTheme="minorHAnsi" w:cstheme="minorHAnsi"/>
                <w:sz w:val="22"/>
                <w:szCs w:val="22"/>
                <w:lang w:val="fr-CA"/>
              </w:rPr>
            </w:pPr>
            <w:r w:rsidRPr="00B3330F">
              <w:rPr>
                <w:rFonts w:asciiTheme="minorHAnsi" w:hAnsiTheme="minorHAnsi" w:cstheme="minorHAnsi"/>
                <w:sz w:val="22"/>
                <w:szCs w:val="22"/>
                <w:lang w:val="fr-CA"/>
              </w:rPr>
              <w:t>0</w:t>
            </w:r>
          </w:p>
        </w:tc>
      </w:tr>
    </w:tbl>
    <w:p w14:paraId="0C41EEF8" w14:textId="77777777" w:rsidR="001639B2" w:rsidRPr="00B3330F" w:rsidRDefault="001639B2" w:rsidP="00B3330F">
      <w:pPr>
        <w:keepLines/>
        <w:spacing w:after="120" w:line="259" w:lineRule="auto"/>
        <w:rPr>
          <w:rFonts w:asciiTheme="minorHAnsi" w:hAnsiTheme="minorHAnsi" w:cstheme="minorHAnsi"/>
          <w:sz w:val="22"/>
          <w:szCs w:val="22"/>
          <w:lang w:val="fr-CA"/>
        </w:rPr>
      </w:pPr>
      <w:r w:rsidRPr="00B3330F">
        <w:rPr>
          <w:rFonts w:asciiTheme="minorHAnsi" w:hAnsiTheme="minorHAnsi" w:cstheme="minorHAnsi"/>
          <w:color w:val="54575A" w:themeColor="text1"/>
          <w:sz w:val="22"/>
          <w:szCs w:val="22"/>
          <w:lang w:val="fr-CA"/>
        </w:rPr>
        <w:t>Source </w:t>
      </w:r>
      <w:r w:rsidRPr="00B3330F">
        <w:rPr>
          <w:rFonts w:asciiTheme="minorHAnsi" w:hAnsiTheme="minorHAnsi" w:cstheme="minorHAnsi"/>
          <w:sz w:val="22"/>
          <w:szCs w:val="22"/>
          <w:lang w:val="fr-CA"/>
        </w:rPr>
        <w:t>: Système de gestion de l’information sur les priorités de la CFP</w:t>
      </w:r>
    </w:p>
    <w:p w14:paraId="58796AA5" w14:textId="77777777" w:rsidR="00591DC8" w:rsidRPr="004F458A" w:rsidRDefault="00591DC8" w:rsidP="004F458A">
      <w:pPr>
        <w:pStyle w:val="Heading2"/>
        <w:rPr>
          <w:rStyle w:val="Heading1Char"/>
          <w:rFonts w:ascii="Segoe UI" w:hAnsi="Segoe UI" w:cs="Segoe UI"/>
          <w:color w:val="5B315E" w:themeColor="accent2"/>
          <w:sz w:val="32"/>
          <w:szCs w:val="32"/>
        </w:rPr>
      </w:pPr>
      <w:r w:rsidRPr="004F458A">
        <w:rPr>
          <w:rStyle w:val="Heading1Char"/>
          <w:rFonts w:ascii="Segoe UI" w:hAnsi="Segoe UI" w:cs="Segoe UI"/>
          <w:color w:val="5B315E" w:themeColor="accent2"/>
          <w:sz w:val="32"/>
          <w:szCs w:val="32"/>
        </w:rPr>
        <w:t>Impartialité d</w:t>
      </w:r>
      <w:r w:rsidR="001D3A1C" w:rsidRPr="004F458A">
        <w:rPr>
          <w:rStyle w:val="Heading1Char"/>
          <w:rFonts w:ascii="Segoe UI" w:hAnsi="Segoe UI" w:cs="Segoe UI"/>
          <w:color w:val="5B315E" w:themeColor="accent2"/>
          <w:sz w:val="32"/>
          <w:szCs w:val="32"/>
        </w:rPr>
        <w:t>e</w:t>
      </w:r>
      <w:r w:rsidRPr="004F458A">
        <w:rPr>
          <w:rStyle w:val="Heading1Char"/>
          <w:rFonts w:ascii="Segoe UI" w:hAnsi="Segoe UI" w:cs="Segoe UI"/>
          <w:color w:val="5B315E" w:themeColor="accent2"/>
          <w:sz w:val="32"/>
          <w:szCs w:val="32"/>
        </w:rPr>
        <w:t xml:space="preserve"> la fonction publique</w:t>
      </w:r>
    </w:p>
    <w:p w14:paraId="44FD31E1" w14:textId="77777777" w:rsidR="00591DC8" w:rsidRPr="008F610A" w:rsidRDefault="00591DC8" w:rsidP="00B3330F">
      <w:pPr>
        <w:pStyle w:val="NoSpacing"/>
        <w:spacing w:after="120"/>
        <w:rPr>
          <w:rFonts w:asciiTheme="minorHAnsi" w:hAnsiTheme="minorHAnsi" w:cstheme="minorHAnsi"/>
          <w:sz w:val="22"/>
          <w:szCs w:val="22"/>
          <w:lang w:val="fr-CA"/>
        </w:rPr>
      </w:pPr>
      <w:r w:rsidRPr="008F610A">
        <w:rPr>
          <w:rFonts w:asciiTheme="minorHAnsi" w:hAnsiTheme="minorHAnsi"/>
          <w:sz w:val="22"/>
          <w:szCs w:val="22"/>
          <w:lang w:val="fr-CA"/>
        </w:rPr>
        <w:t>Depuis le 1</w:t>
      </w:r>
      <w:r w:rsidRPr="008F610A">
        <w:rPr>
          <w:rFonts w:asciiTheme="minorHAnsi" w:hAnsiTheme="minorHAnsi"/>
          <w:sz w:val="22"/>
          <w:szCs w:val="22"/>
          <w:vertAlign w:val="superscript"/>
          <w:lang w:val="fr-CA"/>
        </w:rPr>
        <w:t>er</w:t>
      </w:r>
      <w:r w:rsidR="00100960" w:rsidRPr="008F610A">
        <w:rPr>
          <w:rFonts w:asciiTheme="minorHAnsi" w:hAnsiTheme="minorHAnsi"/>
          <w:sz w:val="22"/>
          <w:szCs w:val="22"/>
          <w:vertAlign w:val="superscript"/>
          <w:lang w:val="fr-CA"/>
        </w:rPr>
        <w:t> </w:t>
      </w:r>
      <w:r w:rsidRPr="008F610A">
        <w:rPr>
          <w:rFonts w:asciiTheme="minorHAnsi" w:hAnsiTheme="minorHAnsi"/>
          <w:sz w:val="22"/>
          <w:szCs w:val="22"/>
          <w:lang w:val="fr-CA"/>
        </w:rPr>
        <w:t>avril</w:t>
      </w:r>
      <w:r w:rsidR="00100960" w:rsidRPr="008F610A">
        <w:rPr>
          <w:rFonts w:asciiTheme="minorHAnsi" w:hAnsiTheme="minorHAnsi"/>
          <w:sz w:val="22"/>
          <w:szCs w:val="22"/>
          <w:lang w:val="fr-CA"/>
        </w:rPr>
        <w:t> </w:t>
      </w:r>
      <w:r w:rsidRPr="008F610A">
        <w:rPr>
          <w:rFonts w:asciiTheme="minorHAnsi" w:hAnsiTheme="minorHAnsi"/>
          <w:sz w:val="22"/>
          <w:szCs w:val="22"/>
          <w:lang w:val="fr-CA"/>
        </w:rPr>
        <w:t>2015, la CFP a traité deux demandes de candidature (1</w:t>
      </w:r>
      <w:r w:rsidR="00100960" w:rsidRPr="008F610A">
        <w:rPr>
          <w:rFonts w:asciiTheme="minorHAnsi" w:hAnsiTheme="minorHAnsi"/>
          <w:sz w:val="22"/>
          <w:szCs w:val="22"/>
          <w:lang w:val="fr-CA"/>
        </w:rPr>
        <w:t> </w:t>
      </w:r>
      <w:r w:rsidRPr="008F610A">
        <w:rPr>
          <w:rFonts w:asciiTheme="minorHAnsi" w:hAnsiTheme="minorHAnsi"/>
          <w:sz w:val="22"/>
          <w:szCs w:val="22"/>
          <w:lang w:val="fr-CA"/>
        </w:rPr>
        <w:t>candidature fédérale et 1</w:t>
      </w:r>
      <w:r w:rsidR="00100960" w:rsidRPr="008F610A">
        <w:rPr>
          <w:rFonts w:asciiTheme="minorHAnsi" w:hAnsiTheme="minorHAnsi"/>
          <w:sz w:val="22"/>
          <w:szCs w:val="22"/>
          <w:lang w:val="fr-CA"/>
        </w:rPr>
        <w:t> </w:t>
      </w:r>
      <w:r w:rsidRPr="008F610A">
        <w:rPr>
          <w:rFonts w:asciiTheme="minorHAnsi" w:hAnsiTheme="minorHAnsi"/>
          <w:sz w:val="22"/>
          <w:szCs w:val="22"/>
          <w:lang w:val="fr-CA"/>
        </w:rPr>
        <w:t xml:space="preserve">candidature municipale) provenant </w:t>
      </w:r>
      <w:r w:rsidR="003C46D1" w:rsidRPr="008F610A">
        <w:rPr>
          <w:rFonts w:asciiTheme="minorHAnsi" w:hAnsiTheme="minorHAnsi"/>
          <w:sz w:val="22"/>
          <w:szCs w:val="22"/>
          <w:lang w:val="fr-CA"/>
        </w:rPr>
        <w:t xml:space="preserve">d’employés </w:t>
      </w:r>
      <w:r w:rsidRPr="008F610A">
        <w:rPr>
          <w:rFonts w:asciiTheme="minorHAnsi" w:hAnsiTheme="minorHAnsi"/>
          <w:sz w:val="22"/>
          <w:szCs w:val="22"/>
          <w:lang w:val="fr-CA"/>
        </w:rPr>
        <w:t>de SP. Aucune de ces personnes n</w:t>
      </w:r>
      <w:r w:rsidR="00E346A8" w:rsidRPr="008F610A">
        <w:rPr>
          <w:rFonts w:asciiTheme="minorHAnsi" w:hAnsiTheme="minorHAnsi"/>
          <w:sz w:val="22"/>
          <w:szCs w:val="22"/>
          <w:lang w:val="fr-CA"/>
        </w:rPr>
        <w:t>’</w:t>
      </w:r>
      <w:r w:rsidRPr="008F610A">
        <w:rPr>
          <w:rFonts w:asciiTheme="minorHAnsi" w:hAnsiTheme="minorHAnsi"/>
          <w:sz w:val="22"/>
          <w:szCs w:val="22"/>
          <w:lang w:val="fr-CA"/>
        </w:rPr>
        <w:t>a été élue.</w:t>
      </w:r>
    </w:p>
    <w:p w14:paraId="406F5AD5" w14:textId="77777777" w:rsidR="00591DC8" w:rsidRPr="008F610A" w:rsidRDefault="00591DC8" w:rsidP="00B3330F">
      <w:pPr>
        <w:pStyle w:val="ListParagraph"/>
        <w:spacing w:after="120"/>
        <w:rPr>
          <w:rFonts w:asciiTheme="minorHAnsi" w:hAnsiTheme="minorHAnsi" w:cstheme="minorHAnsi"/>
          <w:sz w:val="22"/>
          <w:szCs w:val="22"/>
          <w:lang w:val="fr-CA"/>
        </w:rPr>
      </w:pPr>
      <w:r w:rsidRPr="008F610A">
        <w:rPr>
          <w:rFonts w:asciiTheme="minorHAnsi" w:hAnsiTheme="minorHAnsi"/>
          <w:sz w:val="22"/>
          <w:szCs w:val="22"/>
          <w:lang w:val="fr-CA"/>
        </w:rPr>
        <w:t xml:space="preserve">Les résultats du SDIP de 2018 indiquent que le niveau de </w:t>
      </w:r>
      <w:r w:rsidR="003C46D1" w:rsidRPr="008F610A">
        <w:rPr>
          <w:rFonts w:asciiTheme="minorHAnsi" w:hAnsiTheme="minorHAnsi"/>
          <w:sz w:val="22"/>
          <w:szCs w:val="22"/>
          <w:lang w:val="fr-CA"/>
        </w:rPr>
        <w:t>connaissance</w:t>
      </w:r>
      <w:r w:rsidRPr="008F610A">
        <w:rPr>
          <w:rFonts w:asciiTheme="minorHAnsi" w:hAnsiTheme="minorHAnsi"/>
          <w:sz w:val="22"/>
          <w:szCs w:val="22"/>
          <w:lang w:val="fr-CA"/>
        </w:rPr>
        <w:t xml:space="preserve"> des employés de SP à l</w:t>
      </w:r>
      <w:r w:rsidR="00E346A8" w:rsidRPr="008F610A">
        <w:rPr>
          <w:rFonts w:asciiTheme="minorHAnsi" w:hAnsiTheme="minorHAnsi"/>
          <w:sz w:val="22"/>
          <w:szCs w:val="22"/>
          <w:lang w:val="fr-CA"/>
        </w:rPr>
        <w:t>’</w:t>
      </w:r>
      <w:r w:rsidRPr="008F610A">
        <w:rPr>
          <w:rFonts w:asciiTheme="minorHAnsi" w:hAnsiTheme="minorHAnsi"/>
          <w:sz w:val="22"/>
          <w:szCs w:val="22"/>
          <w:lang w:val="fr-CA"/>
        </w:rPr>
        <w:t>égard de leurs droits et responsabilités légaux en matière d</w:t>
      </w:r>
      <w:r w:rsidR="00E346A8" w:rsidRPr="008F610A">
        <w:rPr>
          <w:rFonts w:asciiTheme="minorHAnsi" w:hAnsiTheme="minorHAnsi"/>
          <w:sz w:val="22"/>
          <w:szCs w:val="22"/>
          <w:lang w:val="fr-CA"/>
        </w:rPr>
        <w:t>’</w:t>
      </w:r>
      <w:r w:rsidRPr="008F610A">
        <w:rPr>
          <w:rFonts w:asciiTheme="minorHAnsi" w:hAnsiTheme="minorHAnsi"/>
          <w:sz w:val="22"/>
          <w:szCs w:val="22"/>
          <w:lang w:val="fr-CA"/>
        </w:rPr>
        <w:t xml:space="preserve">activités politiques est de 85,2 %, </w:t>
      </w:r>
      <w:r w:rsidR="003C46D1" w:rsidRPr="008F610A">
        <w:rPr>
          <w:rFonts w:asciiTheme="minorHAnsi" w:hAnsiTheme="minorHAnsi"/>
          <w:sz w:val="22"/>
          <w:szCs w:val="22"/>
          <w:lang w:val="fr-CA"/>
        </w:rPr>
        <w:t xml:space="preserve">un chiffre assez semblable aux </w:t>
      </w:r>
      <w:r w:rsidRPr="008F610A">
        <w:rPr>
          <w:rFonts w:asciiTheme="minorHAnsi" w:hAnsiTheme="minorHAnsi"/>
          <w:sz w:val="22"/>
          <w:szCs w:val="22"/>
          <w:lang w:val="fr-CA"/>
        </w:rPr>
        <w:t>80,1</w:t>
      </w:r>
      <w:r w:rsidR="00100960" w:rsidRPr="008F610A">
        <w:rPr>
          <w:rFonts w:asciiTheme="minorHAnsi" w:hAnsiTheme="minorHAnsi"/>
          <w:sz w:val="22"/>
          <w:szCs w:val="22"/>
          <w:lang w:val="fr-CA"/>
        </w:rPr>
        <w:t> </w:t>
      </w:r>
      <w:r w:rsidRPr="008F610A">
        <w:rPr>
          <w:rFonts w:asciiTheme="minorHAnsi" w:hAnsiTheme="minorHAnsi"/>
          <w:sz w:val="22"/>
          <w:szCs w:val="22"/>
          <w:lang w:val="fr-CA"/>
        </w:rPr>
        <w:t xml:space="preserve">% </w:t>
      </w:r>
      <w:r w:rsidR="003C46D1" w:rsidRPr="008F610A">
        <w:rPr>
          <w:rFonts w:asciiTheme="minorHAnsi" w:hAnsiTheme="minorHAnsi"/>
          <w:sz w:val="22"/>
          <w:szCs w:val="22"/>
          <w:lang w:val="fr-CA"/>
        </w:rPr>
        <w:t xml:space="preserve">observés dans </w:t>
      </w:r>
      <w:r w:rsidRPr="008F610A">
        <w:rPr>
          <w:rFonts w:asciiTheme="minorHAnsi" w:hAnsiTheme="minorHAnsi"/>
          <w:sz w:val="22"/>
          <w:szCs w:val="22"/>
          <w:lang w:val="fr-CA"/>
        </w:rPr>
        <w:t>l</w:t>
      </w:r>
      <w:r w:rsidR="00E346A8" w:rsidRPr="008F610A">
        <w:rPr>
          <w:rFonts w:asciiTheme="minorHAnsi" w:hAnsiTheme="minorHAnsi"/>
          <w:sz w:val="22"/>
          <w:szCs w:val="22"/>
          <w:lang w:val="fr-CA"/>
        </w:rPr>
        <w:t>’</w:t>
      </w:r>
      <w:r w:rsidRPr="008F610A">
        <w:rPr>
          <w:rFonts w:asciiTheme="minorHAnsi" w:hAnsiTheme="minorHAnsi"/>
          <w:sz w:val="22"/>
          <w:szCs w:val="22"/>
          <w:lang w:val="fr-CA"/>
        </w:rPr>
        <w:t>e</w:t>
      </w:r>
      <w:r w:rsidR="003C46D1" w:rsidRPr="008F610A">
        <w:rPr>
          <w:rFonts w:asciiTheme="minorHAnsi" w:hAnsiTheme="minorHAnsi"/>
          <w:sz w:val="22"/>
          <w:szCs w:val="22"/>
          <w:lang w:val="fr-CA"/>
        </w:rPr>
        <w:t>nsemble de la fonction publique</w:t>
      </w:r>
      <w:r w:rsidRPr="008F610A">
        <w:rPr>
          <w:rFonts w:asciiTheme="minorHAnsi" w:hAnsiTheme="minorHAnsi"/>
          <w:sz w:val="22"/>
          <w:szCs w:val="22"/>
          <w:lang w:val="fr-CA"/>
        </w:rPr>
        <w:t xml:space="preserve">. Par ailleurs, 92,9 % des employés ont </w:t>
      </w:r>
      <w:r w:rsidR="003C46D1" w:rsidRPr="008F610A">
        <w:rPr>
          <w:rFonts w:asciiTheme="minorHAnsi" w:hAnsiTheme="minorHAnsi"/>
          <w:sz w:val="22"/>
          <w:szCs w:val="22"/>
          <w:lang w:val="fr-CA"/>
        </w:rPr>
        <w:t xml:space="preserve">affirmé </w:t>
      </w:r>
      <w:r w:rsidRPr="008F610A">
        <w:rPr>
          <w:rFonts w:asciiTheme="minorHAnsi" w:hAnsiTheme="minorHAnsi"/>
          <w:sz w:val="22"/>
          <w:szCs w:val="22"/>
          <w:lang w:val="fr-CA"/>
        </w:rPr>
        <w:t>qu</w:t>
      </w:r>
      <w:r w:rsidR="00E346A8" w:rsidRPr="008F610A">
        <w:rPr>
          <w:rFonts w:asciiTheme="minorHAnsi" w:hAnsiTheme="minorHAnsi"/>
          <w:sz w:val="22"/>
          <w:szCs w:val="22"/>
          <w:lang w:val="fr-CA"/>
        </w:rPr>
        <w:t>’</w:t>
      </w:r>
      <w:r w:rsidRPr="008F610A">
        <w:rPr>
          <w:rFonts w:asciiTheme="minorHAnsi" w:hAnsiTheme="minorHAnsi"/>
          <w:sz w:val="22"/>
          <w:szCs w:val="22"/>
          <w:lang w:val="fr-CA"/>
        </w:rPr>
        <w:t xml:space="preserve">ils </w:t>
      </w:r>
      <w:r w:rsidR="003C46D1" w:rsidRPr="008F610A">
        <w:rPr>
          <w:rFonts w:asciiTheme="minorHAnsi" w:hAnsiTheme="minorHAnsi"/>
          <w:sz w:val="22"/>
          <w:szCs w:val="22"/>
          <w:lang w:val="fr-CA"/>
        </w:rPr>
        <w:t xml:space="preserve">étaient </w:t>
      </w:r>
      <w:r w:rsidRPr="008F610A">
        <w:rPr>
          <w:rFonts w:asciiTheme="minorHAnsi" w:hAnsiTheme="minorHAnsi"/>
          <w:sz w:val="22"/>
          <w:szCs w:val="22"/>
          <w:lang w:val="fr-CA"/>
        </w:rPr>
        <w:t>capables de prendre des décisions éclairées lorsqu</w:t>
      </w:r>
      <w:r w:rsidR="00E346A8" w:rsidRPr="008F610A">
        <w:rPr>
          <w:rFonts w:asciiTheme="minorHAnsi" w:hAnsiTheme="minorHAnsi"/>
          <w:sz w:val="22"/>
          <w:szCs w:val="22"/>
          <w:lang w:val="fr-CA"/>
        </w:rPr>
        <w:t>’</w:t>
      </w:r>
      <w:r w:rsidRPr="008F610A">
        <w:rPr>
          <w:rFonts w:asciiTheme="minorHAnsi" w:hAnsiTheme="minorHAnsi"/>
          <w:sz w:val="22"/>
          <w:szCs w:val="22"/>
          <w:lang w:val="fr-CA"/>
        </w:rPr>
        <w:t>il s</w:t>
      </w:r>
      <w:r w:rsidR="00E346A8" w:rsidRPr="008F610A">
        <w:rPr>
          <w:rFonts w:asciiTheme="minorHAnsi" w:hAnsiTheme="minorHAnsi"/>
          <w:sz w:val="22"/>
          <w:szCs w:val="22"/>
          <w:lang w:val="fr-CA"/>
        </w:rPr>
        <w:t>’</w:t>
      </w:r>
      <w:r w:rsidRPr="008F610A">
        <w:rPr>
          <w:rFonts w:asciiTheme="minorHAnsi" w:hAnsiTheme="minorHAnsi"/>
          <w:sz w:val="22"/>
          <w:szCs w:val="22"/>
          <w:lang w:val="fr-CA"/>
        </w:rPr>
        <w:t xml:space="preserve">agit de participer à des activités politiques, </w:t>
      </w:r>
      <w:r w:rsidR="003C46D1" w:rsidRPr="008F610A">
        <w:rPr>
          <w:rFonts w:asciiTheme="minorHAnsi" w:hAnsiTheme="minorHAnsi"/>
          <w:sz w:val="22"/>
          <w:szCs w:val="22"/>
          <w:lang w:val="fr-CA"/>
        </w:rPr>
        <w:t xml:space="preserve">en </w:t>
      </w:r>
      <w:r w:rsidRPr="008F610A">
        <w:rPr>
          <w:rFonts w:asciiTheme="minorHAnsi" w:hAnsiTheme="minorHAnsi"/>
          <w:sz w:val="22"/>
          <w:szCs w:val="22"/>
          <w:lang w:val="fr-CA"/>
        </w:rPr>
        <w:t>comparaison avec 92,4 % des employés d</w:t>
      </w:r>
      <w:r w:rsidR="00E346A8" w:rsidRPr="008F610A">
        <w:rPr>
          <w:rFonts w:asciiTheme="minorHAnsi" w:hAnsiTheme="minorHAnsi"/>
          <w:sz w:val="22"/>
          <w:szCs w:val="22"/>
          <w:lang w:val="fr-CA"/>
        </w:rPr>
        <w:t>’</w:t>
      </w:r>
      <w:r w:rsidRPr="008F610A">
        <w:rPr>
          <w:rFonts w:asciiTheme="minorHAnsi" w:hAnsiTheme="minorHAnsi"/>
          <w:sz w:val="22"/>
          <w:szCs w:val="22"/>
          <w:lang w:val="fr-CA"/>
        </w:rPr>
        <w:t>organisations de taille semblable et 88,5 % des employés de la fonction publique fédérale.</w:t>
      </w:r>
    </w:p>
    <w:p w14:paraId="0AFC6BE8" w14:textId="77777777" w:rsidR="00591DC8" w:rsidRPr="004F458A" w:rsidRDefault="00591DC8" w:rsidP="004F458A">
      <w:pPr>
        <w:pStyle w:val="Heading2"/>
        <w:rPr>
          <w:rStyle w:val="Heading1Char"/>
          <w:rFonts w:ascii="Segoe UI" w:hAnsi="Segoe UI" w:cs="Segoe UI"/>
          <w:color w:val="5B315E" w:themeColor="accent2"/>
          <w:sz w:val="32"/>
          <w:szCs w:val="32"/>
        </w:rPr>
      </w:pPr>
      <w:r w:rsidRPr="004F458A">
        <w:rPr>
          <w:rStyle w:val="Heading1Char"/>
          <w:rFonts w:ascii="Segoe UI" w:hAnsi="Segoe UI" w:cs="Segoe UI"/>
          <w:color w:val="5B315E" w:themeColor="accent2"/>
          <w:sz w:val="32"/>
          <w:szCs w:val="32"/>
        </w:rPr>
        <w:t xml:space="preserve">Initiatives de la </w:t>
      </w:r>
      <w:r w:rsidR="001D3A1C" w:rsidRPr="004F458A">
        <w:rPr>
          <w:rStyle w:val="Heading1Char"/>
          <w:rFonts w:ascii="Segoe UI" w:hAnsi="Segoe UI" w:cs="Segoe UI"/>
          <w:color w:val="5B315E" w:themeColor="accent2"/>
          <w:sz w:val="32"/>
          <w:szCs w:val="32"/>
        </w:rPr>
        <w:t>CFP</w:t>
      </w:r>
    </w:p>
    <w:p w14:paraId="10C4648C" w14:textId="77777777" w:rsidR="00591DC8" w:rsidRPr="008F610A" w:rsidRDefault="00591DC8" w:rsidP="00B3330F">
      <w:pPr>
        <w:pStyle w:val="NoSpacing"/>
        <w:spacing w:after="120"/>
        <w:rPr>
          <w:rFonts w:asciiTheme="minorHAnsi" w:hAnsiTheme="minorHAnsi" w:cstheme="minorHAnsi"/>
          <w:i/>
          <w:sz w:val="22"/>
          <w:szCs w:val="22"/>
          <w:lang w:val="fr-CA"/>
        </w:rPr>
      </w:pPr>
      <w:r w:rsidRPr="008F610A">
        <w:rPr>
          <w:rFonts w:asciiTheme="minorHAnsi" w:hAnsiTheme="minorHAnsi"/>
          <w:sz w:val="22"/>
          <w:szCs w:val="22"/>
          <w:lang w:val="fr-CA"/>
        </w:rPr>
        <w:t>SP n</w:t>
      </w:r>
      <w:r w:rsidR="00E346A8" w:rsidRPr="008F610A">
        <w:rPr>
          <w:rFonts w:asciiTheme="minorHAnsi" w:hAnsiTheme="minorHAnsi"/>
          <w:sz w:val="22"/>
          <w:szCs w:val="22"/>
          <w:lang w:val="fr-CA"/>
        </w:rPr>
        <w:t>’</w:t>
      </w:r>
      <w:r w:rsidRPr="008F610A">
        <w:rPr>
          <w:rFonts w:asciiTheme="minorHAnsi" w:hAnsiTheme="minorHAnsi"/>
          <w:sz w:val="22"/>
          <w:szCs w:val="22"/>
          <w:lang w:val="fr-CA"/>
        </w:rPr>
        <w:t>a participé à aucune initiative dirigée par la CFP.</w:t>
      </w:r>
    </w:p>
    <w:p w14:paraId="59520A5A" w14:textId="77777777" w:rsidR="00591DC8" w:rsidRPr="004F458A" w:rsidRDefault="00591DC8" w:rsidP="004F458A">
      <w:pPr>
        <w:pStyle w:val="Heading2"/>
        <w:rPr>
          <w:rStyle w:val="Heading1Char"/>
          <w:rFonts w:ascii="Segoe UI" w:hAnsi="Segoe UI" w:cs="Segoe UI"/>
          <w:color w:val="5B315E" w:themeColor="accent2"/>
          <w:sz w:val="32"/>
          <w:szCs w:val="32"/>
        </w:rPr>
      </w:pPr>
      <w:r w:rsidRPr="004F458A">
        <w:rPr>
          <w:rStyle w:val="Heading1Char"/>
          <w:rFonts w:ascii="Segoe UI" w:hAnsi="Segoe UI" w:cs="Segoe UI"/>
          <w:color w:val="5B315E" w:themeColor="accent2"/>
          <w:sz w:val="32"/>
          <w:szCs w:val="32"/>
        </w:rPr>
        <w:t>Programmes de recrutement</w:t>
      </w:r>
    </w:p>
    <w:p w14:paraId="3B640114" w14:textId="77777777" w:rsidR="00591DC8" w:rsidRPr="008F610A" w:rsidRDefault="00591DC8" w:rsidP="00591DC8">
      <w:pPr>
        <w:pStyle w:val="NoSpacing"/>
        <w:rPr>
          <w:rFonts w:asciiTheme="minorHAnsi" w:hAnsiTheme="minorHAnsi" w:cstheme="minorHAnsi"/>
          <w:color w:val="000000"/>
          <w:sz w:val="22"/>
          <w:szCs w:val="22"/>
          <w:lang w:val="fr-CA"/>
        </w:rPr>
      </w:pPr>
      <w:r w:rsidRPr="008F610A">
        <w:rPr>
          <w:rFonts w:asciiTheme="minorHAnsi" w:hAnsiTheme="minorHAnsi"/>
          <w:color w:val="000000"/>
          <w:sz w:val="22"/>
          <w:szCs w:val="22"/>
          <w:lang w:val="fr-CA"/>
        </w:rPr>
        <w:t>En ce qui concerne le recours aux programmes ciblés de la CFP</w:t>
      </w:r>
      <w:r w:rsidR="00100960" w:rsidRPr="008F610A">
        <w:rPr>
          <w:rFonts w:asciiTheme="minorHAnsi" w:hAnsiTheme="minorHAnsi"/>
          <w:color w:val="000000"/>
          <w:sz w:val="22"/>
          <w:szCs w:val="22"/>
          <w:lang w:val="fr-CA"/>
        </w:rPr>
        <w:t> </w:t>
      </w:r>
      <w:r w:rsidRPr="008F610A">
        <w:rPr>
          <w:rFonts w:asciiTheme="minorHAnsi" w:hAnsiTheme="minorHAnsi"/>
          <w:color w:val="000000"/>
          <w:sz w:val="22"/>
          <w:szCs w:val="22"/>
          <w:lang w:val="fr-CA"/>
        </w:rPr>
        <w:t>:</w:t>
      </w:r>
    </w:p>
    <w:p w14:paraId="068A22B4" w14:textId="77777777" w:rsidR="00591DC8" w:rsidRPr="008F610A" w:rsidRDefault="00591DC8" w:rsidP="00591DC8">
      <w:pPr>
        <w:pStyle w:val="NoSpacing"/>
        <w:numPr>
          <w:ilvl w:val="0"/>
          <w:numId w:val="7"/>
        </w:numPr>
        <w:rPr>
          <w:rFonts w:asciiTheme="minorHAnsi" w:hAnsiTheme="minorHAnsi" w:cstheme="minorHAnsi"/>
          <w:color w:val="000000"/>
          <w:sz w:val="22"/>
          <w:szCs w:val="22"/>
          <w:lang w:val="fr-CA"/>
        </w:rPr>
      </w:pPr>
      <w:r w:rsidRPr="008F610A">
        <w:rPr>
          <w:rFonts w:asciiTheme="minorHAnsi" w:hAnsiTheme="minorHAnsi"/>
          <w:color w:val="000000"/>
          <w:sz w:val="22"/>
          <w:szCs w:val="22"/>
          <w:lang w:val="fr-CA"/>
        </w:rPr>
        <w:t>SP n</w:t>
      </w:r>
      <w:r w:rsidR="00E346A8" w:rsidRPr="008F610A">
        <w:rPr>
          <w:rFonts w:asciiTheme="minorHAnsi" w:hAnsiTheme="minorHAnsi"/>
          <w:color w:val="000000"/>
          <w:sz w:val="22"/>
          <w:szCs w:val="22"/>
          <w:lang w:val="fr-CA"/>
        </w:rPr>
        <w:t>’</w:t>
      </w:r>
      <w:r w:rsidRPr="008F610A">
        <w:rPr>
          <w:rFonts w:asciiTheme="minorHAnsi" w:hAnsiTheme="minorHAnsi"/>
          <w:color w:val="000000"/>
          <w:sz w:val="22"/>
          <w:szCs w:val="22"/>
          <w:lang w:val="fr-CA"/>
        </w:rPr>
        <w:t xml:space="preserve">a </w:t>
      </w:r>
      <w:r w:rsidR="003C46D1" w:rsidRPr="008F610A">
        <w:rPr>
          <w:rFonts w:asciiTheme="minorHAnsi" w:hAnsiTheme="minorHAnsi"/>
          <w:color w:val="000000"/>
          <w:sz w:val="22"/>
          <w:szCs w:val="22"/>
          <w:lang w:val="fr-CA"/>
        </w:rPr>
        <w:t>désigné</w:t>
      </w:r>
      <w:r w:rsidRPr="008F610A">
        <w:rPr>
          <w:rFonts w:asciiTheme="minorHAnsi" w:hAnsiTheme="minorHAnsi"/>
          <w:color w:val="000000"/>
          <w:sz w:val="22"/>
          <w:szCs w:val="22"/>
          <w:lang w:val="fr-CA"/>
        </w:rPr>
        <w:t xml:space="preserve"> </w:t>
      </w:r>
      <w:r w:rsidR="003C46D1" w:rsidRPr="008F610A">
        <w:rPr>
          <w:rFonts w:asciiTheme="minorHAnsi" w:hAnsiTheme="minorHAnsi"/>
          <w:color w:val="000000"/>
          <w:sz w:val="22"/>
          <w:szCs w:val="22"/>
          <w:lang w:val="fr-CA"/>
        </w:rPr>
        <w:t xml:space="preserve">aucun poste pour le </w:t>
      </w:r>
      <w:r w:rsidRPr="008F610A">
        <w:rPr>
          <w:rFonts w:asciiTheme="minorHAnsi" w:hAnsiTheme="minorHAnsi"/>
          <w:color w:val="000000"/>
          <w:sz w:val="22"/>
          <w:szCs w:val="22"/>
          <w:lang w:val="fr-CA"/>
        </w:rPr>
        <w:t>Programme fédéral de stages pour les Canadiens en situation de handicap.</w:t>
      </w:r>
    </w:p>
    <w:p w14:paraId="7C61FCF9" w14:textId="77777777" w:rsidR="00591DC8" w:rsidRPr="008F610A" w:rsidRDefault="00591DC8" w:rsidP="00591DC8">
      <w:pPr>
        <w:pStyle w:val="NoSpacing"/>
        <w:numPr>
          <w:ilvl w:val="0"/>
          <w:numId w:val="7"/>
        </w:numPr>
        <w:rPr>
          <w:rFonts w:asciiTheme="minorHAnsi" w:hAnsiTheme="minorHAnsi" w:cstheme="minorHAnsi"/>
          <w:color w:val="000000"/>
          <w:sz w:val="22"/>
          <w:szCs w:val="22"/>
          <w:lang w:val="fr-CA"/>
        </w:rPr>
      </w:pPr>
      <w:r w:rsidRPr="008F610A">
        <w:rPr>
          <w:rFonts w:asciiTheme="minorHAnsi" w:hAnsiTheme="minorHAnsi"/>
          <w:color w:val="000000"/>
          <w:sz w:val="22"/>
          <w:szCs w:val="22"/>
          <w:lang w:val="fr-CA"/>
        </w:rPr>
        <w:t>SP a soumis trois demandes par l</w:t>
      </w:r>
      <w:r w:rsidR="00E346A8" w:rsidRPr="008F610A">
        <w:rPr>
          <w:rFonts w:asciiTheme="minorHAnsi" w:hAnsiTheme="minorHAnsi"/>
          <w:color w:val="000000"/>
          <w:sz w:val="22"/>
          <w:szCs w:val="22"/>
          <w:lang w:val="fr-CA"/>
        </w:rPr>
        <w:t>’</w:t>
      </w:r>
      <w:r w:rsidRPr="008F610A">
        <w:rPr>
          <w:rFonts w:asciiTheme="minorHAnsi" w:hAnsiTheme="minorHAnsi"/>
          <w:color w:val="000000"/>
          <w:sz w:val="22"/>
          <w:szCs w:val="22"/>
          <w:lang w:val="fr-CA"/>
        </w:rPr>
        <w:t>entremise d</w:t>
      </w:r>
      <w:r w:rsidR="00E346A8" w:rsidRPr="008F610A">
        <w:rPr>
          <w:rFonts w:asciiTheme="minorHAnsi" w:hAnsiTheme="minorHAnsi"/>
          <w:color w:val="000000"/>
          <w:sz w:val="22"/>
          <w:szCs w:val="22"/>
          <w:lang w:val="fr-CA"/>
        </w:rPr>
        <w:t>’</w:t>
      </w:r>
      <w:r w:rsidRPr="008F610A">
        <w:rPr>
          <w:rFonts w:asciiTheme="minorHAnsi" w:hAnsiTheme="minorHAnsi"/>
          <w:color w:val="000000"/>
          <w:sz w:val="22"/>
          <w:szCs w:val="22"/>
          <w:lang w:val="fr-CA"/>
        </w:rPr>
        <w:t>Occasion d</w:t>
      </w:r>
      <w:r w:rsidR="00E346A8" w:rsidRPr="008F610A">
        <w:rPr>
          <w:rFonts w:asciiTheme="minorHAnsi" w:hAnsiTheme="minorHAnsi"/>
          <w:color w:val="000000"/>
          <w:sz w:val="22"/>
          <w:szCs w:val="22"/>
          <w:lang w:val="fr-CA"/>
        </w:rPr>
        <w:t>’</w:t>
      </w:r>
      <w:r w:rsidRPr="008F610A">
        <w:rPr>
          <w:rFonts w:asciiTheme="minorHAnsi" w:hAnsiTheme="minorHAnsi"/>
          <w:color w:val="000000"/>
          <w:sz w:val="22"/>
          <w:szCs w:val="22"/>
          <w:lang w:val="fr-CA"/>
        </w:rPr>
        <w:t xml:space="preserve">emploi pour étudiants en situation de handicap en 2019, mais a procédé à une embauche à partir de ce </w:t>
      </w:r>
      <w:r w:rsidR="003C46D1" w:rsidRPr="008F610A">
        <w:rPr>
          <w:rFonts w:asciiTheme="minorHAnsi" w:hAnsiTheme="minorHAnsi"/>
          <w:color w:val="000000"/>
          <w:sz w:val="22"/>
          <w:szCs w:val="22"/>
          <w:lang w:val="fr-CA"/>
        </w:rPr>
        <w:t>bassin</w:t>
      </w:r>
      <w:r w:rsidRPr="008F610A">
        <w:rPr>
          <w:rFonts w:asciiTheme="minorHAnsi" w:hAnsiTheme="minorHAnsi"/>
          <w:color w:val="000000"/>
          <w:sz w:val="22"/>
          <w:szCs w:val="22"/>
          <w:lang w:val="fr-CA"/>
        </w:rPr>
        <w:t>.</w:t>
      </w:r>
    </w:p>
    <w:p w14:paraId="5632D564" w14:textId="77777777" w:rsidR="00591DC8" w:rsidRPr="008F610A" w:rsidRDefault="00591DC8" w:rsidP="00B3330F">
      <w:pPr>
        <w:pStyle w:val="NoSpacing"/>
        <w:numPr>
          <w:ilvl w:val="0"/>
          <w:numId w:val="7"/>
        </w:numPr>
        <w:spacing w:after="120"/>
        <w:rPr>
          <w:rFonts w:asciiTheme="minorHAnsi" w:hAnsiTheme="minorHAnsi" w:cstheme="minorHAnsi"/>
          <w:color w:val="000000"/>
          <w:sz w:val="22"/>
          <w:szCs w:val="22"/>
          <w:lang w:val="fr-CA"/>
        </w:rPr>
      </w:pPr>
      <w:r w:rsidRPr="008F610A">
        <w:rPr>
          <w:rFonts w:asciiTheme="minorHAnsi" w:hAnsiTheme="minorHAnsi"/>
          <w:color w:val="000000"/>
          <w:sz w:val="22"/>
          <w:szCs w:val="22"/>
          <w:lang w:val="fr-CA"/>
        </w:rPr>
        <w:t>SP a présenté trois demandes par l</w:t>
      </w:r>
      <w:r w:rsidR="00E346A8" w:rsidRPr="008F610A">
        <w:rPr>
          <w:rFonts w:asciiTheme="minorHAnsi" w:hAnsiTheme="minorHAnsi"/>
          <w:color w:val="000000"/>
          <w:sz w:val="22"/>
          <w:szCs w:val="22"/>
          <w:lang w:val="fr-CA"/>
        </w:rPr>
        <w:t>’</w:t>
      </w:r>
      <w:r w:rsidRPr="008F610A">
        <w:rPr>
          <w:rFonts w:asciiTheme="minorHAnsi" w:hAnsiTheme="minorHAnsi"/>
          <w:color w:val="000000"/>
          <w:sz w:val="22"/>
          <w:szCs w:val="22"/>
          <w:lang w:val="fr-CA"/>
        </w:rPr>
        <w:t>intermédiaire d</w:t>
      </w:r>
      <w:r w:rsidR="00E346A8" w:rsidRPr="008F610A">
        <w:rPr>
          <w:rFonts w:asciiTheme="minorHAnsi" w:hAnsiTheme="minorHAnsi"/>
          <w:color w:val="000000"/>
          <w:sz w:val="22"/>
          <w:szCs w:val="22"/>
          <w:lang w:val="fr-CA"/>
        </w:rPr>
        <w:t>’</w:t>
      </w:r>
      <w:r w:rsidRPr="008F610A">
        <w:rPr>
          <w:rFonts w:asciiTheme="minorHAnsi" w:hAnsiTheme="minorHAnsi"/>
          <w:color w:val="000000"/>
          <w:sz w:val="22"/>
          <w:szCs w:val="22"/>
          <w:lang w:val="fr-CA"/>
        </w:rPr>
        <w:t>Occasion d</w:t>
      </w:r>
      <w:r w:rsidR="00E346A8" w:rsidRPr="008F610A">
        <w:rPr>
          <w:rFonts w:asciiTheme="minorHAnsi" w:hAnsiTheme="minorHAnsi"/>
          <w:color w:val="000000"/>
          <w:sz w:val="22"/>
          <w:szCs w:val="22"/>
          <w:lang w:val="fr-CA"/>
        </w:rPr>
        <w:t>’</w:t>
      </w:r>
      <w:r w:rsidRPr="008F610A">
        <w:rPr>
          <w:rFonts w:asciiTheme="minorHAnsi" w:hAnsiTheme="minorHAnsi"/>
          <w:color w:val="000000"/>
          <w:sz w:val="22"/>
          <w:szCs w:val="22"/>
          <w:lang w:val="fr-CA"/>
        </w:rPr>
        <w:t xml:space="preserve">emploi pour étudiants autochtones en 2019, mais aucune embauche </w:t>
      </w:r>
      <w:r w:rsidR="003C46D1" w:rsidRPr="008F610A">
        <w:rPr>
          <w:rFonts w:asciiTheme="minorHAnsi" w:hAnsiTheme="minorHAnsi"/>
          <w:color w:val="000000"/>
          <w:sz w:val="22"/>
          <w:szCs w:val="22"/>
          <w:lang w:val="fr-CA"/>
        </w:rPr>
        <w:t xml:space="preserve">n’a eu lieu </w:t>
      </w:r>
      <w:r w:rsidRPr="008F610A">
        <w:rPr>
          <w:rFonts w:asciiTheme="minorHAnsi" w:hAnsiTheme="minorHAnsi"/>
          <w:color w:val="000000"/>
          <w:sz w:val="22"/>
          <w:szCs w:val="22"/>
          <w:lang w:val="fr-CA"/>
        </w:rPr>
        <w:t>à partir de ce répertoire.</w:t>
      </w:r>
    </w:p>
    <w:p w14:paraId="77313DC2" w14:textId="77777777" w:rsidR="00591DC8" w:rsidRPr="008F610A" w:rsidRDefault="003C46D1" w:rsidP="00B3330F">
      <w:pPr>
        <w:pStyle w:val="NoSpacing"/>
        <w:spacing w:after="120"/>
        <w:rPr>
          <w:rFonts w:asciiTheme="minorHAnsi" w:hAnsiTheme="minorHAnsi" w:cstheme="minorHAnsi"/>
          <w:color w:val="000000"/>
          <w:sz w:val="22"/>
          <w:szCs w:val="22"/>
          <w:lang w:val="fr-CA"/>
        </w:rPr>
      </w:pPr>
      <w:r w:rsidRPr="008F610A">
        <w:rPr>
          <w:rFonts w:asciiTheme="minorHAnsi" w:hAnsiTheme="minorHAnsi"/>
          <w:color w:val="000000"/>
          <w:sz w:val="22"/>
          <w:szCs w:val="22"/>
          <w:lang w:val="fr-CA"/>
        </w:rPr>
        <w:t xml:space="preserve">SP dirige le programme </w:t>
      </w:r>
      <w:r w:rsidR="00591DC8" w:rsidRPr="008F610A">
        <w:rPr>
          <w:rFonts w:asciiTheme="minorHAnsi" w:hAnsiTheme="minorHAnsi"/>
          <w:color w:val="000000"/>
          <w:sz w:val="22"/>
          <w:szCs w:val="22"/>
          <w:lang w:val="fr-CA"/>
        </w:rPr>
        <w:t>d</w:t>
      </w:r>
      <w:r w:rsidR="00E346A8" w:rsidRPr="008F610A">
        <w:rPr>
          <w:rFonts w:asciiTheme="minorHAnsi" w:hAnsiTheme="minorHAnsi"/>
          <w:color w:val="000000"/>
          <w:sz w:val="22"/>
          <w:szCs w:val="22"/>
          <w:lang w:val="fr-CA"/>
        </w:rPr>
        <w:t>’</w:t>
      </w:r>
      <w:r w:rsidR="00591DC8" w:rsidRPr="008F610A">
        <w:rPr>
          <w:rFonts w:asciiTheme="minorHAnsi" w:hAnsiTheme="minorHAnsi"/>
          <w:color w:val="000000"/>
          <w:sz w:val="22"/>
          <w:szCs w:val="22"/>
          <w:lang w:val="fr-CA"/>
        </w:rPr>
        <w:t xml:space="preserve">emploi pour étudiants </w:t>
      </w:r>
      <w:r w:rsidRPr="008F610A">
        <w:rPr>
          <w:rFonts w:asciiTheme="minorHAnsi" w:hAnsiTheme="minorHAnsi"/>
          <w:color w:val="000000"/>
          <w:sz w:val="22"/>
          <w:szCs w:val="22"/>
          <w:lang w:val="fr-CA"/>
        </w:rPr>
        <w:t xml:space="preserve">intitulé </w:t>
      </w:r>
      <w:r w:rsidR="00591DC8" w:rsidRPr="008F610A">
        <w:rPr>
          <w:rFonts w:asciiTheme="minorHAnsi" w:hAnsiTheme="minorHAnsi"/>
          <w:color w:val="000000"/>
          <w:sz w:val="22"/>
          <w:szCs w:val="22"/>
          <w:lang w:val="fr-CA"/>
        </w:rPr>
        <w:t>Jeunes femmes en sécurité publique (JFSP), un stage d</w:t>
      </w:r>
      <w:r w:rsidR="00E346A8" w:rsidRPr="008F610A">
        <w:rPr>
          <w:rFonts w:asciiTheme="minorHAnsi" w:hAnsiTheme="minorHAnsi"/>
          <w:color w:val="000000"/>
          <w:sz w:val="22"/>
          <w:szCs w:val="22"/>
          <w:lang w:val="fr-CA"/>
        </w:rPr>
        <w:t>’</w:t>
      </w:r>
      <w:r w:rsidR="00591DC8" w:rsidRPr="008F610A">
        <w:rPr>
          <w:rFonts w:asciiTheme="minorHAnsi" w:hAnsiTheme="minorHAnsi"/>
          <w:color w:val="000000"/>
          <w:sz w:val="22"/>
          <w:szCs w:val="22"/>
          <w:lang w:val="fr-CA"/>
        </w:rPr>
        <w:t>une semaine ciblant les jeunes filles de secondaire 4 ou de 11</w:t>
      </w:r>
      <w:r w:rsidR="00591DC8" w:rsidRPr="008F610A">
        <w:rPr>
          <w:rFonts w:asciiTheme="minorHAnsi" w:hAnsiTheme="minorHAnsi"/>
          <w:color w:val="000000"/>
          <w:sz w:val="22"/>
          <w:szCs w:val="22"/>
          <w:vertAlign w:val="superscript"/>
          <w:lang w:val="fr-CA"/>
        </w:rPr>
        <w:t>e</w:t>
      </w:r>
      <w:r w:rsidR="00BB51DE" w:rsidRPr="008F610A">
        <w:rPr>
          <w:rFonts w:asciiTheme="minorHAnsi" w:hAnsiTheme="minorHAnsi"/>
          <w:color w:val="000000"/>
          <w:sz w:val="22"/>
          <w:szCs w:val="22"/>
          <w:vertAlign w:val="superscript"/>
          <w:lang w:val="fr-CA"/>
        </w:rPr>
        <w:t> </w:t>
      </w:r>
      <w:r w:rsidR="00591DC8" w:rsidRPr="008F610A">
        <w:rPr>
          <w:rFonts w:asciiTheme="minorHAnsi" w:hAnsiTheme="minorHAnsi"/>
          <w:color w:val="000000"/>
          <w:sz w:val="22"/>
          <w:szCs w:val="22"/>
          <w:lang w:val="fr-CA"/>
        </w:rPr>
        <w:t>année de partout au Canada</w:t>
      </w:r>
      <w:r w:rsidRPr="008F610A">
        <w:rPr>
          <w:rFonts w:asciiTheme="minorHAnsi" w:hAnsiTheme="minorHAnsi"/>
          <w:color w:val="000000"/>
          <w:sz w:val="22"/>
          <w:szCs w:val="22"/>
          <w:lang w:val="fr-CA"/>
        </w:rPr>
        <w:t xml:space="preserve">, </w:t>
      </w:r>
      <w:r w:rsidR="00591DC8" w:rsidRPr="008F610A">
        <w:rPr>
          <w:rFonts w:asciiTheme="minorHAnsi" w:hAnsiTheme="minorHAnsi"/>
          <w:color w:val="000000"/>
          <w:sz w:val="22"/>
          <w:szCs w:val="22"/>
          <w:lang w:val="fr-CA"/>
        </w:rPr>
        <w:t>afin de les encourager à envisager différents cheminements de carrière dans le domaine de la sécurité publique et de la sûreté. Le programme JFSP ne mène pas à des embauches; il s</w:t>
      </w:r>
      <w:r w:rsidR="00E346A8" w:rsidRPr="008F610A">
        <w:rPr>
          <w:rFonts w:asciiTheme="minorHAnsi" w:hAnsiTheme="minorHAnsi"/>
          <w:color w:val="000000"/>
          <w:sz w:val="22"/>
          <w:szCs w:val="22"/>
          <w:lang w:val="fr-CA"/>
        </w:rPr>
        <w:t>’</w:t>
      </w:r>
      <w:r w:rsidR="00591DC8" w:rsidRPr="008F610A">
        <w:rPr>
          <w:rFonts w:asciiTheme="minorHAnsi" w:hAnsiTheme="minorHAnsi"/>
          <w:color w:val="000000"/>
          <w:sz w:val="22"/>
          <w:szCs w:val="22"/>
          <w:lang w:val="fr-CA"/>
        </w:rPr>
        <w:t>agit simplement d</w:t>
      </w:r>
      <w:r w:rsidR="00E346A8" w:rsidRPr="008F610A">
        <w:rPr>
          <w:rFonts w:asciiTheme="minorHAnsi" w:hAnsiTheme="minorHAnsi"/>
          <w:color w:val="000000"/>
          <w:sz w:val="22"/>
          <w:szCs w:val="22"/>
          <w:lang w:val="fr-CA"/>
        </w:rPr>
        <w:t>’</w:t>
      </w:r>
      <w:r w:rsidR="00591DC8" w:rsidRPr="008F610A">
        <w:rPr>
          <w:rFonts w:asciiTheme="minorHAnsi" w:hAnsiTheme="minorHAnsi"/>
          <w:color w:val="000000"/>
          <w:sz w:val="22"/>
          <w:szCs w:val="22"/>
          <w:lang w:val="fr-CA"/>
        </w:rPr>
        <w:t>un programme offrant la possibilité de découvrir différents types de carrière</w:t>
      </w:r>
      <w:r w:rsidR="00A1067C" w:rsidRPr="008F610A">
        <w:rPr>
          <w:rFonts w:asciiTheme="minorHAnsi" w:hAnsiTheme="minorHAnsi"/>
          <w:color w:val="000000"/>
          <w:sz w:val="22"/>
          <w:szCs w:val="22"/>
          <w:lang w:val="fr-CA"/>
        </w:rPr>
        <w:t>s</w:t>
      </w:r>
      <w:r w:rsidR="00591DC8" w:rsidRPr="008F610A">
        <w:rPr>
          <w:rFonts w:asciiTheme="minorHAnsi" w:hAnsiTheme="minorHAnsi"/>
          <w:color w:val="000000"/>
          <w:sz w:val="22"/>
          <w:szCs w:val="22"/>
          <w:lang w:val="fr-CA"/>
        </w:rPr>
        <w:t>. Cette année, le programme JFSP s</w:t>
      </w:r>
      <w:r w:rsidR="00E346A8" w:rsidRPr="008F610A">
        <w:rPr>
          <w:rFonts w:asciiTheme="minorHAnsi" w:hAnsiTheme="minorHAnsi"/>
          <w:color w:val="000000"/>
          <w:sz w:val="22"/>
          <w:szCs w:val="22"/>
          <w:lang w:val="fr-CA"/>
        </w:rPr>
        <w:t>’</w:t>
      </w:r>
      <w:r w:rsidR="00591DC8" w:rsidRPr="008F610A">
        <w:rPr>
          <w:rFonts w:asciiTheme="minorHAnsi" w:hAnsiTheme="minorHAnsi"/>
          <w:color w:val="000000"/>
          <w:sz w:val="22"/>
          <w:szCs w:val="22"/>
          <w:lang w:val="fr-CA"/>
        </w:rPr>
        <w:t>est déroulé du 15 au 19</w:t>
      </w:r>
      <w:r w:rsidR="00BB51DE" w:rsidRPr="008F610A">
        <w:rPr>
          <w:rFonts w:asciiTheme="minorHAnsi" w:hAnsiTheme="minorHAnsi"/>
          <w:color w:val="000000"/>
          <w:sz w:val="22"/>
          <w:szCs w:val="22"/>
          <w:lang w:val="fr-CA"/>
        </w:rPr>
        <w:t> </w:t>
      </w:r>
      <w:r w:rsidR="00591DC8" w:rsidRPr="008F610A">
        <w:rPr>
          <w:rFonts w:asciiTheme="minorHAnsi" w:hAnsiTheme="minorHAnsi"/>
          <w:color w:val="000000"/>
          <w:sz w:val="22"/>
          <w:szCs w:val="22"/>
          <w:lang w:val="fr-CA"/>
        </w:rPr>
        <w:t>juillet 2019 dans sept villes à la grandeur du pays. Pendant toute la semaine, 145</w:t>
      </w:r>
      <w:r w:rsidR="00BB51DE" w:rsidRPr="008F610A">
        <w:rPr>
          <w:rFonts w:asciiTheme="minorHAnsi" w:hAnsiTheme="minorHAnsi"/>
          <w:color w:val="000000"/>
          <w:sz w:val="22"/>
          <w:szCs w:val="22"/>
          <w:lang w:val="fr-CA"/>
        </w:rPr>
        <w:t> </w:t>
      </w:r>
      <w:r w:rsidR="00591DC8" w:rsidRPr="008F610A">
        <w:rPr>
          <w:rFonts w:asciiTheme="minorHAnsi" w:hAnsiTheme="minorHAnsi"/>
          <w:color w:val="000000"/>
          <w:sz w:val="22"/>
          <w:szCs w:val="22"/>
          <w:lang w:val="fr-CA"/>
        </w:rPr>
        <w:t xml:space="preserve">jeunes femmes </w:t>
      </w:r>
      <w:r w:rsidRPr="008F610A">
        <w:rPr>
          <w:rFonts w:asciiTheme="minorHAnsi" w:hAnsiTheme="minorHAnsi"/>
          <w:color w:val="000000"/>
          <w:sz w:val="22"/>
          <w:szCs w:val="22"/>
          <w:lang w:val="fr-CA"/>
        </w:rPr>
        <w:t xml:space="preserve">en </w:t>
      </w:r>
      <w:r w:rsidR="00591DC8" w:rsidRPr="008F610A">
        <w:rPr>
          <w:rFonts w:asciiTheme="minorHAnsi" w:hAnsiTheme="minorHAnsi"/>
          <w:color w:val="000000"/>
          <w:sz w:val="22"/>
          <w:szCs w:val="22"/>
          <w:lang w:val="fr-CA"/>
        </w:rPr>
        <w:t xml:space="preserve">ont </w:t>
      </w:r>
      <w:r w:rsidRPr="008F610A">
        <w:rPr>
          <w:rFonts w:asciiTheme="minorHAnsi" w:hAnsiTheme="minorHAnsi"/>
          <w:color w:val="000000"/>
          <w:sz w:val="22"/>
          <w:szCs w:val="22"/>
          <w:lang w:val="fr-CA"/>
        </w:rPr>
        <w:t xml:space="preserve">appris un peu plus sur les </w:t>
      </w:r>
      <w:r w:rsidR="00591DC8" w:rsidRPr="008F610A">
        <w:rPr>
          <w:rFonts w:asciiTheme="minorHAnsi" w:hAnsiTheme="minorHAnsi"/>
          <w:color w:val="000000"/>
          <w:sz w:val="22"/>
          <w:szCs w:val="22"/>
          <w:lang w:val="fr-CA"/>
        </w:rPr>
        <w:t>activités quotidiennes des organismes du portefeuille</w:t>
      </w:r>
      <w:r w:rsidRPr="008F610A">
        <w:rPr>
          <w:rFonts w:asciiTheme="minorHAnsi" w:hAnsiTheme="minorHAnsi"/>
          <w:color w:val="000000"/>
          <w:sz w:val="22"/>
          <w:szCs w:val="22"/>
          <w:lang w:val="fr-CA"/>
        </w:rPr>
        <w:t> :</w:t>
      </w:r>
      <w:r w:rsidR="00591DC8" w:rsidRPr="008F610A">
        <w:rPr>
          <w:rFonts w:asciiTheme="minorHAnsi" w:hAnsiTheme="minorHAnsi"/>
          <w:color w:val="000000"/>
          <w:sz w:val="22"/>
          <w:szCs w:val="22"/>
          <w:lang w:val="fr-CA"/>
        </w:rPr>
        <w:t xml:space="preserve"> sécurité frontalière </w:t>
      </w:r>
      <w:r w:rsidRPr="008F610A">
        <w:rPr>
          <w:rFonts w:asciiTheme="minorHAnsi" w:hAnsiTheme="minorHAnsi"/>
          <w:color w:val="000000"/>
          <w:sz w:val="22"/>
          <w:szCs w:val="22"/>
          <w:lang w:val="fr-CA"/>
        </w:rPr>
        <w:t xml:space="preserve">aux </w:t>
      </w:r>
      <w:r w:rsidR="00591DC8" w:rsidRPr="008F610A">
        <w:rPr>
          <w:rFonts w:asciiTheme="minorHAnsi" w:hAnsiTheme="minorHAnsi"/>
          <w:color w:val="000000"/>
          <w:sz w:val="22"/>
          <w:szCs w:val="22"/>
          <w:lang w:val="fr-CA"/>
        </w:rPr>
        <w:t>différents points d</w:t>
      </w:r>
      <w:r w:rsidR="00E346A8" w:rsidRPr="008F610A">
        <w:rPr>
          <w:rFonts w:asciiTheme="minorHAnsi" w:hAnsiTheme="minorHAnsi"/>
          <w:color w:val="000000"/>
          <w:sz w:val="22"/>
          <w:szCs w:val="22"/>
          <w:lang w:val="fr-CA"/>
        </w:rPr>
        <w:t>’</w:t>
      </w:r>
      <w:r w:rsidR="00591DC8" w:rsidRPr="008F610A">
        <w:rPr>
          <w:rFonts w:asciiTheme="minorHAnsi" w:hAnsiTheme="minorHAnsi"/>
          <w:color w:val="000000"/>
          <w:sz w:val="22"/>
          <w:szCs w:val="22"/>
          <w:lang w:val="fr-CA"/>
        </w:rPr>
        <w:t>entrée</w:t>
      </w:r>
      <w:r w:rsidRPr="008F610A">
        <w:rPr>
          <w:rFonts w:asciiTheme="minorHAnsi" w:hAnsiTheme="minorHAnsi"/>
          <w:color w:val="000000"/>
          <w:sz w:val="22"/>
          <w:szCs w:val="22"/>
          <w:lang w:val="fr-CA"/>
        </w:rPr>
        <w:t xml:space="preserve"> (</w:t>
      </w:r>
      <w:r w:rsidR="00591DC8" w:rsidRPr="008F610A">
        <w:rPr>
          <w:rFonts w:asciiTheme="minorHAnsi" w:hAnsiTheme="minorHAnsi"/>
          <w:color w:val="000000"/>
          <w:sz w:val="22"/>
          <w:szCs w:val="22"/>
          <w:lang w:val="fr-CA"/>
        </w:rPr>
        <w:t>terrestres ou aériens</w:t>
      </w:r>
      <w:r w:rsidRPr="008F610A">
        <w:rPr>
          <w:rFonts w:asciiTheme="minorHAnsi" w:hAnsiTheme="minorHAnsi"/>
          <w:color w:val="000000"/>
          <w:sz w:val="22"/>
          <w:szCs w:val="22"/>
          <w:lang w:val="fr-CA"/>
        </w:rPr>
        <w:t>);</w:t>
      </w:r>
      <w:r w:rsidR="00591DC8" w:rsidRPr="008F610A">
        <w:rPr>
          <w:rFonts w:asciiTheme="minorHAnsi" w:hAnsiTheme="minorHAnsi"/>
          <w:color w:val="000000"/>
          <w:sz w:val="22"/>
          <w:szCs w:val="22"/>
          <w:lang w:val="fr-CA"/>
        </w:rPr>
        <w:t xml:space="preserve"> programmes de prévention du crime </w:t>
      </w:r>
      <w:r w:rsidRPr="008F610A">
        <w:rPr>
          <w:rFonts w:asciiTheme="minorHAnsi" w:hAnsiTheme="minorHAnsi"/>
          <w:color w:val="000000"/>
          <w:sz w:val="22"/>
          <w:szCs w:val="22"/>
          <w:lang w:val="fr-CA"/>
        </w:rPr>
        <w:t xml:space="preserve">mis en place par </w:t>
      </w:r>
      <w:r w:rsidR="00591DC8" w:rsidRPr="008F610A">
        <w:rPr>
          <w:rFonts w:asciiTheme="minorHAnsi" w:hAnsiTheme="minorHAnsi"/>
          <w:color w:val="000000"/>
          <w:sz w:val="22"/>
          <w:szCs w:val="22"/>
          <w:lang w:val="fr-CA"/>
        </w:rPr>
        <w:t xml:space="preserve">SP et </w:t>
      </w:r>
      <w:r w:rsidRPr="008F610A">
        <w:rPr>
          <w:rFonts w:asciiTheme="minorHAnsi" w:hAnsiTheme="minorHAnsi"/>
          <w:color w:val="000000"/>
          <w:sz w:val="22"/>
          <w:szCs w:val="22"/>
          <w:lang w:val="fr-CA"/>
        </w:rPr>
        <w:t>certains de ses partenaires; services correctionnels;</w:t>
      </w:r>
      <w:r w:rsidR="00591DC8" w:rsidRPr="008F610A">
        <w:rPr>
          <w:rFonts w:asciiTheme="minorHAnsi" w:hAnsiTheme="minorHAnsi"/>
          <w:color w:val="000000"/>
          <w:sz w:val="22"/>
          <w:szCs w:val="22"/>
          <w:lang w:val="fr-CA"/>
        </w:rPr>
        <w:t xml:space="preserve"> techniques de surveillance; enquêtes médico-légales; services d</w:t>
      </w:r>
      <w:r w:rsidR="00E346A8" w:rsidRPr="008F610A">
        <w:rPr>
          <w:rFonts w:asciiTheme="minorHAnsi" w:hAnsiTheme="minorHAnsi"/>
          <w:color w:val="000000"/>
          <w:sz w:val="22"/>
          <w:szCs w:val="22"/>
          <w:lang w:val="fr-CA"/>
        </w:rPr>
        <w:t>’</w:t>
      </w:r>
      <w:r w:rsidR="00591DC8" w:rsidRPr="008F610A">
        <w:rPr>
          <w:rFonts w:asciiTheme="minorHAnsi" w:hAnsiTheme="minorHAnsi"/>
          <w:color w:val="000000"/>
          <w:sz w:val="22"/>
          <w:szCs w:val="22"/>
          <w:lang w:val="fr-CA"/>
        </w:rPr>
        <w:t xml:space="preserve">application de la loi de première ligne assurés par des </w:t>
      </w:r>
      <w:r w:rsidR="00591DC8" w:rsidRPr="008F610A">
        <w:rPr>
          <w:rFonts w:asciiTheme="minorHAnsi" w:hAnsiTheme="minorHAnsi"/>
          <w:color w:val="000000"/>
          <w:sz w:val="22"/>
          <w:szCs w:val="22"/>
          <w:lang w:val="fr-CA"/>
        </w:rPr>
        <w:lastRenderedPageBreak/>
        <w:t>femmes influentes dans ces</w:t>
      </w:r>
      <w:r w:rsidRPr="008F610A">
        <w:rPr>
          <w:rFonts w:asciiTheme="minorHAnsi" w:hAnsiTheme="minorHAnsi"/>
          <w:color w:val="000000"/>
          <w:sz w:val="22"/>
          <w:szCs w:val="22"/>
          <w:lang w:val="fr-CA"/>
        </w:rPr>
        <w:t xml:space="preserve"> institutions</w:t>
      </w:r>
      <w:r w:rsidR="00591DC8" w:rsidRPr="008F610A">
        <w:rPr>
          <w:rFonts w:asciiTheme="minorHAnsi" w:hAnsiTheme="minorHAnsi"/>
          <w:color w:val="000000"/>
          <w:sz w:val="22"/>
          <w:szCs w:val="22"/>
          <w:lang w:val="fr-CA"/>
        </w:rPr>
        <w:t>. Certaines participantes ont eu l</w:t>
      </w:r>
      <w:r w:rsidR="00E346A8" w:rsidRPr="008F610A">
        <w:rPr>
          <w:rFonts w:asciiTheme="minorHAnsi" w:hAnsiTheme="minorHAnsi"/>
          <w:color w:val="000000"/>
          <w:sz w:val="22"/>
          <w:szCs w:val="22"/>
          <w:lang w:val="fr-CA"/>
        </w:rPr>
        <w:t>’</w:t>
      </w:r>
      <w:r w:rsidR="00591DC8" w:rsidRPr="008F610A">
        <w:rPr>
          <w:rFonts w:asciiTheme="minorHAnsi" w:hAnsiTheme="minorHAnsi"/>
          <w:color w:val="000000"/>
          <w:sz w:val="22"/>
          <w:szCs w:val="22"/>
          <w:lang w:val="fr-CA"/>
        </w:rPr>
        <w:t>occasion de visiter des établissements pénitentiaires, de prendre part à des exercices de simulation de situations d</w:t>
      </w:r>
      <w:r w:rsidR="00E346A8" w:rsidRPr="008F610A">
        <w:rPr>
          <w:rFonts w:asciiTheme="minorHAnsi" w:hAnsiTheme="minorHAnsi"/>
          <w:color w:val="000000"/>
          <w:sz w:val="22"/>
          <w:szCs w:val="22"/>
          <w:lang w:val="fr-CA"/>
        </w:rPr>
        <w:t>’</w:t>
      </w:r>
      <w:r w:rsidR="00591DC8" w:rsidRPr="008F610A">
        <w:rPr>
          <w:rFonts w:asciiTheme="minorHAnsi" w:hAnsiTheme="minorHAnsi"/>
          <w:color w:val="000000"/>
          <w:sz w:val="22"/>
          <w:szCs w:val="22"/>
          <w:lang w:val="fr-CA"/>
        </w:rPr>
        <w:t>urgence et de mettre à l</w:t>
      </w:r>
      <w:r w:rsidR="00E346A8" w:rsidRPr="008F610A">
        <w:rPr>
          <w:rFonts w:asciiTheme="minorHAnsi" w:hAnsiTheme="minorHAnsi"/>
          <w:color w:val="000000"/>
          <w:sz w:val="22"/>
          <w:szCs w:val="22"/>
          <w:lang w:val="fr-CA"/>
        </w:rPr>
        <w:t>’</w:t>
      </w:r>
      <w:r w:rsidR="00591DC8" w:rsidRPr="008F610A">
        <w:rPr>
          <w:rFonts w:asciiTheme="minorHAnsi" w:hAnsiTheme="minorHAnsi"/>
          <w:color w:val="000000"/>
          <w:sz w:val="22"/>
          <w:szCs w:val="22"/>
          <w:lang w:val="fr-CA"/>
        </w:rPr>
        <w:t>épreuve leurs aptitudes en matière de résolution de crimes.</w:t>
      </w:r>
    </w:p>
    <w:p w14:paraId="371B32EA" w14:textId="77777777" w:rsidR="00591DC8" w:rsidRPr="004F458A" w:rsidRDefault="00591DC8" w:rsidP="004F458A">
      <w:pPr>
        <w:pStyle w:val="Heading2"/>
        <w:rPr>
          <w:rStyle w:val="Heading1Char"/>
          <w:rFonts w:ascii="Segoe UI" w:hAnsi="Segoe UI" w:cs="Segoe UI"/>
          <w:color w:val="5B315E" w:themeColor="accent2"/>
          <w:sz w:val="32"/>
          <w:szCs w:val="32"/>
        </w:rPr>
      </w:pPr>
      <w:r w:rsidRPr="004F458A">
        <w:rPr>
          <w:rStyle w:val="Heading1Char"/>
          <w:rFonts w:ascii="Segoe UI" w:hAnsi="Segoe UI" w:cs="Segoe UI"/>
          <w:color w:val="5B315E" w:themeColor="accent2"/>
          <w:sz w:val="32"/>
          <w:szCs w:val="32"/>
        </w:rPr>
        <w:t xml:space="preserve">Soutien </w:t>
      </w:r>
      <w:r w:rsidR="00D612DD" w:rsidRPr="004F458A">
        <w:rPr>
          <w:rStyle w:val="Heading1Char"/>
          <w:rFonts w:ascii="Segoe UI" w:hAnsi="Segoe UI" w:cs="Segoe UI"/>
          <w:color w:val="5B315E" w:themeColor="accent2"/>
          <w:sz w:val="32"/>
          <w:szCs w:val="32"/>
        </w:rPr>
        <w:t>en</w:t>
      </w:r>
      <w:r w:rsidRPr="004F458A">
        <w:rPr>
          <w:rStyle w:val="Heading1Char"/>
          <w:rFonts w:ascii="Segoe UI" w:hAnsi="Segoe UI" w:cs="Segoe UI"/>
          <w:color w:val="5B315E" w:themeColor="accent2"/>
          <w:sz w:val="32"/>
          <w:szCs w:val="32"/>
        </w:rPr>
        <w:t xml:space="preserve"> dotation</w:t>
      </w:r>
    </w:p>
    <w:p w14:paraId="297D032A" w14:textId="77777777" w:rsidR="00591DC8" w:rsidRPr="008F610A" w:rsidRDefault="00D612DD" w:rsidP="004F458A">
      <w:pPr>
        <w:pStyle w:val="Heading3"/>
        <w:rPr>
          <w:u w:val="single"/>
          <w:lang w:val="fr-CA"/>
        </w:rPr>
      </w:pPr>
      <w:r w:rsidRPr="008F610A">
        <w:rPr>
          <w:lang w:val="fr-CA"/>
        </w:rPr>
        <w:t>Représentants de la Commission de la fonction publique et personnes-ressources de l’organisation</w:t>
      </w:r>
    </w:p>
    <w:p w14:paraId="3BEF3906" w14:textId="0065D8FD" w:rsidR="00832412" w:rsidRDefault="00591DC8" w:rsidP="00673F3E">
      <w:pPr>
        <w:rPr>
          <w:rFonts w:asciiTheme="minorHAnsi" w:hAnsiTheme="minorHAnsi"/>
          <w:sz w:val="22"/>
          <w:szCs w:val="22"/>
          <w:lang w:val="fr-CA"/>
        </w:rPr>
        <w:sectPr w:rsidR="00832412" w:rsidSect="00BF469C">
          <w:footerReference w:type="default" r:id="rId9"/>
          <w:footnotePr>
            <w:numFmt w:val="lowerLetter"/>
          </w:footnotePr>
          <w:endnotePr>
            <w:numFmt w:val="lowerLetter"/>
          </w:endnotePr>
          <w:pgSz w:w="12240" w:h="15840" w:code="1"/>
          <w:pgMar w:top="1440" w:right="1080" w:bottom="1440" w:left="1080" w:header="284" w:footer="284" w:gutter="0"/>
          <w:cols w:space="720"/>
          <w:docGrid w:linePitch="326"/>
        </w:sectPr>
      </w:pPr>
      <w:r w:rsidRPr="008F610A">
        <w:rPr>
          <w:rFonts w:asciiTheme="minorHAnsi" w:hAnsiTheme="minorHAnsi"/>
          <w:sz w:val="22"/>
          <w:szCs w:val="22"/>
          <w:lang w:val="fr-CA"/>
        </w:rPr>
        <w:t xml:space="preserve">La </w:t>
      </w:r>
      <w:r w:rsidR="00FB4912">
        <w:rPr>
          <w:rFonts w:asciiTheme="minorHAnsi" w:hAnsiTheme="minorHAnsi"/>
          <w:sz w:val="22"/>
          <w:szCs w:val="22"/>
          <w:lang w:val="fr-CA"/>
        </w:rPr>
        <w:t>CSD</w:t>
      </w:r>
      <w:r w:rsidRPr="008F610A">
        <w:rPr>
          <w:rFonts w:asciiTheme="minorHAnsi" w:hAnsiTheme="minorHAnsi"/>
          <w:sz w:val="22"/>
          <w:szCs w:val="22"/>
          <w:lang w:val="fr-CA"/>
        </w:rPr>
        <w:t xml:space="preserve"> assignée à cette organisation est Véronique</w:t>
      </w:r>
      <w:r w:rsidR="003C46D1" w:rsidRPr="008F610A">
        <w:rPr>
          <w:rFonts w:asciiTheme="minorHAnsi" w:hAnsiTheme="minorHAnsi"/>
          <w:sz w:val="22"/>
          <w:szCs w:val="22"/>
          <w:lang w:val="fr-CA"/>
        </w:rPr>
        <w:t> </w:t>
      </w:r>
      <w:r w:rsidRPr="008F610A">
        <w:rPr>
          <w:rFonts w:asciiTheme="minorHAnsi" w:hAnsiTheme="minorHAnsi"/>
          <w:sz w:val="22"/>
          <w:szCs w:val="22"/>
          <w:lang w:val="fr-CA"/>
        </w:rPr>
        <w:t>Geoffroy. La personne-ressource principale de l</w:t>
      </w:r>
      <w:r w:rsidR="00E346A8" w:rsidRPr="008F610A">
        <w:rPr>
          <w:rFonts w:asciiTheme="minorHAnsi" w:hAnsiTheme="minorHAnsi"/>
          <w:sz w:val="22"/>
          <w:szCs w:val="22"/>
          <w:lang w:val="fr-CA"/>
        </w:rPr>
        <w:t>’</w:t>
      </w:r>
      <w:r w:rsidRPr="008F610A">
        <w:rPr>
          <w:rFonts w:asciiTheme="minorHAnsi" w:hAnsiTheme="minorHAnsi"/>
          <w:sz w:val="22"/>
          <w:szCs w:val="22"/>
          <w:lang w:val="fr-CA"/>
        </w:rPr>
        <w:t>organisation est Diane Chicoine, gestionnaire, Politiques et programmes, Acquisition de talents</w:t>
      </w:r>
      <w:r w:rsidR="00FE3FD0" w:rsidRPr="008F610A">
        <w:rPr>
          <w:rFonts w:asciiTheme="minorHAnsi" w:hAnsiTheme="minorHAnsi"/>
          <w:sz w:val="22"/>
          <w:szCs w:val="22"/>
          <w:lang w:val="fr-CA"/>
        </w:rPr>
        <w:t>.</w:t>
      </w:r>
      <w:r w:rsidRPr="008F610A">
        <w:rPr>
          <w:rFonts w:asciiTheme="minorHAnsi" w:hAnsiTheme="minorHAnsi"/>
          <w:sz w:val="22"/>
          <w:szCs w:val="22"/>
          <w:lang w:val="fr-CA"/>
        </w:rPr>
        <w:t xml:space="preserve"> </w:t>
      </w:r>
      <w:r w:rsidR="00FE3FD0" w:rsidRPr="008F610A">
        <w:rPr>
          <w:rFonts w:asciiTheme="minorHAnsi" w:hAnsiTheme="minorHAnsi"/>
          <w:sz w:val="22"/>
          <w:szCs w:val="22"/>
          <w:lang w:val="fr-CA"/>
        </w:rPr>
        <w:t>L</w:t>
      </w:r>
      <w:r w:rsidRPr="008F610A">
        <w:rPr>
          <w:rFonts w:asciiTheme="minorHAnsi" w:hAnsiTheme="minorHAnsi"/>
          <w:sz w:val="22"/>
          <w:szCs w:val="22"/>
          <w:lang w:val="fr-CA"/>
        </w:rPr>
        <w:t>a chef des ressources humaines est Nancy Sanders, directrice générale, Ressources humaines.</w:t>
      </w:r>
    </w:p>
    <w:p w14:paraId="636B820E" w14:textId="77777777" w:rsidR="00591DC8" w:rsidRPr="00B3330F" w:rsidRDefault="00591DC8" w:rsidP="00B3330F">
      <w:pPr>
        <w:keepLines/>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59" w:lineRule="auto"/>
        <w:rPr>
          <w:rStyle w:val="Strong"/>
          <w:rFonts w:asciiTheme="minorHAnsi" w:eastAsiaTheme="minorHAnsi" w:hAnsiTheme="minorHAnsi" w:cstheme="minorHAnsi"/>
          <w:sz w:val="22"/>
        </w:rPr>
      </w:pPr>
      <w:r w:rsidRPr="00B3330F">
        <w:rPr>
          <w:rStyle w:val="Strong"/>
          <w:rFonts w:asciiTheme="minorHAnsi" w:hAnsiTheme="minorHAnsi" w:cstheme="minorHAnsi"/>
          <w:sz w:val="22"/>
        </w:rPr>
        <w:lastRenderedPageBreak/>
        <w:t>PRÉPARÉ PAR :</w:t>
      </w:r>
    </w:p>
    <w:p w14:paraId="2E693BFD" w14:textId="77777777" w:rsidR="00591DC8" w:rsidRPr="008F610A" w:rsidRDefault="00591DC8" w:rsidP="00B3330F">
      <w:pPr>
        <w:keepLines/>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9" w:lineRule="auto"/>
        <w:rPr>
          <w:rFonts w:asciiTheme="minorHAnsi" w:eastAsiaTheme="minorHAnsi" w:hAnsiTheme="minorHAnsi" w:cstheme="minorHAnsi"/>
          <w:sz w:val="22"/>
          <w:szCs w:val="22"/>
          <w:lang w:val="fr-CA"/>
        </w:rPr>
      </w:pPr>
      <w:r w:rsidRPr="008F610A">
        <w:rPr>
          <w:rFonts w:asciiTheme="minorHAnsi" w:hAnsiTheme="minorHAnsi"/>
          <w:sz w:val="22"/>
          <w:szCs w:val="22"/>
          <w:lang w:val="fr-CA"/>
        </w:rPr>
        <w:t xml:space="preserve">Véronique Geoffroy </w:t>
      </w:r>
    </w:p>
    <w:p w14:paraId="162F17C7" w14:textId="77777777" w:rsidR="00591DC8" w:rsidRPr="008F610A" w:rsidRDefault="003C46D1" w:rsidP="00591DC8">
      <w:pPr>
        <w:keepLines/>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60" w:line="259" w:lineRule="auto"/>
        <w:rPr>
          <w:rFonts w:asciiTheme="minorHAnsi" w:eastAsiaTheme="minorHAnsi" w:hAnsiTheme="minorHAnsi" w:cstheme="minorHAnsi"/>
          <w:sz w:val="22"/>
          <w:szCs w:val="22"/>
          <w:lang w:val="fr-CA"/>
        </w:rPr>
      </w:pPr>
      <w:r w:rsidRPr="008F610A">
        <w:rPr>
          <w:rFonts w:asciiTheme="minorHAnsi" w:hAnsiTheme="minorHAnsi"/>
          <w:sz w:val="22"/>
          <w:szCs w:val="22"/>
          <w:lang w:val="fr-CA"/>
        </w:rPr>
        <w:t>C</w:t>
      </w:r>
      <w:r w:rsidR="00591DC8" w:rsidRPr="008F610A">
        <w:rPr>
          <w:rFonts w:asciiTheme="minorHAnsi" w:hAnsiTheme="minorHAnsi"/>
          <w:sz w:val="22"/>
          <w:szCs w:val="22"/>
          <w:lang w:val="fr-CA"/>
        </w:rPr>
        <w:t>onseillère au soutien en dotation</w:t>
      </w:r>
    </w:p>
    <w:p w14:paraId="27AFEFFB" w14:textId="77777777" w:rsidR="00591DC8" w:rsidRPr="008F610A" w:rsidRDefault="00591DC8" w:rsidP="00673F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rPr>
          <w:rFonts w:asciiTheme="minorHAnsi" w:hAnsiTheme="minorHAnsi" w:cstheme="minorHAnsi"/>
          <w:sz w:val="22"/>
          <w:szCs w:val="22"/>
          <w:lang w:val="fr-CA"/>
        </w:rPr>
      </w:pPr>
      <w:r w:rsidRPr="008F610A">
        <w:rPr>
          <w:rFonts w:asciiTheme="minorHAnsi" w:hAnsiTheme="minorHAnsi"/>
          <w:sz w:val="22"/>
          <w:szCs w:val="22"/>
          <w:lang w:val="fr-CA"/>
        </w:rPr>
        <w:t>Annexes :</w:t>
      </w:r>
    </w:p>
    <w:p w14:paraId="23963CFD" w14:textId="7A3B27B4" w:rsidR="00B3330F" w:rsidRPr="00094498" w:rsidRDefault="004F458A" w:rsidP="00B3330F">
      <w:pPr>
        <w:pStyle w:val="ListParagraph"/>
        <w:numPr>
          <w:ilvl w:val="0"/>
          <w:numId w:val="22"/>
        </w:numPr>
        <w:spacing w:after="120"/>
        <w:ind w:left="714" w:hanging="357"/>
        <w:contextualSpacing w:val="0"/>
        <w:rPr>
          <w:rStyle w:val="Hyperlink"/>
          <w:rFonts w:asciiTheme="minorHAnsi" w:hAnsiTheme="minorHAnsi" w:cstheme="minorHAnsi"/>
          <w:bCs/>
          <w:sz w:val="22"/>
          <w:szCs w:val="22"/>
        </w:rPr>
      </w:pPr>
      <w:hyperlink w:anchor="Annexe_A" w:history="1">
        <w:r w:rsidR="00B3330F" w:rsidRPr="002B4128">
          <w:rPr>
            <w:rStyle w:val="Hyperlink"/>
            <w:rFonts w:asciiTheme="minorHAnsi" w:hAnsiTheme="minorHAnsi" w:cstheme="minorHAnsi"/>
            <w:sz w:val="22"/>
            <w:szCs w:val="22"/>
          </w:rPr>
          <w:t xml:space="preserve">Annexe A </w:t>
        </w:r>
        <w:r w:rsidR="00FB4912" w:rsidRPr="002B4128">
          <w:rPr>
            <w:rStyle w:val="Hyperlink"/>
            <w:rFonts w:asciiTheme="minorHAnsi" w:hAnsiTheme="minorHAnsi" w:cstheme="minorHAnsi"/>
            <w:sz w:val="22"/>
            <w:szCs w:val="22"/>
          </w:rPr>
          <w:t xml:space="preserve">– </w:t>
        </w:r>
        <w:r w:rsidR="00FB4912" w:rsidRPr="00532AF6">
          <w:rPr>
            <w:rStyle w:val="Hyperlink"/>
            <w:rFonts w:asciiTheme="minorHAnsi" w:hAnsiTheme="minorHAnsi" w:cstheme="minorHAnsi"/>
            <w:sz w:val="22"/>
            <w:szCs w:val="22"/>
          </w:rPr>
          <w:t>Document</w:t>
        </w:r>
        <w:r w:rsidR="00B3330F" w:rsidRPr="00532AF6">
          <w:rPr>
            <w:rStyle w:val="Hyperlink"/>
            <w:rFonts w:asciiTheme="minorHAnsi" w:hAnsiTheme="minorHAnsi" w:cstheme="minorHAnsi"/>
            <w:sz w:val="22"/>
            <w:szCs w:val="22"/>
          </w:rPr>
          <w:t xml:space="preserve"> Faits Saillants de la Nouvelle orientation en dotation (NOD) pour les AG </w:t>
        </w:r>
      </w:hyperlink>
    </w:p>
    <w:p w14:paraId="55AE705A" w14:textId="77777777" w:rsidR="00B3330F" w:rsidRPr="00832412" w:rsidRDefault="004F458A" w:rsidP="00B3330F">
      <w:pPr>
        <w:pStyle w:val="ListParagraph"/>
        <w:numPr>
          <w:ilvl w:val="0"/>
          <w:numId w:val="22"/>
        </w:numPr>
        <w:spacing w:after="0"/>
        <w:rPr>
          <w:rStyle w:val="Hyperlink"/>
          <w:rFonts w:asciiTheme="minorHAnsi" w:hAnsiTheme="minorHAnsi" w:cstheme="minorHAnsi"/>
          <w:bCs/>
          <w:color w:val="auto"/>
          <w:sz w:val="22"/>
          <w:szCs w:val="22"/>
          <w:u w:val="none"/>
        </w:rPr>
      </w:pPr>
      <w:hyperlink w:anchor="Annexe_B" w:history="1">
        <w:r w:rsidR="00B3330F" w:rsidRPr="002B4128">
          <w:rPr>
            <w:rStyle w:val="Hyperlink"/>
            <w:rFonts w:asciiTheme="minorHAnsi" w:hAnsiTheme="minorHAnsi" w:cstheme="minorHAnsi"/>
            <w:sz w:val="22"/>
            <w:szCs w:val="22"/>
          </w:rPr>
          <w:t>Annexe B - Données sur l’effectif et les activités de dotation</w:t>
        </w:r>
      </w:hyperlink>
    </w:p>
    <w:p w14:paraId="2019209D" w14:textId="77777777" w:rsidR="00832412" w:rsidRPr="00094498" w:rsidRDefault="00832412" w:rsidP="00B3330F">
      <w:pPr>
        <w:pStyle w:val="ListParagraph"/>
        <w:numPr>
          <w:ilvl w:val="0"/>
          <w:numId w:val="22"/>
        </w:numPr>
        <w:spacing w:after="0"/>
        <w:rPr>
          <w:rFonts w:asciiTheme="minorHAnsi" w:hAnsiTheme="minorHAnsi" w:cstheme="minorHAnsi"/>
          <w:bCs/>
          <w:sz w:val="22"/>
          <w:szCs w:val="22"/>
        </w:rPr>
        <w:sectPr w:rsidR="00832412" w:rsidRPr="00094498" w:rsidSect="00BF469C">
          <w:footnotePr>
            <w:numFmt w:val="lowerLetter"/>
          </w:footnotePr>
          <w:endnotePr>
            <w:numFmt w:val="lowerLetter"/>
          </w:endnotePr>
          <w:pgSz w:w="12240" w:h="15840" w:code="1"/>
          <w:pgMar w:top="1440" w:right="1080" w:bottom="1440" w:left="1080" w:header="284" w:footer="284" w:gutter="0"/>
          <w:cols w:space="720"/>
          <w:docGrid w:linePitch="326"/>
        </w:sectPr>
      </w:pPr>
    </w:p>
    <w:p w14:paraId="7F04DA6F" w14:textId="77777777" w:rsidR="00591DC8" w:rsidRPr="008F610A" w:rsidRDefault="00591DC8" w:rsidP="004F458A">
      <w:pPr>
        <w:pStyle w:val="Heading2"/>
        <w:rPr>
          <w:lang w:val="fr-CA"/>
        </w:rPr>
      </w:pPr>
      <w:bookmarkStart w:id="0" w:name="Annexe_A"/>
      <w:r w:rsidRPr="008F610A">
        <w:rPr>
          <w:lang w:val="fr-CA"/>
        </w:rPr>
        <w:lastRenderedPageBreak/>
        <w:t>Annexe </w:t>
      </w:r>
      <w:r w:rsidR="002300F0" w:rsidRPr="008F610A">
        <w:rPr>
          <w:lang w:val="fr-CA"/>
        </w:rPr>
        <w:t>A</w:t>
      </w:r>
    </w:p>
    <w:bookmarkEnd w:id="0"/>
    <w:p w14:paraId="783CC563" w14:textId="77777777" w:rsidR="00B3330F" w:rsidRPr="00D41B49" w:rsidRDefault="00B3330F" w:rsidP="004F458A">
      <w:pPr>
        <w:pStyle w:val="Heading3"/>
      </w:pPr>
      <w:r w:rsidRPr="00D41B49">
        <w:t>Une nouvelle orientation en dotation - un système fondé sur le mérite</w:t>
      </w:r>
      <w:r w:rsidRPr="00D41B49">
        <w:rPr>
          <w:rFonts w:asciiTheme="majorHAnsi" w:hAnsiTheme="majorHAnsi" w:cstheme="majorBidi"/>
          <w:color w:val="54575A" w:themeColor="text1"/>
          <w:sz w:val="48"/>
          <w:szCs w:val="48"/>
        </w:rPr>
        <w:t xml:space="preserve"> </w:t>
      </w:r>
      <w:r w:rsidRPr="00D41B49">
        <w:t>et axé sur l’efficacité, l’efficience et la justice</w:t>
      </w:r>
    </w:p>
    <w:p w14:paraId="4E6D6AEA" w14:textId="77777777" w:rsidR="00B3330F" w:rsidRPr="00D41B49" w:rsidRDefault="00B3330F" w:rsidP="004F458A">
      <w:pPr>
        <w:pStyle w:val="Heading4"/>
      </w:pPr>
      <w:r w:rsidRPr="00D41B49">
        <w:t>Politique de nomination</w:t>
      </w:r>
    </w:p>
    <w:p w14:paraId="56AB67E7" w14:textId="2CBE8E72" w:rsidR="00B3330F" w:rsidRPr="00A7023F" w:rsidRDefault="00B3330F" w:rsidP="00B3330F">
      <w:pPr>
        <w:keepLines/>
        <w:spacing w:line="259" w:lineRule="auto"/>
        <w:rPr>
          <w:rFonts w:asciiTheme="minorHAnsi" w:eastAsiaTheme="minorHAnsi" w:hAnsiTheme="minorHAnsi" w:cstheme="minorHAnsi"/>
          <w:spacing w:val="-6"/>
          <w:sz w:val="22"/>
          <w:szCs w:val="22"/>
        </w:rPr>
      </w:pPr>
      <w:r w:rsidRPr="00A7023F">
        <w:rPr>
          <w:rStyle w:val="Strong"/>
          <w:rFonts w:asciiTheme="minorHAnsi" w:eastAsiaTheme="minorHAnsi" w:hAnsiTheme="minorHAnsi" w:cstheme="minorHAnsi"/>
          <w:sz w:val="22"/>
          <w:szCs w:val="22"/>
        </w:rPr>
        <w:t xml:space="preserve">L’accent est davantage mis </w:t>
      </w:r>
      <w:r w:rsidR="00FB4912" w:rsidRPr="00A7023F">
        <w:rPr>
          <w:rStyle w:val="Strong"/>
          <w:rFonts w:asciiTheme="minorHAnsi" w:eastAsiaTheme="minorHAnsi" w:hAnsiTheme="minorHAnsi" w:cstheme="minorHAnsi"/>
          <w:sz w:val="22"/>
          <w:szCs w:val="22"/>
        </w:rPr>
        <w:t>sur les</w:t>
      </w:r>
      <w:r w:rsidRPr="00A7023F">
        <w:rPr>
          <w:rStyle w:val="Strong"/>
          <w:rFonts w:asciiTheme="minorHAnsi" w:eastAsiaTheme="minorHAnsi" w:hAnsiTheme="minorHAnsi" w:cstheme="minorHAnsi"/>
          <w:sz w:val="22"/>
          <w:szCs w:val="22"/>
        </w:rPr>
        <w:t xml:space="preserve"> exigences de base</w:t>
      </w:r>
      <w:r w:rsidRPr="00A7023F">
        <w:rPr>
          <w:rFonts w:asciiTheme="minorHAnsi" w:eastAsiaTheme="minorHAnsi" w:hAnsiTheme="minorHAnsi" w:cstheme="minorHAnsi"/>
          <w:spacing w:val="-6"/>
          <w:sz w:val="22"/>
          <w:szCs w:val="22"/>
        </w:rPr>
        <w:t xml:space="preserve"> afin de fournir aux personnes subdéléguées une plus </w:t>
      </w:r>
      <w:r w:rsidR="00FB4912" w:rsidRPr="00A7023F">
        <w:rPr>
          <w:rFonts w:asciiTheme="minorHAnsi" w:eastAsiaTheme="minorHAnsi" w:hAnsiTheme="minorHAnsi" w:cstheme="minorHAnsi"/>
          <w:spacing w:val="-6"/>
          <w:sz w:val="22"/>
          <w:szCs w:val="22"/>
        </w:rPr>
        <w:t>grande latitude</w:t>
      </w:r>
      <w:r w:rsidRPr="00A7023F">
        <w:rPr>
          <w:rFonts w:asciiTheme="minorHAnsi" w:eastAsiaTheme="minorHAnsi" w:hAnsiTheme="minorHAnsi" w:cstheme="minorHAnsi"/>
          <w:spacing w:val="-6"/>
          <w:sz w:val="22"/>
          <w:szCs w:val="22"/>
        </w:rPr>
        <w:t xml:space="preserve"> à l’égard des nominations</w:t>
      </w:r>
    </w:p>
    <w:p w14:paraId="08BDDB0B" w14:textId="77777777" w:rsidR="00B3330F" w:rsidRPr="00A7023F" w:rsidRDefault="00B3330F" w:rsidP="00B3330F">
      <w:pPr>
        <w:keepLines/>
        <w:numPr>
          <w:ilvl w:val="0"/>
          <w:numId w:val="27"/>
        </w:numPr>
        <w:spacing w:line="259" w:lineRule="auto"/>
        <w:rPr>
          <w:rFonts w:asciiTheme="minorHAnsi" w:eastAsiaTheme="minorHAnsi" w:hAnsiTheme="minorHAnsi" w:cstheme="minorHAnsi"/>
          <w:spacing w:val="-6"/>
          <w:sz w:val="22"/>
          <w:szCs w:val="22"/>
        </w:rPr>
      </w:pPr>
      <w:r w:rsidRPr="00A7023F">
        <w:rPr>
          <w:rStyle w:val="Strong"/>
          <w:rFonts w:asciiTheme="minorHAnsi" w:eastAsiaTheme="minorHAnsi" w:hAnsiTheme="minorHAnsi" w:cstheme="minorHAnsi"/>
          <w:sz w:val="22"/>
          <w:szCs w:val="22"/>
        </w:rPr>
        <w:t>Une seule politique de nomination</w:t>
      </w:r>
      <w:r w:rsidRPr="00A7023F">
        <w:rPr>
          <w:rFonts w:asciiTheme="minorHAnsi" w:eastAsiaTheme="minorHAnsi" w:hAnsiTheme="minorHAnsi" w:cstheme="minorHAnsi"/>
          <w:spacing w:val="-6"/>
          <w:sz w:val="22"/>
          <w:szCs w:val="22"/>
        </w:rPr>
        <w:t xml:space="preserve">, sans chevauchement des obligations juridiques </w:t>
      </w:r>
    </w:p>
    <w:p w14:paraId="7688EB77" w14:textId="77777777" w:rsidR="00B3330F" w:rsidRPr="00A7023F" w:rsidRDefault="00B3330F" w:rsidP="00B3330F">
      <w:pPr>
        <w:keepLines/>
        <w:numPr>
          <w:ilvl w:val="0"/>
          <w:numId w:val="27"/>
        </w:numPr>
        <w:spacing w:line="259" w:lineRule="auto"/>
        <w:rPr>
          <w:rFonts w:asciiTheme="minorHAnsi" w:eastAsiaTheme="minorHAnsi" w:hAnsiTheme="minorHAnsi" w:cstheme="minorHAnsi"/>
          <w:spacing w:val="-6"/>
          <w:sz w:val="22"/>
          <w:szCs w:val="22"/>
        </w:rPr>
      </w:pPr>
      <w:r w:rsidRPr="00A7023F">
        <w:rPr>
          <w:rStyle w:val="Strong"/>
          <w:rFonts w:asciiTheme="minorHAnsi" w:eastAsiaTheme="minorHAnsi" w:hAnsiTheme="minorHAnsi" w:cstheme="minorHAnsi"/>
          <w:sz w:val="22"/>
          <w:szCs w:val="22"/>
        </w:rPr>
        <w:t>Accent accru sur un système axé sur les valeurs</w:t>
      </w:r>
      <w:r w:rsidRPr="00A7023F">
        <w:rPr>
          <w:rFonts w:asciiTheme="minorHAnsi" w:eastAsiaTheme="minorHAnsi" w:hAnsiTheme="minorHAnsi" w:cstheme="minorHAnsi"/>
          <w:sz w:val="22"/>
          <w:szCs w:val="22"/>
        </w:rPr>
        <w:t xml:space="preserve"> plutôt que sur un </w:t>
      </w:r>
      <w:r w:rsidRPr="00A7023F">
        <w:rPr>
          <w:rFonts w:asciiTheme="minorHAnsi" w:eastAsiaTheme="minorHAnsi" w:hAnsiTheme="minorHAnsi" w:cstheme="minorHAnsi"/>
          <w:spacing w:val="-6"/>
          <w:sz w:val="22"/>
          <w:szCs w:val="22"/>
        </w:rPr>
        <w:t>système axé sur les règles</w:t>
      </w:r>
      <w:r w:rsidRPr="00A7023F">
        <w:rPr>
          <w:rFonts w:asciiTheme="minorHAnsi" w:eastAsiaTheme="minorHAnsi" w:hAnsiTheme="minorHAnsi" w:cstheme="minorHAnsi"/>
          <w:b/>
          <w:spacing w:val="-6"/>
          <w:sz w:val="22"/>
          <w:szCs w:val="22"/>
        </w:rPr>
        <w:t xml:space="preserve"> </w:t>
      </w:r>
    </w:p>
    <w:p w14:paraId="7DBE3674" w14:textId="77777777" w:rsidR="00B3330F" w:rsidRPr="00A7023F" w:rsidRDefault="00B3330F" w:rsidP="00B3330F">
      <w:pPr>
        <w:keepLines/>
        <w:numPr>
          <w:ilvl w:val="0"/>
          <w:numId w:val="27"/>
        </w:numPr>
        <w:spacing w:line="259" w:lineRule="auto"/>
        <w:rPr>
          <w:rFonts w:asciiTheme="minorHAnsi" w:eastAsiaTheme="minorHAnsi" w:hAnsiTheme="minorHAnsi" w:cstheme="minorHAnsi"/>
          <w:spacing w:val="-6"/>
          <w:sz w:val="22"/>
          <w:szCs w:val="22"/>
        </w:rPr>
      </w:pPr>
      <w:r w:rsidRPr="00A7023F">
        <w:rPr>
          <w:rFonts w:asciiTheme="minorHAnsi" w:eastAsiaTheme="minorHAnsi" w:hAnsiTheme="minorHAnsi" w:cstheme="minorHAnsi"/>
          <w:spacing w:val="-6"/>
          <w:sz w:val="22"/>
          <w:szCs w:val="22"/>
        </w:rPr>
        <w:t xml:space="preserve">Politique de nomination appuyée par une </w:t>
      </w:r>
      <w:r w:rsidRPr="00A7023F">
        <w:rPr>
          <w:rStyle w:val="Strong"/>
          <w:rFonts w:asciiTheme="minorHAnsi" w:eastAsiaTheme="minorHAnsi" w:hAnsiTheme="minorHAnsi" w:cstheme="minorHAnsi"/>
          <w:sz w:val="22"/>
          <w:szCs w:val="22"/>
        </w:rPr>
        <w:t>orientation rationalisée</w:t>
      </w:r>
      <w:r w:rsidRPr="00A7023F">
        <w:rPr>
          <w:rFonts w:asciiTheme="minorHAnsi" w:eastAsiaTheme="minorHAnsi" w:hAnsiTheme="minorHAnsi" w:cstheme="minorHAnsi"/>
          <w:b/>
          <w:spacing w:val="-6"/>
          <w:sz w:val="22"/>
          <w:szCs w:val="22"/>
        </w:rPr>
        <w:t xml:space="preserve"> </w:t>
      </w:r>
      <w:r w:rsidRPr="00A7023F">
        <w:rPr>
          <w:rFonts w:asciiTheme="minorHAnsi" w:eastAsiaTheme="minorHAnsi" w:hAnsiTheme="minorHAnsi" w:cstheme="minorHAnsi"/>
          <w:spacing w:val="-6"/>
          <w:sz w:val="22"/>
          <w:szCs w:val="22"/>
        </w:rPr>
        <w:t>:</w:t>
      </w:r>
    </w:p>
    <w:p w14:paraId="053BF4A8" w14:textId="77777777" w:rsidR="00B3330F" w:rsidRPr="00A7023F" w:rsidRDefault="00B3330F" w:rsidP="00B3330F">
      <w:pPr>
        <w:keepLines/>
        <w:numPr>
          <w:ilvl w:val="1"/>
          <w:numId w:val="23"/>
        </w:numPr>
        <w:spacing w:line="259" w:lineRule="auto"/>
        <w:ind w:left="1508" w:hanging="425"/>
        <w:rPr>
          <w:rFonts w:asciiTheme="minorHAnsi" w:eastAsiaTheme="minorHAnsi" w:hAnsiTheme="minorHAnsi" w:cstheme="minorHAnsi"/>
          <w:spacing w:val="-6"/>
          <w:sz w:val="22"/>
          <w:szCs w:val="22"/>
        </w:rPr>
      </w:pPr>
      <w:r w:rsidRPr="00A7023F">
        <w:rPr>
          <w:rFonts w:asciiTheme="minorHAnsi" w:eastAsiaTheme="minorHAnsi" w:hAnsiTheme="minorHAnsi" w:cstheme="minorHAnsi"/>
          <w:spacing w:val="-6"/>
          <w:sz w:val="22"/>
          <w:szCs w:val="22"/>
        </w:rPr>
        <w:t>Feuille de route précisant les exigences relatives aux lois, règlements et politiques</w:t>
      </w:r>
    </w:p>
    <w:p w14:paraId="682595E3" w14:textId="256B76B8" w:rsidR="00B3330F" w:rsidRPr="00A7023F" w:rsidRDefault="00B3330F" w:rsidP="00B3330F">
      <w:pPr>
        <w:keepLines/>
        <w:numPr>
          <w:ilvl w:val="1"/>
          <w:numId w:val="23"/>
        </w:numPr>
        <w:spacing w:line="259" w:lineRule="auto"/>
        <w:ind w:left="1508" w:hanging="425"/>
        <w:rPr>
          <w:rFonts w:asciiTheme="minorHAnsi" w:eastAsiaTheme="minorHAnsi" w:hAnsiTheme="minorHAnsi" w:cstheme="minorHAnsi"/>
          <w:spacing w:val="-6"/>
          <w:sz w:val="22"/>
          <w:szCs w:val="22"/>
        </w:rPr>
      </w:pPr>
      <w:r w:rsidRPr="00A7023F">
        <w:rPr>
          <w:rFonts w:asciiTheme="minorHAnsi" w:eastAsiaTheme="minorHAnsi" w:hAnsiTheme="minorHAnsi" w:cstheme="minorHAnsi"/>
          <w:spacing w:val="-6"/>
          <w:sz w:val="22"/>
          <w:szCs w:val="22"/>
        </w:rPr>
        <w:t xml:space="preserve">Options et considérations relatives </w:t>
      </w:r>
      <w:r w:rsidR="00FB4912" w:rsidRPr="00A7023F">
        <w:rPr>
          <w:rFonts w:asciiTheme="minorHAnsi" w:eastAsiaTheme="minorHAnsi" w:hAnsiTheme="minorHAnsi" w:cstheme="minorHAnsi"/>
          <w:spacing w:val="-6"/>
          <w:sz w:val="22"/>
          <w:szCs w:val="22"/>
        </w:rPr>
        <w:t>à la</w:t>
      </w:r>
      <w:r w:rsidRPr="00A7023F">
        <w:rPr>
          <w:rFonts w:asciiTheme="minorHAnsi" w:eastAsiaTheme="minorHAnsi" w:hAnsiTheme="minorHAnsi" w:cstheme="minorHAnsi"/>
          <w:spacing w:val="-6"/>
          <w:sz w:val="22"/>
          <w:szCs w:val="22"/>
        </w:rPr>
        <w:t xml:space="preserve"> prise de décisions dans les cas où il existe une certaine latitude</w:t>
      </w:r>
    </w:p>
    <w:p w14:paraId="04F422E6" w14:textId="77777777" w:rsidR="00B3330F" w:rsidRPr="00A7023F" w:rsidRDefault="00B3330F" w:rsidP="00B3330F">
      <w:pPr>
        <w:keepLines/>
        <w:numPr>
          <w:ilvl w:val="0"/>
          <w:numId w:val="28"/>
        </w:numPr>
        <w:spacing w:line="259" w:lineRule="auto"/>
        <w:rPr>
          <w:rFonts w:asciiTheme="minorHAnsi" w:eastAsiaTheme="minorHAnsi" w:hAnsiTheme="minorHAnsi" w:cstheme="minorHAnsi"/>
          <w:spacing w:val="-6"/>
          <w:sz w:val="22"/>
          <w:szCs w:val="22"/>
        </w:rPr>
      </w:pPr>
      <w:r w:rsidRPr="00A7023F">
        <w:rPr>
          <w:rStyle w:val="Strong"/>
          <w:rFonts w:asciiTheme="minorHAnsi" w:eastAsiaTheme="minorHAnsi" w:hAnsiTheme="minorHAnsi" w:cstheme="minorHAnsi"/>
          <w:sz w:val="22"/>
          <w:szCs w:val="22"/>
        </w:rPr>
        <w:t>Attentes clairement définies</w:t>
      </w:r>
      <w:r w:rsidRPr="00A7023F">
        <w:rPr>
          <w:rFonts w:asciiTheme="minorHAnsi" w:eastAsiaTheme="minorHAnsi" w:hAnsiTheme="minorHAnsi" w:cstheme="minorHAnsi"/>
          <w:spacing w:val="-6"/>
          <w:sz w:val="22"/>
          <w:szCs w:val="22"/>
        </w:rPr>
        <w:t xml:space="preserve"> quant aux droits de priorité</w:t>
      </w:r>
    </w:p>
    <w:p w14:paraId="24EB8794" w14:textId="26B63960" w:rsidR="00B3330F" w:rsidRPr="00A7023F" w:rsidRDefault="00B3330F" w:rsidP="00B3330F">
      <w:pPr>
        <w:keepLines/>
        <w:numPr>
          <w:ilvl w:val="0"/>
          <w:numId w:val="28"/>
        </w:numPr>
        <w:spacing w:line="259" w:lineRule="auto"/>
        <w:rPr>
          <w:rFonts w:asciiTheme="minorHAnsi" w:eastAsiaTheme="minorHAnsi" w:hAnsiTheme="minorHAnsi" w:cstheme="minorHAnsi"/>
          <w:spacing w:val="-6"/>
          <w:sz w:val="22"/>
          <w:szCs w:val="22"/>
        </w:rPr>
      </w:pPr>
      <w:r w:rsidRPr="00A7023F">
        <w:rPr>
          <w:rFonts w:asciiTheme="minorHAnsi" w:eastAsiaTheme="minorHAnsi" w:hAnsiTheme="minorHAnsi" w:cstheme="minorHAnsi"/>
          <w:spacing w:val="-6"/>
          <w:sz w:val="22"/>
          <w:szCs w:val="22"/>
        </w:rPr>
        <w:t xml:space="preserve">Aucune restriction quant aux méthodes d’évaluation pour </w:t>
      </w:r>
      <w:r w:rsidR="00FB4912" w:rsidRPr="00A7023F">
        <w:rPr>
          <w:rFonts w:asciiTheme="minorHAnsi" w:eastAsiaTheme="minorHAnsi" w:hAnsiTheme="minorHAnsi" w:cstheme="minorHAnsi"/>
          <w:spacing w:val="-6"/>
          <w:sz w:val="22"/>
          <w:szCs w:val="22"/>
        </w:rPr>
        <w:t>la nomination</w:t>
      </w:r>
      <w:r w:rsidRPr="00A7023F">
        <w:rPr>
          <w:rFonts w:asciiTheme="minorHAnsi" w:eastAsiaTheme="minorHAnsi" w:hAnsiTheme="minorHAnsi" w:cstheme="minorHAnsi"/>
          <w:spacing w:val="-6"/>
          <w:sz w:val="22"/>
          <w:szCs w:val="22"/>
        </w:rPr>
        <w:t xml:space="preserve"> des cadres de direction (EX)</w:t>
      </w:r>
    </w:p>
    <w:p w14:paraId="7ABD112E" w14:textId="77777777" w:rsidR="00B3330F" w:rsidRPr="00A7023F" w:rsidRDefault="00B3330F" w:rsidP="00B3330F">
      <w:pPr>
        <w:keepLines/>
        <w:numPr>
          <w:ilvl w:val="0"/>
          <w:numId w:val="28"/>
        </w:numPr>
        <w:spacing w:after="240" w:line="259" w:lineRule="auto"/>
        <w:rPr>
          <w:rFonts w:asciiTheme="minorHAnsi" w:eastAsiaTheme="minorHAnsi" w:hAnsiTheme="minorHAnsi" w:cstheme="minorHAnsi"/>
          <w:spacing w:val="-6"/>
          <w:sz w:val="22"/>
          <w:szCs w:val="22"/>
        </w:rPr>
      </w:pPr>
      <w:r w:rsidRPr="00A7023F">
        <w:rPr>
          <w:rFonts w:asciiTheme="minorHAnsi" w:eastAsiaTheme="minorHAnsi" w:hAnsiTheme="minorHAnsi" w:cstheme="minorHAnsi"/>
          <w:spacing w:val="-6"/>
          <w:sz w:val="22"/>
          <w:szCs w:val="22"/>
        </w:rPr>
        <w:t>Exceptions à la zone nationale de sélection approuvées</w:t>
      </w:r>
    </w:p>
    <w:p w14:paraId="4248F870" w14:textId="77777777" w:rsidR="00B3330F" w:rsidRPr="00D41B49" w:rsidRDefault="00B3330F" w:rsidP="004F458A">
      <w:pPr>
        <w:pStyle w:val="Heading4"/>
      </w:pPr>
      <w:r w:rsidRPr="00D41B49">
        <w:t>Délégation</w:t>
      </w:r>
    </w:p>
    <w:p w14:paraId="046FBBBB" w14:textId="3823EF7F" w:rsidR="00B3330F" w:rsidRPr="00A7023F" w:rsidRDefault="00B3330F" w:rsidP="00B3330F">
      <w:pPr>
        <w:pStyle w:val="ListParagraph"/>
        <w:keepLines/>
        <w:numPr>
          <w:ilvl w:val="0"/>
          <w:numId w:val="29"/>
        </w:numPr>
        <w:spacing w:after="0" w:line="259" w:lineRule="auto"/>
        <w:rPr>
          <w:rFonts w:asciiTheme="minorHAnsi" w:eastAsiaTheme="minorHAnsi" w:hAnsiTheme="minorHAnsi" w:cstheme="minorHAnsi"/>
          <w:spacing w:val="-8"/>
          <w:sz w:val="22"/>
          <w:szCs w:val="22"/>
        </w:rPr>
      </w:pPr>
      <w:r w:rsidRPr="00A7023F">
        <w:rPr>
          <w:rStyle w:val="Strong"/>
          <w:rFonts w:asciiTheme="minorHAnsi" w:eastAsiaTheme="minorHAnsi" w:hAnsiTheme="minorHAnsi" w:cstheme="minorHAnsi"/>
          <w:sz w:val="22"/>
          <w:szCs w:val="22"/>
        </w:rPr>
        <w:t>L’accent est davantage mis sur la capacité d’adapter le système de dotation de l’organisation</w:t>
      </w:r>
      <w:r w:rsidRPr="00A7023F">
        <w:rPr>
          <w:rFonts w:asciiTheme="minorHAnsi" w:eastAsiaTheme="minorHAnsi" w:hAnsiTheme="minorHAnsi" w:cstheme="minorHAnsi"/>
          <w:b/>
          <w:bCs/>
          <w:spacing w:val="-8"/>
          <w:sz w:val="22"/>
          <w:szCs w:val="22"/>
        </w:rPr>
        <w:t xml:space="preserve"> </w:t>
      </w:r>
      <w:r w:rsidRPr="00A7023F">
        <w:rPr>
          <w:rFonts w:asciiTheme="minorHAnsi" w:eastAsiaTheme="minorHAnsi" w:hAnsiTheme="minorHAnsi" w:cstheme="minorHAnsi"/>
          <w:spacing w:val="-8"/>
          <w:sz w:val="22"/>
          <w:szCs w:val="22"/>
        </w:rPr>
        <w:t xml:space="preserve">en fonction du contexte particulier et des besoins opérationnels en évolution </w:t>
      </w:r>
    </w:p>
    <w:p w14:paraId="4D819CA5" w14:textId="77777777" w:rsidR="00B3330F" w:rsidRPr="00A7023F" w:rsidRDefault="00B3330F" w:rsidP="00B3330F">
      <w:pPr>
        <w:keepLines/>
        <w:numPr>
          <w:ilvl w:val="0"/>
          <w:numId w:val="29"/>
        </w:numPr>
        <w:spacing w:line="259" w:lineRule="auto"/>
        <w:rPr>
          <w:rStyle w:val="Strong"/>
          <w:rFonts w:asciiTheme="minorHAnsi" w:eastAsiaTheme="minorHAnsi" w:hAnsiTheme="minorHAnsi" w:cstheme="minorHAnsi"/>
          <w:sz w:val="22"/>
          <w:szCs w:val="22"/>
        </w:rPr>
      </w:pPr>
      <w:r w:rsidRPr="00A7023F">
        <w:rPr>
          <w:rFonts w:asciiTheme="minorHAnsi" w:eastAsiaTheme="minorHAnsi" w:hAnsiTheme="minorHAnsi" w:cstheme="minorHAnsi"/>
          <w:spacing w:val="-8"/>
          <w:sz w:val="22"/>
          <w:szCs w:val="22"/>
        </w:rPr>
        <w:t xml:space="preserve">L’administrateur général établit une orientation quant à </w:t>
      </w:r>
      <w:r w:rsidRPr="00A7023F">
        <w:rPr>
          <w:rStyle w:val="Strong"/>
          <w:rFonts w:asciiTheme="minorHAnsi" w:eastAsiaTheme="minorHAnsi" w:hAnsiTheme="minorHAnsi" w:cstheme="minorHAnsi"/>
          <w:sz w:val="22"/>
          <w:szCs w:val="22"/>
        </w:rPr>
        <w:t xml:space="preserve">l’utilisation des processus de nomination annoncés et non annoncés </w:t>
      </w:r>
    </w:p>
    <w:p w14:paraId="00634A20" w14:textId="77777777" w:rsidR="00B3330F" w:rsidRPr="00A7023F" w:rsidRDefault="00B3330F" w:rsidP="00B3330F">
      <w:pPr>
        <w:keepLines/>
        <w:numPr>
          <w:ilvl w:val="0"/>
          <w:numId w:val="29"/>
        </w:numPr>
        <w:spacing w:line="259" w:lineRule="auto"/>
        <w:rPr>
          <w:rStyle w:val="Strong"/>
          <w:rFonts w:asciiTheme="minorHAnsi" w:eastAsiaTheme="minorHAnsi" w:hAnsiTheme="minorHAnsi" w:cstheme="minorHAnsi"/>
          <w:sz w:val="22"/>
          <w:szCs w:val="22"/>
        </w:rPr>
      </w:pPr>
      <w:r w:rsidRPr="00A7023F">
        <w:rPr>
          <w:rFonts w:asciiTheme="minorHAnsi" w:eastAsiaTheme="minorHAnsi" w:hAnsiTheme="minorHAnsi" w:cstheme="minorHAnsi"/>
          <w:spacing w:val="-8"/>
          <w:sz w:val="22"/>
          <w:szCs w:val="22"/>
        </w:rPr>
        <w:t xml:space="preserve">L’administrateur général établit les exigences pour les personnes subdéléguées </w:t>
      </w:r>
      <w:r w:rsidRPr="00A7023F">
        <w:rPr>
          <w:rStyle w:val="Strong"/>
          <w:rFonts w:asciiTheme="minorHAnsi" w:eastAsiaTheme="minorHAnsi" w:hAnsiTheme="minorHAnsi" w:cstheme="minorHAnsi"/>
          <w:sz w:val="22"/>
          <w:szCs w:val="22"/>
        </w:rPr>
        <w:t>de formuler, par écrit, la décision de sélection</w:t>
      </w:r>
    </w:p>
    <w:p w14:paraId="7C1F5B7A" w14:textId="77777777" w:rsidR="00B3330F" w:rsidRPr="00A7023F" w:rsidRDefault="00B3330F" w:rsidP="00B3330F">
      <w:pPr>
        <w:keepLines/>
        <w:numPr>
          <w:ilvl w:val="0"/>
          <w:numId w:val="29"/>
        </w:numPr>
        <w:spacing w:line="259" w:lineRule="auto"/>
        <w:rPr>
          <w:rFonts w:asciiTheme="minorHAnsi" w:eastAsiaTheme="minorHAnsi" w:hAnsiTheme="minorHAnsi" w:cstheme="minorHAnsi"/>
          <w:spacing w:val="-8"/>
          <w:sz w:val="22"/>
          <w:szCs w:val="22"/>
        </w:rPr>
      </w:pPr>
      <w:r w:rsidRPr="00A7023F">
        <w:rPr>
          <w:rFonts w:asciiTheme="minorHAnsi" w:eastAsiaTheme="minorHAnsi" w:hAnsiTheme="minorHAnsi" w:cstheme="minorHAnsi"/>
          <w:spacing w:val="-8"/>
          <w:sz w:val="22"/>
          <w:szCs w:val="22"/>
        </w:rPr>
        <w:t>Exigences plus claires concernant les enquêtes</w:t>
      </w:r>
    </w:p>
    <w:p w14:paraId="5A055DD1" w14:textId="77777777" w:rsidR="00B3330F" w:rsidRPr="00A7023F" w:rsidRDefault="00B3330F" w:rsidP="00B3330F">
      <w:pPr>
        <w:keepLines/>
        <w:numPr>
          <w:ilvl w:val="0"/>
          <w:numId w:val="29"/>
        </w:numPr>
        <w:spacing w:line="259" w:lineRule="auto"/>
        <w:rPr>
          <w:rFonts w:asciiTheme="minorHAnsi" w:eastAsiaTheme="minorHAnsi" w:hAnsiTheme="minorHAnsi" w:cstheme="minorHAnsi"/>
          <w:spacing w:val="-8"/>
          <w:sz w:val="22"/>
          <w:szCs w:val="22"/>
        </w:rPr>
      </w:pPr>
      <w:r w:rsidRPr="00A7023F">
        <w:rPr>
          <w:rStyle w:val="Strong"/>
          <w:rFonts w:asciiTheme="minorHAnsi" w:eastAsiaTheme="minorHAnsi" w:hAnsiTheme="minorHAnsi" w:cstheme="minorHAnsi"/>
          <w:sz w:val="22"/>
          <w:szCs w:val="22"/>
        </w:rPr>
        <w:t>Formulaire d’attestation</w:t>
      </w:r>
      <w:r w:rsidRPr="00A7023F">
        <w:rPr>
          <w:rFonts w:asciiTheme="minorHAnsi" w:eastAsiaTheme="minorHAnsi" w:hAnsiTheme="minorHAnsi" w:cstheme="minorHAnsi"/>
          <w:spacing w:val="-8"/>
          <w:sz w:val="22"/>
          <w:szCs w:val="22"/>
        </w:rPr>
        <w:t xml:space="preserve"> réitérant les responsabilités des personnes subdéléguées</w:t>
      </w:r>
    </w:p>
    <w:p w14:paraId="1AED04F4" w14:textId="77777777" w:rsidR="00B3330F" w:rsidRPr="00A7023F" w:rsidRDefault="00B3330F" w:rsidP="00B3330F">
      <w:pPr>
        <w:keepLines/>
        <w:spacing w:after="160" w:line="259" w:lineRule="auto"/>
        <w:ind w:right="-202"/>
        <w:rPr>
          <w:rFonts w:asciiTheme="minorHAnsi" w:eastAsiaTheme="minorHAnsi" w:hAnsiTheme="minorHAnsi" w:cstheme="minorHAnsi"/>
          <w:spacing w:val="-8"/>
          <w:sz w:val="22"/>
          <w:szCs w:val="22"/>
        </w:rPr>
      </w:pPr>
      <w:r w:rsidRPr="00A7023F">
        <w:rPr>
          <w:rFonts w:asciiTheme="minorHAnsi" w:eastAsiaTheme="minorHAnsi" w:hAnsiTheme="minorHAnsi" w:cstheme="minorHAnsi"/>
          <w:spacing w:val="-8"/>
          <w:sz w:val="22"/>
          <w:szCs w:val="22"/>
        </w:rPr>
        <w:t>Toutes les exigences de la CFP en matière de surveillance et de présentation de rapports figurent maintenant dans l’Instrument de délégation et de responsabilisation en matière de nomination</w:t>
      </w:r>
    </w:p>
    <w:p w14:paraId="11E3B8F2" w14:textId="77777777" w:rsidR="00B3330F" w:rsidRPr="00D41B49" w:rsidRDefault="00B3330F" w:rsidP="00B3330F">
      <w:pPr>
        <w:pStyle w:val="Heading3"/>
        <w:spacing w:after="120"/>
      </w:pPr>
      <w:r w:rsidRPr="00D41B49">
        <w:br w:type="page"/>
      </w:r>
    </w:p>
    <w:p w14:paraId="683AC725" w14:textId="77777777" w:rsidR="00B3330F" w:rsidRPr="00D41B49" w:rsidRDefault="00B3330F" w:rsidP="004F458A">
      <w:pPr>
        <w:pStyle w:val="Heading4"/>
      </w:pPr>
      <w:r w:rsidRPr="00D41B49">
        <w:lastRenderedPageBreak/>
        <w:t>Surveillance et rapports</w:t>
      </w:r>
    </w:p>
    <w:p w14:paraId="31F6CF3A" w14:textId="77777777" w:rsidR="00B3330F" w:rsidRPr="00A7023F" w:rsidRDefault="00B3330F" w:rsidP="00B3330F">
      <w:pPr>
        <w:spacing w:after="120"/>
        <w:rPr>
          <w:rFonts w:asciiTheme="minorHAnsi" w:eastAsiaTheme="minorHAnsi" w:hAnsiTheme="minorHAnsi" w:cstheme="minorHAnsi"/>
          <w:sz w:val="22"/>
          <w:szCs w:val="22"/>
          <w:highlight w:val="yellow"/>
        </w:rPr>
      </w:pPr>
      <w:r w:rsidRPr="00A7023F">
        <w:rPr>
          <w:rStyle w:val="Strong"/>
          <w:rFonts w:asciiTheme="minorHAnsi" w:eastAsiaTheme="minorHAnsi" w:hAnsiTheme="minorHAnsi" w:cstheme="minorHAnsi"/>
          <w:sz w:val="22"/>
          <w:szCs w:val="22"/>
        </w:rPr>
        <w:t>La surveillance est établie par les organisations</w:t>
      </w:r>
      <w:r w:rsidRPr="00A7023F">
        <w:rPr>
          <w:rFonts w:asciiTheme="minorHAnsi" w:eastAsiaTheme="minorHAnsi" w:hAnsiTheme="minorHAnsi" w:cstheme="minorHAnsi"/>
          <w:sz w:val="22"/>
          <w:szCs w:val="22"/>
        </w:rPr>
        <w:t>, ciblée à leurs besoins</w:t>
      </w:r>
    </w:p>
    <w:p w14:paraId="6478B66A" w14:textId="77777777" w:rsidR="00B3330F" w:rsidRPr="00A7023F" w:rsidRDefault="00B3330F" w:rsidP="00B3330F">
      <w:pPr>
        <w:pStyle w:val="ListParagraph"/>
        <w:numPr>
          <w:ilvl w:val="0"/>
          <w:numId w:val="30"/>
        </w:numPr>
        <w:spacing w:after="0"/>
        <w:contextualSpacing w:val="0"/>
        <w:rPr>
          <w:rFonts w:asciiTheme="minorHAnsi" w:eastAsiaTheme="minorHAnsi" w:hAnsiTheme="minorHAnsi" w:cstheme="minorHAnsi"/>
          <w:sz w:val="22"/>
          <w:szCs w:val="22"/>
        </w:rPr>
      </w:pPr>
      <w:r w:rsidRPr="00A7023F">
        <w:rPr>
          <w:rFonts w:asciiTheme="minorHAnsi" w:eastAsiaTheme="minorHAnsi" w:hAnsiTheme="minorHAnsi" w:cstheme="minorHAnsi"/>
          <w:sz w:val="22"/>
          <w:szCs w:val="22"/>
        </w:rPr>
        <w:t>Le Rapport ministériel sur l’obligation de rendre compte en dotation n’est plus requis</w:t>
      </w:r>
    </w:p>
    <w:p w14:paraId="05FAF241" w14:textId="77777777" w:rsidR="00B3330F" w:rsidRPr="00A7023F" w:rsidRDefault="00B3330F" w:rsidP="00B3330F">
      <w:pPr>
        <w:pStyle w:val="ListParagraph"/>
        <w:numPr>
          <w:ilvl w:val="0"/>
          <w:numId w:val="30"/>
        </w:numPr>
        <w:spacing w:after="0"/>
        <w:contextualSpacing w:val="0"/>
        <w:rPr>
          <w:rFonts w:asciiTheme="minorHAnsi" w:eastAsiaTheme="minorHAnsi" w:hAnsiTheme="minorHAnsi" w:cstheme="minorHAnsi"/>
          <w:sz w:val="22"/>
          <w:szCs w:val="22"/>
        </w:rPr>
      </w:pPr>
      <w:r w:rsidRPr="00A7023F">
        <w:rPr>
          <w:rStyle w:val="Strong"/>
          <w:rFonts w:asciiTheme="minorHAnsi" w:eastAsiaTheme="minorHAnsi" w:hAnsiTheme="minorHAnsi" w:cstheme="minorHAnsi"/>
          <w:sz w:val="22"/>
          <w:szCs w:val="22"/>
        </w:rPr>
        <w:t>Le rapport annuel à la CFP portera seulement</w:t>
      </w:r>
      <w:r w:rsidRPr="00A7023F">
        <w:rPr>
          <w:rFonts w:asciiTheme="minorHAnsi" w:eastAsiaTheme="minorHAnsi" w:hAnsiTheme="minorHAnsi" w:cstheme="minorHAnsi"/>
          <w:sz w:val="22"/>
          <w:szCs w:val="22"/>
        </w:rPr>
        <w:t xml:space="preserve"> sur :</w:t>
      </w:r>
    </w:p>
    <w:p w14:paraId="072C50C1" w14:textId="77777777" w:rsidR="00B3330F" w:rsidRPr="00A7023F" w:rsidRDefault="00B3330F" w:rsidP="00B3330F">
      <w:pPr>
        <w:pStyle w:val="ListParagraph"/>
        <w:numPr>
          <w:ilvl w:val="0"/>
          <w:numId w:val="24"/>
        </w:numPr>
        <w:spacing w:after="0"/>
        <w:contextualSpacing w:val="0"/>
        <w:rPr>
          <w:rFonts w:asciiTheme="minorHAnsi" w:eastAsiaTheme="minorHAnsi" w:hAnsiTheme="minorHAnsi" w:cstheme="minorHAnsi"/>
          <w:sz w:val="22"/>
          <w:szCs w:val="22"/>
        </w:rPr>
      </w:pPr>
      <w:proofErr w:type="gramStart"/>
      <w:r w:rsidRPr="00A7023F">
        <w:rPr>
          <w:rFonts w:asciiTheme="minorHAnsi" w:eastAsiaTheme="minorHAnsi" w:hAnsiTheme="minorHAnsi" w:cstheme="minorHAnsi"/>
          <w:sz w:val="22"/>
          <w:szCs w:val="22"/>
        </w:rPr>
        <w:t>l’utilisation</w:t>
      </w:r>
      <w:proofErr w:type="gramEnd"/>
      <w:r w:rsidRPr="00A7023F">
        <w:rPr>
          <w:rFonts w:asciiTheme="minorHAnsi" w:eastAsiaTheme="minorHAnsi" w:hAnsiTheme="minorHAnsi" w:cstheme="minorHAnsi"/>
          <w:sz w:val="22"/>
          <w:szCs w:val="22"/>
        </w:rPr>
        <w:t xml:space="preserve"> du Décret d’exemption concernant les langues officielles dans la fonction publique</w:t>
      </w:r>
    </w:p>
    <w:p w14:paraId="4A22A4E0" w14:textId="77777777" w:rsidR="00B3330F" w:rsidRPr="00A7023F" w:rsidRDefault="00B3330F" w:rsidP="00B3330F">
      <w:pPr>
        <w:pStyle w:val="ListParagraph"/>
        <w:numPr>
          <w:ilvl w:val="0"/>
          <w:numId w:val="24"/>
        </w:numPr>
        <w:spacing w:after="0"/>
        <w:contextualSpacing w:val="0"/>
        <w:rPr>
          <w:rFonts w:asciiTheme="minorHAnsi" w:eastAsiaTheme="minorHAnsi" w:hAnsiTheme="minorHAnsi" w:cstheme="minorHAnsi"/>
          <w:sz w:val="22"/>
          <w:szCs w:val="22"/>
        </w:rPr>
      </w:pPr>
      <w:proofErr w:type="gramStart"/>
      <w:r w:rsidRPr="00A7023F">
        <w:rPr>
          <w:rFonts w:asciiTheme="minorHAnsi" w:eastAsiaTheme="minorHAnsi" w:hAnsiTheme="minorHAnsi" w:cstheme="minorHAnsi"/>
          <w:sz w:val="22"/>
          <w:szCs w:val="22"/>
        </w:rPr>
        <w:t>les</w:t>
      </w:r>
      <w:proofErr w:type="gramEnd"/>
      <w:r w:rsidRPr="00A7023F">
        <w:rPr>
          <w:rFonts w:asciiTheme="minorHAnsi" w:eastAsiaTheme="minorHAnsi" w:hAnsiTheme="minorHAnsi" w:cstheme="minorHAnsi"/>
          <w:sz w:val="22"/>
          <w:szCs w:val="22"/>
        </w:rPr>
        <w:t xml:space="preserve"> exceptions à la zone nationale de sélection approuvée par l’administrateur général</w:t>
      </w:r>
    </w:p>
    <w:p w14:paraId="2E1BF806" w14:textId="77777777" w:rsidR="00B3330F" w:rsidRPr="00A7023F" w:rsidRDefault="00B3330F" w:rsidP="00B3330F">
      <w:pPr>
        <w:pStyle w:val="ListParagraph"/>
        <w:numPr>
          <w:ilvl w:val="0"/>
          <w:numId w:val="24"/>
        </w:numPr>
        <w:spacing w:after="0"/>
        <w:contextualSpacing w:val="0"/>
        <w:rPr>
          <w:rFonts w:asciiTheme="minorHAnsi" w:eastAsiaTheme="minorHAnsi" w:hAnsiTheme="minorHAnsi" w:cstheme="minorHAnsi"/>
          <w:sz w:val="22"/>
          <w:szCs w:val="22"/>
        </w:rPr>
      </w:pPr>
      <w:proofErr w:type="gramStart"/>
      <w:r w:rsidRPr="00A7023F">
        <w:rPr>
          <w:rFonts w:asciiTheme="minorHAnsi" w:eastAsiaTheme="minorHAnsi" w:hAnsiTheme="minorHAnsi" w:cstheme="minorHAnsi"/>
          <w:sz w:val="22"/>
          <w:szCs w:val="22"/>
        </w:rPr>
        <w:t>les</w:t>
      </w:r>
      <w:proofErr w:type="gramEnd"/>
      <w:r w:rsidRPr="00A7023F">
        <w:rPr>
          <w:rFonts w:asciiTheme="minorHAnsi" w:eastAsiaTheme="minorHAnsi" w:hAnsiTheme="minorHAnsi" w:cstheme="minorHAnsi"/>
          <w:sz w:val="22"/>
          <w:szCs w:val="22"/>
        </w:rPr>
        <w:t xml:space="preserve"> résultats de toutes enquêtes internes </w:t>
      </w:r>
    </w:p>
    <w:p w14:paraId="0206BF12" w14:textId="77777777" w:rsidR="00B3330F" w:rsidRPr="00A7023F" w:rsidRDefault="00B3330F" w:rsidP="00B3330F">
      <w:pPr>
        <w:pStyle w:val="ListParagraph"/>
        <w:numPr>
          <w:ilvl w:val="0"/>
          <w:numId w:val="24"/>
        </w:numPr>
        <w:spacing w:after="0"/>
        <w:contextualSpacing w:val="0"/>
        <w:rPr>
          <w:rFonts w:asciiTheme="minorHAnsi" w:eastAsiaTheme="minorHAnsi" w:hAnsiTheme="minorHAnsi" w:cstheme="minorHAnsi"/>
          <w:sz w:val="22"/>
          <w:szCs w:val="22"/>
        </w:rPr>
      </w:pPr>
      <w:proofErr w:type="gramStart"/>
      <w:r w:rsidRPr="00A7023F">
        <w:rPr>
          <w:rFonts w:asciiTheme="minorHAnsi" w:eastAsiaTheme="minorHAnsi" w:hAnsiTheme="minorHAnsi" w:cstheme="minorHAnsi"/>
          <w:sz w:val="22"/>
          <w:szCs w:val="22"/>
        </w:rPr>
        <w:t>les</w:t>
      </w:r>
      <w:proofErr w:type="gramEnd"/>
      <w:r w:rsidRPr="00A7023F">
        <w:rPr>
          <w:rFonts w:asciiTheme="minorHAnsi" w:eastAsiaTheme="minorHAnsi" w:hAnsiTheme="minorHAnsi" w:cstheme="minorHAnsi"/>
          <w:sz w:val="22"/>
          <w:szCs w:val="22"/>
        </w:rPr>
        <w:t xml:space="preserve"> mesures prises à la suite de toutes enquêtes ou vérifications menées par la CFP</w:t>
      </w:r>
    </w:p>
    <w:p w14:paraId="57DCD48D" w14:textId="77777777" w:rsidR="00B3330F" w:rsidRPr="00A7023F" w:rsidRDefault="00B3330F" w:rsidP="00B3330F">
      <w:pPr>
        <w:pStyle w:val="ListParagraph"/>
        <w:numPr>
          <w:ilvl w:val="0"/>
          <w:numId w:val="25"/>
        </w:numPr>
        <w:spacing w:after="0"/>
        <w:contextualSpacing w:val="0"/>
        <w:rPr>
          <w:rFonts w:asciiTheme="minorHAnsi" w:eastAsiaTheme="minorHAnsi" w:hAnsiTheme="minorHAnsi" w:cstheme="minorHAnsi"/>
          <w:sz w:val="22"/>
          <w:szCs w:val="22"/>
        </w:rPr>
      </w:pPr>
      <w:r w:rsidRPr="00A7023F">
        <w:rPr>
          <w:rFonts w:asciiTheme="minorHAnsi" w:eastAsiaTheme="minorHAnsi" w:hAnsiTheme="minorHAnsi" w:cstheme="minorHAnsi"/>
          <w:sz w:val="22"/>
          <w:szCs w:val="22"/>
        </w:rPr>
        <w:t xml:space="preserve">L’administrateur général est responsable </w:t>
      </w:r>
      <w:r w:rsidRPr="00A7023F">
        <w:rPr>
          <w:rStyle w:val="Strong"/>
          <w:rFonts w:asciiTheme="minorHAnsi" w:eastAsiaTheme="minorHAnsi" w:hAnsiTheme="minorHAnsi" w:cstheme="minorHAnsi"/>
          <w:sz w:val="22"/>
          <w:szCs w:val="22"/>
        </w:rPr>
        <w:t>de la surveillance continue du système de dotation</w:t>
      </w:r>
      <w:r w:rsidRPr="00A7023F">
        <w:rPr>
          <w:rFonts w:asciiTheme="minorHAnsi" w:eastAsiaTheme="minorHAnsi" w:hAnsiTheme="minorHAnsi" w:cstheme="minorHAnsi"/>
          <w:sz w:val="22"/>
          <w:szCs w:val="22"/>
        </w:rPr>
        <w:t xml:space="preserve"> de l’organisation en fonction de son contexte particulier</w:t>
      </w:r>
    </w:p>
    <w:p w14:paraId="4DD31C36" w14:textId="77777777" w:rsidR="00B3330F" w:rsidRPr="00A7023F" w:rsidRDefault="00B3330F" w:rsidP="00B3330F">
      <w:pPr>
        <w:pStyle w:val="ListParagraph"/>
        <w:numPr>
          <w:ilvl w:val="0"/>
          <w:numId w:val="26"/>
        </w:numPr>
        <w:contextualSpacing w:val="0"/>
        <w:rPr>
          <w:rFonts w:asciiTheme="minorHAnsi" w:eastAsiaTheme="minorHAnsi" w:hAnsiTheme="minorHAnsi" w:cstheme="minorHAnsi"/>
          <w:sz w:val="22"/>
          <w:szCs w:val="22"/>
        </w:rPr>
      </w:pPr>
      <w:proofErr w:type="gramStart"/>
      <w:r w:rsidRPr="00A7023F">
        <w:rPr>
          <w:rStyle w:val="Strong"/>
          <w:rFonts w:asciiTheme="minorHAnsi" w:eastAsiaTheme="minorHAnsi" w:hAnsiTheme="minorHAnsi" w:cstheme="minorHAnsi"/>
          <w:sz w:val="22"/>
          <w:szCs w:val="22"/>
        </w:rPr>
        <w:t>examen</w:t>
      </w:r>
      <w:proofErr w:type="gramEnd"/>
      <w:r w:rsidRPr="00A7023F">
        <w:rPr>
          <w:rStyle w:val="Strong"/>
          <w:rFonts w:asciiTheme="minorHAnsi" w:eastAsiaTheme="minorHAnsi" w:hAnsiTheme="minorHAnsi" w:cstheme="minorHAnsi"/>
          <w:sz w:val="22"/>
          <w:szCs w:val="22"/>
        </w:rPr>
        <w:t xml:space="preserve"> de la conformité aux exigences</w:t>
      </w:r>
      <w:r w:rsidRPr="00A7023F">
        <w:rPr>
          <w:rFonts w:asciiTheme="minorHAnsi" w:eastAsiaTheme="minorHAnsi" w:hAnsiTheme="minorHAnsi" w:cstheme="minorHAnsi"/>
          <w:sz w:val="22"/>
          <w:szCs w:val="22"/>
        </w:rPr>
        <w:t>, fondé sur les risques spécifiques de l’organisation, au moins une fois tous les cinq ans</w:t>
      </w:r>
    </w:p>
    <w:p w14:paraId="36EE1F2E" w14:textId="77777777" w:rsidR="00B3330F" w:rsidRPr="00D41B49" w:rsidRDefault="00B3330F" w:rsidP="004F458A">
      <w:pPr>
        <w:pStyle w:val="Heading4"/>
      </w:pPr>
      <w:r w:rsidRPr="00D41B49">
        <w:t>Surveillance de la CFP</w:t>
      </w:r>
    </w:p>
    <w:p w14:paraId="682F0033" w14:textId="77777777" w:rsidR="00B3330F" w:rsidRPr="00A7023F" w:rsidRDefault="00B3330F" w:rsidP="00B3330F">
      <w:pPr>
        <w:spacing w:after="120"/>
        <w:rPr>
          <w:rFonts w:asciiTheme="minorHAnsi" w:hAnsiTheme="minorHAnsi" w:cstheme="minorHAnsi"/>
          <w:sz w:val="22"/>
          <w:szCs w:val="22"/>
        </w:rPr>
      </w:pPr>
      <w:r w:rsidRPr="00A7023F">
        <w:rPr>
          <w:rFonts w:asciiTheme="minorHAnsi" w:hAnsiTheme="minorHAnsi" w:cstheme="minorHAnsi"/>
          <w:sz w:val="22"/>
          <w:szCs w:val="22"/>
        </w:rPr>
        <w:t>Axée sur l’ensemble du système</w:t>
      </w:r>
    </w:p>
    <w:p w14:paraId="6E279238" w14:textId="77777777" w:rsidR="00B3330F" w:rsidRPr="00A7023F" w:rsidRDefault="00B3330F" w:rsidP="00B3330F">
      <w:pPr>
        <w:pStyle w:val="ListParagraph"/>
        <w:numPr>
          <w:ilvl w:val="0"/>
          <w:numId w:val="31"/>
        </w:numPr>
        <w:spacing w:after="0"/>
        <w:ind w:left="723"/>
        <w:contextualSpacing w:val="0"/>
        <w:rPr>
          <w:rStyle w:val="Strong"/>
          <w:rFonts w:asciiTheme="minorHAnsi" w:eastAsiaTheme="minorHAnsi" w:hAnsiTheme="minorHAnsi" w:cstheme="minorHAnsi"/>
          <w:sz w:val="22"/>
          <w:szCs w:val="22"/>
        </w:rPr>
      </w:pPr>
      <w:r w:rsidRPr="00A7023F">
        <w:rPr>
          <w:rStyle w:val="Strong"/>
          <w:rFonts w:asciiTheme="minorHAnsi" w:eastAsiaTheme="minorHAnsi" w:hAnsiTheme="minorHAnsi" w:cstheme="minorHAnsi"/>
          <w:sz w:val="22"/>
          <w:szCs w:val="22"/>
        </w:rPr>
        <w:t xml:space="preserve">Vérification de la conformité pangouvernementale tous les deux ans </w:t>
      </w:r>
    </w:p>
    <w:p w14:paraId="7F216B8C" w14:textId="77777777" w:rsidR="00B3330F" w:rsidRPr="00A7023F" w:rsidRDefault="00B3330F" w:rsidP="00B3330F">
      <w:pPr>
        <w:pStyle w:val="ListParagraph"/>
        <w:numPr>
          <w:ilvl w:val="0"/>
          <w:numId w:val="31"/>
        </w:numPr>
        <w:spacing w:after="0"/>
        <w:ind w:left="723"/>
        <w:contextualSpacing w:val="0"/>
        <w:rPr>
          <w:rFonts w:asciiTheme="minorHAnsi" w:eastAsiaTheme="minorHAnsi" w:hAnsiTheme="minorHAnsi" w:cstheme="minorHAnsi"/>
          <w:sz w:val="22"/>
          <w:szCs w:val="22"/>
        </w:rPr>
      </w:pPr>
      <w:r w:rsidRPr="00A7023F">
        <w:rPr>
          <w:rStyle w:val="Strong"/>
          <w:rFonts w:asciiTheme="minorHAnsi" w:eastAsiaTheme="minorHAnsi" w:hAnsiTheme="minorHAnsi" w:cstheme="minorHAnsi"/>
          <w:sz w:val="22"/>
          <w:szCs w:val="22"/>
        </w:rPr>
        <w:t>Nouveau Sondage sur la dotation</w:t>
      </w:r>
      <w:r w:rsidRPr="00A7023F">
        <w:rPr>
          <w:rFonts w:asciiTheme="minorHAnsi" w:eastAsiaTheme="minorHAnsi" w:hAnsiTheme="minorHAnsi" w:cstheme="minorHAnsi"/>
          <w:sz w:val="22"/>
          <w:szCs w:val="22"/>
        </w:rPr>
        <w:t xml:space="preserve"> administré en alternance avec la vérification pangouvernementale</w:t>
      </w:r>
    </w:p>
    <w:p w14:paraId="4027C7C8" w14:textId="77777777" w:rsidR="00B3330F" w:rsidRPr="00A7023F" w:rsidRDefault="00B3330F" w:rsidP="00B3330F">
      <w:pPr>
        <w:pStyle w:val="ListParagraph"/>
        <w:numPr>
          <w:ilvl w:val="0"/>
          <w:numId w:val="31"/>
        </w:numPr>
        <w:spacing w:after="0"/>
        <w:ind w:left="723"/>
        <w:contextualSpacing w:val="0"/>
        <w:rPr>
          <w:rFonts w:asciiTheme="minorHAnsi" w:eastAsiaTheme="minorHAnsi" w:hAnsiTheme="minorHAnsi" w:cstheme="minorHAnsi"/>
          <w:sz w:val="22"/>
          <w:szCs w:val="22"/>
        </w:rPr>
      </w:pPr>
      <w:r w:rsidRPr="00A7023F">
        <w:rPr>
          <w:rStyle w:val="Strong"/>
          <w:rFonts w:asciiTheme="minorHAnsi" w:eastAsiaTheme="minorHAnsi" w:hAnsiTheme="minorHAnsi" w:cstheme="minorHAnsi"/>
          <w:sz w:val="22"/>
          <w:szCs w:val="22"/>
        </w:rPr>
        <w:t>Examens de l’efficacité et de l’efficience de l’ensemble du système</w:t>
      </w:r>
      <w:r w:rsidRPr="00A7023F">
        <w:rPr>
          <w:rFonts w:asciiTheme="minorHAnsi" w:eastAsiaTheme="minorHAnsi" w:hAnsiTheme="minorHAnsi" w:cstheme="minorHAnsi"/>
          <w:sz w:val="22"/>
          <w:szCs w:val="22"/>
        </w:rPr>
        <w:t xml:space="preserve"> pour appuyer l’amélioration continue</w:t>
      </w:r>
    </w:p>
    <w:p w14:paraId="5128091D" w14:textId="77777777" w:rsidR="00B3330F" w:rsidRPr="00A7023F" w:rsidRDefault="00B3330F" w:rsidP="00B3330F">
      <w:pPr>
        <w:pStyle w:val="ListParagraph"/>
        <w:numPr>
          <w:ilvl w:val="0"/>
          <w:numId w:val="31"/>
        </w:numPr>
        <w:spacing w:after="0"/>
        <w:ind w:left="723"/>
        <w:contextualSpacing w:val="0"/>
        <w:rPr>
          <w:rFonts w:asciiTheme="minorHAnsi" w:eastAsiaTheme="minorHAnsi" w:hAnsiTheme="minorHAnsi" w:cstheme="minorHAnsi"/>
          <w:sz w:val="22"/>
          <w:szCs w:val="22"/>
        </w:rPr>
      </w:pPr>
      <w:r w:rsidRPr="00A7023F">
        <w:rPr>
          <w:rStyle w:val="Strong"/>
          <w:rFonts w:asciiTheme="minorHAnsi" w:eastAsiaTheme="minorHAnsi" w:hAnsiTheme="minorHAnsi" w:cstheme="minorHAnsi"/>
          <w:sz w:val="22"/>
          <w:szCs w:val="22"/>
        </w:rPr>
        <w:t>Vérifications ciblées de la CFP</w:t>
      </w:r>
      <w:r w:rsidRPr="00A7023F">
        <w:rPr>
          <w:rFonts w:asciiTheme="minorHAnsi" w:eastAsiaTheme="minorHAnsi" w:hAnsiTheme="minorHAnsi" w:cstheme="minorHAnsi"/>
          <w:sz w:val="22"/>
          <w:szCs w:val="22"/>
        </w:rPr>
        <w:t xml:space="preserve"> </w:t>
      </w:r>
      <w:proofErr w:type="gramStart"/>
      <w:r w:rsidRPr="00A7023F">
        <w:rPr>
          <w:rFonts w:asciiTheme="minorHAnsi" w:eastAsiaTheme="minorHAnsi" w:hAnsiTheme="minorHAnsi" w:cstheme="minorHAnsi"/>
          <w:sz w:val="22"/>
          <w:szCs w:val="22"/>
        </w:rPr>
        <w:t>suite aux</w:t>
      </w:r>
      <w:proofErr w:type="gramEnd"/>
      <w:r w:rsidRPr="00A7023F">
        <w:rPr>
          <w:rFonts w:asciiTheme="minorHAnsi" w:eastAsiaTheme="minorHAnsi" w:hAnsiTheme="minorHAnsi" w:cstheme="minorHAnsi"/>
          <w:sz w:val="22"/>
          <w:szCs w:val="22"/>
        </w:rPr>
        <w:t xml:space="preserve"> risques pangouvernementaux ou organisationnels identifiés, ou à la demande de l’administrateur général </w:t>
      </w:r>
    </w:p>
    <w:p w14:paraId="07F285FD" w14:textId="6E26EFC0" w:rsidR="00B3330F" w:rsidRPr="00A7023F" w:rsidRDefault="00B3330F" w:rsidP="00B3330F">
      <w:pPr>
        <w:pStyle w:val="ListParagraph"/>
        <w:numPr>
          <w:ilvl w:val="0"/>
          <w:numId w:val="31"/>
        </w:numPr>
        <w:ind w:left="723"/>
        <w:contextualSpacing w:val="0"/>
        <w:rPr>
          <w:rFonts w:asciiTheme="minorHAnsi" w:eastAsiaTheme="minorHAnsi" w:hAnsiTheme="minorHAnsi" w:cstheme="minorHAnsi"/>
          <w:sz w:val="22"/>
          <w:szCs w:val="22"/>
        </w:rPr>
      </w:pPr>
      <w:r w:rsidRPr="00A7023F">
        <w:rPr>
          <w:rStyle w:val="Strong"/>
          <w:rFonts w:asciiTheme="minorHAnsi" w:eastAsiaTheme="minorHAnsi" w:hAnsiTheme="minorHAnsi" w:cstheme="minorHAnsi"/>
          <w:sz w:val="22"/>
          <w:szCs w:val="22"/>
        </w:rPr>
        <w:t>Enquêtes menées</w:t>
      </w:r>
      <w:r w:rsidRPr="00A7023F">
        <w:rPr>
          <w:rFonts w:asciiTheme="minorHAnsi" w:eastAsiaTheme="minorHAnsi" w:hAnsiTheme="minorHAnsi" w:cstheme="minorHAnsi"/>
          <w:sz w:val="22"/>
          <w:szCs w:val="22"/>
        </w:rPr>
        <w:t xml:space="preserve"> lorsqu’il y a lieu de </w:t>
      </w:r>
      <w:r w:rsidR="00FB4912" w:rsidRPr="00A7023F">
        <w:rPr>
          <w:rFonts w:asciiTheme="minorHAnsi" w:eastAsiaTheme="minorHAnsi" w:hAnsiTheme="minorHAnsi" w:cstheme="minorHAnsi"/>
          <w:sz w:val="22"/>
          <w:szCs w:val="22"/>
        </w:rPr>
        <w:t>croire qu’il</w:t>
      </w:r>
      <w:r w:rsidRPr="00A7023F">
        <w:rPr>
          <w:rFonts w:asciiTheme="minorHAnsi" w:eastAsiaTheme="minorHAnsi" w:hAnsiTheme="minorHAnsi" w:cstheme="minorHAnsi"/>
          <w:sz w:val="22"/>
          <w:szCs w:val="22"/>
        </w:rPr>
        <w:t xml:space="preserve"> pourrait y avoir ingérence politique, fraude ou conduite irrégulière dans le cadre d’un processus de nomination</w:t>
      </w:r>
    </w:p>
    <w:p w14:paraId="7E0AF653" w14:textId="77777777" w:rsidR="00B3330F" w:rsidRPr="00A7023F" w:rsidRDefault="00B3330F" w:rsidP="00B3330F">
      <w:pPr>
        <w:rPr>
          <w:rStyle w:val="Strong"/>
          <w:rFonts w:asciiTheme="minorHAnsi" w:hAnsiTheme="minorHAnsi" w:cstheme="minorHAnsi"/>
          <w:i/>
          <w:sz w:val="22"/>
          <w:szCs w:val="22"/>
        </w:rPr>
      </w:pPr>
      <w:r w:rsidRPr="00A7023F">
        <w:rPr>
          <w:rStyle w:val="Strong"/>
          <w:rFonts w:asciiTheme="minorHAnsi" w:eastAsiaTheme="minorHAnsi" w:hAnsiTheme="minorHAnsi" w:cstheme="minorHAnsi"/>
          <w:b w:val="0"/>
          <w:sz w:val="22"/>
          <w:szCs w:val="22"/>
        </w:rPr>
        <w:t>Ce document doit être lu conjointement avec la</w:t>
      </w:r>
      <w:r w:rsidRPr="00A7023F">
        <w:rPr>
          <w:rStyle w:val="Strong"/>
          <w:rFonts w:asciiTheme="minorHAnsi" w:eastAsiaTheme="minorHAnsi" w:hAnsiTheme="minorHAnsi" w:cstheme="minorHAnsi"/>
          <w:i/>
          <w:sz w:val="22"/>
          <w:szCs w:val="22"/>
        </w:rPr>
        <w:t xml:space="preserve"> </w:t>
      </w:r>
      <w:r w:rsidRPr="00A7023F">
        <w:rPr>
          <w:rStyle w:val="Emphasis"/>
          <w:rFonts w:asciiTheme="minorHAnsi" w:eastAsiaTheme="minorHAnsi" w:hAnsiTheme="minorHAnsi" w:cstheme="minorHAnsi"/>
          <w:sz w:val="22"/>
          <w:szCs w:val="22"/>
        </w:rPr>
        <w:t>Loi sur l’emploi dans la fonction publique</w:t>
      </w:r>
      <w:r w:rsidRPr="00A7023F">
        <w:rPr>
          <w:rStyle w:val="Strong"/>
          <w:rFonts w:asciiTheme="minorHAnsi" w:eastAsiaTheme="minorHAnsi" w:hAnsiTheme="minorHAnsi" w:cstheme="minorHAnsi"/>
          <w:b w:val="0"/>
          <w:i/>
          <w:sz w:val="22"/>
          <w:szCs w:val="22"/>
        </w:rPr>
        <w:t xml:space="preserve">, </w:t>
      </w:r>
      <w:r w:rsidRPr="00A7023F">
        <w:rPr>
          <w:rStyle w:val="Strong"/>
          <w:rFonts w:asciiTheme="minorHAnsi" w:eastAsiaTheme="minorHAnsi" w:hAnsiTheme="minorHAnsi" w:cstheme="minorHAnsi"/>
          <w:b w:val="0"/>
          <w:sz w:val="22"/>
          <w:szCs w:val="22"/>
        </w:rPr>
        <w:t>le</w:t>
      </w:r>
      <w:r w:rsidRPr="00A7023F">
        <w:rPr>
          <w:rStyle w:val="Strong"/>
          <w:rFonts w:asciiTheme="minorHAnsi" w:eastAsiaTheme="minorHAnsi" w:hAnsiTheme="minorHAnsi" w:cstheme="minorHAnsi"/>
          <w:sz w:val="22"/>
          <w:szCs w:val="22"/>
        </w:rPr>
        <w:t xml:space="preserve"> </w:t>
      </w:r>
      <w:r w:rsidRPr="00A7023F">
        <w:rPr>
          <w:rStyle w:val="Emphasis"/>
          <w:rFonts w:asciiTheme="minorHAnsi" w:eastAsiaTheme="minorHAnsi" w:hAnsiTheme="minorHAnsi" w:cstheme="minorHAnsi"/>
          <w:sz w:val="22"/>
          <w:szCs w:val="22"/>
        </w:rPr>
        <w:t>Règlement sur l'emploi dans la fonction publique</w:t>
      </w:r>
      <w:r w:rsidRPr="00A7023F">
        <w:rPr>
          <w:rStyle w:val="Strong"/>
          <w:rFonts w:asciiTheme="minorHAnsi" w:eastAsiaTheme="minorHAnsi" w:hAnsiTheme="minorHAnsi" w:cstheme="minorHAnsi"/>
          <w:i/>
          <w:sz w:val="22"/>
          <w:szCs w:val="22"/>
        </w:rPr>
        <w:t xml:space="preserve">, </w:t>
      </w:r>
      <w:r w:rsidRPr="00A7023F">
        <w:rPr>
          <w:rStyle w:val="Strong"/>
          <w:rFonts w:asciiTheme="minorHAnsi" w:eastAsiaTheme="minorHAnsi" w:hAnsiTheme="minorHAnsi" w:cstheme="minorHAnsi"/>
          <w:b w:val="0"/>
          <w:sz w:val="22"/>
          <w:szCs w:val="22"/>
        </w:rPr>
        <w:t>la ligne directrice en matière de nomination de la CFP ainsi que</w:t>
      </w:r>
      <w:r w:rsidRPr="00A7023F">
        <w:rPr>
          <w:rStyle w:val="Strong"/>
          <w:rFonts w:asciiTheme="minorHAnsi" w:eastAsiaTheme="minorHAnsi" w:hAnsiTheme="minorHAnsi" w:cstheme="minorHAnsi"/>
          <w:b w:val="0"/>
          <w:i/>
          <w:sz w:val="22"/>
          <w:szCs w:val="22"/>
        </w:rPr>
        <w:t xml:space="preserve"> </w:t>
      </w:r>
      <w:r w:rsidRPr="00A7023F">
        <w:rPr>
          <w:rStyle w:val="Emphasis"/>
          <w:rFonts w:asciiTheme="minorHAnsi" w:eastAsiaTheme="minorHAnsi" w:hAnsiTheme="minorHAnsi" w:cstheme="minorHAnsi"/>
          <w:i w:val="0"/>
          <w:sz w:val="22"/>
          <w:szCs w:val="22"/>
        </w:rPr>
        <w:t>l’Instrument de délégation et de responsabilisation en matière de nomination de la CFP</w:t>
      </w:r>
    </w:p>
    <w:p w14:paraId="0598CFEF" w14:textId="77777777" w:rsidR="00B3330F" w:rsidRPr="00A7023F" w:rsidRDefault="00B3330F" w:rsidP="00B3330F">
      <w:pPr>
        <w:rPr>
          <w:rStyle w:val="Strong"/>
          <w:rFonts w:asciiTheme="minorHAnsi" w:hAnsiTheme="minorHAnsi" w:cstheme="minorHAnsi"/>
          <w:i/>
          <w:color w:val="0070C0"/>
          <w:sz w:val="22"/>
          <w:szCs w:val="22"/>
        </w:rPr>
        <w:sectPr w:rsidR="00B3330F" w:rsidRPr="00A7023F" w:rsidSect="00BF469C">
          <w:headerReference w:type="default" r:id="rId10"/>
          <w:footerReference w:type="even" r:id="rId11"/>
          <w:headerReference w:type="first" r:id="rId12"/>
          <w:footerReference w:type="first" r:id="rId13"/>
          <w:pgSz w:w="12240" w:h="15840"/>
          <w:pgMar w:top="1440" w:right="1797" w:bottom="1440" w:left="1797" w:header="709" w:footer="709" w:gutter="0"/>
          <w:cols w:space="708"/>
          <w:titlePg/>
          <w:docGrid w:linePitch="360"/>
        </w:sectPr>
      </w:pPr>
    </w:p>
    <w:p w14:paraId="526DA804" w14:textId="66662B62" w:rsidR="00591DC8" w:rsidRPr="00A7023F" w:rsidRDefault="00591DC8" w:rsidP="00A7023F">
      <w:pPr>
        <w:pStyle w:val="Heading3"/>
        <w:jc w:val="right"/>
        <w:rPr>
          <w:lang w:val="fr-CA"/>
        </w:rPr>
      </w:pPr>
      <w:bookmarkStart w:id="1" w:name="Annexe_B"/>
      <w:r w:rsidRPr="00A7023F">
        <w:rPr>
          <w:lang w:val="fr-CA"/>
        </w:rPr>
        <w:lastRenderedPageBreak/>
        <w:t>Annexe </w:t>
      </w:r>
      <w:r w:rsidR="002300F0" w:rsidRPr="00A7023F">
        <w:rPr>
          <w:lang w:val="fr-CA"/>
        </w:rPr>
        <w:t>B</w:t>
      </w:r>
      <w:bookmarkEnd w:id="1"/>
    </w:p>
    <w:p w14:paraId="53D37107" w14:textId="77777777" w:rsidR="00A7023F" w:rsidRPr="008F610A" w:rsidRDefault="00A7023F" w:rsidP="00A7023F">
      <w:pPr>
        <w:keepLines/>
        <w:tabs>
          <w:tab w:val="center" w:pos="4680"/>
          <w:tab w:val="right" w:pos="9360"/>
        </w:tabs>
        <w:ind w:left="360"/>
        <w:jc w:val="right"/>
        <w:rPr>
          <w:lang w:val="fr-CA"/>
        </w:rPr>
      </w:pPr>
    </w:p>
    <w:p w14:paraId="71A3EFA2" w14:textId="77777777" w:rsidR="00BF469C" w:rsidRPr="00BF469C" w:rsidRDefault="00BF469C" w:rsidP="00BF469C">
      <w:pPr>
        <w:pStyle w:val="Heading1"/>
        <w:spacing w:before="120" w:after="120"/>
        <w:rPr>
          <w:sz w:val="40"/>
          <w:lang w:val="fr-CA"/>
        </w:rPr>
      </w:pPr>
      <w:r w:rsidRPr="00BF469C">
        <w:rPr>
          <w:rFonts w:eastAsia="Times New Roman"/>
          <w:sz w:val="40"/>
        </w:rPr>
        <w:t>Effectif selon la durée d’emploi en date du 31 mars</w:t>
      </w:r>
    </w:p>
    <w:p w14:paraId="392D0EBE" w14:textId="77777777" w:rsidR="00BF469C" w:rsidRDefault="00591DC8" w:rsidP="00BF469C">
      <w:pPr>
        <w:keepNext/>
        <w:tabs>
          <w:tab w:val="left" w:pos="7839"/>
        </w:tabs>
        <w:jc w:val="center"/>
      </w:pPr>
      <w:r w:rsidRPr="008F610A">
        <w:rPr>
          <w:noProof/>
          <w:lang w:val="en-CA" w:eastAsia="en-CA"/>
        </w:rPr>
        <w:drawing>
          <wp:inline distT="0" distB="0" distL="0" distR="0" wp14:anchorId="1A039DA2" wp14:editId="17C3208D">
            <wp:extent cx="5648400" cy="3049200"/>
            <wp:effectExtent l="0" t="0" r="9525" b="18415"/>
            <wp:docPr id="13" name="Chart 13" descr="Effectif selon la durée d’emploi en date du 31 mars&#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09B504A" w14:textId="77777777" w:rsidR="00A7023F" w:rsidRPr="00BF469C" w:rsidRDefault="00BF469C" w:rsidP="00BF469C">
      <w:pPr>
        <w:pStyle w:val="Caption"/>
        <w:spacing w:after="0"/>
        <w:jc w:val="center"/>
        <w:rPr>
          <w:rFonts w:asciiTheme="minorHAnsi" w:hAnsiTheme="minorHAnsi" w:cstheme="minorHAnsi"/>
          <w:b/>
          <w:i w:val="0"/>
          <w:color w:val="auto"/>
          <w:sz w:val="20"/>
          <w:lang w:val="fr-CA"/>
        </w:rPr>
      </w:pPr>
      <w:r w:rsidRPr="00BF469C">
        <w:rPr>
          <w:rFonts w:asciiTheme="minorHAnsi" w:hAnsiTheme="minorHAnsi" w:cstheme="minorHAnsi"/>
          <w:i w:val="0"/>
          <w:color w:val="auto"/>
        </w:rPr>
        <w:t xml:space="preserve">Figure </w:t>
      </w:r>
      <w:r w:rsidRPr="00BF469C">
        <w:rPr>
          <w:rFonts w:asciiTheme="minorHAnsi" w:hAnsiTheme="minorHAnsi" w:cstheme="minorHAnsi"/>
          <w:i w:val="0"/>
          <w:color w:val="auto"/>
        </w:rPr>
        <w:fldChar w:fldCharType="begin"/>
      </w:r>
      <w:r w:rsidRPr="00BF469C">
        <w:rPr>
          <w:rFonts w:asciiTheme="minorHAnsi" w:hAnsiTheme="minorHAnsi" w:cstheme="minorHAnsi"/>
          <w:i w:val="0"/>
          <w:color w:val="auto"/>
        </w:rPr>
        <w:instrText xml:space="preserve"> SEQ Figure \* ARABIC </w:instrText>
      </w:r>
      <w:r w:rsidRPr="00BF469C">
        <w:rPr>
          <w:rFonts w:asciiTheme="minorHAnsi" w:hAnsiTheme="minorHAnsi" w:cstheme="minorHAnsi"/>
          <w:i w:val="0"/>
          <w:color w:val="auto"/>
        </w:rPr>
        <w:fldChar w:fldCharType="separate"/>
      </w:r>
      <w:r w:rsidR="00353602">
        <w:rPr>
          <w:rFonts w:asciiTheme="minorHAnsi" w:hAnsiTheme="minorHAnsi" w:cstheme="minorHAnsi"/>
          <w:i w:val="0"/>
          <w:noProof/>
          <w:color w:val="auto"/>
        </w:rPr>
        <w:t>1</w:t>
      </w:r>
      <w:r w:rsidRPr="00BF469C">
        <w:rPr>
          <w:rFonts w:asciiTheme="minorHAnsi" w:hAnsiTheme="minorHAnsi" w:cstheme="minorHAnsi"/>
          <w:i w:val="0"/>
          <w:color w:val="auto"/>
        </w:rPr>
        <w:fldChar w:fldCharType="end"/>
      </w:r>
      <w:r w:rsidRPr="00BF469C">
        <w:rPr>
          <w:rFonts w:asciiTheme="minorHAnsi" w:hAnsiTheme="minorHAnsi" w:cstheme="minorHAnsi"/>
          <w:i w:val="0"/>
          <w:color w:val="auto"/>
        </w:rPr>
        <w:t xml:space="preserve"> - Effectif selon la durée d’emploi</w:t>
      </w:r>
    </w:p>
    <w:p w14:paraId="3163E261" w14:textId="77777777" w:rsidR="00BF469C" w:rsidRPr="00BF469C" w:rsidRDefault="00BF469C" w:rsidP="00BF469C">
      <w:pPr>
        <w:pStyle w:val="Caption"/>
        <w:keepNext/>
        <w:spacing w:before="240" w:after="0"/>
        <w:jc w:val="center"/>
        <w:rPr>
          <w:rFonts w:asciiTheme="minorHAnsi" w:hAnsiTheme="minorHAnsi" w:cstheme="minorHAnsi"/>
          <w:i w:val="0"/>
          <w:color w:val="auto"/>
        </w:rPr>
      </w:pPr>
      <w:r w:rsidRPr="00BF469C">
        <w:rPr>
          <w:rFonts w:asciiTheme="minorHAnsi" w:hAnsiTheme="minorHAnsi" w:cstheme="minorHAnsi"/>
          <w:i w:val="0"/>
          <w:color w:val="auto"/>
        </w:rPr>
        <w:t xml:space="preserve">Table </w:t>
      </w:r>
      <w:r w:rsidRPr="00BF469C">
        <w:rPr>
          <w:rFonts w:asciiTheme="minorHAnsi" w:hAnsiTheme="minorHAnsi" w:cstheme="minorHAnsi"/>
          <w:i w:val="0"/>
          <w:color w:val="auto"/>
        </w:rPr>
        <w:fldChar w:fldCharType="begin"/>
      </w:r>
      <w:r w:rsidRPr="00BF469C">
        <w:rPr>
          <w:rFonts w:asciiTheme="minorHAnsi" w:hAnsiTheme="minorHAnsi" w:cstheme="minorHAnsi"/>
          <w:i w:val="0"/>
          <w:color w:val="auto"/>
        </w:rPr>
        <w:instrText xml:space="preserve"> SEQ Table \* ARABIC </w:instrText>
      </w:r>
      <w:r w:rsidRPr="00BF469C">
        <w:rPr>
          <w:rFonts w:asciiTheme="minorHAnsi" w:hAnsiTheme="minorHAnsi" w:cstheme="minorHAnsi"/>
          <w:i w:val="0"/>
          <w:color w:val="auto"/>
        </w:rPr>
        <w:fldChar w:fldCharType="separate"/>
      </w:r>
      <w:r w:rsidR="00766F9D">
        <w:rPr>
          <w:rFonts w:asciiTheme="minorHAnsi" w:hAnsiTheme="minorHAnsi" w:cstheme="minorHAnsi"/>
          <w:i w:val="0"/>
          <w:noProof/>
          <w:color w:val="auto"/>
        </w:rPr>
        <w:t>4</w:t>
      </w:r>
      <w:r w:rsidRPr="00BF469C">
        <w:rPr>
          <w:rFonts w:asciiTheme="minorHAnsi" w:hAnsiTheme="minorHAnsi" w:cstheme="minorHAnsi"/>
          <w:i w:val="0"/>
          <w:color w:val="auto"/>
        </w:rPr>
        <w:fldChar w:fldCharType="end"/>
      </w:r>
      <w:r w:rsidRPr="00BF469C">
        <w:rPr>
          <w:rFonts w:asciiTheme="minorHAnsi" w:hAnsiTheme="minorHAnsi" w:cstheme="minorHAnsi"/>
          <w:i w:val="0"/>
          <w:color w:val="auto"/>
        </w:rPr>
        <w:t xml:space="preserve"> - Effectif régi par la </w:t>
      </w:r>
      <w:r w:rsidRPr="00BF469C">
        <w:rPr>
          <w:rStyle w:val="Emphasis"/>
          <w:rFonts w:asciiTheme="minorHAnsi" w:hAnsiTheme="minorHAnsi" w:cstheme="minorHAnsi"/>
          <w:i/>
          <w:color w:val="auto"/>
        </w:rPr>
        <w:t>Loi sur l’emploi dans la fonction</w:t>
      </w:r>
      <w:r w:rsidRPr="00BF469C">
        <w:rPr>
          <w:rFonts w:asciiTheme="minorHAnsi" w:hAnsiTheme="minorHAnsi" w:cstheme="minorHAnsi"/>
          <w:i w:val="0"/>
          <w:color w:val="auto"/>
        </w:rPr>
        <w:t xml:space="preserve"> publique au 31 mars selon la durée d’emploi</w:t>
      </w:r>
    </w:p>
    <w:tbl>
      <w:tblPr>
        <w:tblStyle w:val="TableGrid"/>
        <w:tblW w:w="5000" w:type="pct"/>
        <w:jc w:val="center"/>
        <w:tblLook w:val="0020" w:firstRow="1" w:lastRow="0" w:firstColumn="0" w:lastColumn="0" w:noHBand="0" w:noVBand="0"/>
        <w:tblDescription w:val="Effectif selon la durée d’emploi au 31 mars 2014 à 2019"/>
      </w:tblPr>
      <w:tblGrid>
        <w:gridCol w:w="2263"/>
        <w:gridCol w:w="2695"/>
        <w:gridCol w:w="2836"/>
        <w:gridCol w:w="2551"/>
        <w:gridCol w:w="2407"/>
        <w:gridCol w:w="1660"/>
      </w:tblGrid>
      <w:tr w:rsidR="00BF469C" w:rsidRPr="00BF469C" w14:paraId="5DA07573" w14:textId="77777777" w:rsidTr="0037297E">
        <w:trPr>
          <w:cantSplit/>
          <w:trHeight w:val="290"/>
          <w:tblHeader/>
          <w:jc w:val="center"/>
        </w:trPr>
        <w:tc>
          <w:tcPr>
            <w:tcW w:w="785" w:type="pct"/>
          </w:tcPr>
          <w:p w14:paraId="5FF05F41" w14:textId="77777777" w:rsidR="00A7023F" w:rsidRPr="00BF469C" w:rsidRDefault="00A7023F" w:rsidP="00BF469C">
            <w:pPr>
              <w:pStyle w:val="TableTitle"/>
              <w:rPr>
                <w:rFonts w:cs="Segoe UI Semibold"/>
                <w:color w:val="auto"/>
                <w:sz w:val="22"/>
                <w:lang w:val="fr-CA"/>
              </w:rPr>
            </w:pPr>
            <w:r w:rsidRPr="00BF469C">
              <w:rPr>
                <w:rFonts w:cs="Segoe UI Semibold"/>
                <w:color w:val="auto"/>
                <w:sz w:val="22"/>
                <w:lang w:val="fr-CA"/>
              </w:rPr>
              <w:t xml:space="preserve"> Année</w:t>
            </w:r>
          </w:p>
        </w:tc>
        <w:tc>
          <w:tcPr>
            <w:tcW w:w="935" w:type="pct"/>
          </w:tcPr>
          <w:p w14:paraId="23832D69" w14:textId="77777777" w:rsidR="00A7023F" w:rsidRPr="00BF469C" w:rsidRDefault="00A7023F" w:rsidP="00BF469C">
            <w:pPr>
              <w:pStyle w:val="TableTitle"/>
              <w:rPr>
                <w:rFonts w:cs="Segoe UI Semibold"/>
                <w:color w:val="auto"/>
                <w:sz w:val="22"/>
                <w:lang w:val="fr-CA"/>
              </w:rPr>
            </w:pPr>
            <w:r w:rsidRPr="00BF469C">
              <w:rPr>
                <w:rFonts w:cs="Segoe UI Semibold"/>
                <w:color w:val="auto"/>
                <w:sz w:val="22"/>
                <w:lang w:val="fr-CA"/>
              </w:rPr>
              <w:t>Indéterminée</w:t>
            </w:r>
          </w:p>
        </w:tc>
        <w:tc>
          <w:tcPr>
            <w:tcW w:w="984" w:type="pct"/>
          </w:tcPr>
          <w:p w14:paraId="7A71E517" w14:textId="77777777" w:rsidR="00A7023F" w:rsidRPr="00BF469C" w:rsidRDefault="00A7023F" w:rsidP="00BF469C">
            <w:pPr>
              <w:pStyle w:val="TableTitle"/>
              <w:rPr>
                <w:rFonts w:cs="Segoe UI Semibold"/>
                <w:color w:val="auto"/>
                <w:sz w:val="22"/>
                <w:lang w:val="fr-CA"/>
              </w:rPr>
            </w:pPr>
            <w:r w:rsidRPr="00BF469C">
              <w:rPr>
                <w:rFonts w:cs="Segoe UI Semibold"/>
                <w:color w:val="auto"/>
                <w:sz w:val="22"/>
                <w:lang w:val="fr-CA"/>
              </w:rPr>
              <w:t>Déterminée</w:t>
            </w:r>
          </w:p>
        </w:tc>
        <w:tc>
          <w:tcPr>
            <w:tcW w:w="885" w:type="pct"/>
          </w:tcPr>
          <w:p w14:paraId="7E6E9C49" w14:textId="77777777" w:rsidR="00A7023F" w:rsidRPr="00BF469C" w:rsidRDefault="00A7023F" w:rsidP="00BF469C">
            <w:pPr>
              <w:pStyle w:val="TableTitle"/>
              <w:rPr>
                <w:rFonts w:cs="Segoe UI Semibold"/>
                <w:color w:val="auto"/>
                <w:sz w:val="22"/>
                <w:lang w:val="fr-CA"/>
              </w:rPr>
            </w:pPr>
            <w:r w:rsidRPr="00BF469C">
              <w:rPr>
                <w:rFonts w:cs="Segoe UI Semibold"/>
                <w:color w:val="auto"/>
                <w:sz w:val="22"/>
                <w:lang w:val="fr-CA"/>
              </w:rPr>
              <w:t>Occasionnels</w:t>
            </w:r>
          </w:p>
        </w:tc>
        <w:tc>
          <w:tcPr>
            <w:tcW w:w="835" w:type="pct"/>
          </w:tcPr>
          <w:p w14:paraId="746EA350" w14:textId="2D628DD2" w:rsidR="00A7023F" w:rsidRPr="00BF469C" w:rsidRDefault="00A7023F" w:rsidP="00BF469C">
            <w:pPr>
              <w:pStyle w:val="TableTitle"/>
              <w:rPr>
                <w:rFonts w:cs="Segoe UI Semibold"/>
                <w:color w:val="auto"/>
                <w:sz w:val="22"/>
                <w:lang w:val="fr-CA"/>
              </w:rPr>
            </w:pPr>
            <w:r w:rsidRPr="00BF469C">
              <w:rPr>
                <w:rFonts w:cs="Segoe UI Semibold"/>
                <w:color w:val="auto"/>
                <w:sz w:val="22"/>
                <w:lang w:val="fr-CA"/>
              </w:rPr>
              <w:t>Étudiant</w:t>
            </w:r>
            <w:r w:rsidR="00C17143">
              <w:rPr>
                <w:rFonts w:cs="Segoe UI Semibold"/>
                <w:color w:val="auto"/>
                <w:sz w:val="22"/>
                <w:lang w:val="fr-CA"/>
              </w:rPr>
              <w:t>s</w:t>
            </w:r>
          </w:p>
        </w:tc>
        <w:tc>
          <w:tcPr>
            <w:tcW w:w="576" w:type="pct"/>
          </w:tcPr>
          <w:p w14:paraId="537C2B93" w14:textId="77777777" w:rsidR="00A7023F" w:rsidRPr="00BF469C" w:rsidRDefault="00A7023F" w:rsidP="00BF469C">
            <w:pPr>
              <w:pStyle w:val="TableTitle"/>
              <w:rPr>
                <w:rFonts w:cs="Segoe UI Semibold"/>
                <w:color w:val="auto"/>
                <w:sz w:val="22"/>
                <w:lang w:val="fr-CA"/>
              </w:rPr>
            </w:pPr>
            <w:r w:rsidRPr="00BF469C">
              <w:rPr>
                <w:rFonts w:cs="Segoe UI Semibold"/>
                <w:color w:val="auto"/>
                <w:sz w:val="22"/>
                <w:lang w:val="fr-CA"/>
              </w:rPr>
              <w:t>Total</w:t>
            </w:r>
          </w:p>
        </w:tc>
      </w:tr>
      <w:tr w:rsidR="00BF469C" w:rsidRPr="00BF469C" w14:paraId="6A7D66EE" w14:textId="77777777" w:rsidTr="0037297E">
        <w:trPr>
          <w:cantSplit/>
          <w:trHeight w:val="290"/>
          <w:tblHeader/>
          <w:jc w:val="center"/>
        </w:trPr>
        <w:tc>
          <w:tcPr>
            <w:tcW w:w="785" w:type="pct"/>
          </w:tcPr>
          <w:p w14:paraId="6FC6AED1" w14:textId="77777777" w:rsidR="00A7023F" w:rsidRPr="00BF469C" w:rsidRDefault="00A7023F" w:rsidP="00BF469C">
            <w:pPr>
              <w:autoSpaceDE w:val="0"/>
              <w:autoSpaceDN w:val="0"/>
              <w:adjustRightInd w:val="0"/>
              <w:rPr>
                <w:rFonts w:asciiTheme="minorHAnsi" w:hAnsiTheme="minorHAnsi" w:cstheme="minorHAnsi"/>
                <w:sz w:val="22"/>
                <w:szCs w:val="24"/>
                <w:lang w:val="fr-CA"/>
              </w:rPr>
            </w:pPr>
            <w:r w:rsidRPr="00BF469C">
              <w:rPr>
                <w:rFonts w:asciiTheme="minorHAnsi" w:hAnsiTheme="minorHAnsi" w:cstheme="minorHAnsi"/>
                <w:sz w:val="22"/>
                <w:szCs w:val="24"/>
                <w:lang w:val="fr-CA"/>
              </w:rPr>
              <w:t>Au 31 mars 2014</w:t>
            </w:r>
          </w:p>
        </w:tc>
        <w:tc>
          <w:tcPr>
            <w:tcW w:w="935" w:type="pct"/>
          </w:tcPr>
          <w:p w14:paraId="342D734D" w14:textId="77777777" w:rsidR="00A7023F" w:rsidRPr="00BF469C" w:rsidRDefault="00A7023F" w:rsidP="00BF469C">
            <w:pPr>
              <w:autoSpaceDE w:val="0"/>
              <w:autoSpaceDN w:val="0"/>
              <w:adjustRightInd w:val="0"/>
              <w:jc w:val="center"/>
              <w:rPr>
                <w:rFonts w:asciiTheme="minorHAnsi" w:hAnsiTheme="minorHAnsi" w:cstheme="minorHAnsi"/>
                <w:sz w:val="22"/>
                <w:szCs w:val="24"/>
                <w:lang w:val="fr-CA"/>
              </w:rPr>
            </w:pPr>
            <w:r w:rsidRPr="00BF469C">
              <w:rPr>
                <w:rFonts w:asciiTheme="minorHAnsi" w:hAnsiTheme="minorHAnsi" w:cstheme="minorHAnsi"/>
                <w:sz w:val="22"/>
                <w:szCs w:val="24"/>
                <w:lang w:val="fr-CA"/>
              </w:rPr>
              <w:t>936</w:t>
            </w:r>
          </w:p>
        </w:tc>
        <w:tc>
          <w:tcPr>
            <w:tcW w:w="984" w:type="pct"/>
          </w:tcPr>
          <w:p w14:paraId="4EAD0FB0" w14:textId="77777777" w:rsidR="00A7023F" w:rsidRPr="00BF469C" w:rsidRDefault="00A7023F" w:rsidP="00BF469C">
            <w:pPr>
              <w:autoSpaceDE w:val="0"/>
              <w:autoSpaceDN w:val="0"/>
              <w:adjustRightInd w:val="0"/>
              <w:jc w:val="center"/>
              <w:rPr>
                <w:rFonts w:asciiTheme="minorHAnsi" w:hAnsiTheme="minorHAnsi" w:cstheme="minorHAnsi"/>
                <w:sz w:val="22"/>
                <w:szCs w:val="24"/>
                <w:lang w:val="fr-CA"/>
              </w:rPr>
            </w:pPr>
            <w:r w:rsidRPr="00BF469C">
              <w:rPr>
                <w:rFonts w:asciiTheme="minorHAnsi" w:hAnsiTheme="minorHAnsi" w:cstheme="minorHAnsi"/>
                <w:sz w:val="22"/>
                <w:szCs w:val="24"/>
                <w:lang w:val="fr-CA"/>
              </w:rPr>
              <w:t>25</w:t>
            </w:r>
          </w:p>
        </w:tc>
        <w:tc>
          <w:tcPr>
            <w:tcW w:w="885" w:type="pct"/>
          </w:tcPr>
          <w:p w14:paraId="603FAE0C" w14:textId="77777777" w:rsidR="00A7023F" w:rsidRPr="00BF469C" w:rsidRDefault="00A7023F" w:rsidP="00BF469C">
            <w:pPr>
              <w:autoSpaceDE w:val="0"/>
              <w:autoSpaceDN w:val="0"/>
              <w:adjustRightInd w:val="0"/>
              <w:jc w:val="center"/>
              <w:rPr>
                <w:rFonts w:asciiTheme="minorHAnsi" w:hAnsiTheme="minorHAnsi" w:cstheme="minorHAnsi"/>
                <w:sz w:val="22"/>
                <w:szCs w:val="24"/>
                <w:lang w:val="fr-CA"/>
              </w:rPr>
            </w:pPr>
            <w:r w:rsidRPr="00BF469C">
              <w:rPr>
                <w:rFonts w:asciiTheme="minorHAnsi" w:hAnsiTheme="minorHAnsi" w:cstheme="minorHAnsi"/>
                <w:sz w:val="22"/>
                <w:szCs w:val="24"/>
                <w:lang w:val="fr-CA"/>
              </w:rPr>
              <w:t>61</w:t>
            </w:r>
          </w:p>
        </w:tc>
        <w:tc>
          <w:tcPr>
            <w:tcW w:w="835" w:type="pct"/>
          </w:tcPr>
          <w:p w14:paraId="0604FDC5" w14:textId="77777777" w:rsidR="00A7023F" w:rsidRPr="00BF469C" w:rsidRDefault="00A7023F" w:rsidP="00BF469C">
            <w:pPr>
              <w:autoSpaceDE w:val="0"/>
              <w:autoSpaceDN w:val="0"/>
              <w:adjustRightInd w:val="0"/>
              <w:jc w:val="center"/>
              <w:rPr>
                <w:rFonts w:asciiTheme="minorHAnsi" w:hAnsiTheme="minorHAnsi" w:cstheme="minorHAnsi"/>
                <w:sz w:val="22"/>
                <w:szCs w:val="24"/>
                <w:lang w:val="fr-CA"/>
              </w:rPr>
            </w:pPr>
            <w:r w:rsidRPr="00BF469C">
              <w:rPr>
                <w:rFonts w:asciiTheme="minorHAnsi" w:hAnsiTheme="minorHAnsi" w:cstheme="minorHAnsi"/>
                <w:sz w:val="22"/>
                <w:szCs w:val="24"/>
                <w:lang w:val="fr-CA"/>
              </w:rPr>
              <w:t>32</w:t>
            </w:r>
          </w:p>
        </w:tc>
        <w:tc>
          <w:tcPr>
            <w:tcW w:w="576" w:type="pct"/>
          </w:tcPr>
          <w:p w14:paraId="08882844" w14:textId="77777777" w:rsidR="00A7023F" w:rsidRPr="00BF469C" w:rsidRDefault="00A7023F" w:rsidP="00BF469C">
            <w:pPr>
              <w:autoSpaceDE w:val="0"/>
              <w:autoSpaceDN w:val="0"/>
              <w:adjustRightInd w:val="0"/>
              <w:jc w:val="center"/>
              <w:rPr>
                <w:rFonts w:asciiTheme="minorHAnsi" w:hAnsiTheme="minorHAnsi" w:cstheme="minorHAnsi"/>
                <w:sz w:val="22"/>
                <w:szCs w:val="24"/>
                <w:lang w:val="fr-CA"/>
              </w:rPr>
            </w:pPr>
            <w:r w:rsidRPr="00BF469C">
              <w:rPr>
                <w:rFonts w:asciiTheme="minorHAnsi" w:hAnsiTheme="minorHAnsi" w:cstheme="minorHAnsi"/>
                <w:sz w:val="22"/>
                <w:szCs w:val="24"/>
                <w:lang w:val="fr-CA"/>
              </w:rPr>
              <w:t>1 054</w:t>
            </w:r>
          </w:p>
        </w:tc>
      </w:tr>
      <w:tr w:rsidR="00BF469C" w:rsidRPr="00BF469C" w14:paraId="6E2261A4" w14:textId="77777777" w:rsidTr="0037297E">
        <w:trPr>
          <w:cantSplit/>
          <w:trHeight w:val="290"/>
          <w:tblHeader/>
          <w:jc w:val="center"/>
        </w:trPr>
        <w:tc>
          <w:tcPr>
            <w:tcW w:w="785" w:type="pct"/>
          </w:tcPr>
          <w:p w14:paraId="67E2BB6F" w14:textId="77777777" w:rsidR="00A7023F" w:rsidRPr="00BF469C" w:rsidRDefault="00A7023F" w:rsidP="00BF469C">
            <w:pPr>
              <w:autoSpaceDE w:val="0"/>
              <w:autoSpaceDN w:val="0"/>
              <w:adjustRightInd w:val="0"/>
              <w:rPr>
                <w:rFonts w:asciiTheme="minorHAnsi" w:hAnsiTheme="minorHAnsi" w:cstheme="minorHAnsi"/>
                <w:sz w:val="22"/>
                <w:szCs w:val="24"/>
                <w:lang w:val="fr-CA"/>
              </w:rPr>
            </w:pPr>
            <w:r w:rsidRPr="00BF469C">
              <w:rPr>
                <w:rFonts w:asciiTheme="minorHAnsi" w:hAnsiTheme="minorHAnsi" w:cstheme="minorHAnsi"/>
                <w:sz w:val="22"/>
                <w:szCs w:val="24"/>
                <w:lang w:val="fr-CA"/>
              </w:rPr>
              <w:t>Au 31 mars 2015</w:t>
            </w:r>
          </w:p>
        </w:tc>
        <w:tc>
          <w:tcPr>
            <w:tcW w:w="935" w:type="pct"/>
          </w:tcPr>
          <w:p w14:paraId="003D7EA6" w14:textId="77777777" w:rsidR="00A7023F" w:rsidRPr="00BF469C" w:rsidRDefault="00A7023F" w:rsidP="00BF469C">
            <w:pPr>
              <w:autoSpaceDE w:val="0"/>
              <w:autoSpaceDN w:val="0"/>
              <w:adjustRightInd w:val="0"/>
              <w:jc w:val="center"/>
              <w:rPr>
                <w:rFonts w:asciiTheme="minorHAnsi" w:hAnsiTheme="minorHAnsi" w:cstheme="minorHAnsi"/>
                <w:sz w:val="22"/>
                <w:szCs w:val="24"/>
                <w:lang w:val="fr-CA"/>
              </w:rPr>
            </w:pPr>
            <w:r w:rsidRPr="00BF469C">
              <w:rPr>
                <w:rFonts w:asciiTheme="minorHAnsi" w:hAnsiTheme="minorHAnsi" w:cstheme="minorHAnsi"/>
                <w:sz w:val="22"/>
                <w:szCs w:val="24"/>
                <w:lang w:val="fr-CA"/>
              </w:rPr>
              <w:t>844</w:t>
            </w:r>
          </w:p>
        </w:tc>
        <w:tc>
          <w:tcPr>
            <w:tcW w:w="984" w:type="pct"/>
          </w:tcPr>
          <w:p w14:paraId="52305A4E" w14:textId="77777777" w:rsidR="00A7023F" w:rsidRPr="00BF469C" w:rsidRDefault="00A7023F" w:rsidP="00BF469C">
            <w:pPr>
              <w:autoSpaceDE w:val="0"/>
              <w:autoSpaceDN w:val="0"/>
              <w:adjustRightInd w:val="0"/>
              <w:jc w:val="center"/>
              <w:rPr>
                <w:rFonts w:asciiTheme="minorHAnsi" w:hAnsiTheme="minorHAnsi" w:cstheme="minorHAnsi"/>
                <w:sz w:val="22"/>
                <w:szCs w:val="24"/>
                <w:lang w:val="fr-CA"/>
              </w:rPr>
            </w:pPr>
            <w:r w:rsidRPr="00BF469C">
              <w:rPr>
                <w:rFonts w:asciiTheme="minorHAnsi" w:hAnsiTheme="minorHAnsi" w:cstheme="minorHAnsi"/>
                <w:sz w:val="22"/>
                <w:szCs w:val="24"/>
                <w:lang w:val="fr-CA"/>
              </w:rPr>
              <w:t>17</w:t>
            </w:r>
          </w:p>
        </w:tc>
        <w:tc>
          <w:tcPr>
            <w:tcW w:w="885" w:type="pct"/>
          </w:tcPr>
          <w:p w14:paraId="24053E6D" w14:textId="77777777" w:rsidR="00A7023F" w:rsidRPr="00BF469C" w:rsidRDefault="00A7023F" w:rsidP="00BF469C">
            <w:pPr>
              <w:autoSpaceDE w:val="0"/>
              <w:autoSpaceDN w:val="0"/>
              <w:adjustRightInd w:val="0"/>
              <w:jc w:val="center"/>
              <w:rPr>
                <w:rFonts w:asciiTheme="minorHAnsi" w:hAnsiTheme="minorHAnsi" w:cstheme="minorHAnsi"/>
                <w:sz w:val="22"/>
                <w:szCs w:val="24"/>
                <w:lang w:val="fr-CA"/>
              </w:rPr>
            </w:pPr>
            <w:r w:rsidRPr="00BF469C">
              <w:rPr>
                <w:rFonts w:asciiTheme="minorHAnsi" w:hAnsiTheme="minorHAnsi" w:cstheme="minorHAnsi"/>
                <w:sz w:val="22"/>
                <w:szCs w:val="24"/>
                <w:lang w:val="fr-CA"/>
              </w:rPr>
              <w:t>74</w:t>
            </w:r>
          </w:p>
        </w:tc>
        <w:tc>
          <w:tcPr>
            <w:tcW w:w="835" w:type="pct"/>
          </w:tcPr>
          <w:p w14:paraId="7838A686" w14:textId="77777777" w:rsidR="00A7023F" w:rsidRPr="00BF469C" w:rsidRDefault="00A7023F" w:rsidP="00BF469C">
            <w:pPr>
              <w:autoSpaceDE w:val="0"/>
              <w:autoSpaceDN w:val="0"/>
              <w:adjustRightInd w:val="0"/>
              <w:jc w:val="center"/>
              <w:rPr>
                <w:rFonts w:asciiTheme="minorHAnsi" w:hAnsiTheme="minorHAnsi" w:cstheme="minorHAnsi"/>
                <w:sz w:val="22"/>
                <w:szCs w:val="24"/>
                <w:lang w:val="fr-CA"/>
              </w:rPr>
            </w:pPr>
            <w:r w:rsidRPr="00BF469C">
              <w:rPr>
                <w:rFonts w:asciiTheme="minorHAnsi" w:hAnsiTheme="minorHAnsi" w:cstheme="minorHAnsi"/>
                <w:sz w:val="22"/>
                <w:szCs w:val="24"/>
                <w:lang w:val="fr-CA"/>
              </w:rPr>
              <w:t>41</w:t>
            </w:r>
          </w:p>
        </w:tc>
        <w:tc>
          <w:tcPr>
            <w:tcW w:w="576" w:type="pct"/>
          </w:tcPr>
          <w:p w14:paraId="30595519" w14:textId="77777777" w:rsidR="00A7023F" w:rsidRPr="00BF469C" w:rsidRDefault="00A7023F" w:rsidP="00BF469C">
            <w:pPr>
              <w:autoSpaceDE w:val="0"/>
              <w:autoSpaceDN w:val="0"/>
              <w:adjustRightInd w:val="0"/>
              <w:jc w:val="center"/>
              <w:rPr>
                <w:rFonts w:asciiTheme="minorHAnsi" w:hAnsiTheme="minorHAnsi" w:cstheme="minorHAnsi"/>
                <w:sz w:val="22"/>
                <w:szCs w:val="24"/>
                <w:lang w:val="fr-CA"/>
              </w:rPr>
            </w:pPr>
            <w:r w:rsidRPr="00BF469C">
              <w:rPr>
                <w:rFonts w:asciiTheme="minorHAnsi" w:hAnsiTheme="minorHAnsi" w:cstheme="minorHAnsi"/>
                <w:sz w:val="22"/>
                <w:szCs w:val="24"/>
                <w:lang w:val="fr-CA"/>
              </w:rPr>
              <w:t>976</w:t>
            </w:r>
          </w:p>
        </w:tc>
      </w:tr>
      <w:tr w:rsidR="00BF469C" w:rsidRPr="00BF469C" w14:paraId="5959AC7E" w14:textId="77777777" w:rsidTr="0037297E">
        <w:trPr>
          <w:cantSplit/>
          <w:trHeight w:val="290"/>
          <w:tblHeader/>
          <w:jc w:val="center"/>
        </w:trPr>
        <w:tc>
          <w:tcPr>
            <w:tcW w:w="785" w:type="pct"/>
          </w:tcPr>
          <w:p w14:paraId="3808CE4F" w14:textId="77777777" w:rsidR="00A7023F" w:rsidRPr="00BF469C" w:rsidRDefault="00A7023F" w:rsidP="00BF469C">
            <w:pPr>
              <w:autoSpaceDE w:val="0"/>
              <w:autoSpaceDN w:val="0"/>
              <w:adjustRightInd w:val="0"/>
              <w:rPr>
                <w:rFonts w:asciiTheme="minorHAnsi" w:hAnsiTheme="minorHAnsi" w:cstheme="minorHAnsi"/>
                <w:sz w:val="22"/>
                <w:szCs w:val="24"/>
                <w:lang w:val="fr-CA"/>
              </w:rPr>
            </w:pPr>
            <w:r w:rsidRPr="00BF469C">
              <w:rPr>
                <w:rFonts w:asciiTheme="minorHAnsi" w:hAnsiTheme="minorHAnsi" w:cstheme="minorHAnsi"/>
                <w:sz w:val="22"/>
                <w:szCs w:val="24"/>
                <w:lang w:val="fr-CA"/>
              </w:rPr>
              <w:t>Au 31 mars 2016</w:t>
            </w:r>
          </w:p>
        </w:tc>
        <w:tc>
          <w:tcPr>
            <w:tcW w:w="935" w:type="pct"/>
          </w:tcPr>
          <w:p w14:paraId="44DF7EBF" w14:textId="77777777" w:rsidR="00A7023F" w:rsidRPr="00BF469C" w:rsidRDefault="00A7023F" w:rsidP="00BF469C">
            <w:pPr>
              <w:autoSpaceDE w:val="0"/>
              <w:autoSpaceDN w:val="0"/>
              <w:adjustRightInd w:val="0"/>
              <w:jc w:val="center"/>
              <w:rPr>
                <w:rFonts w:asciiTheme="minorHAnsi" w:hAnsiTheme="minorHAnsi" w:cstheme="minorHAnsi"/>
                <w:sz w:val="22"/>
                <w:szCs w:val="24"/>
                <w:lang w:val="fr-CA"/>
              </w:rPr>
            </w:pPr>
            <w:r w:rsidRPr="00BF469C">
              <w:rPr>
                <w:rFonts w:asciiTheme="minorHAnsi" w:hAnsiTheme="minorHAnsi" w:cstheme="minorHAnsi"/>
                <w:sz w:val="22"/>
                <w:szCs w:val="24"/>
                <w:lang w:val="fr-CA"/>
              </w:rPr>
              <w:t>910</w:t>
            </w:r>
          </w:p>
        </w:tc>
        <w:tc>
          <w:tcPr>
            <w:tcW w:w="984" w:type="pct"/>
          </w:tcPr>
          <w:p w14:paraId="4D0E3B41" w14:textId="77777777" w:rsidR="00A7023F" w:rsidRPr="00BF469C" w:rsidRDefault="00A7023F" w:rsidP="00BF469C">
            <w:pPr>
              <w:autoSpaceDE w:val="0"/>
              <w:autoSpaceDN w:val="0"/>
              <w:adjustRightInd w:val="0"/>
              <w:jc w:val="center"/>
              <w:rPr>
                <w:rFonts w:asciiTheme="minorHAnsi" w:hAnsiTheme="minorHAnsi" w:cstheme="minorHAnsi"/>
                <w:sz w:val="22"/>
                <w:szCs w:val="24"/>
                <w:lang w:val="fr-CA"/>
              </w:rPr>
            </w:pPr>
            <w:r w:rsidRPr="00BF469C">
              <w:rPr>
                <w:rFonts w:asciiTheme="minorHAnsi" w:hAnsiTheme="minorHAnsi" w:cstheme="minorHAnsi"/>
                <w:sz w:val="22"/>
                <w:szCs w:val="24"/>
                <w:lang w:val="fr-CA"/>
              </w:rPr>
              <w:t>30</w:t>
            </w:r>
          </w:p>
        </w:tc>
        <w:tc>
          <w:tcPr>
            <w:tcW w:w="885" w:type="pct"/>
          </w:tcPr>
          <w:p w14:paraId="36040C99" w14:textId="77777777" w:rsidR="00A7023F" w:rsidRPr="00BF469C" w:rsidRDefault="00A7023F" w:rsidP="00BF469C">
            <w:pPr>
              <w:autoSpaceDE w:val="0"/>
              <w:autoSpaceDN w:val="0"/>
              <w:adjustRightInd w:val="0"/>
              <w:jc w:val="center"/>
              <w:rPr>
                <w:rFonts w:asciiTheme="minorHAnsi" w:hAnsiTheme="minorHAnsi" w:cstheme="minorHAnsi"/>
                <w:sz w:val="22"/>
                <w:szCs w:val="24"/>
                <w:lang w:val="fr-CA"/>
              </w:rPr>
            </w:pPr>
            <w:r w:rsidRPr="00BF469C">
              <w:rPr>
                <w:rFonts w:asciiTheme="minorHAnsi" w:hAnsiTheme="minorHAnsi" w:cstheme="minorHAnsi"/>
                <w:sz w:val="22"/>
                <w:szCs w:val="24"/>
                <w:lang w:val="fr-CA"/>
              </w:rPr>
              <w:t>111</w:t>
            </w:r>
          </w:p>
        </w:tc>
        <w:tc>
          <w:tcPr>
            <w:tcW w:w="835" w:type="pct"/>
          </w:tcPr>
          <w:p w14:paraId="54641735" w14:textId="77777777" w:rsidR="00A7023F" w:rsidRPr="00BF469C" w:rsidRDefault="00A7023F" w:rsidP="00BF469C">
            <w:pPr>
              <w:autoSpaceDE w:val="0"/>
              <w:autoSpaceDN w:val="0"/>
              <w:adjustRightInd w:val="0"/>
              <w:jc w:val="center"/>
              <w:rPr>
                <w:rFonts w:asciiTheme="minorHAnsi" w:hAnsiTheme="minorHAnsi" w:cstheme="minorHAnsi"/>
                <w:sz w:val="22"/>
                <w:szCs w:val="24"/>
                <w:lang w:val="fr-CA"/>
              </w:rPr>
            </w:pPr>
            <w:r w:rsidRPr="00BF469C">
              <w:rPr>
                <w:rFonts w:asciiTheme="minorHAnsi" w:hAnsiTheme="minorHAnsi" w:cstheme="minorHAnsi"/>
                <w:sz w:val="22"/>
                <w:szCs w:val="24"/>
                <w:lang w:val="fr-CA"/>
              </w:rPr>
              <w:t>68</w:t>
            </w:r>
          </w:p>
        </w:tc>
        <w:tc>
          <w:tcPr>
            <w:tcW w:w="576" w:type="pct"/>
          </w:tcPr>
          <w:p w14:paraId="1EDB2CFD" w14:textId="77777777" w:rsidR="00A7023F" w:rsidRPr="00BF469C" w:rsidRDefault="00A7023F" w:rsidP="00BF469C">
            <w:pPr>
              <w:autoSpaceDE w:val="0"/>
              <w:autoSpaceDN w:val="0"/>
              <w:adjustRightInd w:val="0"/>
              <w:jc w:val="center"/>
              <w:rPr>
                <w:rFonts w:asciiTheme="minorHAnsi" w:hAnsiTheme="minorHAnsi" w:cstheme="minorHAnsi"/>
                <w:sz w:val="22"/>
                <w:szCs w:val="24"/>
                <w:lang w:val="fr-CA"/>
              </w:rPr>
            </w:pPr>
            <w:r w:rsidRPr="00BF469C">
              <w:rPr>
                <w:rFonts w:asciiTheme="minorHAnsi" w:hAnsiTheme="minorHAnsi" w:cstheme="minorHAnsi"/>
                <w:sz w:val="22"/>
                <w:szCs w:val="24"/>
                <w:lang w:val="fr-CA"/>
              </w:rPr>
              <w:t>1 119</w:t>
            </w:r>
          </w:p>
        </w:tc>
      </w:tr>
      <w:tr w:rsidR="00BF469C" w:rsidRPr="00BF469C" w14:paraId="024962B4" w14:textId="77777777" w:rsidTr="0037297E">
        <w:trPr>
          <w:cantSplit/>
          <w:trHeight w:val="290"/>
          <w:tblHeader/>
          <w:jc w:val="center"/>
        </w:trPr>
        <w:tc>
          <w:tcPr>
            <w:tcW w:w="785" w:type="pct"/>
          </w:tcPr>
          <w:p w14:paraId="603B3BA8" w14:textId="77777777" w:rsidR="00A7023F" w:rsidRPr="00BF469C" w:rsidRDefault="00A7023F" w:rsidP="00BF469C">
            <w:pPr>
              <w:autoSpaceDE w:val="0"/>
              <w:autoSpaceDN w:val="0"/>
              <w:adjustRightInd w:val="0"/>
              <w:rPr>
                <w:rFonts w:asciiTheme="minorHAnsi" w:hAnsiTheme="minorHAnsi" w:cstheme="minorHAnsi"/>
                <w:sz w:val="22"/>
                <w:szCs w:val="24"/>
                <w:lang w:val="fr-CA"/>
              </w:rPr>
            </w:pPr>
            <w:r w:rsidRPr="00BF469C">
              <w:rPr>
                <w:rFonts w:asciiTheme="minorHAnsi" w:hAnsiTheme="minorHAnsi" w:cstheme="minorHAnsi"/>
                <w:sz w:val="22"/>
                <w:szCs w:val="24"/>
                <w:lang w:val="fr-CA"/>
              </w:rPr>
              <w:t>Au 31 mars 2017</w:t>
            </w:r>
          </w:p>
        </w:tc>
        <w:tc>
          <w:tcPr>
            <w:tcW w:w="935" w:type="pct"/>
          </w:tcPr>
          <w:p w14:paraId="5B6C8CB9" w14:textId="77777777" w:rsidR="00A7023F" w:rsidRPr="00BF469C" w:rsidRDefault="00A7023F" w:rsidP="00BF469C">
            <w:pPr>
              <w:autoSpaceDE w:val="0"/>
              <w:autoSpaceDN w:val="0"/>
              <w:adjustRightInd w:val="0"/>
              <w:jc w:val="center"/>
              <w:rPr>
                <w:rFonts w:asciiTheme="minorHAnsi" w:hAnsiTheme="minorHAnsi" w:cstheme="minorHAnsi"/>
                <w:sz w:val="22"/>
                <w:szCs w:val="24"/>
                <w:lang w:val="fr-CA"/>
              </w:rPr>
            </w:pPr>
            <w:r w:rsidRPr="00BF469C">
              <w:rPr>
                <w:rFonts w:asciiTheme="minorHAnsi" w:hAnsiTheme="minorHAnsi" w:cstheme="minorHAnsi"/>
                <w:sz w:val="22"/>
                <w:szCs w:val="24"/>
                <w:lang w:val="fr-CA"/>
              </w:rPr>
              <w:t>953</w:t>
            </w:r>
          </w:p>
        </w:tc>
        <w:tc>
          <w:tcPr>
            <w:tcW w:w="984" w:type="pct"/>
          </w:tcPr>
          <w:p w14:paraId="6E5F763D" w14:textId="77777777" w:rsidR="00A7023F" w:rsidRPr="00BF469C" w:rsidRDefault="00A7023F" w:rsidP="00BF469C">
            <w:pPr>
              <w:autoSpaceDE w:val="0"/>
              <w:autoSpaceDN w:val="0"/>
              <w:adjustRightInd w:val="0"/>
              <w:jc w:val="center"/>
              <w:rPr>
                <w:rFonts w:asciiTheme="minorHAnsi" w:hAnsiTheme="minorHAnsi" w:cstheme="minorHAnsi"/>
                <w:sz w:val="22"/>
                <w:szCs w:val="24"/>
                <w:lang w:val="fr-CA"/>
              </w:rPr>
            </w:pPr>
            <w:r w:rsidRPr="00BF469C">
              <w:rPr>
                <w:rFonts w:asciiTheme="minorHAnsi" w:hAnsiTheme="minorHAnsi" w:cstheme="minorHAnsi"/>
                <w:sz w:val="22"/>
                <w:szCs w:val="24"/>
                <w:lang w:val="fr-CA"/>
              </w:rPr>
              <w:t>46</w:t>
            </w:r>
          </w:p>
        </w:tc>
        <w:tc>
          <w:tcPr>
            <w:tcW w:w="885" w:type="pct"/>
          </w:tcPr>
          <w:p w14:paraId="5F47E49D" w14:textId="77777777" w:rsidR="00A7023F" w:rsidRPr="00BF469C" w:rsidRDefault="00A7023F" w:rsidP="00BF469C">
            <w:pPr>
              <w:autoSpaceDE w:val="0"/>
              <w:autoSpaceDN w:val="0"/>
              <w:adjustRightInd w:val="0"/>
              <w:jc w:val="center"/>
              <w:rPr>
                <w:rFonts w:asciiTheme="minorHAnsi" w:hAnsiTheme="minorHAnsi" w:cstheme="minorHAnsi"/>
                <w:sz w:val="22"/>
                <w:szCs w:val="24"/>
                <w:lang w:val="fr-CA"/>
              </w:rPr>
            </w:pPr>
            <w:r w:rsidRPr="00BF469C">
              <w:rPr>
                <w:rFonts w:asciiTheme="minorHAnsi" w:hAnsiTheme="minorHAnsi" w:cstheme="minorHAnsi"/>
                <w:sz w:val="22"/>
                <w:szCs w:val="24"/>
                <w:lang w:val="fr-CA"/>
              </w:rPr>
              <w:t>109</w:t>
            </w:r>
          </w:p>
        </w:tc>
        <w:tc>
          <w:tcPr>
            <w:tcW w:w="835" w:type="pct"/>
          </w:tcPr>
          <w:p w14:paraId="641A4EF3" w14:textId="77777777" w:rsidR="00A7023F" w:rsidRPr="00BF469C" w:rsidRDefault="00A7023F" w:rsidP="00BF469C">
            <w:pPr>
              <w:autoSpaceDE w:val="0"/>
              <w:autoSpaceDN w:val="0"/>
              <w:adjustRightInd w:val="0"/>
              <w:jc w:val="center"/>
              <w:rPr>
                <w:rFonts w:asciiTheme="minorHAnsi" w:hAnsiTheme="minorHAnsi" w:cstheme="minorHAnsi"/>
                <w:sz w:val="22"/>
                <w:szCs w:val="24"/>
                <w:lang w:val="fr-CA"/>
              </w:rPr>
            </w:pPr>
            <w:r w:rsidRPr="00BF469C">
              <w:rPr>
                <w:rFonts w:asciiTheme="minorHAnsi" w:hAnsiTheme="minorHAnsi" w:cstheme="minorHAnsi"/>
                <w:sz w:val="22"/>
                <w:szCs w:val="24"/>
                <w:lang w:val="fr-CA"/>
              </w:rPr>
              <w:t>62</w:t>
            </w:r>
          </w:p>
        </w:tc>
        <w:tc>
          <w:tcPr>
            <w:tcW w:w="576" w:type="pct"/>
          </w:tcPr>
          <w:p w14:paraId="60539A0A" w14:textId="77777777" w:rsidR="00A7023F" w:rsidRPr="00BF469C" w:rsidRDefault="00A7023F" w:rsidP="00BF469C">
            <w:pPr>
              <w:autoSpaceDE w:val="0"/>
              <w:autoSpaceDN w:val="0"/>
              <w:adjustRightInd w:val="0"/>
              <w:jc w:val="center"/>
              <w:rPr>
                <w:rFonts w:asciiTheme="minorHAnsi" w:hAnsiTheme="minorHAnsi" w:cstheme="minorHAnsi"/>
                <w:sz w:val="22"/>
                <w:szCs w:val="24"/>
                <w:lang w:val="fr-CA"/>
              </w:rPr>
            </w:pPr>
            <w:r w:rsidRPr="00BF469C">
              <w:rPr>
                <w:rFonts w:asciiTheme="minorHAnsi" w:hAnsiTheme="minorHAnsi" w:cstheme="minorHAnsi"/>
                <w:sz w:val="22"/>
                <w:szCs w:val="24"/>
                <w:lang w:val="fr-CA"/>
              </w:rPr>
              <w:t>1 170</w:t>
            </w:r>
          </w:p>
        </w:tc>
      </w:tr>
      <w:tr w:rsidR="00BF469C" w:rsidRPr="00BF469C" w14:paraId="20E7B1FB" w14:textId="77777777" w:rsidTr="0037297E">
        <w:trPr>
          <w:cantSplit/>
          <w:trHeight w:val="290"/>
          <w:tblHeader/>
          <w:jc w:val="center"/>
        </w:trPr>
        <w:tc>
          <w:tcPr>
            <w:tcW w:w="785" w:type="pct"/>
          </w:tcPr>
          <w:p w14:paraId="545C4A89" w14:textId="77777777" w:rsidR="00A7023F" w:rsidRPr="00BF469C" w:rsidRDefault="00A7023F" w:rsidP="00BF469C">
            <w:pPr>
              <w:autoSpaceDE w:val="0"/>
              <w:autoSpaceDN w:val="0"/>
              <w:adjustRightInd w:val="0"/>
              <w:rPr>
                <w:rFonts w:asciiTheme="minorHAnsi" w:hAnsiTheme="minorHAnsi" w:cstheme="minorHAnsi"/>
                <w:sz w:val="22"/>
                <w:szCs w:val="24"/>
                <w:lang w:val="fr-CA"/>
              </w:rPr>
            </w:pPr>
            <w:r w:rsidRPr="00BF469C">
              <w:rPr>
                <w:rFonts w:asciiTheme="minorHAnsi" w:hAnsiTheme="minorHAnsi" w:cstheme="minorHAnsi"/>
                <w:sz w:val="22"/>
                <w:szCs w:val="24"/>
                <w:lang w:val="fr-CA"/>
              </w:rPr>
              <w:t>Au 31 mars 2018</w:t>
            </w:r>
          </w:p>
        </w:tc>
        <w:tc>
          <w:tcPr>
            <w:tcW w:w="935" w:type="pct"/>
          </w:tcPr>
          <w:p w14:paraId="73A45DFC" w14:textId="77777777" w:rsidR="00A7023F" w:rsidRPr="00BF469C" w:rsidRDefault="00A7023F" w:rsidP="00BF469C">
            <w:pPr>
              <w:autoSpaceDE w:val="0"/>
              <w:autoSpaceDN w:val="0"/>
              <w:adjustRightInd w:val="0"/>
              <w:jc w:val="center"/>
              <w:rPr>
                <w:rFonts w:asciiTheme="minorHAnsi" w:hAnsiTheme="minorHAnsi" w:cstheme="minorHAnsi"/>
                <w:sz w:val="22"/>
                <w:szCs w:val="24"/>
                <w:lang w:val="fr-CA"/>
              </w:rPr>
            </w:pPr>
            <w:r w:rsidRPr="00BF469C">
              <w:rPr>
                <w:rFonts w:asciiTheme="minorHAnsi" w:hAnsiTheme="minorHAnsi" w:cstheme="minorHAnsi"/>
                <w:sz w:val="22"/>
                <w:szCs w:val="24"/>
                <w:lang w:val="fr-CA"/>
              </w:rPr>
              <w:t>999</w:t>
            </w:r>
          </w:p>
        </w:tc>
        <w:tc>
          <w:tcPr>
            <w:tcW w:w="984" w:type="pct"/>
          </w:tcPr>
          <w:p w14:paraId="03B672D4" w14:textId="77777777" w:rsidR="00A7023F" w:rsidRPr="00BF469C" w:rsidRDefault="00A7023F" w:rsidP="00BF469C">
            <w:pPr>
              <w:autoSpaceDE w:val="0"/>
              <w:autoSpaceDN w:val="0"/>
              <w:adjustRightInd w:val="0"/>
              <w:jc w:val="center"/>
              <w:rPr>
                <w:rFonts w:asciiTheme="minorHAnsi" w:hAnsiTheme="minorHAnsi" w:cstheme="minorHAnsi"/>
                <w:sz w:val="22"/>
                <w:szCs w:val="24"/>
                <w:lang w:val="fr-CA"/>
              </w:rPr>
            </w:pPr>
            <w:r w:rsidRPr="00BF469C">
              <w:rPr>
                <w:rFonts w:asciiTheme="minorHAnsi" w:hAnsiTheme="minorHAnsi" w:cstheme="minorHAnsi"/>
                <w:sz w:val="22"/>
                <w:szCs w:val="24"/>
                <w:lang w:val="fr-CA"/>
              </w:rPr>
              <w:t>45</w:t>
            </w:r>
          </w:p>
        </w:tc>
        <w:tc>
          <w:tcPr>
            <w:tcW w:w="885" w:type="pct"/>
          </w:tcPr>
          <w:p w14:paraId="095FE03F" w14:textId="77777777" w:rsidR="00A7023F" w:rsidRPr="00BF469C" w:rsidRDefault="00A7023F" w:rsidP="00BF469C">
            <w:pPr>
              <w:autoSpaceDE w:val="0"/>
              <w:autoSpaceDN w:val="0"/>
              <w:adjustRightInd w:val="0"/>
              <w:jc w:val="center"/>
              <w:rPr>
                <w:rFonts w:asciiTheme="minorHAnsi" w:hAnsiTheme="minorHAnsi" w:cstheme="minorHAnsi"/>
                <w:sz w:val="22"/>
                <w:szCs w:val="24"/>
                <w:lang w:val="fr-CA"/>
              </w:rPr>
            </w:pPr>
            <w:r w:rsidRPr="00BF469C">
              <w:rPr>
                <w:rFonts w:asciiTheme="minorHAnsi" w:hAnsiTheme="minorHAnsi" w:cstheme="minorHAnsi"/>
                <w:sz w:val="22"/>
                <w:szCs w:val="24"/>
                <w:lang w:val="fr-CA"/>
              </w:rPr>
              <w:t>109</w:t>
            </w:r>
          </w:p>
        </w:tc>
        <w:tc>
          <w:tcPr>
            <w:tcW w:w="835" w:type="pct"/>
          </w:tcPr>
          <w:p w14:paraId="3E2A9153" w14:textId="77777777" w:rsidR="00A7023F" w:rsidRPr="00BF469C" w:rsidRDefault="00A7023F" w:rsidP="00BF469C">
            <w:pPr>
              <w:autoSpaceDE w:val="0"/>
              <w:autoSpaceDN w:val="0"/>
              <w:adjustRightInd w:val="0"/>
              <w:jc w:val="center"/>
              <w:rPr>
                <w:rFonts w:asciiTheme="minorHAnsi" w:hAnsiTheme="minorHAnsi" w:cstheme="minorHAnsi"/>
                <w:sz w:val="22"/>
                <w:szCs w:val="24"/>
                <w:lang w:val="fr-CA"/>
              </w:rPr>
            </w:pPr>
            <w:r w:rsidRPr="00BF469C">
              <w:rPr>
                <w:rFonts w:asciiTheme="minorHAnsi" w:hAnsiTheme="minorHAnsi" w:cstheme="minorHAnsi"/>
                <w:sz w:val="22"/>
                <w:szCs w:val="24"/>
                <w:lang w:val="fr-CA"/>
              </w:rPr>
              <w:t>65</w:t>
            </w:r>
          </w:p>
        </w:tc>
        <w:tc>
          <w:tcPr>
            <w:tcW w:w="576" w:type="pct"/>
          </w:tcPr>
          <w:p w14:paraId="0215FF16" w14:textId="77777777" w:rsidR="00A7023F" w:rsidRPr="00BF469C" w:rsidRDefault="00A7023F" w:rsidP="00BF469C">
            <w:pPr>
              <w:autoSpaceDE w:val="0"/>
              <w:autoSpaceDN w:val="0"/>
              <w:adjustRightInd w:val="0"/>
              <w:jc w:val="center"/>
              <w:rPr>
                <w:rFonts w:asciiTheme="minorHAnsi" w:hAnsiTheme="minorHAnsi" w:cstheme="minorHAnsi"/>
                <w:sz w:val="22"/>
                <w:szCs w:val="24"/>
                <w:lang w:val="fr-CA"/>
              </w:rPr>
            </w:pPr>
            <w:r w:rsidRPr="00BF469C">
              <w:rPr>
                <w:rFonts w:asciiTheme="minorHAnsi" w:hAnsiTheme="minorHAnsi" w:cstheme="minorHAnsi"/>
                <w:sz w:val="22"/>
                <w:szCs w:val="24"/>
                <w:lang w:val="fr-CA"/>
              </w:rPr>
              <w:t>1 218</w:t>
            </w:r>
          </w:p>
        </w:tc>
      </w:tr>
      <w:tr w:rsidR="00BF469C" w:rsidRPr="00BF469C" w14:paraId="07036FFB" w14:textId="77777777" w:rsidTr="0037297E">
        <w:trPr>
          <w:cantSplit/>
          <w:trHeight w:val="290"/>
          <w:tblHeader/>
          <w:jc w:val="center"/>
        </w:trPr>
        <w:tc>
          <w:tcPr>
            <w:tcW w:w="785" w:type="pct"/>
          </w:tcPr>
          <w:p w14:paraId="73A3AC7F" w14:textId="77777777" w:rsidR="00A7023F" w:rsidRPr="00BF469C" w:rsidRDefault="00A7023F" w:rsidP="00BF469C">
            <w:pPr>
              <w:autoSpaceDE w:val="0"/>
              <w:autoSpaceDN w:val="0"/>
              <w:adjustRightInd w:val="0"/>
              <w:rPr>
                <w:rFonts w:asciiTheme="minorHAnsi" w:hAnsiTheme="minorHAnsi" w:cstheme="minorHAnsi"/>
                <w:sz w:val="22"/>
                <w:szCs w:val="24"/>
                <w:lang w:val="fr-CA"/>
              </w:rPr>
            </w:pPr>
            <w:r w:rsidRPr="00BF469C">
              <w:rPr>
                <w:rFonts w:asciiTheme="minorHAnsi" w:hAnsiTheme="minorHAnsi" w:cstheme="minorHAnsi"/>
                <w:sz w:val="22"/>
                <w:szCs w:val="24"/>
                <w:lang w:val="fr-CA"/>
              </w:rPr>
              <w:t>Au 31 mars 2019</w:t>
            </w:r>
          </w:p>
        </w:tc>
        <w:tc>
          <w:tcPr>
            <w:tcW w:w="935" w:type="pct"/>
          </w:tcPr>
          <w:p w14:paraId="691D6B76" w14:textId="77777777" w:rsidR="00A7023F" w:rsidRPr="00BF469C" w:rsidRDefault="00A7023F" w:rsidP="00BF469C">
            <w:pPr>
              <w:autoSpaceDE w:val="0"/>
              <w:autoSpaceDN w:val="0"/>
              <w:adjustRightInd w:val="0"/>
              <w:jc w:val="center"/>
              <w:rPr>
                <w:rFonts w:asciiTheme="minorHAnsi" w:hAnsiTheme="minorHAnsi" w:cstheme="minorHAnsi"/>
                <w:sz w:val="22"/>
                <w:szCs w:val="24"/>
                <w:lang w:val="fr-CA"/>
              </w:rPr>
            </w:pPr>
            <w:r w:rsidRPr="00BF469C">
              <w:rPr>
                <w:rFonts w:asciiTheme="minorHAnsi" w:hAnsiTheme="minorHAnsi" w:cstheme="minorHAnsi"/>
                <w:sz w:val="22"/>
                <w:szCs w:val="24"/>
                <w:lang w:val="fr-CA"/>
              </w:rPr>
              <w:t>1 087</w:t>
            </w:r>
          </w:p>
        </w:tc>
        <w:tc>
          <w:tcPr>
            <w:tcW w:w="984" w:type="pct"/>
          </w:tcPr>
          <w:p w14:paraId="28B07A4A" w14:textId="77777777" w:rsidR="00A7023F" w:rsidRPr="00BF469C" w:rsidRDefault="00A7023F" w:rsidP="00BF469C">
            <w:pPr>
              <w:autoSpaceDE w:val="0"/>
              <w:autoSpaceDN w:val="0"/>
              <w:adjustRightInd w:val="0"/>
              <w:jc w:val="center"/>
              <w:rPr>
                <w:rFonts w:asciiTheme="minorHAnsi" w:hAnsiTheme="minorHAnsi" w:cstheme="minorHAnsi"/>
                <w:sz w:val="22"/>
                <w:szCs w:val="24"/>
                <w:lang w:val="fr-CA"/>
              </w:rPr>
            </w:pPr>
            <w:r w:rsidRPr="00BF469C">
              <w:rPr>
                <w:rFonts w:asciiTheme="minorHAnsi" w:hAnsiTheme="minorHAnsi" w:cstheme="minorHAnsi"/>
                <w:sz w:val="22"/>
                <w:szCs w:val="24"/>
                <w:lang w:val="fr-CA"/>
              </w:rPr>
              <w:t>69</w:t>
            </w:r>
          </w:p>
        </w:tc>
        <w:tc>
          <w:tcPr>
            <w:tcW w:w="885" w:type="pct"/>
          </w:tcPr>
          <w:p w14:paraId="15503C5B" w14:textId="77777777" w:rsidR="00A7023F" w:rsidRPr="00BF469C" w:rsidRDefault="00A7023F" w:rsidP="00BF469C">
            <w:pPr>
              <w:autoSpaceDE w:val="0"/>
              <w:autoSpaceDN w:val="0"/>
              <w:adjustRightInd w:val="0"/>
              <w:jc w:val="center"/>
              <w:rPr>
                <w:rFonts w:asciiTheme="minorHAnsi" w:hAnsiTheme="minorHAnsi" w:cstheme="minorHAnsi"/>
                <w:sz w:val="22"/>
                <w:szCs w:val="24"/>
                <w:lang w:val="fr-CA"/>
              </w:rPr>
            </w:pPr>
            <w:r w:rsidRPr="00BF469C">
              <w:rPr>
                <w:rFonts w:asciiTheme="minorHAnsi" w:hAnsiTheme="minorHAnsi" w:cstheme="minorHAnsi"/>
                <w:sz w:val="22"/>
                <w:szCs w:val="24"/>
                <w:lang w:val="fr-CA"/>
              </w:rPr>
              <w:t>122</w:t>
            </w:r>
          </w:p>
        </w:tc>
        <w:tc>
          <w:tcPr>
            <w:tcW w:w="835" w:type="pct"/>
          </w:tcPr>
          <w:p w14:paraId="42282FDF" w14:textId="77777777" w:rsidR="00A7023F" w:rsidRPr="00BF469C" w:rsidRDefault="00A7023F" w:rsidP="00BF469C">
            <w:pPr>
              <w:autoSpaceDE w:val="0"/>
              <w:autoSpaceDN w:val="0"/>
              <w:adjustRightInd w:val="0"/>
              <w:jc w:val="center"/>
              <w:rPr>
                <w:rFonts w:asciiTheme="minorHAnsi" w:hAnsiTheme="minorHAnsi" w:cstheme="minorHAnsi"/>
                <w:sz w:val="22"/>
                <w:szCs w:val="24"/>
                <w:lang w:val="fr-CA"/>
              </w:rPr>
            </w:pPr>
            <w:r w:rsidRPr="00BF469C">
              <w:rPr>
                <w:rFonts w:asciiTheme="minorHAnsi" w:hAnsiTheme="minorHAnsi" w:cstheme="minorHAnsi"/>
                <w:sz w:val="22"/>
                <w:szCs w:val="24"/>
                <w:lang w:val="fr-CA"/>
              </w:rPr>
              <w:t>56</w:t>
            </w:r>
          </w:p>
        </w:tc>
        <w:tc>
          <w:tcPr>
            <w:tcW w:w="576" w:type="pct"/>
          </w:tcPr>
          <w:p w14:paraId="1AC15C6D" w14:textId="77777777" w:rsidR="00A7023F" w:rsidRPr="00BF469C" w:rsidRDefault="00A7023F" w:rsidP="00BF469C">
            <w:pPr>
              <w:autoSpaceDE w:val="0"/>
              <w:autoSpaceDN w:val="0"/>
              <w:adjustRightInd w:val="0"/>
              <w:jc w:val="center"/>
              <w:rPr>
                <w:rFonts w:asciiTheme="minorHAnsi" w:hAnsiTheme="minorHAnsi" w:cstheme="minorHAnsi"/>
                <w:sz w:val="22"/>
                <w:szCs w:val="24"/>
                <w:lang w:val="fr-CA"/>
              </w:rPr>
            </w:pPr>
            <w:r w:rsidRPr="00BF469C">
              <w:rPr>
                <w:rFonts w:asciiTheme="minorHAnsi" w:hAnsiTheme="minorHAnsi" w:cstheme="minorHAnsi"/>
                <w:sz w:val="22"/>
                <w:szCs w:val="24"/>
                <w:lang w:val="fr-CA"/>
              </w:rPr>
              <w:t>1 334</w:t>
            </w:r>
          </w:p>
        </w:tc>
      </w:tr>
    </w:tbl>
    <w:p w14:paraId="29EBB45F" w14:textId="77777777" w:rsidR="00A7023F" w:rsidRDefault="00A7023F" w:rsidP="00413E58">
      <w:pPr>
        <w:tabs>
          <w:tab w:val="left" w:pos="7839"/>
        </w:tabs>
        <w:jc w:val="center"/>
        <w:rPr>
          <w:rFonts w:asciiTheme="minorHAnsi" w:hAnsiTheme="minorHAnsi"/>
          <w:b/>
          <w:sz w:val="20"/>
          <w:lang w:val="fr-CA"/>
        </w:rPr>
      </w:pPr>
    </w:p>
    <w:p w14:paraId="52735F3A" w14:textId="77777777" w:rsidR="00A7023F" w:rsidRDefault="00A7023F" w:rsidP="00413E58">
      <w:pPr>
        <w:tabs>
          <w:tab w:val="left" w:pos="7839"/>
        </w:tabs>
        <w:jc w:val="center"/>
        <w:rPr>
          <w:rFonts w:asciiTheme="minorHAnsi" w:hAnsiTheme="minorHAnsi"/>
          <w:b/>
          <w:sz w:val="20"/>
          <w:lang w:val="fr-CA"/>
        </w:rPr>
        <w:sectPr w:rsidR="00A7023F" w:rsidSect="00C67F41">
          <w:footerReference w:type="default" r:id="rId15"/>
          <w:footerReference w:type="first" r:id="rId16"/>
          <w:footnotePr>
            <w:numFmt w:val="lowerLetter"/>
          </w:footnotePr>
          <w:endnotePr>
            <w:numFmt w:val="lowerLetter"/>
          </w:endnotePr>
          <w:pgSz w:w="15840" w:h="12240" w:orient="landscape" w:code="1"/>
          <w:pgMar w:top="567" w:right="709" w:bottom="1304" w:left="709" w:header="284" w:footer="284" w:gutter="0"/>
          <w:cols w:space="720"/>
          <w:docGrid w:linePitch="326"/>
        </w:sectPr>
      </w:pPr>
    </w:p>
    <w:p w14:paraId="2F190F2F" w14:textId="77777777" w:rsidR="00A7023F" w:rsidRDefault="00A7023F" w:rsidP="00413E58">
      <w:pPr>
        <w:tabs>
          <w:tab w:val="left" w:pos="7839"/>
        </w:tabs>
        <w:jc w:val="center"/>
        <w:rPr>
          <w:rFonts w:asciiTheme="minorHAnsi" w:hAnsiTheme="minorHAnsi"/>
          <w:b/>
          <w:sz w:val="20"/>
          <w:lang w:val="fr-CA"/>
        </w:rPr>
      </w:pPr>
    </w:p>
    <w:p w14:paraId="6F68531E" w14:textId="77777777" w:rsidR="00A7023F" w:rsidRPr="006A0388" w:rsidRDefault="006A0388" w:rsidP="006A0388">
      <w:pPr>
        <w:pStyle w:val="Heading1"/>
        <w:spacing w:before="120" w:after="120"/>
        <w:rPr>
          <w:sz w:val="40"/>
          <w:lang w:val="fr-CA"/>
        </w:rPr>
      </w:pPr>
      <w:r w:rsidRPr="006A0388">
        <w:rPr>
          <w:sz w:val="40"/>
        </w:rPr>
        <w:t>Effectif selon les exigences linguistiques au 31 mars 2019</w:t>
      </w:r>
    </w:p>
    <w:p w14:paraId="104985F6" w14:textId="77777777" w:rsidR="006A0388" w:rsidRDefault="00A7023F" w:rsidP="006A0388">
      <w:pPr>
        <w:keepNext/>
        <w:tabs>
          <w:tab w:val="left" w:pos="7839"/>
        </w:tabs>
        <w:jc w:val="center"/>
      </w:pPr>
      <w:r w:rsidRPr="008F610A">
        <w:rPr>
          <w:noProof/>
          <w:lang w:val="en-CA" w:eastAsia="en-CA"/>
        </w:rPr>
        <w:drawing>
          <wp:inline distT="0" distB="0" distL="0" distR="0" wp14:anchorId="33C48CC0" wp14:editId="16587F30">
            <wp:extent cx="1980000" cy="3020400"/>
            <wp:effectExtent l="0" t="0" r="1270" b="8890"/>
            <wp:docPr id="8" name="Chart 8" descr="Effectif selon les exigences linguistiques au 31 mars 2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FA4DCBF" w14:textId="77777777" w:rsidR="00A7023F" w:rsidRPr="006A0388" w:rsidRDefault="006A0388" w:rsidP="006A0388">
      <w:pPr>
        <w:pStyle w:val="Caption"/>
        <w:spacing w:after="0"/>
        <w:jc w:val="center"/>
        <w:rPr>
          <w:rFonts w:asciiTheme="minorHAnsi" w:hAnsiTheme="minorHAnsi" w:cstheme="minorHAnsi"/>
          <w:b/>
          <w:i w:val="0"/>
          <w:color w:val="auto"/>
          <w:sz w:val="20"/>
          <w:lang w:val="fr-CA"/>
        </w:rPr>
      </w:pPr>
      <w:r w:rsidRPr="006A0388">
        <w:rPr>
          <w:rFonts w:asciiTheme="minorHAnsi" w:hAnsiTheme="minorHAnsi" w:cstheme="minorHAnsi"/>
          <w:i w:val="0"/>
          <w:color w:val="auto"/>
        </w:rPr>
        <w:t xml:space="preserve">Figure </w:t>
      </w:r>
      <w:r w:rsidRPr="006A0388">
        <w:rPr>
          <w:rFonts w:asciiTheme="minorHAnsi" w:hAnsiTheme="minorHAnsi" w:cstheme="minorHAnsi"/>
          <w:i w:val="0"/>
          <w:color w:val="auto"/>
        </w:rPr>
        <w:fldChar w:fldCharType="begin"/>
      </w:r>
      <w:r w:rsidRPr="006A0388">
        <w:rPr>
          <w:rFonts w:asciiTheme="minorHAnsi" w:hAnsiTheme="minorHAnsi" w:cstheme="minorHAnsi"/>
          <w:i w:val="0"/>
          <w:color w:val="auto"/>
        </w:rPr>
        <w:instrText xml:space="preserve"> SEQ Figure \* ARABIC </w:instrText>
      </w:r>
      <w:r w:rsidRPr="006A0388">
        <w:rPr>
          <w:rFonts w:asciiTheme="minorHAnsi" w:hAnsiTheme="minorHAnsi" w:cstheme="minorHAnsi"/>
          <w:i w:val="0"/>
          <w:color w:val="auto"/>
        </w:rPr>
        <w:fldChar w:fldCharType="separate"/>
      </w:r>
      <w:r w:rsidR="00353602">
        <w:rPr>
          <w:rFonts w:asciiTheme="minorHAnsi" w:hAnsiTheme="minorHAnsi" w:cstheme="minorHAnsi"/>
          <w:i w:val="0"/>
          <w:noProof/>
          <w:color w:val="auto"/>
        </w:rPr>
        <w:t>2</w:t>
      </w:r>
      <w:r w:rsidRPr="006A0388">
        <w:rPr>
          <w:rFonts w:asciiTheme="minorHAnsi" w:hAnsiTheme="minorHAnsi" w:cstheme="minorHAnsi"/>
          <w:i w:val="0"/>
          <w:color w:val="auto"/>
        </w:rPr>
        <w:fldChar w:fldCharType="end"/>
      </w:r>
      <w:r w:rsidRPr="006A0388">
        <w:rPr>
          <w:rFonts w:asciiTheme="minorHAnsi" w:hAnsiTheme="minorHAnsi" w:cstheme="minorHAnsi"/>
          <w:i w:val="0"/>
          <w:color w:val="auto"/>
        </w:rPr>
        <w:t xml:space="preserve"> - Effectif selon les exigences linguistiques au 31 mars 2019</w:t>
      </w:r>
    </w:p>
    <w:p w14:paraId="22B575F0" w14:textId="77777777" w:rsidR="006A0388" w:rsidRPr="006A0388" w:rsidRDefault="006A0388" w:rsidP="006A0388">
      <w:pPr>
        <w:pStyle w:val="Caption"/>
        <w:keepNext/>
        <w:spacing w:before="240" w:after="0"/>
        <w:jc w:val="center"/>
        <w:rPr>
          <w:rFonts w:asciiTheme="minorHAnsi" w:hAnsiTheme="minorHAnsi" w:cstheme="minorHAnsi"/>
          <w:i w:val="0"/>
          <w:color w:val="auto"/>
        </w:rPr>
      </w:pPr>
      <w:r w:rsidRPr="006A0388">
        <w:rPr>
          <w:rFonts w:asciiTheme="minorHAnsi" w:hAnsiTheme="minorHAnsi" w:cstheme="minorHAnsi"/>
          <w:i w:val="0"/>
          <w:color w:val="auto"/>
        </w:rPr>
        <w:t xml:space="preserve">Table </w:t>
      </w:r>
      <w:r w:rsidRPr="006A0388">
        <w:rPr>
          <w:rFonts w:asciiTheme="minorHAnsi" w:hAnsiTheme="minorHAnsi" w:cstheme="minorHAnsi"/>
          <w:i w:val="0"/>
          <w:color w:val="auto"/>
        </w:rPr>
        <w:fldChar w:fldCharType="begin"/>
      </w:r>
      <w:r w:rsidRPr="006A0388">
        <w:rPr>
          <w:rFonts w:asciiTheme="minorHAnsi" w:hAnsiTheme="minorHAnsi" w:cstheme="minorHAnsi"/>
          <w:i w:val="0"/>
          <w:color w:val="auto"/>
        </w:rPr>
        <w:instrText xml:space="preserve"> SEQ Table \* ARABIC </w:instrText>
      </w:r>
      <w:r w:rsidRPr="006A0388">
        <w:rPr>
          <w:rFonts w:asciiTheme="minorHAnsi" w:hAnsiTheme="minorHAnsi" w:cstheme="minorHAnsi"/>
          <w:i w:val="0"/>
          <w:color w:val="auto"/>
        </w:rPr>
        <w:fldChar w:fldCharType="separate"/>
      </w:r>
      <w:r w:rsidR="00766F9D">
        <w:rPr>
          <w:rFonts w:asciiTheme="minorHAnsi" w:hAnsiTheme="minorHAnsi" w:cstheme="minorHAnsi"/>
          <w:i w:val="0"/>
          <w:noProof/>
          <w:color w:val="auto"/>
        </w:rPr>
        <w:t>5</w:t>
      </w:r>
      <w:r w:rsidRPr="006A0388">
        <w:rPr>
          <w:rFonts w:asciiTheme="minorHAnsi" w:hAnsiTheme="minorHAnsi" w:cstheme="minorHAnsi"/>
          <w:i w:val="0"/>
          <w:color w:val="auto"/>
        </w:rPr>
        <w:fldChar w:fldCharType="end"/>
      </w:r>
      <w:r w:rsidRPr="006A0388">
        <w:rPr>
          <w:rFonts w:asciiTheme="minorHAnsi" w:hAnsiTheme="minorHAnsi" w:cstheme="minorHAnsi"/>
          <w:i w:val="0"/>
          <w:color w:val="auto"/>
        </w:rPr>
        <w:t xml:space="preserve"> - Effectif régi par la </w:t>
      </w:r>
      <w:r w:rsidRPr="00F5315B">
        <w:rPr>
          <w:rStyle w:val="Emphasis"/>
          <w:rFonts w:asciiTheme="minorHAnsi" w:hAnsiTheme="minorHAnsi" w:cstheme="minorHAnsi"/>
          <w:i/>
          <w:color w:val="auto"/>
        </w:rPr>
        <w:t>Loi sur l’emploi dans la fonction publique</w:t>
      </w:r>
      <w:r w:rsidRPr="00F5315B">
        <w:rPr>
          <w:rFonts w:asciiTheme="minorHAnsi" w:hAnsiTheme="minorHAnsi" w:cstheme="minorHAnsi"/>
          <w:i w:val="0"/>
          <w:color w:val="auto"/>
        </w:rPr>
        <w:t xml:space="preserve"> </w:t>
      </w:r>
      <w:r w:rsidRPr="006A0388">
        <w:rPr>
          <w:rFonts w:asciiTheme="minorHAnsi" w:hAnsiTheme="minorHAnsi" w:cstheme="minorHAnsi"/>
          <w:i w:val="0"/>
          <w:color w:val="auto"/>
        </w:rPr>
        <w:t>selon le profil linguistique au 31 mars 2019</w:t>
      </w:r>
    </w:p>
    <w:tbl>
      <w:tblPr>
        <w:tblStyle w:val="TableGrid"/>
        <w:tblW w:w="5000" w:type="pct"/>
        <w:jc w:val="center"/>
        <w:tblLook w:val="0020" w:firstRow="1" w:lastRow="0" w:firstColumn="0" w:lastColumn="0" w:noHBand="0" w:noVBand="0"/>
        <w:tblDescription w:val="Effectif selon les exigences linguistiques au 31 mars 2019"/>
      </w:tblPr>
      <w:tblGrid>
        <w:gridCol w:w="3231"/>
        <w:gridCol w:w="5269"/>
        <w:gridCol w:w="5912"/>
      </w:tblGrid>
      <w:tr w:rsidR="006A0388" w:rsidRPr="006A0388" w14:paraId="731A84BD" w14:textId="77777777" w:rsidTr="0037297E">
        <w:trPr>
          <w:cantSplit/>
          <w:trHeight w:val="290"/>
          <w:tblHeader/>
          <w:jc w:val="center"/>
        </w:trPr>
        <w:tc>
          <w:tcPr>
            <w:tcW w:w="1121" w:type="pct"/>
          </w:tcPr>
          <w:p w14:paraId="267A370E" w14:textId="77777777" w:rsidR="00A7023F" w:rsidRPr="006A0388" w:rsidRDefault="00A7023F" w:rsidP="006A0388">
            <w:pPr>
              <w:pStyle w:val="TableTitle"/>
              <w:rPr>
                <w:color w:val="auto"/>
                <w:sz w:val="22"/>
                <w:lang w:val="fr-CA"/>
              </w:rPr>
            </w:pPr>
            <w:r w:rsidRPr="006A0388">
              <w:rPr>
                <w:color w:val="auto"/>
                <w:sz w:val="22"/>
                <w:lang w:val="fr-CA"/>
              </w:rPr>
              <w:t xml:space="preserve">Profil linguistique  </w:t>
            </w:r>
          </w:p>
        </w:tc>
        <w:tc>
          <w:tcPr>
            <w:tcW w:w="1828" w:type="pct"/>
          </w:tcPr>
          <w:p w14:paraId="399ED6C6" w14:textId="77777777" w:rsidR="00A7023F" w:rsidRPr="006A0388" w:rsidRDefault="00A7023F" w:rsidP="006A0388">
            <w:pPr>
              <w:pStyle w:val="TableTitle"/>
              <w:rPr>
                <w:color w:val="auto"/>
                <w:sz w:val="22"/>
                <w:lang w:val="fr-CA"/>
              </w:rPr>
            </w:pPr>
            <w:r w:rsidRPr="006A0388">
              <w:rPr>
                <w:color w:val="auto"/>
                <w:sz w:val="22"/>
                <w:lang w:val="fr-CA"/>
              </w:rPr>
              <w:t>Effectif au 31 mars 2019</w:t>
            </w:r>
          </w:p>
        </w:tc>
        <w:tc>
          <w:tcPr>
            <w:tcW w:w="2051" w:type="pct"/>
          </w:tcPr>
          <w:p w14:paraId="1DA236BC" w14:textId="77777777" w:rsidR="00A7023F" w:rsidRPr="006A0388" w:rsidRDefault="00A7023F" w:rsidP="006A0388">
            <w:pPr>
              <w:pStyle w:val="TableTitle"/>
              <w:rPr>
                <w:color w:val="auto"/>
                <w:sz w:val="22"/>
                <w:lang w:val="fr-CA"/>
              </w:rPr>
            </w:pPr>
            <w:r w:rsidRPr="006A0388">
              <w:rPr>
                <w:color w:val="auto"/>
                <w:sz w:val="22"/>
                <w:lang w:val="fr-CA"/>
              </w:rPr>
              <w:t>Pourcentage de l'effectif au 31 mars 2019</w:t>
            </w:r>
          </w:p>
        </w:tc>
      </w:tr>
      <w:tr w:rsidR="00A7023F" w:rsidRPr="006A0388" w14:paraId="44044E8E" w14:textId="77777777" w:rsidTr="0037297E">
        <w:trPr>
          <w:cantSplit/>
          <w:trHeight w:val="290"/>
          <w:tblHeader/>
          <w:jc w:val="center"/>
        </w:trPr>
        <w:tc>
          <w:tcPr>
            <w:tcW w:w="1121" w:type="pct"/>
          </w:tcPr>
          <w:p w14:paraId="5B633A93" w14:textId="77777777" w:rsidR="00A7023F" w:rsidRPr="006A0388" w:rsidRDefault="00A7023F" w:rsidP="00BF469C">
            <w:pPr>
              <w:autoSpaceDE w:val="0"/>
              <w:autoSpaceDN w:val="0"/>
              <w:adjustRightInd w:val="0"/>
              <w:rPr>
                <w:rFonts w:asciiTheme="minorHAnsi" w:hAnsiTheme="minorHAnsi" w:cstheme="minorHAnsi"/>
                <w:color w:val="000000"/>
                <w:sz w:val="22"/>
                <w:szCs w:val="24"/>
                <w:lang w:val="fr-CA"/>
              </w:rPr>
            </w:pPr>
            <w:r w:rsidRPr="006A0388">
              <w:rPr>
                <w:rFonts w:asciiTheme="minorHAnsi" w:hAnsiTheme="minorHAnsi" w:cstheme="minorHAnsi"/>
                <w:color w:val="000000"/>
                <w:sz w:val="22"/>
                <w:szCs w:val="24"/>
                <w:lang w:val="fr-CA"/>
              </w:rPr>
              <w:t xml:space="preserve">Bilingue </w:t>
            </w:r>
          </w:p>
        </w:tc>
        <w:tc>
          <w:tcPr>
            <w:tcW w:w="1828" w:type="pct"/>
          </w:tcPr>
          <w:p w14:paraId="08CAF33F" w14:textId="77777777" w:rsidR="00A7023F" w:rsidRPr="006A0388" w:rsidRDefault="00A7023F" w:rsidP="00BF469C">
            <w:pPr>
              <w:autoSpaceDE w:val="0"/>
              <w:autoSpaceDN w:val="0"/>
              <w:adjustRightInd w:val="0"/>
              <w:jc w:val="center"/>
              <w:rPr>
                <w:rFonts w:asciiTheme="minorHAnsi" w:hAnsiTheme="minorHAnsi" w:cstheme="minorHAnsi"/>
                <w:color w:val="000000"/>
                <w:sz w:val="22"/>
                <w:szCs w:val="24"/>
                <w:lang w:val="fr-CA"/>
              </w:rPr>
            </w:pPr>
            <w:r w:rsidRPr="006A0388">
              <w:rPr>
                <w:rFonts w:asciiTheme="minorHAnsi" w:hAnsiTheme="minorHAnsi" w:cstheme="minorHAnsi"/>
                <w:color w:val="000000"/>
                <w:sz w:val="22"/>
                <w:szCs w:val="24"/>
                <w:lang w:val="fr-CA"/>
              </w:rPr>
              <w:t>681</w:t>
            </w:r>
          </w:p>
        </w:tc>
        <w:tc>
          <w:tcPr>
            <w:tcW w:w="2051" w:type="pct"/>
          </w:tcPr>
          <w:p w14:paraId="6CE26331" w14:textId="38E76A16" w:rsidR="00A7023F" w:rsidRPr="006A0388" w:rsidRDefault="00A7023F" w:rsidP="00BF469C">
            <w:pPr>
              <w:autoSpaceDE w:val="0"/>
              <w:autoSpaceDN w:val="0"/>
              <w:adjustRightInd w:val="0"/>
              <w:jc w:val="center"/>
              <w:rPr>
                <w:rFonts w:asciiTheme="minorHAnsi" w:hAnsiTheme="minorHAnsi" w:cstheme="minorHAnsi"/>
                <w:color w:val="000000"/>
                <w:sz w:val="22"/>
                <w:szCs w:val="24"/>
                <w:lang w:val="fr-CA"/>
              </w:rPr>
            </w:pPr>
            <w:r w:rsidRPr="006A0388">
              <w:rPr>
                <w:rFonts w:asciiTheme="minorHAnsi" w:hAnsiTheme="minorHAnsi" w:cstheme="minorHAnsi"/>
                <w:color w:val="000000"/>
                <w:sz w:val="22"/>
                <w:szCs w:val="24"/>
                <w:lang w:val="fr-CA"/>
              </w:rPr>
              <w:t>72</w:t>
            </w:r>
            <w:r w:rsidR="00C17143">
              <w:rPr>
                <w:rFonts w:asciiTheme="minorHAnsi" w:hAnsiTheme="minorHAnsi" w:cstheme="minorHAnsi"/>
                <w:color w:val="000000"/>
                <w:sz w:val="22"/>
                <w:szCs w:val="24"/>
                <w:lang w:val="fr-CA"/>
              </w:rPr>
              <w:t xml:space="preserve"> </w:t>
            </w:r>
            <w:r w:rsidRPr="006A0388">
              <w:rPr>
                <w:rFonts w:asciiTheme="minorHAnsi" w:hAnsiTheme="minorHAnsi" w:cstheme="minorHAnsi"/>
                <w:color w:val="000000"/>
                <w:sz w:val="22"/>
                <w:szCs w:val="24"/>
                <w:lang w:val="fr-CA"/>
              </w:rPr>
              <w:t>%</w:t>
            </w:r>
          </w:p>
        </w:tc>
      </w:tr>
      <w:tr w:rsidR="00A7023F" w:rsidRPr="006A0388" w14:paraId="37C97981" w14:textId="77777777" w:rsidTr="0037297E">
        <w:trPr>
          <w:cantSplit/>
          <w:trHeight w:val="290"/>
          <w:tblHeader/>
          <w:jc w:val="center"/>
        </w:trPr>
        <w:tc>
          <w:tcPr>
            <w:tcW w:w="1121" w:type="pct"/>
          </w:tcPr>
          <w:p w14:paraId="74466BE2" w14:textId="77777777" w:rsidR="00A7023F" w:rsidRPr="006A0388" w:rsidRDefault="00A7023F" w:rsidP="00BF469C">
            <w:pPr>
              <w:autoSpaceDE w:val="0"/>
              <w:autoSpaceDN w:val="0"/>
              <w:adjustRightInd w:val="0"/>
              <w:rPr>
                <w:rFonts w:asciiTheme="minorHAnsi" w:hAnsiTheme="minorHAnsi" w:cstheme="minorHAnsi"/>
                <w:color w:val="000000"/>
                <w:sz w:val="22"/>
                <w:szCs w:val="24"/>
                <w:lang w:val="fr-CA"/>
              </w:rPr>
            </w:pPr>
            <w:r w:rsidRPr="006A0388">
              <w:rPr>
                <w:rFonts w:asciiTheme="minorHAnsi" w:hAnsiTheme="minorHAnsi" w:cstheme="minorHAnsi"/>
                <w:color w:val="000000"/>
                <w:sz w:val="22"/>
                <w:szCs w:val="24"/>
                <w:lang w:val="fr-CA"/>
              </w:rPr>
              <w:t>Unilingue</w:t>
            </w:r>
          </w:p>
        </w:tc>
        <w:tc>
          <w:tcPr>
            <w:tcW w:w="1828" w:type="pct"/>
          </w:tcPr>
          <w:p w14:paraId="4CA5B62F" w14:textId="77777777" w:rsidR="00A7023F" w:rsidRPr="006A0388" w:rsidRDefault="00A7023F" w:rsidP="00BF469C">
            <w:pPr>
              <w:autoSpaceDE w:val="0"/>
              <w:autoSpaceDN w:val="0"/>
              <w:adjustRightInd w:val="0"/>
              <w:jc w:val="center"/>
              <w:rPr>
                <w:rFonts w:asciiTheme="minorHAnsi" w:hAnsiTheme="minorHAnsi" w:cstheme="minorHAnsi"/>
                <w:color w:val="000000"/>
                <w:sz w:val="22"/>
                <w:szCs w:val="24"/>
                <w:lang w:val="fr-CA"/>
              </w:rPr>
            </w:pPr>
            <w:r w:rsidRPr="006A0388">
              <w:rPr>
                <w:rFonts w:asciiTheme="minorHAnsi" w:hAnsiTheme="minorHAnsi" w:cstheme="minorHAnsi"/>
                <w:color w:val="000000"/>
                <w:sz w:val="22"/>
                <w:szCs w:val="24"/>
                <w:lang w:val="fr-CA"/>
              </w:rPr>
              <w:t>269</w:t>
            </w:r>
          </w:p>
        </w:tc>
        <w:tc>
          <w:tcPr>
            <w:tcW w:w="2051" w:type="pct"/>
          </w:tcPr>
          <w:p w14:paraId="0C4B174C" w14:textId="20DD9BB2" w:rsidR="00A7023F" w:rsidRPr="006A0388" w:rsidRDefault="00A7023F" w:rsidP="00BF469C">
            <w:pPr>
              <w:autoSpaceDE w:val="0"/>
              <w:autoSpaceDN w:val="0"/>
              <w:adjustRightInd w:val="0"/>
              <w:jc w:val="center"/>
              <w:rPr>
                <w:rFonts w:asciiTheme="minorHAnsi" w:hAnsiTheme="minorHAnsi" w:cstheme="minorHAnsi"/>
                <w:color w:val="000000"/>
                <w:sz w:val="22"/>
                <w:szCs w:val="24"/>
                <w:lang w:val="fr-CA"/>
              </w:rPr>
            </w:pPr>
            <w:r w:rsidRPr="006A0388">
              <w:rPr>
                <w:rFonts w:asciiTheme="minorHAnsi" w:hAnsiTheme="minorHAnsi" w:cstheme="minorHAnsi"/>
                <w:color w:val="000000"/>
                <w:sz w:val="22"/>
                <w:szCs w:val="24"/>
                <w:lang w:val="fr-CA"/>
              </w:rPr>
              <w:t>28</w:t>
            </w:r>
            <w:r w:rsidR="00C17143">
              <w:rPr>
                <w:rFonts w:asciiTheme="minorHAnsi" w:hAnsiTheme="minorHAnsi" w:cstheme="minorHAnsi"/>
                <w:color w:val="000000"/>
                <w:sz w:val="22"/>
                <w:szCs w:val="24"/>
                <w:lang w:val="fr-CA"/>
              </w:rPr>
              <w:t xml:space="preserve"> </w:t>
            </w:r>
            <w:r w:rsidRPr="006A0388">
              <w:rPr>
                <w:rFonts w:asciiTheme="minorHAnsi" w:hAnsiTheme="minorHAnsi" w:cstheme="minorHAnsi"/>
                <w:color w:val="000000"/>
                <w:sz w:val="22"/>
                <w:szCs w:val="24"/>
                <w:lang w:val="fr-CA"/>
              </w:rPr>
              <w:t>%</w:t>
            </w:r>
          </w:p>
        </w:tc>
      </w:tr>
      <w:tr w:rsidR="00A7023F" w:rsidRPr="006A0388" w14:paraId="26A49631" w14:textId="77777777" w:rsidTr="0037297E">
        <w:trPr>
          <w:cantSplit/>
          <w:trHeight w:val="290"/>
          <w:tblHeader/>
          <w:jc w:val="center"/>
        </w:trPr>
        <w:tc>
          <w:tcPr>
            <w:tcW w:w="1121" w:type="pct"/>
          </w:tcPr>
          <w:p w14:paraId="47471ADC" w14:textId="77777777" w:rsidR="00A7023F" w:rsidRPr="006A0388" w:rsidRDefault="00A7023F" w:rsidP="00BF469C">
            <w:pPr>
              <w:autoSpaceDE w:val="0"/>
              <w:autoSpaceDN w:val="0"/>
              <w:adjustRightInd w:val="0"/>
              <w:rPr>
                <w:rFonts w:asciiTheme="minorHAnsi" w:hAnsiTheme="minorHAnsi" w:cstheme="minorHAnsi"/>
                <w:color w:val="000000"/>
                <w:sz w:val="22"/>
                <w:szCs w:val="24"/>
                <w:lang w:val="fr-CA"/>
              </w:rPr>
            </w:pPr>
            <w:r w:rsidRPr="006A0388">
              <w:rPr>
                <w:rFonts w:asciiTheme="minorHAnsi" w:hAnsiTheme="minorHAnsi" w:cstheme="minorHAnsi"/>
                <w:color w:val="000000"/>
                <w:sz w:val="22"/>
                <w:szCs w:val="24"/>
                <w:lang w:val="fr-CA"/>
              </w:rPr>
              <w:t>Inconnus</w:t>
            </w:r>
          </w:p>
        </w:tc>
        <w:tc>
          <w:tcPr>
            <w:tcW w:w="1828" w:type="pct"/>
          </w:tcPr>
          <w:p w14:paraId="0DDE5154" w14:textId="77777777" w:rsidR="00A7023F" w:rsidRPr="006A0388" w:rsidRDefault="00A7023F" w:rsidP="00BF469C">
            <w:pPr>
              <w:autoSpaceDE w:val="0"/>
              <w:autoSpaceDN w:val="0"/>
              <w:adjustRightInd w:val="0"/>
              <w:jc w:val="center"/>
              <w:rPr>
                <w:rFonts w:asciiTheme="minorHAnsi" w:hAnsiTheme="minorHAnsi" w:cstheme="minorHAnsi"/>
                <w:color w:val="000000"/>
                <w:sz w:val="22"/>
                <w:szCs w:val="24"/>
                <w:lang w:val="fr-CA"/>
              </w:rPr>
            </w:pPr>
            <w:r w:rsidRPr="006A0388">
              <w:rPr>
                <w:rFonts w:asciiTheme="minorHAnsi" w:hAnsiTheme="minorHAnsi" w:cstheme="minorHAnsi"/>
                <w:color w:val="000000"/>
                <w:sz w:val="22"/>
                <w:szCs w:val="24"/>
                <w:lang w:val="fr-CA"/>
              </w:rPr>
              <w:t>384</w:t>
            </w:r>
          </w:p>
        </w:tc>
        <w:tc>
          <w:tcPr>
            <w:tcW w:w="2051" w:type="pct"/>
          </w:tcPr>
          <w:p w14:paraId="24E2AA1B" w14:textId="70AABD00" w:rsidR="00A7023F" w:rsidRPr="006A0388" w:rsidRDefault="006A0388" w:rsidP="00BF469C">
            <w:pPr>
              <w:autoSpaceDE w:val="0"/>
              <w:autoSpaceDN w:val="0"/>
              <w:adjustRightInd w:val="0"/>
              <w:jc w:val="center"/>
              <w:rPr>
                <w:rFonts w:asciiTheme="minorHAnsi" w:hAnsiTheme="minorHAnsi" w:cstheme="minorHAnsi"/>
                <w:color w:val="000000"/>
                <w:sz w:val="22"/>
                <w:szCs w:val="24"/>
                <w:lang w:val="fr-CA"/>
              </w:rPr>
            </w:pPr>
            <w:r w:rsidRPr="006A0388">
              <w:rPr>
                <w:rFonts w:asciiTheme="minorHAnsi" w:hAnsiTheme="minorHAnsi" w:cstheme="minorHAnsi"/>
                <w:color w:val="000000"/>
                <w:sz w:val="22"/>
                <w:szCs w:val="24"/>
                <w:lang w:val="fr-CA"/>
              </w:rPr>
              <w:t>0</w:t>
            </w:r>
            <w:r w:rsidR="00C17143">
              <w:rPr>
                <w:rFonts w:asciiTheme="minorHAnsi" w:hAnsiTheme="minorHAnsi" w:cstheme="minorHAnsi"/>
                <w:color w:val="000000"/>
                <w:sz w:val="22"/>
                <w:szCs w:val="24"/>
                <w:lang w:val="fr-CA"/>
              </w:rPr>
              <w:t xml:space="preserve"> </w:t>
            </w:r>
            <w:r w:rsidRPr="006A0388">
              <w:rPr>
                <w:rFonts w:asciiTheme="minorHAnsi" w:hAnsiTheme="minorHAnsi" w:cstheme="minorHAnsi"/>
                <w:color w:val="000000"/>
                <w:sz w:val="22"/>
                <w:szCs w:val="24"/>
                <w:lang w:val="fr-CA"/>
              </w:rPr>
              <w:t>%</w:t>
            </w:r>
          </w:p>
        </w:tc>
      </w:tr>
    </w:tbl>
    <w:p w14:paraId="13229B1D" w14:textId="77777777" w:rsidR="00A7023F" w:rsidRDefault="00A7023F" w:rsidP="00413E58">
      <w:pPr>
        <w:tabs>
          <w:tab w:val="left" w:pos="7839"/>
        </w:tabs>
        <w:jc w:val="center"/>
        <w:rPr>
          <w:rFonts w:asciiTheme="minorHAnsi" w:hAnsiTheme="minorHAnsi"/>
          <w:b/>
          <w:sz w:val="20"/>
          <w:lang w:val="fr-CA"/>
        </w:rPr>
      </w:pPr>
    </w:p>
    <w:p w14:paraId="31A55BB0" w14:textId="77777777" w:rsidR="00A7023F" w:rsidRDefault="00A7023F" w:rsidP="00413E58">
      <w:pPr>
        <w:tabs>
          <w:tab w:val="left" w:pos="7839"/>
        </w:tabs>
        <w:jc w:val="center"/>
        <w:rPr>
          <w:rFonts w:asciiTheme="minorHAnsi" w:hAnsiTheme="minorHAnsi"/>
          <w:b/>
          <w:sz w:val="20"/>
          <w:lang w:val="fr-CA"/>
        </w:rPr>
        <w:sectPr w:rsidR="00A7023F" w:rsidSect="00C67F41">
          <w:footnotePr>
            <w:numFmt w:val="lowerLetter"/>
          </w:footnotePr>
          <w:endnotePr>
            <w:numFmt w:val="lowerLetter"/>
          </w:endnotePr>
          <w:pgSz w:w="15840" w:h="12240" w:orient="landscape" w:code="1"/>
          <w:pgMar w:top="567" w:right="709" w:bottom="1304" w:left="709" w:header="284" w:footer="284" w:gutter="0"/>
          <w:cols w:space="720"/>
          <w:docGrid w:linePitch="326"/>
        </w:sectPr>
      </w:pPr>
    </w:p>
    <w:p w14:paraId="2FBB3299" w14:textId="77777777" w:rsidR="00F5315B" w:rsidRPr="00F5315B" w:rsidRDefault="00F5315B" w:rsidP="00F5315B">
      <w:pPr>
        <w:pStyle w:val="Heading1"/>
        <w:spacing w:before="120" w:after="120"/>
        <w:rPr>
          <w:sz w:val="40"/>
          <w:lang w:val="fr-CA"/>
        </w:rPr>
      </w:pPr>
      <w:r w:rsidRPr="00F5315B">
        <w:rPr>
          <w:rFonts w:eastAsia="Times New Roman"/>
          <w:sz w:val="40"/>
        </w:rPr>
        <w:lastRenderedPageBreak/>
        <w:t xml:space="preserve">Effectif </w:t>
      </w:r>
      <w:r w:rsidR="004D1706">
        <w:rPr>
          <w:rFonts w:eastAsia="Times New Roman"/>
          <w:sz w:val="40"/>
        </w:rPr>
        <w:t>selon le</w:t>
      </w:r>
      <w:r w:rsidRPr="00F5315B">
        <w:rPr>
          <w:rFonts w:eastAsia="Times New Roman"/>
          <w:sz w:val="40"/>
        </w:rPr>
        <w:t xml:space="preserve"> groupe professionnel au 31 mars 2019</w:t>
      </w:r>
    </w:p>
    <w:p w14:paraId="3B90F23F" w14:textId="77777777" w:rsidR="00F5315B" w:rsidRDefault="00A7023F" w:rsidP="00F5315B">
      <w:pPr>
        <w:keepNext/>
        <w:tabs>
          <w:tab w:val="left" w:pos="7839"/>
        </w:tabs>
        <w:jc w:val="center"/>
      </w:pPr>
      <w:r w:rsidRPr="008F610A">
        <w:rPr>
          <w:noProof/>
          <w:lang w:val="en-CA" w:eastAsia="en-CA"/>
        </w:rPr>
        <w:drawing>
          <wp:inline distT="0" distB="0" distL="0" distR="0" wp14:anchorId="5C141B51" wp14:editId="0A68EC30">
            <wp:extent cx="1980000" cy="3020400"/>
            <wp:effectExtent l="0" t="0" r="1270" b="8890"/>
            <wp:docPr id="5" name="Chart 5" descr="Effectif selon le groupe professionnel au 31 mars 2019&#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2AA2C7C" w14:textId="77777777" w:rsidR="00A7023F" w:rsidRPr="00F5315B" w:rsidRDefault="00F5315B" w:rsidP="00F5315B">
      <w:pPr>
        <w:pStyle w:val="Caption"/>
        <w:spacing w:after="0"/>
        <w:jc w:val="center"/>
        <w:rPr>
          <w:rFonts w:asciiTheme="minorHAnsi" w:hAnsiTheme="minorHAnsi" w:cstheme="minorHAnsi"/>
          <w:b/>
          <w:i w:val="0"/>
          <w:color w:val="auto"/>
          <w:sz w:val="20"/>
          <w:lang w:val="fr-CA"/>
        </w:rPr>
      </w:pPr>
      <w:r w:rsidRPr="00F5315B">
        <w:rPr>
          <w:rFonts w:asciiTheme="minorHAnsi" w:hAnsiTheme="minorHAnsi" w:cstheme="minorHAnsi"/>
          <w:i w:val="0"/>
          <w:color w:val="auto"/>
        </w:rPr>
        <w:t xml:space="preserve">Figure </w:t>
      </w:r>
      <w:r w:rsidRPr="00F5315B">
        <w:rPr>
          <w:rFonts w:asciiTheme="minorHAnsi" w:hAnsiTheme="minorHAnsi" w:cstheme="minorHAnsi"/>
          <w:i w:val="0"/>
          <w:color w:val="auto"/>
        </w:rPr>
        <w:fldChar w:fldCharType="begin"/>
      </w:r>
      <w:r w:rsidRPr="00F5315B">
        <w:rPr>
          <w:rFonts w:asciiTheme="minorHAnsi" w:hAnsiTheme="minorHAnsi" w:cstheme="minorHAnsi"/>
          <w:i w:val="0"/>
          <w:color w:val="auto"/>
        </w:rPr>
        <w:instrText xml:space="preserve"> SEQ Figure \* ARABIC </w:instrText>
      </w:r>
      <w:r w:rsidRPr="00F5315B">
        <w:rPr>
          <w:rFonts w:asciiTheme="minorHAnsi" w:hAnsiTheme="minorHAnsi" w:cstheme="minorHAnsi"/>
          <w:i w:val="0"/>
          <w:color w:val="auto"/>
        </w:rPr>
        <w:fldChar w:fldCharType="separate"/>
      </w:r>
      <w:r w:rsidR="00353602">
        <w:rPr>
          <w:rFonts w:asciiTheme="minorHAnsi" w:hAnsiTheme="minorHAnsi" w:cstheme="minorHAnsi"/>
          <w:i w:val="0"/>
          <w:noProof/>
          <w:color w:val="auto"/>
        </w:rPr>
        <w:t>3</w:t>
      </w:r>
      <w:r w:rsidRPr="00F5315B">
        <w:rPr>
          <w:rFonts w:asciiTheme="minorHAnsi" w:hAnsiTheme="minorHAnsi" w:cstheme="minorHAnsi"/>
          <w:i w:val="0"/>
          <w:color w:val="auto"/>
        </w:rPr>
        <w:fldChar w:fldCharType="end"/>
      </w:r>
      <w:r w:rsidRPr="00F5315B">
        <w:rPr>
          <w:rFonts w:asciiTheme="minorHAnsi" w:hAnsiTheme="minorHAnsi" w:cstheme="minorHAnsi"/>
          <w:i w:val="0"/>
          <w:color w:val="auto"/>
        </w:rPr>
        <w:t xml:space="preserve"> - </w:t>
      </w:r>
      <w:r w:rsidR="004D1706">
        <w:rPr>
          <w:rFonts w:asciiTheme="minorHAnsi" w:hAnsiTheme="minorHAnsi" w:cstheme="minorHAnsi"/>
          <w:i w:val="0"/>
          <w:color w:val="auto"/>
        </w:rPr>
        <w:t>Effectif selon le</w:t>
      </w:r>
      <w:r w:rsidRPr="00F5315B">
        <w:rPr>
          <w:rFonts w:asciiTheme="minorHAnsi" w:hAnsiTheme="minorHAnsi" w:cstheme="minorHAnsi"/>
          <w:i w:val="0"/>
          <w:color w:val="auto"/>
        </w:rPr>
        <w:t xml:space="preserve"> groupe professionnel au 31 mars 2019</w:t>
      </w:r>
    </w:p>
    <w:p w14:paraId="15796379" w14:textId="77777777" w:rsidR="00F5315B" w:rsidRPr="00F5315B" w:rsidRDefault="00F5315B" w:rsidP="00F5315B">
      <w:pPr>
        <w:pStyle w:val="Caption"/>
        <w:keepNext/>
        <w:spacing w:before="240" w:after="0"/>
        <w:jc w:val="center"/>
        <w:rPr>
          <w:rFonts w:asciiTheme="minorHAnsi" w:hAnsiTheme="minorHAnsi" w:cstheme="minorHAnsi"/>
          <w:i w:val="0"/>
          <w:color w:val="auto"/>
        </w:rPr>
      </w:pPr>
      <w:r w:rsidRPr="00F5315B">
        <w:rPr>
          <w:rFonts w:asciiTheme="minorHAnsi" w:hAnsiTheme="minorHAnsi" w:cstheme="minorHAnsi"/>
          <w:i w:val="0"/>
          <w:color w:val="auto"/>
        </w:rPr>
        <w:t xml:space="preserve">Table </w:t>
      </w:r>
      <w:r w:rsidRPr="00F5315B">
        <w:rPr>
          <w:rFonts w:asciiTheme="minorHAnsi" w:hAnsiTheme="minorHAnsi" w:cstheme="minorHAnsi"/>
          <w:i w:val="0"/>
          <w:color w:val="auto"/>
        </w:rPr>
        <w:fldChar w:fldCharType="begin"/>
      </w:r>
      <w:r w:rsidRPr="00F5315B">
        <w:rPr>
          <w:rFonts w:asciiTheme="minorHAnsi" w:hAnsiTheme="minorHAnsi" w:cstheme="minorHAnsi"/>
          <w:i w:val="0"/>
          <w:color w:val="auto"/>
        </w:rPr>
        <w:instrText xml:space="preserve"> SEQ Table \* ARABIC </w:instrText>
      </w:r>
      <w:r w:rsidRPr="00F5315B">
        <w:rPr>
          <w:rFonts w:asciiTheme="minorHAnsi" w:hAnsiTheme="minorHAnsi" w:cstheme="minorHAnsi"/>
          <w:i w:val="0"/>
          <w:color w:val="auto"/>
        </w:rPr>
        <w:fldChar w:fldCharType="separate"/>
      </w:r>
      <w:r w:rsidR="00766F9D">
        <w:rPr>
          <w:rFonts w:asciiTheme="minorHAnsi" w:hAnsiTheme="minorHAnsi" w:cstheme="minorHAnsi"/>
          <w:i w:val="0"/>
          <w:noProof/>
          <w:color w:val="auto"/>
        </w:rPr>
        <w:t>6</w:t>
      </w:r>
      <w:r w:rsidRPr="00F5315B">
        <w:rPr>
          <w:rFonts w:asciiTheme="minorHAnsi" w:hAnsiTheme="minorHAnsi" w:cstheme="minorHAnsi"/>
          <w:i w:val="0"/>
          <w:color w:val="auto"/>
        </w:rPr>
        <w:fldChar w:fldCharType="end"/>
      </w:r>
      <w:r w:rsidRPr="00F5315B">
        <w:rPr>
          <w:rFonts w:asciiTheme="minorHAnsi" w:hAnsiTheme="minorHAnsi" w:cstheme="minorHAnsi"/>
          <w:i w:val="0"/>
          <w:color w:val="auto"/>
        </w:rPr>
        <w:t xml:space="preserve"> - Groupes d’emploi, pourcentage de l'effectif régi par la </w:t>
      </w:r>
      <w:r w:rsidRPr="00F5315B">
        <w:rPr>
          <w:rStyle w:val="Emphasis"/>
          <w:rFonts w:asciiTheme="minorHAnsi" w:hAnsiTheme="minorHAnsi" w:cstheme="minorHAnsi"/>
          <w:i/>
          <w:color w:val="auto"/>
        </w:rPr>
        <w:t>Loi sur l’emploi dans la fonction publique</w:t>
      </w:r>
      <w:r w:rsidRPr="00F5315B">
        <w:rPr>
          <w:rFonts w:asciiTheme="minorHAnsi" w:hAnsiTheme="minorHAnsi" w:cstheme="minorHAnsi"/>
          <w:i w:val="0"/>
          <w:color w:val="auto"/>
        </w:rPr>
        <w:t xml:space="preserve"> au 31 mars 2019</w:t>
      </w:r>
    </w:p>
    <w:tbl>
      <w:tblPr>
        <w:tblStyle w:val="TableGrid"/>
        <w:tblW w:w="5000" w:type="pct"/>
        <w:jc w:val="center"/>
        <w:tblLook w:val="0020" w:firstRow="1" w:lastRow="0" w:firstColumn="0" w:lastColumn="0" w:noHBand="0" w:noVBand="0"/>
        <w:tblDescription w:val="Effectif selon le groupe professionnel au 31 mars 2019"/>
      </w:tblPr>
      <w:tblGrid>
        <w:gridCol w:w="5382"/>
        <w:gridCol w:w="4678"/>
        <w:gridCol w:w="4352"/>
      </w:tblGrid>
      <w:tr w:rsidR="004D1706" w:rsidRPr="004D1706" w14:paraId="08285D3D" w14:textId="77777777" w:rsidTr="0037297E">
        <w:trPr>
          <w:cantSplit/>
          <w:trHeight w:val="290"/>
          <w:tblHeader/>
          <w:jc w:val="center"/>
        </w:trPr>
        <w:tc>
          <w:tcPr>
            <w:tcW w:w="1867" w:type="pct"/>
          </w:tcPr>
          <w:p w14:paraId="6CE9C4F0" w14:textId="77777777" w:rsidR="00A7023F" w:rsidRPr="004D1706" w:rsidRDefault="00A7023F" w:rsidP="00F5315B">
            <w:pPr>
              <w:pStyle w:val="TableTitle"/>
              <w:rPr>
                <w:rFonts w:cs="Segoe UI Semibold"/>
                <w:color w:val="auto"/>
                <w:sz w:val="22"/>
                <w:lang w:val="fr-CA"/>
              </w:rPr>
            </w:pPr>
            <w:r w:rsidRPr="004D1706">
              <w:rPr>
                <w:rFonts w:cs="Segoe UI Semibold"/>
                <w:color w:val="auto"/>
                <w:sz w:val="22"/>
                <w:lang w:val="fr-CA"/>
              </w:rPr>
              <w:t>Groupes professionnels</w:t>
            </w:r>
          </w:p>
        </w:tc>
        <w:tc>
          <w:tcPr>
            <w:tcW w:w="1623" w:type="pct"/>
          </w:tcPr>
          <w:p w14:paraId="5F351CED" w14:textId="77777777" w:rsidR="00A7023F" w:rsidRPr="004D1706" w:rsidRDefault="00A7023F" w:rsidP="00F5315B">
            <w:pPr>
              <w:pStyle w:val="TableTitle"/>
              <w:rPr>
                <w:rFonts w:cs="Segoe UI Semibold"/>
                <w:color w:val="auto"/>
                <w:sz w:val="22"/>
                <w:lang w:val="fr-CA"/>
              </w:rPr>
            </w:pPr>
            <w:r w:rsidRPr="004D1706">
              <w:rPr>
                <w:rFonts w:cs="Segoe UI Semibold"/>
                <w:color w:val="auto"/>
                <w:sz w:val="22"/>
                <w:lang w:val="fr-CA"/>
              </w:rPr>
              <w:t>Effectif au 31 mars 2019</w:t>
            </w:r>
          </w:p>
        </w:tc>
        <w:tc>
          <w:tcPr>
            <w:tcW w:w="1510" w:type="pct"/>
          </w:tcPr>
          <w:p w14:paraId="13A3A61D" w14:textId="77777777" w:rsidR="00A7023F" w:rsidRPr="004D1706" w:rsidRDefault="00A7023F" w:rsidP="00F5315B">
            <w:pPr>
              <w:pStyle w:val="TableTitle"/>
              <w:rPr>
                <w:rFonts w:cs="Segoe UI Semibold"/>
                <w:color w:val="auto"/>
                <w:sz w:val="22"/>
                <w:lang w:val="fr-CA"/>
              </w:rPr>
            </w:pPr>
            <w:r w:rsidRPr="004D1706">
              <w:rPr>
                <w:rFonts w:cs="Segoe UI Semibold"/>
                <w:color w:val="auto"/>
                <w:sz w:val="22"/>
                <w:lang w:val="fr-CA"/>
              </w:rPr>
              <w:t>Pourcentage de l'effectif au 31 mars 2019</w:t>
            </w:r>
          </w:p>
        </w:tc>
      </w:tr>
      <w:tr w:rsidR="004D1706" w:rsidRPr="004D1706" w14:paraId="2C612D04" w14:textId="77777777" w:rsidTr="0037297E">
        <w:trPr>
          <w:cantSplit/>
          <w:trHeight w:val="290"/>
          <w:tblHeader/>
          <w:jc w:val="center"/>
        </w:trPr>
        <w:tc>
          <w:tcPr>
            <w:tcW w:w="1867" w:type="pct"/>
          </w:tcPr>
          <w:p w14:paraId="0F8D9134" w14:textId="77777777" w:rsidR="00A7023F" w:rsidRPr="004D1706" w:rsidRDefault="00A7023F" w:rsidP="00BF469C">
            <w:pPr>
              <w:autoSpaceDE w:val="0"/>
              <w:autoSpaceDN w:val="0"/>
              <w:adjustRightInd w:val="0"/>
              <w:rPr>
                <w:rFonts w:asciiTheme="minorHAnsi" w:hAnsiTheme="minorHAnsi" w:cstheme="minorHAnsi"/>
                <w:sz w:val="22"/>
                <w:szCs w:val="24"/>
                <w:lang w:val="fr-CA"/>
              </w:rPr>
            </w:pPr>
            <w:r w:rsidRPr="004D1706">
              <w:rPr>
                <w:rFonts w:asciiTheme="minorHAnsi" w:hAnsiTheme="minorHAnsi" w:cstheme="minorHAnsi"/>
                <w:sz w:val="22"/>
                <w:szCs w:val="24"/>
                <w:lang w:val="fr-CA"/>
              </w:rPr>
              <w:t>EC – Groupe Économique et services sciences sociales</w:t>
            </w:r>
          </w:p>
        </w:tc>
        <w:tc>
          <w:tcPr>
            <w:tcW w:w="1623" w:type="pct"/>
          </w:tcPr>
          <w:p w14:paraId="45083987" w14:textId="77777777" w:rsidR="00A7023F" w:rsidRPr="004D1706" w:rsidRDefault="00A7023F" w:rsidP="00BF469C">
            <w:pPr>
              <w:autoSpaceDE w:val="0"/>
              <w:autoSpaceDN w:val="0"/>
              <w:adjustRightInd w:val="0"/>
              <w:jc w:val="center"/>
              <w:rPr>
                <w:rFonts w:asciiTheme="minorHAnsi" w:hAnsiTheme="minorHAnsi" w:cstheme="minorHAnsi"/>
                <w:sz w:val="22"/>
                <w:szCs w:val="24"/>
                <w:lang w:val="fr-CA"/>
              </w:rPr>
            </w:pPr>
            <w:r w:rsidRPr="004D1706">
              <w:rPr>
                <w:rFonts w:asciiTheme="minorHAnsi" w:hAnsiTheme="minorHAnsi" w:cstheme="minorHAnsi"/>
                <w:sz w:val="22"/>
                <w:szCs w:val="24"/>
                <w:lang w:val="fr-CA"/>
              </w:rPr>
              <w:t>371</w:t>
            </w:r>
          </w:p>
        </w:tc>
        <w:tc>
          <w:tcPr>
            <w:tcW w:w="1510" w:type="pct"/>
          </w:tcPr>
          <w:p w14:paraId="6793CE60" w14:textId="5FE429FC" w:rsidR="00A7023F" w:rsidRPr="004D1706" w:rsidRDefault="00A7023F" w:rsidP="00BF469C">
            <w:pPr>
              <w:autoSpaceDE w:val="0"/>
              <w:autoSpaceDN w:val="0"/>
              <w:adjustRightInd w:val="0"/>
              <w:jc w:val="center"/>
              <w:rPr>
                <w:rFonts w:asciiTheme="minorHAnsi" w:hAnsiTheme="minorHAnsi" w:cstheme="minorHAnsi"/>
                <w:sz w:val="22"/>
                <w:szCs w:val="24"/>
                <w:lang w:val="fr-CA"/>
              </w:rPr>
            </w:pPr>
            <w:r w:rsidRPr="004D1706">
              <w:rPr>
                <w:rFonts w:asciiTheme="minorHAnsi" w:hAnsiTheme="minorHAnsi" w:cstheme="minorHAnsi"/>
                <w:sz w:val="22"/>
                <w:szCs w:val="24"/>
                <w:lang w:val="fr-CA"/>
              </w:rPr>
              <w:t>29</w:t>
            </w:r>
            <w:r w:rsidR="00C17143">
              <w:rPr>
                <w:rFonts w:asciiTheme="minorHAnsi" w:hAnsiTheme="minorHAnsi" w:cstheme="minorHAnsi"/>
                <w:sz w:val="22"/>
                <w:szCs w:val="24"/>
                <w:lang w:val="fr-CA"/>
              </w:rPr>
              <w:t xml:space="preserve"> </w:t>
            </w:r>
            <w:r w:rsidRPr="004D1706">
              <w:rPr>
                <w:rFonts w:asciiTheme="minorHAnsi" w:hAnsiTheme="minorHAnsi" w:cstheme="minorHAnsi"/>
                <w:sz w:val="22"/>
                <w:szCs w:val="24"/>
                <w:lang w:val="fr-CA"/>
              </w:rPr>
              <w:t>%</w:t>
            </w:r>
          </w:p>
        </w:tc>
      </w:tr>
      <w:tr w:rsidR="004D1706" w:rsidRPr="004D1706" w14:paraId="5B03819E" w14:textId="77777777" w:rsidTr="0037297E">
        <w:trPr>
          <w:cantSplit/>
          <w:trHeight w:val="290"/>
          <w:tblHeader/>
          <w:jc w:val="center"/>
        </w:trPr>
        <w:tc>
          <w:tcPr>
            <w:tcW w:w="1867" w:type="pct"/>
          </w:tcPr>
          <w:p w14:paraId="2708BAC3" w14:textId="77777777" w:rsidR="00A7023F" w:rsidRPr="004D1706" w:rsidRDefault="00A7023F" w:rsidP="00BF469C">
            <w:pPr>
              <w:autoSpaceDE w:val="0"/>
              <w:autoSpaceDN w:val="0"/>
              <w:adjustRightInd w:val="0"/>
              <w:rPr>
                <w:rFonts w:asciiTheme="minorHAnsi" w:hAnsiTheme="minorHAnsi" w:cstheme="minorHAnsi"/>
                <w:sz w:val="22"/>
                <w:szCs w:val="24"/>
                <w:lang w:val="fr-CA"/>
              </w:rPr>
            </w:pPr>
            <w:r w:rsidRPr="004D1706">
              <w:rPr>
                <w:rFonts w:asciiTheme="minorHAnsi" w:hAnsiTheme="minorHAnsi" w:cstheme="minorHAnsi"/>
                <w:sz w:val="22"/>
                <w:szCs w:val="24"/>
                <w:lang w:val="fr-CA"/>
              </w:rPr>
              <w:t>AS – Services administratifs</w:t>
            </w:r>
          </w:p>
        </w:tc>
        <w:tc>
          <w:tcPr>
            <w:tcW w:w="1623" w:type="pct"/>
          </w:tcPr>
          <w:p w14:paraId="14F1892F" w14:textId="77777777" w:rsidR="00A7023F" w:rsidRPr="004D1706" w:rsidRDefault="00A7023F" w:rsidP="00BF469C">
            <w:pPr>
              <w:autoSpaceDE w:val="0"/>
              <w:autoSpaceDN w:val="0"/>
              <w:adjustRightInd w:val="0"/>
              <w:jc w:val="center"/>
              <w:rPr>
                <w:rFonts w:asciiTheme="minorHAnsi" w:hAnsiTheme="minorHAnsi" w:cstheme="minorHAnsi"/>
                <w:sz w:val="22"/>
                <w:szCs w:val="24"/>
                <w:lang w:val="fr-CA"/>
              </w:rPr>
            </w:pPr>
            <w:r w:rsidRPr="004D1706">
              <w:rPr>
                <w:rFonts w:asciiTheme="minorHAnsi" w:hAnsiTheme="minorHAnsi" w:cstheme="minorHAnsi"/>
                <w:sz w:val="22"/>
                <w:szCs w:val="24"/>
                <w:lang w:val="fr-CA"/>
              </w:rPr>
              <w:t>279</w:t>
            </w:r>
          </w:p>
        </w:tc>
        <w:tc>
          <w:tcPr>
            <w:tcW w:w="1510" w:type="pct"/>
          </w:tcPr>
          <w:p w14:paraId="11288859" w14:textId="4F2B9CAF" w:rsidR="00A7023F" w:rsidRPr="004D1706" w:rsidRDefault="00A7023F" w:rsidP="00BF469C">
            <w:pPr>
              <w:autoSpaceDE w:val="0"/>
              <w:autoSpaceDN w:val="0"/>
              <w:adjustRightInd w:val="0"/>
              <w:jc w:val="center"/>
              <w:rPr>
                <w:rFonts w:asciiTheme="minorHAnsi" w:hAnsiTheme="minorHAnsi" w:cstheme="minorHAnsi"/>
                <w:sz w:val="22"/>
                <w:szCs w:val="24"/>
                <w:lang w:val="fr-CA"/>
              </w:rPr>
            </w:pPr>
            <w:r w:rsidRPr="004D1706">
              <w:rPr>
                <w:rFonts w:asciiTheme="minorHAnsi" w:hAnsiTheme="minorHAnsi" w:cstheme="minorHAnsi"/>
                <w:sz w:val="22"/>
                <w:szCs w:val="24"/>
                <w:lang w:val="fr-CA"/>
              </w:rPr>
              <w:t>22</w:t>
            </w:r>
            <w:r w:rsidR="00C17143">
              <w:rPr>
                <w:rFonts w:asciiTheme="minorHAnsi" w:hAnsiTheme="minorHAnsi" w:cstheme="minorHAnsi"/>
                <w:sz w:val="22"/>
                <w:szCs w:val="24"/>
                <w:lang w:val="fr-CA"/>
              </w:rPr>
              <w:t xml:space="preserve"> </w:t>
            </w:r>
            <w:r w:rsidRPr="004D1706">
              <w:rPr>
                <w:rFonts w:asciiTheme="minorHAnsi" w:hAnsiTheme="minorHAnsi" w:cstheme="minorHAnsi"/>
                <w:sz w:val="22"/>
                <w:szCs w:val="24"/>
                <w:lang w:val="fr-CA"/>
              </w:rPr>
              <w:t>%</w:t>
            </w:r>
          </w:p>
        </w:tc>
      </w:tr>
      <w:tr w:rsidR="004D1706" w:rsidRPr="004D1706" w14:paraId="50E0048D" w14:textId="77777777" w:rsidTr="0037297E">
        <w:trPr>
          <w:cantSplit/>
          <w:trHeight w:val="290"/>
          <w:tblHeader/>
          <w:jc w:val="center"/>
        </w:trPr>
        <w:tc>
          <w:tcPr>
            <w:tcW w:w="1867" w:type="pct"/>
          </w:tcPr>
          <w:p w14:paraId="30906896" w14:textId="77777777" w:rsidR="00A7023F" w:rsidRPr="004D1706" w:rsidRDefault="00A7023F" w:rsidP="00BF469C">
            <w:pPr>
              <w:autoSpaceDE w:val="0"/>
              <w:autoSpaceDN w:val="0"/>
              <w:adjustRightInd w:val="0"/>
              <w:rPr>
                <w:rFonts w:asciiTheme="minorHAnsi" w:hAnsiTheme="minorHAnsi" w:cstheme="minorHAnsi"/>
                <w:sz w:val="22"/>
                <w:szCs w:val="24"/>
                <w:lang w:val="fr-CA"/>
              </w:rPr>
            </w:pPr>
            <w:r w:rsidRPr="004D1706">
              <w:rPr>
                <w:rFonts w:asciiTheme="minorHAnsi" w:hAnsiTheme="minorHAnsi" w:cstheme="minorHAnsi"/>
                <w:sz w:val="22"/>
                <w:szCs w:val="24"/>
                <w:lang w:val="fr-CA"/>
              </w:rPr>
              <w:t>PM – Administration des programmes</w:t>
            </w:r>
          </w:p>
        </w:tc>
        <w:tc>
          <w:tcPr>
            <w:tcW w:w="1623" w:type="pct"/>
          </w:tcPr>
          <w:p w14:paraId="2F090255" w14:textId="77777777" w:rsidR="00A7023F" w:rsidRPr="004D1706" w:rsidRDefault="00A7023F" w:rsidP="00BF469C">
            <w:pPr>
              <w:autoSpaceDE w:val="0"/>
              <w:autoSpaceDN w:val="0"/>
              <w:adjustRightInd w:val="0"/>
              <w:jc w:val="center"/>
              <w:rPr>
                <w:rFonts w:asciiTheme="minorHAnsi" w:hAnsiTheme="minorHAnsi" w:cstheme="minorHAnsi"/>
                <w:sz w:val="22"/>
                <w:szCs w:val="24"/>
                <w:lang w:val="fr-CA"/>
              </w:rPr>
            </w:pPr>
            <w:r w:rsidRPr="004D1706">
              <w:rPr>
                <w:rFonts w:asciiTheme="minorHAnsi" w:hAnsiTheme="minorHAnsi" w:cstheme="minorHAnsi"/>
                <w:sz w:val="22"/>
                <w:szCs w:val="24"/>
                <w:lang w:val="fr-CA"/>
              </w:rPr>
              <w:t>255</w:t>
            </w:r>
          </w:p>
        </w:tc>
        <w:tc>
          <w:tcPr>
            <w:tcW w:w="1510" w:type="pct"/>
          </w:tcPr>
          <w:p w14:paraId="07AB476E" w14:textId="5726D43E" w:rsidR="00A7023F" w:rsidRPr="004D1706" w:rsidRDefault="00A7023F" w:rsidP="00BF469C">
            <w:pPr>
              <w:autoSpaceDE w:val="0"/>
              <w:autoSpaceDN w:val="0"/>
              <w:adjustRightInd w:val="0"/>
              <w:jc w:val="center"/>
              <w:rPr>
                <w:rFonts w:asciiTheme="minorHAnsi" w:hAnsiTheme="minorHAnsi" w:cstheme="minorHAnsi"/>
                <w:sz w:val="22"/>
                <w:szCs w:val="24"/>
                <w:lang w:val="fr-CA"/>
              </w:rPr>
            </w:pPr>
            <w:r w:rsidRPr="004D1706">
              <w:rPr>
                <w:rFonts w:asciiTheme="minorHAnsi" w:hAnsiTheme="minorHAnsi" w:cstheme="minorHAnsi"/>
                <w:sz w:val="22"/>
                <w:szCs w:val="24"/>
                <w:lang w:val="fr-CA"/>
              </w:rPr>
              <w:t>20</w:t>
            </w:r>
            <w:r w:rsidR="00C17143">
              <w:rPr>
                <w:rFonts w:asciiTheme="minorHAnsi" w:hAnsiTheme="minorHAnsi" w:cstheme="minorHAnsi"/>
                <w:sz w:val="22"/>
                <w:szCs w:val="24"/>
                <w:lang w:val="fr-CA"/>
              </w:rPr>
              <w:t xml:space="preserve"> </w:t>
            </w:r>
            <w:r w:rsidRPr="004D1706">
              <w:rPr>
                <w:rFonts w:asciiTheme="minorHAnsi" w:hAnsiTheme="minorHAnsi" w:cstheme="minorHAnsi"/>
                <w:sz w:val="22"/>
                <w:szCs w:val="24"/>
                <w:lang w:val="fr-CA"/>
              </w:rPr>
              <w:t>%</w:t>
            </w:r>
          </w:p>
        </w:tc>
      </w:tr>
      <w:tr w:rsidR="004D1706" w:rsidRPr="004D1706" w14:paraId="49C466F3" w14:textId="77777777" w:rsidTr="0037297E">
        <w:trPr>
          <w:cantSplit/>
          <w:trHeight w:val="290"/>
          <w:tblHeader/>
          <w:jc w:val="center"/>
        </w:trPr>
        <w:tc>
          <w:tcPr>
            <w:tcW w:w="1867" w:type="pct"/>
          </w:tcPr>
          <w:p w14:paraId="3D1B7AE7" w14:textId="77777777" w:rsidR="00A7023F" w:rsidRPr="004D1706" w:rsidRDefault="00A7023F" w:rsidP="00BF469C">
            <w:pPr>
              <w:autoSpaceDE w:val="0"/>
              <w:autoSpaceDN w:val="0"/>
              <w:adjustRightInd w:val="0"/>
              <w:rPr>
                <w:rFonts w:asciiTheme="minorHAnsi" w:hAnsiTheme="minorHAnsi" w:cstheme="minorHAnsi"/>
                <w:sz w:val="22"/>
                <w:szCs w:val="24"/>
                <w:lang w:val="fr-CA"/>
              </w:rPr>
            </w:pPr>
            <w:r w:rsidRPr="004D1706">
              <w:rPr>
                <w:rFonts w:asciiTheme="minorHAnsi" w:hAnsiTheme="minorHAnsi" w:cstheme="minorHAnsi"/>
                <w:sz w:val="22"/>
                <w:szCs w:val="24"/>
                <w:lang w:val="fr-CA"/>
              </w:rPr>
              <w:t>Autre</w:t>
            </w:r>
          </w:p>
        </w:tc>
        <w:tc>
          <w:tcPr>
            <w:tcW w:w="1623" w:type="pct"/>
          </w:tcPr>
          <w:p w14:paraId="6246B60D" w14:textId="77777777" w:rsidR="00A7023F" w:rsidRPr="004D1706" w:rsidRDefault="00A7023F" w:rsidP="00BF469C">
            <w:pPr>
              <w:autoSpaceDE w:val="0"/>
              <w:autoSpaceDN w:val="0"/>
              <w:adjustRightInd w:val="0"/>
              <w:jc w:val="center"/>
              <w:rPr>
                <w:rFonts w:asciiTheme="minorHAnsi" w:hAnsiTheme="minorHAnsi" w:cstheme="minorHAnsi"/>
                <w:sz w:val="22"/>
                <w:szCs w:val="24"/>
                <w:lang w:val="fr-CA"/>
              </w:rPr>
            </w:pPr>
            <w:r w:rsidRPr="004D1706">
              <w:rPr>
                <w:rFonts w:asciiTheme="minorHAnsi" w:hAnsiTheme="minorHAnsi" w:cstheme="minorHAnsi"/>
                <w:sz w:val="22"/>
                <w:szCs w:val="24"/>
                <w:lang w:val="fr-CA"/>
              </w:rPr>
              <w:t>373</w:t>
            </w:r>
          </w:p>
        </w:tc>
        <w:tc>
          <w:tcPr>
            <w:tcW w:w="1510" w:type="pct"/>
          </w:tcPr>
          <w:p w14:paraId="4DC2EB29" w14:textId="07A9333B" w:rsidR="00A7023F" w:rsidRPr="004D1706" w:rsidRDefault="00A7023F" w:rsidP="00BF469C">
            <w:pPr>
              <w:autoSpaceDE w:val="0"/>
              <w:autoSpaceDN w:val="0"/>
              <w:adjustRightInd w:val="0"/>
              <w:jc w:val="center"/>
              <w:rPr>
                <w:rFonts w:asciiTheme="minorHAnsi" w:hAnsiTheme="minorHAnsi" w:cstheme="minorHAnsi"/>
                <w:sz w:val="22"/>
                <w:szCs w:val="24"/>
                <w:lang w:val="fr-CA"/>
              </w:rPr>
            </w:pPr>
            <w:r w:rsidRPr="004D1706">
              <w:rPr>
                <w:rFonts w:asciiTheme="minorHAnsi" w:hAnsiTheme="minorHAnsi" w:cstheme="minorHAnsi"/>
                <w:sz w:val="22"/>
                <w:szCs w:val="24"/>
                <w:lang w:val="fr-CA"/>
              </w:rPr>
              <w:t>29</w:t>
            </w:r>
            <w:r w:rsidR="00C17143">
              <w:rPr>
                <w:rFonts w:asciiTheme="minorHAnsi" w:hAnsiTheme="minorHAnsi" w:cstheme="minorHAnsi"/>
                <w:sz w:val="22"/>
                <w:szCs w:val="24"/>
                <w:lang w:val="fr-CA"/>
              </w:rPr>
              <w:t xml:space="preserve"> </w:t>
            </w:r>
            <w:r w:rsidRPr="004D1706">
              <w:rPr>
                <w:rFonts w:asciiTheme="minorHAnsi" w:hAnsiTheme="minorHAnsi" w:cstheme="minorHAnsi"/>
                <w:sz w:val="22"/>
                <w:szCs w:val="24"/>
                <w:lang w:val="fr-CA"/>
              </w:rPr>
              <w:t>%</w:t>
            </w:r>
          </w:p>
        </w:tc>
      </w:tr>
    </w:tbl>
    <w:p w14:paraId="0EAE5711" w14:textId="77777777" w:rsidR="00A7023F" w:rsidRDefault="00A7023F" w:rsidP="00413E58">
      <w:pPr>
        <w:tabs>
          <w:tab w:val="left" w:pos="7839"/>
        </w:tabs>
        <w:jc w:val="center"/>
        <w:rPr>
          <w:rFonts w:asciiTheme="minorHAnsi" w:hAnsiTheme="minorHAnsi"/>
          <w:b/>
          <w:sz w:val="20"/>
          <w:lang w:val="fr-CA"/>
        </w:rPr>
      </w:pPr>
    </w:p>
    <w:p w14:paraId="514ED209" w14:textId="77777777" w:rsidR="00A7023F" w:rsidRDefault="00A7023F" w:rsidP="00413E58">
      <w:pPr>
        <w:tabs>
          <w:tab w:val="left" w:pos="7839"/>
        </w:tabs>
        <w:jc w:val="center"/>
        <w:rPr>
          <w:rFonts w:asciiTheme="minorHAnsi" w:hAnsiTheme="minorHAnsi"/>
          <w:b/>
          <w:sz w:val="20"/>
          <w:lang w:val="fr-CA"/>
        </w:rPr>
        <w:sectPr w:rsidR="00A7023F" w:rsidSect="00C67F41">
          <w:footnotePr>
            <w:numFmt w:val="lowerLetter"/>
          </w:footnotePr>
          <w:endnotePr>
            <w:numFmt w:val="lowerLetter"/>
          </w:endnotePr>
          <w:pgSz w:w="15840" w:h="12240" w:orient="landscape" w:code="1"/>
          <w:pgMar w:top="567" w:right="709" w:bottom="1304" w:left="709" w:header="284" w:footer="284" w:gutter="0"/>
          <w:cols w:space="720"/>
          <w:docGrid w:linePitch="326"/>
        </w:sectPr>
      </w:pPr>
    </w:p>
    <w:p w14:paraId="57DC7936" w14:textId="77777777" w:rsidR="00A7023F" w:rsidRPr="004D1706" w:rsidRDefault="004D1706" w:rsidP="004D1706">
      <w:pPr>
        <w:pStyle w:val="Heading1"/>
        <w:spacing w:before="120" w:after="120"/>
        <w:rPr>
          <w:sz w:val="40"/>
          <w:lang w:val="fr-CA"/>
        </w:rPr>
      </w:pPr>
      <w:r w:rsidRPr="004D1706">
        <w:rPr>
          <w:sz w:val="40"/>
        </w:rPr>
        <w:lastRenderedPageBreak/>
        <w:t>Population par région au 31 mars 2019</w:t>
      </w:r>
    </w:p>
    <w:p w14:paraId="4022F392" w14:textId="77777777" w:rsidR="004D1706" w:rsidRDefault="00A7023F" w:rsidP="004D1706">
      <w:pPr>
        <w:keepNext/>
        <w:tabs>
          <w:tab w:val="left" w:pos="7839"/>
        </w:tabs>
        <w:jc w:val="center"/>
      </w:pPr>
      <w:r w:rsidRPr="008F610A">
        <w:rPr>
          <w:noProof/>
          <w:lang w:val="en-CA" w:eastAsia="en-CA"/>
        </w:rPr>
        <w:drawing>
          <wp:inline distT="0" distB="0" distL="0" distR="0" wp14:anchorId="7639A747" wp14:editId="1CD357B0">
            <wp:extent cx="1980000" cy="3020400"/>
            <wp:effectExtent l="0" t="0" r="1270" b="8890"/>
            <wp:docPr id="12" name="Chart 12" descr="Population par région au 31 mars 2019 "/>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7E6F18C" w14:textId="77777777" w:rsidR="00A7023F" w:rsidRPr="004D1706" w:rsidRDefault="004D1706" w:rsidP="004D1706">
      <w:pPr>
        <w:pStyle w:val="Caption"/>
        <w:spacing w:after="0"/>
        <w:jc w:val="center"/>
        <w:rPr>
          <w:rFonts w:asciiTheme="minorHAnsi" w:hAnsiTheme="minorHAnsi" w:cstheme="minorHAnsi"/>
          <w:b/>
          <w:i w:val="0"/>
          <w:color w:val="auto"/>
          <w:sz w:val="20"/>
          <w:lang w:val="fr-CA"/>
        </w:rPr>
      </w:pPr>
      <w:r w:rsidRPr="004D1706">
        <w:rPr>
          <w:rFonts w:asciiTheme="minorHAnsi" w:hAnsiTheme="minorHAnsi" w:cstheme="minorHAnsi"/>
          <w:i w:val="0"/>
          <w:color w:val="auto"/>
        </w:rPr>
        <w:t xml:space="preserve">Figure </w:t>
      </w:r>
      <w:r w:rsidRPr="004D1706">
        <w:rPr>
          <w:rFonts w:asciiTheme="minorHAnsi" w:hAnsiTheme="minorHAnsi" w:cstheme="minorHAnsi"/>
          <w:i w:val="0"/>
          <w:color w:val="auto"/>
        </w:rPr>
        <w:fldChar w:fldCharType="begin"/>
      </w:r>
      <w:r w:rsidRPr="004D1706">
        <w:rPr>
          <w:rFonts w:asciiTheme="minorHAnsi" w:hAnsiTheme="minorHAnsi" w:cstheme="minorHAnsi"/>
          <w:i w:val="0"/>
          <w:color w:val="auto"/>
        </w:rPr>
        <w:instrText xml:space="preserve"> SEQ Figure \* ARABIC </w:instrText>
      </w:r>
      <w:r w:rsidRPr="004D1706">
        <w:rPr>
          <w:rFonts w:asciiTheme="minorHAnsi" w:hAnsiTheme="minorHAnsi" w:cstheme="minorHAnsi"/>
          <w:i w:val="0"/>
          <w:color w:val="auto"/>
        </w:rPr>
        <w:fldChar w:fldCharType="separate"/>
      </w:r>
      <w:r w:rsidR="00353602">
        <w:rPr>
          <w:rFonts w:asciiTheme="minorHAnsi" w:hAnsiTheme="minorHAnsi" w:cstheme="minorHAnsi"/>
          <w:i w:val="0"/>
          <w:noProof/>
          <w:color w:val="auto"/>
        </w:rPr>
        <w:t>4</w:t>
      </w:r>
      <w:r w:rsidRPr="004D1706">
        <w:rPr>
          <w:rFonts w:asciiTheme="minorHAnsi" w:hAnsiTheme="minorHAnsi" w:cstheme="minorHAnsi"/>
          <w:i w:val="0"/>
          <w:color w:val="auto"/>
        </w:rPr>
        <w:fldChar w:fldCharType="end"/>
      </w:r>
      <w:r w:rsidRPr="004D1706">
        <w:rPr>
          <w:rFonts w:asciiTheme="minorHAnsi" w:hAnsiTheme="minorHAnsi" w:cstheme="minorHAnsi"/>
          <w:i w:val="0"/>
          <w:color w:val="auto"/>
        </w:rPr>
        <w:t xml:space="preserve"> - Population par région au 31 mars 2019</w:t>
      </w:r>
    </w:p>
    <w:p w14:paraId="11CD429B" w14:textId="77777777" w:rsidR="004D1706" w:rsidRPr="004D1706" w:rsidRDefault="00FB155C" w:rsidP="004D1706">
      <w:pPr>
        <w:pStyle w:val="Caption"/>
        <w:keepNext/>
        <w:spacing w:before="240" w:after="0"/>
        <w:jc w:val="center"/>
        <w:rPr>
          <w:rFonts w:asciiTheme="minorHAnsi" w:hAnsiTheme="minorHAnsi" w:cstheme="minorHAnsi"/>
          <w:i w:val="0"/>
          <w:color w:val="auto"/>
        </w:rPr>
      </w:pPr>
      <w:r>
        <w:rPr>
          <w:rFonts w:asciiTheme="minorHAnsi" w:hAnsiTheme="minorHAnsi" w:cstheme="minorHAnsi"/>
          <w:i w:val="0"/>
          <w:color w:val="auto"/>
        </w:rPr>
        <w:t xml:space="preserve">Table </w:t>
      </w:r>
      <w:r w:rsidR="004D1706" w:rsidRPr="004D1706">
        <w:rPr>
          <w:rFonts w:asciiTheme="minorHAnsi" w:hAnsiTheme="minorHAnsi" w:cstheme="minorHAnsi"/>
          <w:i w:val="0"/>
          <w:color w:val="auto"/>
        </w:rPr>
        <w:fldChar w:fldCharType="begin"/>
      </w:r>
      <w:r w:rsidR="004D1706" w:rsidRPr="004D1706">
        <w:rPr>
          <w:rFonts w:asciiTheme="minorHAnsi" w:hAnsiTheme="minorHAnsi" w:cstheme="minorHAnsi"/>
          <w:i w:val="0"/>
          <w:color w:val="auto"/>
        </w:rPr>
        <w:instrText xml:space="preserve"> SEQ Table \* ARABIC </w:instrText>
      </w:r>
      <w:r w:rsidR="004D1706" w:rsidRPr="004D1706">
        <w:rPr>
          <w:rFonts w:asciiTheme="minorHAnsi" w:hAnsiTheme="minorHAnsi" w:cstheme="minorHAnsi"/>
          <w:i w:val="0"/>
          <w:color w:val="auto"/>
        </w:rPr>
        <w:fldChar w:fldCharType="separate"/>
      </w:r>
      <w:r w:rsidR="00766F9D">
        <w:rPr>
          <w:rFonts w:asciiTheme="minorHAnsi" w:hAnsiTheme="minorHAnsi" w:cstheme="minorHAnsi"/>
          <w:i w:val="0"/>
          <w:noProof/>
          <w:color w:val="auto"/>
        </w:rPr>
        <w:t>7</w:t>
      </w:r>
      <w:r w:rsidR="004D1706" w:rsidRPr="004D1706">
        <w:rPr>
          <w:rFonts w:asciiTheme="minorHAnsi" w:hAnsiTheme="minorHAnsi" w:cstheme="minorHAnsi"/>
          <w:i w:val="0"/>
          <w:color w:val="auto"/>
        </w:rPr>
        <w:fldChar w:fldCharType="end"/>
      </w:r>
      <w:r w:rsidR="004D1706" w:rsidRPr="004D1706">
        <w:rPr>
          <w:rFonts w:asciiTheme="minorHAnsi" w:hAnsiTheme="minorHAnsi" w:cstheme="minorHAnsi"/>
          <w:i w:val="0"/>
          <w:color w:val="auto"/>
        </w:rPr>
        <w:t xml:space="preserve"> - Effectif par région, pourcentage de l'effectif régi par la </w:t>
      </w:r>
      <w:r w:rsidR="004D1706" w:rsidRPr="004D1706">
        <w:rPr>
          <w:rStyle w:val="Emphasis"/>
          <w:rFonts w:asciiTheme="minorHAnsi" w:hAnsiTheme="minorHAnsi" w:cstheme="minorHAnsi"/>
          <w:i/>
          <w:color w:val="auto"/>
        </w:rPr>
        <w:t>Loi sur l’emploi dans la fonction publique</w:t>
      </w:r>
      <w:r w:rsidR="004D1706" w:rsidRPr="004D1706">
        <w:rPr>
          <w:rFonts w:asciiTheme="minorHAnsi" w:hAnsiTheme="minorHAnsi" w:cstheme="minorHAnsi"/>
          <w:i w:val="0"/>
          <w:color w:val="auto"/>
        </w:rPr>
        <w:t xml:space="preserve"> au 31 mars 2019</w:t>
      </w:r>
    </w:p>
    <w:tbl>
      <w:tblPr>
        <w:tblStyle w:val="TableGrid"/>
        <w:tblW w:w="5000" w:type="pct"/>
        <w:jc w:val="center"/>
        <w:tblLook w:val="0020" w:firstRow="1" w:lastRow="0" w:firstColumn="0" w:lastColumn="0" w:noHBand="0" w:noVBand="0"/>
        <w:tblDescription w:val="Effectif selon la région au 31 mars 2019"/>
      </w:tblPr>
      <w:tblGrid>
        <w:gridCol w:w="4673"/>
        <w:gridCol w:w="4822"/>
        <w:gridCol w:w="4917"/>
      </w:tblGrid>
      <w:tr w:rsidR="004D1706" w:rsidRPr="004D1706" w14:paraId="6472F4B3" w14:textId="77777777" w:rsidTr="0037297E">
        <w:trPr>
          <w:cantSplit/>
          <w:trHeight w:val="290"/>
          <w:tblHeader/>
          <w:jc w:val="center"/>
        </w:trPr>
        <w:tc>
          <w:tcPr>
            <w:tcW w:w="1621" w:type="pct"/>
          </w:tcPr>
          <w:p w14:paraId="0A80F75F" w14:textId="77777777" w:rsidR="00A7023F" w:rsidRPr="004D1706" w:rsidRDefault="00A7023F" w:rsidP="004D1706">
            <w:pPr>
              <w:pStyle w:val="TableTitle"/>
              <w:rPr>
                <w:color w:val="auto"/>
                <w:sz w:val="22"/>
                <w:lang w:val="fr-CA"/>
              </w:rPr>
            </w:pPr>
            <w:r w:rsidRPr="004D1706">
              <w:rPr>
                <w:color w:val="auto"/>
                <w:sz w:val="22"/>
                <w:lang w:val="fr-CA"/>
              </w:rPr>
              <w:t>Région</w:t>
            </w:r>
          </w:p>
        </w:tc>
        <w:tc>
          <w:tcPr>
            <w:tcW w:w="1673" w:type="pct"/>
          </w:tcPr>
          <w:p w14:paraId="109EC0CB" w14:textId="77777777" w:rsidR="00A7023F" w:rsidRPr="004D1706" w:rsidRDefault="00A7023F" w:rsidP="004D1706">
            <w:pPr>
              <w:pStyle w:val="TableTitle"/>
              <w:rPr>
                <w:color w:val="auto"/>
                <w:sz w:val="22"/>
                <w:lang w:val="fr-CA"/>
              </w:rPr>
            </w:pPr>
            <w:r w:rsidRPr="004D1706">
              <w:rPr>
                <w:color w:val="auto"/>
                <w:sz w:val="22"/>
                <w:lang w:val="fr-CA"/>
              </w:rPr>
              <w:t>Effectif au 31 mars 2019</w:t>
            </w:r>
          </w:p>
        </w:tc>
        <w:tc>
          <w:tcPr>
            <w:tcW w:w="1707" w:type="pct"/>
          </w:tcPr>
          <w:p w14:paraId="3556F7F3" w14:textId="77777777" w:rsidR="00A7023F" w:rsidRPr="004D1706" w:rsidRDefault="00A7023F" w:rsidP="004D1706">
            <w:pPr>
              <w:pStyle w:val="TableTitle"/>
              <w:rPr>
                <w:color w:val="auto"/>
                <w:sz w:val="22"/>
                <w:lang w:val="fr-CA"/>
              </w:rPr>
            </w:pPr>
            <w:r w:rsidRPr="004D1706">
              <w:rPr>
                <w:color w:val="auto"/>
                <w:sz w:val="22"/>
                <w:lang w:val="fr-CA"/>
              </w:rPr>
              <w:t>Pourcentage de l'effectif au 31 mars 2019</w:t>
            </w:r>
          </w:p>
        </w:tc>
      </w:tr>
      <w:tr w:rsidR="004D1706" w:rsidRPr="004D1706" w14:paraId="1046B7E7" w14:textId="77777777" w:rsidTr="0037297E">
        <w:trPr>
          <w:cantSplit/>
          <w:trHeight w:val="290"/>
          <w:tblHeader/>
          <w:jc w:val="center"/>
        </w:trPr>
        <w:tc>
          <w:tcPr>
            <w:tcW w:w="1621" w:type="pct"/>
          </w:tcPr>
          <w:p w14:paraId="2922658C" w14:textId="77777777" w:rsidR="00A7023F" w:rsidRPr="004D1706" w:rsidRDefault="00A7023F" w:rsidP="00BF469C">
            <w:pPr>
              <w:autoSpaceDE w:val="0"/>
              <w:autoSpaceDN w:val="0"/>
              <w:adjustRightInd w:val="0"/>
              <w:rPr>
                <w:rFonts w:asciiTheme="minorHAnsi" w:hAnsiTheme="minorHAnsi" w:cstheme="minorHAnsi"/>
                <w:sz w:val="22"/>
                <w:szCs w:val="24"/>
                <w:lang w:val="fr-CA"/>
              </w:rPr>
            </w:pPr>
            <w:r w:rsidRPr="004D1706">
              <w:rPr>
                <w:rFonts w:asciiTheme="minorHAnsi" w:hAnsiTheme="minorHAnsi" w:cstheme="minorHAnsi"/>
                <w:sz w:val="22"/>
                <w:szCs w:val="24"/>
                <w:lang w:val="fr-CA"/>
              </w:rPr>
              <w:t>Région de la capitale nationale (RCN)</w:t>
            </w:r>
          </w:p>
        </w:tc>
        <w:tc>
          <w:tcPr>
            <w:tcW w:w="1673" w:type="pct"/>
          </w:tcPr>
          <w:p w14:paraId="279E82A1" w14:textId="77777777" w:rsidR="00A7023F" w:rsidRPr="004D1706" w:rsidRDefault="00A7023F" w:rsidP="00BF469C">
            <w:pPr>
              <w:autoSpaceDE w:val="0"/>
              <w:autoSpaceDN w:val="0"/>
              <w:adjustRightInd w:val="0"/>
              <w:jc w:val="center"/>
              <w:rPr>
                <w:rFonts w:asciiTheme="minorHAnsi" w:hAnsiTheme="minorHAnsi" w:cstheme="minorHAnsi"/>
                <w:sz w:val="22"/>
                <w:szCs w:val="24"/>
                <w:lang w:val="fr-CA"/>
              </w:rPr>
            </w:pPr>
            <w:r w:rsidRPr="004D1706">
              <w:rPr>
                <w:rFonts w:asciiTheme="minorHAnsi" w:hAnsiTheme="minorHAnsi" w:cstheme="minorHAnsi"/>
                <w:sz w:val="22"/>
                <w:szCs w:val="24"/>
                <w:lang w:val="fr-CA"/>
              </w:rPr>
              <w:t>1 217</w:t>
            </w:r>
          </w:p>
        </w:tc>
        <w:tc>
          <w:tcPr>
            <w:tcW w:w="1707" w:type="pct"/>
          </w:tcPr>
          <w:p w14:paraId="07061B01" w14:textId="011F16B5" w:rsidR="00A7023F" w:rsidRPr="004D1706" w:rsidRDefault="00A7023F" w:rsidP="00BF469C">
            <w:pPr>
              <w:autoSpaceDE w:val="0"/>
              <w:autoSpaceDN w:val="0"/>
              <w:adjustRightInd w:val="0"/>
              <w:jc w:val="center"/>
              <w:rPr>
                <w:rFonts w:asciiTheme="minorHAnsi" w:hAnsiTheme="minorHAnsi" w:cstheme="minorHAnsi"/>
                <w:sz w:val="22"/>
                <w:szCs w:val="24"/>
                <w:lang w:val="fr-CA"/>
              </w:rPr>
            </w:pPr>
            <w:r w:rsidRPr="004D1706">
              <w:rPr>
                <w:rFonts w:asciiTheme="minorHAnsi" w:hAnsiTheme="minorHAnsi" w:cstheme="minorHAnsi"/>
                <w:sz w:val="22"/>
                <w:szCs w:val="24"/>
                <w:lang w:val="fr-CA"/>
              </w:rPr>
              <w:t>91</w:t>
            </w:r>
            <w:r w:rsidR="00C17143">
              <w:rPr>
                <w:rFonts w:asciiTheme="minorHAnsi" w:hAnsiTheme="minorHAnsi" w:cstheme="minorHAnsi"/>
                <w:sz w:val="22"/>
                <w:szCs w:val="24"/>
                <w:lang w:val="fr-CA"/>
              </w:rPr>
              <w:t xml:space="preserve"> </w:t>
            </w:r>
            <w:r w:rsidRPr="004D1706">
              <w:rPr>
                <w:rFonts w:asciiTheme="minorHAnsi" w:hAnsiTheme="minorHAnsi" w:cstheme="minorHAnsi"/>
                <w:sz w:val="22"/>
                <w:szCs w:val="24"/>
                <w:lang w:val="fr-CA"/>
              </w:rPr>
              <w:t>%</w:t>
            </w:r>
          </w:p>
        </w:tc>
      </w:tr>
      <w:tr w:rsidR="004D1706" w:rsidRPr="004D1706" w14:paraId="3A9BC065" w14:textId="77777777" w:rsidTr="0037297E">
        <w:trPr>
          <w:cantSplit/>
          <w:trHeight w:val="290"/>
          <w:tblHeader/>
          <w:jc w:val="center"/>
        </w:trPr>
        <w:tc>
          <w:tcPr>
            <w:tcW w:w="1621" w:type="pct"/>
          </w:tcPr>
          <w:p w14:paraId="0409D7C9" w14:textId="77777777" w:rsidR="00A7023F" w:rsidRPr="004D1706" w:rsidRDefault="00A7023F" w:rsidP="00BF469C">
            <w:pPr>
              <w:autoSpaceDE w:val="0"/>
              <w:autoSpaceDN w:val="0"/>
              <w:adjustRightInd w:val="0"/>
              <w:rPr>
                <w:rFonts w:asciiTheme="minorHAnsi" w:hAnsiTheme="minorHAnsi" w:cstheme="minorHAnsi"/>
                <w:sz w:val="22"/>
                <w:szCs w:val="24"/>
                <w:lang w:val="fr-CA"/>
              </w:rPr>
            </w:pPr>
            <w:r w:rsidRPr="004D1706">
              <w:rPr>
                <w:rFonts w:asciiTheme="minorHAnsi" w:hAnsiTheme="minorHAnsi" w:cstheme="minorHAnsi"/>
                <w:sz w:val="22"/>
                <w:szCs w:val="24"/>
                <w:lang w:val="fr-CA"/>
              </w:rPr>
              <w:t>Régions à l’extérieur de la RCN</w:t>
            </w:r>
          </w:p>
        </w:tc>
        <w:tc>
          <w:tcPr>
            <w:tcW w:w="1673" w:type="pct"/>
          </w:tcPr>
          <w:p w14:paraId="08A7FCB6" w14:textId="77777777" w:rsidR="00A7023F" w:rsidRPr="004D1706" w:rsidRDefault="00A7023F" w:rsidP="00BF469C">
            <w:pPr>
              <w:autoSpaceDE w:val="0"/>
              <w:autoSpaceDN w:val="0"/>
              <w:adjustRightInd w:val="0"/>
              <w:jc w:val="center"/>
              <w:rPr>
                <w:rFonts w:asciiTheme="minorHAnsi" w:hAnsiTheme="minorHAnsi" w:cstheme="minorHAnsi"/>
                <w:sz w:val="22"/>
                <w:szCs w:val="24"/>
                <w:lang w:val="fr-CA"/>
              </w:rPr>
            </w:pPr>
            <w:r w:rsidRPr="004D1706">
              <w:rPr>
                <w:rFonts w:asciiTheme="minorHAnsi" w:hAnsiTheme="minorHAnsi" w:cstheme="minorHAnsi"/>
                <w:sz w:val="22"/>
                <w:szCs w:val="24"/>
                <w:lang w:val="fr-CA"/>
              </w:rPr>
              <w:t>114</w:t>
            </w:r>
          </w:p>
        </w:tc>
        <w:tc>
          <w:tcPr>
            <w:tcW w:w="1707" w:type="pct"/>
          </w:tcPr>
          <w:p w14:paraId="2F96788F" w14:textId="20B6E10B" w:rsidR="00A7023F" w:rsidRPr="004D1706" w:rsidRDefault="00A7023F" w:rsidP="00BF469C">
            <w:pPr>
              <w:autoSpaceDE w:val="0"/>
              <w:autoSpaceDN w:val="0"/>
              <w:adjustRightInd w:val="0"/>
              <w:jc w:val="center"/>
              <w:rPr>
                <w:rFonts w:asciiTheme="minorHAnsi" w:hAnsiTheme="minorHAnsi" w:cstheme="minorHAnsi"/>
                <w:sz w:val="22"/>
                <w:szCs w:val="24"/>
                <w:lang w:val="fr-CA"/>
              </w:rPr>
            </w:pPr>
            <w:r w:rsidRPr="004D1706">
              <w:rPr>
                <w:rFonts w:asciiTheme="minorHAnsi" w:hAnsiTheme="minorHAnsi" w:cstheme="minorHAnsi"/>
                <w:sz w:val="22"/>
                <w:szCs w:val="24"/>
                <w:lang w:val="fr-CA"/>
              </w:rPr>
              <w:t>9</w:t>
            </w:r>
            <w:r w:rsidR="00C17143">
              <w:rPr>
                <w:rFonts w:asciiTheme="minorHAnsi" w:hAnsiTheme="minorHAnsi" w:cstheme="minorHAnsi"/>
                <w:sz w:val="22"/>
                <w:szCs w:val="24"/>
                <w:lang w:val="fr-CA"/>
              </w:rPr>
              <w:t xml:space="preserve"> </w:t>
            </w:r>
            <w:r w:rsidRPr="004D1706">
              <w:rPr>
                <w:rFonts w:asciiTheme="minorHAnsi" w:hAnsiTheme="minorHAnsi" w:cstheme="minorHAnsi"/>
                <w:sz w:val="22"/>
                <w:szCs w:val="24"/>
                <w:lang w:val="fr-CA"/>
              </w:rPr>
              <w:t>%</w:t>
            </w:r>
          </w:p>
        </w:tc>
      </w:tr>
      <w:tr w:rsidR="004D1706" w:rsidRPr="004D1706" w14:paraId="259FC901" w14:textId="77777777" w:rsidTr="0037297E">
        <w:trPr>
          <w:cantSplit/>
          <w:trHeight w:val="290"/>
          <w:tblHeader/>
          <w:jc w:val="center"/>
        </w:trPr>
        <w:tc>
          <w:tcPr>
            <w:tcW w:w="1621" w:type="pct"/>
          </w:tcPr>
          <w:p w14:paraId="0430B03F" w14:textId="77777777" w:rsidR="00A7023F" w:rsidRPr="004D1706" w:rsidRDefault="00A7023F" w:rsidP="00BF469C">
            <w:pPr>
              <w:autoSpaceDE w:val="0"/>
              <w:autoSpaceDN w:val="0"/>
              <w:adjustRightInd w:val="0"/>
              <w:rPr>
                <w:rFonts w:asciiTheme="minorHAnsi" w:hAnsiTheme="minorHAnsi" w:cstheme="minorHAnsi"/>
                <w:sz w:val="22"/>
                <w:szCs w:val="24"/>
                <w:lang w:val="fr-CA"/>
              </w:rPr>
            </w:pPr>
            <w:r w:rsidRPr="004D1706">
              <w:rPr>
                <w:rFonts w:asciiTheme="minorHAnsi" w:hAnsiTheme="minorHAnsi" w:cstheme="minorHAnsi"/>
                <w:sz w:val="22"/>
                <w:szCs w:val="24"/>
                <w:lang w:val="fr-CA"/>
              </w:rPr>
              <w:t>Inconnus</w:t>
            </w:r>
          </w:p>
        </w:tc>
        <w:tc>
          <w:tcPr>
            <w:tcW w:w="1673" w:type="pct"/>
          </w:tcPr>
          <w:p w14:paraId="5AE61449" w14:textId="77777777" w:rsidR="00A7023F" w:rsidRPr="004D1706" w:rsidRDefault="00A7023F" w:rsidP="00BF469C">
            <w:pPr>
              <w:autoSpaceDE w:val="0"/>
              <w:autoSpaceDN w:val="0"/>
              <w:adjustRightInd w:val="0"/>
              <w:jc w:val="center"/>
              <w:rPr>
                <w:rFonts w:asciiTheme="minorHAnsi" w:hAnsiTheme="minorHAnsi" w:cstheme="minorHAnsi"/>
                <w:sz w:val="22"/>
                <w:szCs w:val="24"/>
                <w:lang w:val="fr-CA"/>
              </w:rPr>
            </w:pPr>
            <w:r w:rsidRPr="004D1706">
              <w:rPr>
                <w:rFonts w:asciiTheme="minorHAnsi" w:hAnsiTheme="minorHAnsi" w:cstheme="minorHAnsi"/>
                <w:sz w:val="22"/>
                <w:szCs w:val="24"/>
                <w:lang w:val="fr-CA"/>
              </w:rPr>
              <w:t>3</w:t>
            </w:r>
          </w:p>
        </w:tc>
        <w:tc>
          <w:tcPr>
            <w:tcW w:w="1707" w:type="pct"/>
          </w:tcPr>
          <w:p w14:paraId="47A52596" w14:textId="22E41AD2" w:rsidR="00A7023F" w:rsidRPr="004D1706" w:rsidRDefault="004D1706" w:rsidP="00BF469C">
            <w:pPr>
              <w:autoSpaceDE w:val="0"/>
              <w:autoSpaceDN w:val="0"/>
              <w:adjustRightInd w:val="0"/>
              <w:jc w:val="center"/>
              <w:rPr>
                <w:rFonts w:asciiTheme="minorHAnsi" w:hAnsiTheme="minorHAnsi" w:cstheme="minorHAnsi"/>
                <w:sz w:val="22"/>
                <w:szCs w:val="24"/>
                <w:lang w:val="fr-CA"/>
              </w:rPr>
            </w:pPr>
            <w:r w:rsidRPr="004D1706">
              <w:rPr>
                <w:rFonts w:asciiTheme="minorHAnsi" w:hAnsiTheme="minorHAnsi" w:cstheme="minorHAnsi"/>
                <w:sz w:val="22"/>
                <w:szCs w:val="24"/>
                <w:lang w:val="fr-CA"/>
              </w:rPr>
              <w:t>0</w:t>
            </w:r>
            <w:r w:rsidR="00C17143">
              <w:rPr>
                <w:rFonts w:asciiTheme="minorHAnsi" w:hAnsiTheme="minorHAnsi" w:cstheme="minorHAnsi"/>
                <w:sz w:val="22"/>
                <w:szCs w:val="24"/>
                <w:lang w:val="fr-CA"/>
              </w:rPr>
              <w:t xml:space="preserve"> </w:t>
            </w:r>
            <w:r w:rsidRPr="004D1706">
              <w:rPr>
                <w:rFonts w:asciiTheme="minorHAnsi" w:hAnsiTheme="minorHAnsi" w:cstheme="minorHAnsi"/>
                <w:sz w:val="22"/>
                <w:szCs w:val="24"/>
                <w:lang w:val="fr-CA"/>
              </w:rPr>
              <w:t>%</w:t>
            </w:r>
          </w:p>
        </w:tc>
      </w:tr>
    </w:tbl>
    <w:p w14:paraId="7DEEF936" w14:textId="77777777" w:rsidR="00A7023F" w:rsidRDefault="00A7023F" w:rsidP="00413E58">
      <w:pPr>
        <w:tabs>
          <w:tab w:val="left" w:pos="7839"/>
        </w:tabs>
        <w:jc w:val="center"/>
        <w:rPr>
          <w:rFonts w:asciiTheme="minorHAnsi" w:hAnsiTheme="minorHAnsi"/>
          <w:b/>
          <w:sz w:val="20"/>
          <w:lang w:val="fr-CA"/>
        </w:rPr>
      </w:pPr>
    </w:p>
    <w:p w14:paraId="53DB8241" w14:textId="77777777" w:rsidR="00A7023F" w:rsidRDefault="00A7023F" w:rsidP="00413E58">
      <w:pPr>
        <w:tabs>
          <w:tab w:val="left" w:pos="7839"/>
        </w:tabs>
        <w:jc w:val="center"/>
        <w:rPr>
          <w:rFonts w:asciiTheme="minorHAnsi" w:hAnsiTheme="minorHAnsi"/>
          <w:b/>
          <w:sz w:val="20"/>
          <w:lang w:val="fr-CA"/>
        </w:rPr>
        <w:sectPr w:rsidR="00A7023F" w:rsidSect="00C67F41">
          <w:footnotePr>
            <w:numFmt w:val="lowerLetter"/>
          </w:footnotePr>
          <w:endnotePr>
            <w:numFmt w:val="lowerLetter"/>
          </w:endnotePr>
          <w:pgSz w:w="15840" w:h="12240" w:orient="landscape" w:code="1"/>
          <w:pgMar w:top="567" w:right="709" w:bottom="1304" w:left="709" w:header="284" w:footer="284" w:gutter="0"/>
          <w:cols w:space="720"/>
          <w:docGrid w:linePitch="326"/>
        </w:sectPr>
      </w:pPr>
    </w:p>
    <w:p w14:paraId="2720D859" w14:textId="77777777" w:rsidR="00A7023F" w:rsidRPr="004D1706" w:rsidRDefault="004D1706" w:rsidP="004D1706">
      <w:pPr>
        <w:pStyle w:val="Heading1"/>
        <w:spacing w:before="120" w:after="120"/>
        <w:rPr>
          <w:sz w:val="40"/>
          <w:lang w:val="fr-CA"/>
        </w:rPr>
      </w:pPr>
      <w:r w:rsidRPr="004D1706">
        <w:rPr>
          <w:rFonts w:eastAsia="Times New Roman"/>
          <w:sz w:val="40"/>
        </w:rPr>
        <w:lastRenderedPageBreak/>
        <w:t>Employés embauchés à l’extern</w:t>
      </w:r>
      <w:r>
        <w:rPr>
          <w:rFonts w:eastAsia="Times New Roman"/>
          <w:sz w:val="40"/>
        </w:rPr>
        <w:t>e pour une période indéterminée</w:t>
      </w:r>
      <w:r w:rsidRPr="004D1706">
        <w:rPr>
          <w:rFonts w:eastAsia="Times New Roman"/>
          <w:sz w:val="40"/>
        </w:rPr>
        <w:t xml:space="preserve"> selon le groupe professionnel</w:t>
      </w:r>
      <w:r w:rsidRPr="004D1706">
        <w:rPr>
          <w:sz w:val="40"/>
          <w:lang w:val="fr-CA"/>
        </w:rPr>
        <w:t xml:space="preserve">, </w:t>
      </w:r>
      <w:r w:rsidRPr="004D1706">
        <w:rPr>
          <w:rFonts w:eastAsia="Times New Roman"/>
          <w:sz w:val="40"/>
        </w:rPr>
        <w:t>2018-2019</w:t>
      </w:r>
    </w:p>
    <w:p w14:paraId="321894EA" w14:textId="77777777" w:rsidR="004D1706" w:rsidRDefault="00591DC8" w:rsidP="004D1706">
      <w:pPr>
        <w:keepNext/>
        <w:tabs>
          <w:tab w:val="left" w:pos="7839"/>
        </w:tabs>
        <w:jc w:val="center"/>
      </w:pPr>
      <w:r w:rsidRPr="008F610A">
        <w:rPr>
          <w:noProof/>
          <w:lang w:val="en-CA" w:eastAsia="en-CA"/>
        </w:rPr>
        <w:drawing>
          <wp:inline distT="0" distB="0" distL="0" distR="0" wp14:anchorId="72D7CF61" wp14:editId="5C3BB146">
            <wp:extent cx="1980000" cy="3020400"/>
            <wp:effectExtent l="0" t="0" r="1270" b="8890"/>
            <wp:docPr id="7" name="Chart 7" descr="Employés embauchés à l’externe pour une période indéterminée selon le groupe professionnel, 2018-2019 "/>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415B2E4" w14:textId="77777777" w:rsidR="00591DC8" w:rsidRPr="004D1706" w:rsidRDefault="004D1706" w:rsidP="004D1706">
      <w:pPr>
        <w:pStyle w:val="Caption"/>
        <w:spacing w:after="0"/>
        <w:jc w:val="center"/>
        <w:rPr>
          <w:rFonts w:asciiTheme="minorHAnsi" w:hAnsiTheme="minorHAnsi" w:cstheme="minorHAnsi"/>
          <w:i w:val="0"/>
          <w:color w:val="auto"/>
          <w:lang w:val="fr-CA"/>
        </w:rPr>
      </w:pPr>
      <w:r w:rsidRPr="004D1706">
        <w:rPr>
          <w:rFonts w:asciiTheme="minorHAnsi" w:hAnsiTheme="minorHAnsi" w:cstheme="minorHAnsi"/>
          <w:i w:val="0"/>
          <w:color w:val="auto"/>
        </w:rPr>
        <w:t xml:space="preserve">Figure </w:t>
      </w:r>
      <w:r w:rsidRPr="004D1706">
        <w:rPr>
          <w:rFonts w:asciiTheme="minorHAnsi" w:hAnsiTheme="minorHAnsi" w:cstheme="minorHAnsi"/>
          <w:i w:val="0"/>
          <w:color w:val="auto"/>
        </w:rPr>
        <w:fldChar w:fldCharType="begin"/>
      </w:r>
      <w:r w:rsidRPr="004D1706">
        <w:rPr>
          <w:rFonts w:asciiTheme="minorHAnsi" w:hAnsiTheme="minorHAnsi" w:cstheme="minorHAnsi"/>
          <w:i w:val="0"/>
          <w:color w:val="auto"/>
        </w:rPr>
        <w:instrText xml:space="preserve"> SEQ Figure \* ARABIC </w:instrText>
      </w:r>
      <w:r w:rsidRPr="004D1706">
        <w:rPr>
          <w:rFonts w:asciiTheme="minorHAnsi" w:hAnsiTheme="minorHAnsi" w:cstheme="minorHAnsi"/>
          <w:i w:val="0"/>
          <w:color w:val="auto"/>
        </w:rPr>
        <w:fldChar w:fldCharType="separate"/>
      </w:r>
      <w:r w:rsidR="00353602">
        <w:rPr>
          <w:rFonts w:asciiTheme="minorHAnsi" w:hAnsiTheme="minorHAnsi" w:cstheme="minorHAnsi"/>
          <w:i w:val="0"/>
          <w:noProof/>
          <w:color w:val="auto"/>
        </w:rPr>
        <w:t>5</w:t>
      </w:r>
      <w:r w:rsidRPr="004D1706">
        <w:rPr>
          <w:rFonts w:asciiTheme="minorHAnsi" w:hAnsiTheme="minorHAnsi" w:cstheme="minorHAnsi"/>
          <w:i w:val="0"/>
          <w:color w:val="auto"/>
        </w:rPr>
        <w:fldChar w:fldCharType="end"/>
      </w:r>
      <w:r w:rsidRPr="004D1706">
        <w:rPr>
          <w:rFonts w:asciiTheme="minorHAnsi" w:hAnsiTheme="minorHAnsi" w:cstheme="minorHAnsi"/>
          <w:i w:val="0"/>
          <w:color w:val="auto"/>
        </w:rPr>
        <w:t xml:space="preserve"> - Employés embauchés à l’externe pour une période indéterminée selon le groupe professionnel</w:t>
      </w:r>
    </w:p>
    <w:p w14:paraId="7F7CC584" w14:textId="77777777" w:rsidR="004D1706" w:rsidRPr="004D1706" w:rsidRDefault="00FB155C" w:rsidP="004D1706">
      <w:pPr>
        <w:pStyle w:val="Caption"/>
        <w:keepNext/>
        <w:spacing w:before="240" w:after="0"/>
        <w:jc w:val="center"/>
        <w:rPr>
          <w:rFonts w:asciiTheme="minorHAnsi" w:hAnsiTheme="minorHAnsi" w:cstheme="minorHAnsi"/>
          <w:i w:val="0"/>
          <w:color w:val="auto"/>
        </w:rPr>
      </w:pPr>
      <w:r>
        <w:rPr>
          <w:rFonts w:asciiTheme="minorHAnsi" w:hAnsiTheme="minorHAnsi" w:cstheme="minorHAnsi"/>
          <w:i w:val="0"/>
          <w:color w:val="auto"/>
        </w:rPr>
        <w:t xml:space="preserve">Table </w:t>
      </w:r>
      <w:r w:rsidR="004D1706" w:rsidRPr="004D1706">
        <w:rPr>
          <w:rFonts w:asciiTheme="minorHAnsi" w:hAnsiTheme="minorHAnsi" w:cstheme="minorHAnsi"/>
          <w:i w:val="0"/>
          <w:color w:val="auto"/>
        </w:rPr>
        <w:fldChar w:fldCharType="begin"/>
      </w:r>
      <w:r w:rsidR="004D1706" w:rsidRPr="004D1706">
        <w:rPr>
          <w:rFonts w:asciiTheme="minorHAnsi" w:hAnsiTheme="minorHAnsi" w:cstheme="minorHAnsi"/>
          <w:i w:val="0"/>
          <w:color w:val="auto"/>
        </w:rPr>
        <w:instrText xml:space="preserve"> SEQ Table \* ARABIC </w:instrText>
      </w:r>
      <w:r w:rsidR="004D1706" w:rsidRPr="004D1706">
        <w:rPr>
          <w:rFonts w:asciiTheme="minorHAnsi" w:hAnsiTheme="minorHAnsi" w:cstheme="minorHAnsi"/>
          <w:i w:val="0"/>
          <w:color w:val="auto"/>
        </w:rPr>
        <w:fldChar w:fldCharType="separate"/>
      </w:r>
      <w:r w:rsidR="00766F9D">
        <w:rPr>
          <w:rFonts w:asciiTheme="minorHAnsi" w:hAnsiTheme="minorHAnsi" w:cstheme="minorHAnsi"/>
          <w:i w:val="0"/>
          <w:noProof/>
          <w:color w:val="auto"/>
        </w:rPr>
        <w:t>8</w:t>
      </w:r>
      <w:r w:rsidR="004D1706" w:rsidRPr="004D1706">
        <w:rPr>
          <w:rFonts w:asciiTheme="minorHAnsi" w:hAnsiTheme="minorHAnsi" w:cstheme="minorHAnsi"/>
          <w:i w:val="0"/>
          <w:color w:val="auto"/>
        </w:rPr>
        <w:fldChar w:fldCharType="end"/>
      </w:r>
      <w:r w:rsidR="004D1706" w:rsidRPr="004D1706">
        <w:rPr>
          <w:rFonts w:asciiTheme="minorHAnsi" w:hAnsiTheme="minorHAnsi" w:cstheme="minorHAnsi"/>
          <w:i w:val="0"/>
          <w:color w:val="auto"/>
        </w:rPr>
        <w:t xml:space="preserve"> - Embauche externe à des postes pour une période indéterminée selon le groupe professionnel, de 2018 à 2019</w:t>
      </w:r>
    </w:p>
    <w:tbl>
      <w:tblPr>
        <w:tblStyle w:val="TableGrid"/>
        <w:tblW w:w="5000" w:type="pct"/>
        <w:jc w:val="center"/>
        <w:tblLook w:val="0020" w:firstRow="1" w:lastRow="0" w:firstColumn="0" w:lastColumn="0" w:noHBand="0" w:noVBand="0"/>
        <w:tblDescription w:val="Embauches externes indéterminées selon le groupe professionnel 2018-2019"/>
      </w:tblPr>
      <w:tblGrid>
        <w:gridCol w:w="3822"/>
        <w:gridCol w:w="5246"/>
        <w:gridCol w:w="5344"/>
      </w:tblGrid>
      <w:tr w:rsidR="004D1706" w:rsidRPr="004D1706" w14:paraId="662F969B" w14:textId="77777777" w:rsidTr="0037297E">
        <w:trPr>
          <w:cantSplit/>
          <w:trHeight w:val="290"/>
          <w:tblHeader/>
          <w:jc w:val="center"/>
        </w:trPr>
        <w:tc>
          <w:tcPr>
            <w:tcW w:w="1326" w:type="pct"/>
          </w:tcPr>
          <w:p w14:paraId="70B26059" w14:textId="77777777" w:rsidR="00A7023F" w:rsidRPr="004D1706" w:rsidRDefault="00A7023F" w:rsidP="004D1706">
            <w:pPr>
              <w:pStyle w:val="TableTitle"/>
              <w:rPr>
                <w:color w:val="auto"/>
                <w:sz w:val="22"/>
                <w:lang w:val="fr-CA"/>
              </w:rPr>
            </w:pPr>
            <w:r w:rsidRPr="004D1706">
              <w:rPr>
                <w:color w:val="auto"/>
                <w:sz w:val="22"/>
                <w:lang w:val="fr-CA"/>
              </w:rPr>
              <w:t>Groupes professionnels</w:t>
            </w:r>
          </w:p>
        </w:tc>
        <w:tc>
          <w:tcPr>
            <w:tcW w:w="1820" w:type="pct"/>
          </w:tcPr>
          <w:p w14:paraId="062718DE" w14:textId="77777777" w:rsidR="00A7023F" w:rsidRPr="004D1706" w:rsidRDefault="00A7023F" w:rsidP="004D1706">
            <w:pPr>
              <w:pStyle w:val="TableTitle"/>
              <w:rPr>
                <w:color w:val="auto"/>
                <w:sz w:val="22"/>
                <w:lang w:val="fr-CA"/>
              </w:rPr>
            </w:pPr>
            <w:r w:rsidRPr="004D1706">
              <w:rPr>
                <w:color w:val="auto"/>
                <w:sz w:val="22"/>
                <w:lang w:val="fr-CA"/>
              </w:rPr>
              <w:t>Nombre d'embauches pour une période indéterminée dans</w:t>
            </w:r>
            <w:r w:rsidR="004D1706">
              <w:rPr>
                <w:color w:val="auto"/>
                <w:sz w:val="22"/>
                <w:lang w:val="fr-CA"/>
              </w:rPr>
              <w:t xml:space="preserve"> </w:t>
            </w:r>
            <w:r w:rsidRPr="004D1706">
              <w:rPr>
                <w:color w:val="auto"/>
                <w:sz w:val="22"/>
                <w:lang w:val="fr-CA"/>
              </w:rPr>
              <w:t>l’organisation</w:t>
            </w:r>
          </w:p>
        </w:tc>
        <w:tc>
          <w:tcPr>
            <w:tcW w:w="1854" w:type="pct"/>
          </w:tcPr>
          <w:p w14:paraId="24F1AABB" w14:textId="77777777" w:rsidR="00A7023F" w:rsidRPr="004D1706" w:rsidRDefault="00A7023F" w:rsidP="004D1706">
            <w:pPr>
              <w:pStyle w:val="TableTitle"/>
              <w:rPr>
                <w:color w:val="auto"/>
                <w:sz w:val="22"/>
                <w:lang w:val="fr-CA"/>
              </w:rPr>
            </w:pPr>
            <w:r w:rsidRPr="004D1706">
              <w:rPr>
                <w:color w:val="auto"/>
                <w:sz w:val="22"/>
                <w:lang w:val="fr-CA"/>
              </w:rPr>
              <w:t>Pourcentage d'embauches pour une période indéterminée dans l’organisation</w:t>
            </w:r>
          </w:p>
        </w:tc>
      </w:tr>
      <w:tr w:rsidR="004D1706" w:rsidRPr="004D1706" w14:paraId="0770B15F" w14:textId="77777777" w:rsidTr="0037297E">
        <w:trPr>
          <w:cantSplit/>
          <w:trHeight w:val="290"/>
          <w:tblHeader/>
          <w:jc w:val="center"/>
        </w:trPr>
        <w:tc>
          <w:tcPr>
            <w:tcW w:w="1326" w:type="pct"/>
          </w:tcPr>
          <w:p w14:paraId="4AB1ADDF" w14:textId="77777777" w:rsidR="00A7023F" w:rsidRPr="004D1706" w:rsidRDefault="00A7023F" w:rsidP="00BF469C">
            <w:pPr>
              <w:autoSpaceDE w:val="0"/>
              <w:autoSpaceDN w:val="0"/>
              <w:adjustRightInd w:val="0"/>
              <w:rPr>
                <w:rFonts w:asciiTheme="minorHAnsi" w:hAnsiTheme="minorHAnsi" w:cstheme="minorHAnsi"/>
                <w:sz w:val="22"/>
                <w:szCs w:val="24"/>
                <w:lang w:val="fr-CA"/>
              </w:rPr>
            </w:pPr>
            <w:r w:rsidRPr="004D1706">
              <w:rPr>
                <w:rFonts w:asciiTheme="minorHAnsi" w:hAnsiTheme="minorHAnsi" w:cstheme="minorHAnsi"/>
                <w:sz w:val="22"/>
                <w:szCs w:val="24"/>
                <w:lang w:val="fr-CA"/>
              </w:rPr>
              <w:t>EC – Groupe Économique et services sciences sociales</w:t>
            </w:r>
          </w:p>
        </w:tc>
        <w:tc>
          <w:tcPr>
            <w:tcW w:w="1820" w:type="pct"/>
          </w:tcPr>
          <w:p w14:paraId="1D681DA1" w14:textId="77777777" w:rsidR="00A7023F" w:rsidRPr="004D1706" w:rsidRDefault="00A7023F" w:rsidP="00BF469C">
            <w:pPr>
              <w:autoSpaceDE w:val="0"/>
              <w:autoSpaceDN w:val="0"/>
              <w:adjustRightInd w:val="0"/>
              <w:jc w:val="center"/>
              <w:rPr>
                <w:rFonts w:asciiTheme="minorHAnsi" w:hAnsiTheme="minorHAnsi" w:cstheme="minorHAnsi"/>
                <w:sz w:val="22"/>
                <w:szCs w:val="24"/>
                <w:lang w:val="fr-CA"/>
              </w:rPr>
            </w:pPr>
            <w:r w:rsidRPr="004D1706">
              <w:rPr>
                <w:rFonts w:asciiTheme="minorHAnsi" w:hAnsiTheme="minorHAnsi" w:cstheme="minorHAnsi"/>
                <w:sz w:val="22"/>
                <w:szCs w:val="24"/>
                <w:lang w:val="fr-CA"/>
              </w:rPr>
              <w:t>29</w:t>
            </w:r>
          </w:p>
        </w:tc>
        <w:tc>
          <w:tcPr>
            <w:tcW w:w="1854" w:type="pct"/>
          </w:tcPr>
          <w:p w14:paraId="3E456641" w14:textId="6F611A16" w:rsidR="00A7023F" w:rsidRPr="004D1706" w:rsidRDefault="00A7023F" w:rsidP="00BF469C">
            <w:pPr>
              <w:autoSpaceDE w:val="0"/>
              <w:autoSpaceDN w:val="0"/>
              <w:adjustRightInd w:val="0"/>
              <w:jc w:val="center"/>
              <w:rPr>
                <w:rFonts w:asciiTheme="minorHAnsi" w:hAnsiTheme="minorHAnsi" w:cstheme="minorHAnsi"/>
                <w:sz w:val="22"/>
                <w:szCs w:val="24"/>
                <w:lang w:val="fr-CA"/>
              </w:rPr>
            </w:pPr>
            <w:r w:rsidRPr="004D1706">
              <w:rPr>
                <w:rFonts w:asciiTheme="minorHAnsi" w:hAnsiTheme="minorHAnsi" w:cstheme="minorHAnsi"/>
                <w:sz w:val="22"/>
                <w:szCs w:val="24"/>
                <w:lang w:val="fr-CA"/>
              </w:rPr>
              <w:t>36</w:t>
            </w:r>
            <w:r w:rsidR="006D7FE7">
              <w:rPr>
                <w:rFonts w:asciiTheme="minorHAnsi" w:hAnsiTheme="minorHAnsi" w:cstheme="minorHAnsi"/>
                <w:sz w:val="22"/>
                <w:szCs w:val="24"/>
                <w:lang w:val="fr-CA"/>
              </w:rPr>
              <w:t xml:space="preserve"> </w:t>
            </w:r>
            <w:r w:rsidRPr="004D1706">
              <w:rPr>
                <w:rFonts w:asciiTheme="minorHAnsi" w:hAnsiTheme="minorHAnsi" w:cstheme="minorHAnsi"/>
                <w:sz w:val="22"/>
                <w:szCs w:val="24"/>
                <w:lang w:val="fr-CA"/>
              </w:rPr>
              <w:t>%</w:t>
            </w:r>
          </w:p>
        </w:tc>
      </w:tr>
      <w:tr w:rsidR="004D1706" w:rsidRPr="004D1706" w14:paraId="6C42D212" w14:textId="77777777" w:rsidTr="0037297E">
        <w:trPr>
          <w:cantSplit/>
          <w:trHeight w:val="290"/>
          <w:tblHeader/>
          <w:jc w:val="center"/>
        </w:trPr>
        <w:tc>
          <w:tcPr>
            <w:tcW w:w="1326" w:type="pct"/>
          </w:tcPr>
          <w:p w14:paraId="09513041" w14:textId="77777777" w:rsidR="00A7023F" w:rsidRPr="004D1706" w:rsidRDefault="00A7023F" w:rsidP="00BF469C">
            <w:pPr>
              <w:autoSpaceDE w:val="0"/>
              <w:autoSpaceDN w:val="0"/>
              <w:adjustRightInd w:val="0"/>
              <w:rPr>
                <w:rFonts w:asciiTheme="minorHAnsi" w:hAnsiTheme="minorHAnsi" w:cstheme="minorHAnsi"/>
                <w:sz w:val="22"/>
                <w:szCs w:val="24"/>
                <w:lang w:val="fr-CA"/>
              </w:rPr>
            </w:pPr>
            <w:r w:rsidRPr="004D1706">
              <w:rPr>
                <w:rFonts w:asciiTheme="minorHAnsi" w:hAnsiTheme="minorHAnsi" w:cstheme="minorHAnsi"/>
                <w:sz w:val="22"/>
                <w:szCs w:val="24"/>
                <w:lang w:val="fr-CA"/>
              </w:rPr>
              <w:t>AS – Services administratifs</w:t>
            </w:r>
          </w:p>
        </w:tc>
        <w:tc>
          <w:tcPr>
            <w:tcW w:w="1820" w:type="pct"/>
          </w:tcPr>
          <w:p w14:paraId="0AB4DD92" w14:textId="77777777" w:rsidR="00A7023F" w:rsidRPr="004D1706" w:rsidRDefault="00A7023F" w:rsidP="00BF469C">
            <w:pPr>
              <w:autoSpaceDE w:val="0"/>
              <w:autoSpaceDN w:val="0"/>
              <w:adjustRightInd w:val="0"/>
              <w:jc w:val="center"/>
              <w:rPr>
                <w:rFonts w:asciiTheme="minorHAnsi" w:hAnsiTheme="minorHAnsi" w:cstheme="minorHAnsi"/>
                <w:sz w:val="22"/>
                <w:szCs w:val="24"/>
                <w:lang w:val="fr-CA"/>
              </w:rPr>
            </w:pPr>
            <w:r w:rsidRPr="004D1706">
              <w:rPr>
                <w:rFonts w:asciiTheme="minorHAnsi" w:hAnsiTheme="minorHAnsi" w:cstheme="minorHAnsi"/>
                <w:sz w:val="22"/>
                <w:szCs w:val="24"/>
                <w:lang w:val="fr-CA"/>
              </w:rPr>
              <w:t>21</w:t>
            </w:r>
          </w:p>
        </w:tc>
        <w:tc>
          <w:tcPr>
            <w:tcW w:w="1854" w:type="pct"/>
          </w:tcPr>
          <w:p w14:paraId="57A4E71B" w14:textId="7B32B521" w:rsidR="00A7023F" w:rsidRPr="004D1706" w:rsidRDefault="00A7023F" w:rsidP="00BF469C">
            <w:pPr>
              <w:autoSpaceDE w:val="0"/>
              <w:autoSpaceDN w:val="0"/>
              <w:adjustRightInd w:val="0"/>
              <w:jc w:val="center"/>
              <w:rPr>
                <w:rFonts w:asciiTheme="minorHAnsi" w:hAnsiTheme="minorHAnsi" w:cstheme="minorHAnsi"/>
                <w:sz w:val="22"/>
                <w:szCs w:val="24"/>
                <w:lang w:val="fr-CA"/>
              </w:rPr>
            </w:pPr>
            <w:r w:rsidRPr="004D1706">
              <w:rPr>
                <w:rFonts w:asciiTheme="minorHAnsi" w:hAnsiTheme="minorHAnsi" w:cstheme="minorHAnsi"/>
                <w:sz w:val="22"/>
                <w:szCs w:val="24"/>
                <w:lang w:val="fr-CA"/>
              </w:rPr>
              <w:t>26</w:t>
            </w:r>
            <w:r w:rsidR="006D7FE7">
              <w:rPr>
                <w:rFonts w:asciiTheme="minorHAnsi" w:hAnsiTheme="minorHAnsi" w:cstheme="minorHAnsi"/>
                <w:sz w:val="22"/>
                <w:szCs w:val="24"/>
                <w:lang w:val="fr-CA"/>
              </w:rPr>
              <w:t xml:space="preserve"> </w:t>
            </w:r>
            <w:r w:rsidRPr="004D1706">
              <w:rPr>
                <w:rFonts w:asciiTheme="minorHAnsi" w:hAnsiTheme="minorHAnsi" w:cstheme="minorHAnsi"/>
                <w:sz w:val="22"/>
                <w:szCs w:val="24"/>
                <w:lang w:val="fr-CA"/>
              </w:rPr>
              <w:t>%</w:t>
            </w:r>
          </w:p>
        </w:tc>
      </w:tr>
      <w:tr w:rsidR="004D1706" w:rsidRPr="004D1706" w14:paraId="48C9D61F" w14:textId="77777777" w:rsidTr="0037297E">
        <w:trPr>
          <w:cantSplit/>
          <w:trHeight w:val="290"/>
          <w:tblHeader/>
          <w:jc w:val="center"/>
        </w:trPr>
        <w:tc>
          <w:tcPr>
            <w:tcW w:w="1326" w:type="pct"/>
          </w:tcPr>
          <w:p w14:paraId="5A81DF85" w14:textId="77777777" w:rsidR="00A7023F" w:rsidRPr="004D1706" w:rsidRDefault="00A7023F" w:rsidP="00BF469C">
            <w:pPr>
              <w:autoSpaceDE w:val="0"/>
              <w:autoSpaceDN w:val="0"/>
              <w:adjustRightInd w:val="0"/>
              <w:rPr>
                <w:rFonts w:asciiTheme="minorHAnsi" w:hAnsiTheme="minorHAnsi" w:cstheme="minorHAnsi"/>
                <w:sz w:val="22"/>
                <w:szCs w:val="24"/>
                <w:lang w:val="fr-CA"/>
              </w:rPr>
            </w:pPr>
            <w:r w:rsidRPr="004D1706">
              <w:rPr>
                <w:rFonts w:asciiTheme="minorHAnsi" w:hAnsiTheme="minorHAnsi" w:cstheme="minorHAnsi"/>
                <w:sz w:val="22"/>
                <w:szCs w:val="24"/>
                <w:lang w:val="fr-CA"/>
              </w:rPr>
              <w:t>PM – Administration des programmes</w:t>
            </w:r>
          </w:p>
        </w:tc>
        <w:tc>
          <w:tcPr>
            <w:tcW w:w="1820" w:type="pct"/>
          </w:tcPr>
          <w:p w14:paraId="4368C935" w14:textId="77777777" w:rsidR="00A7023F" w:rsidRPr="004D1706" w:rsidRDefault="00A7023F" w:rsidP="00BF469C">
            <w:pPr>
              <w:autoSpaceDE w:val="0"/>
              <w:autoSpaceDN w:val="0"/>
              <w:adjustRightInd w:val="0"/>
              <w:jc w:val="center"/>
              <w:rPr>
                <w:rFonts w:asciiTheme="minorHAnsi" w:hAnsiTheme="minorHAnsi" w:cstheme="minorHAnsi"/>
                <w:sz w:val="22"/>
                <w:szCs w:val="24"/>
                <w:lang w:val="fr-CA"/>
              </w:rPr>
            </w:pPr>
            <w:r w:rsidRPr="004D1706">
              <w:rPr>
                <w:rFonts w:asciiTheme="minorHAnsi" w:hAnsiTheme="minorHAnsi" w:cstheme="minorHAnsi"/>
                <w:sz w:val="22"/>
                <w:szCs w:val="24"/>
                <w:lang w:val="fr-CA"/>
              </w:rPr>
              <w:t>13</w:t>
            </w:r>
          </w:p>
        </w:tc>
        <w:tc>
          <w:tcPr>
            <w:tcW w:w="1854" w:type="pct"/>
          </w:tcPr>
          <w:p w14:paraId="25FBD291" w14:textId="635B9C8F" w:rsidR="00A7023F" w:rsidRPr="004D1706" w:rsidRDefault="00A7023F" w:rsidP="00BF469C">
            <w:pPr>
              <w:autoSpaceDE w:val="0"/>
              <w:autoSpaceDN w:val="0"/>
              <w:adjustRightInd w:val="0"/>
              <w:jc w:val="center"/>
              <w:rPr>
                <w:rFonts w:asciiTheme="minorHAnsi" w:hAnsiTheme="minorHAnsi" w:cstheme="minorHAnsi"/>
                <w:sz w:val="22"/>
                <w:szCs w:val="24"/>
                <w:lang w:val="fr-CA"/>
              </w:rPr>
            </w:pPr>
            <w:r w:rsidRPr="004D1706">
              <w:rPr>
                <w:rFonts w:asciiTheme="minorHAnsi" w:hAnsiTheme="minorHAnsi" w:cstheme="minorHAnsi"/>
                <w:sz w:val="22"/>
                <w:szCs w:val="24"/>
                <w:lang w:val="fr-CA"/>
              </w:rPr>
              <w:t>16</w:t>
            </w:r>
            <w:r w:rsidR="006D7FE7">
              <w:rPr>
                <w:rFonts w:asciiTheme="minorHAnsi" w:hAnsiTheme="minorHAnsi" w:cstheme="minorHAnsi"/>
                <w:sz w:val="22"/>
                <w:szCs w:val="24"/>
                <w:lang w:val="fr-CA"/>
              </w:rPr>
              <w:t xml:space="preserve"> </w:t>
            </w:r>
            <w:r w:rsidRPr="004D1706">
              <w:rPr>
                <w:rFonts w:asciiTheme="minorHAnsi" w:hAnsiTheme="minorHAnsi" w:cstheme="minorHAnsi"/>
                <w:sz w:val="22"/>
                <w:szCs w:val="24"/>
                <w:lang w:val="fr-CA"/>
              </w:rPr>
              <w:t>%</w:t>
            </w:r>
          </w:p>
        </w:tc>
      </w:tr>
      <w:tr w:rsidR="004D1706" w:rsidRPr="004D1706" w14:paraId="51CBF223" w14:textId="77777777" w:rsidTr="0037297E">
        <w:trPr>
          <w:cantSplit/>
          <w:trHeight w:val="290"/>
          <w:tblHeader/>
          <w:jc w:val="center"/>
        </w:trPr>
        <w:tc>
          <w:tcPr>
            <w:tcW w:w="1326" w:type="pct"/>
          </w:tcPr>
          <w:p w14:paraId="02284E1D" w14:textId="77777777" w:rsidR="00A7023F" w:rsidRPr="004D1706" w:rsidRDefault="00A7023F" w:rsidP="00BF469C">
            <w:pPr>
              <w:autoSpaceDE w:val="0"/>
              <w:autoSpaceDN w:val="0"/>
              <w:adjustRightInd w:val="0"/>
              <w:rPr>
                <w:rFonts w:asciiTheme="minorHAnsi" w:hAnsiTheme="minorHAnsi" w:cstheme="minorHAnsi"/>
                <w:sz w:val="22"/>
                <w:szCs w:val="24"/>
                <w:lang w:val="fr-CA"/>
              </w:rPr>
            </w:pPr>
            <w:r w:rsidRPr="004D1706">
              <w:rPr>
                <w:rFonts w:asciiTheme="minorHAnsi" w:hAnsiTheme="minorHAnsi" w:cstheme="minorHAnsi"/>
                <w:sz w:val="22"/>
                <w:szCs w:val="24"/>
                <w:lang w:val="fr-CA"/>
              </w:rPr>
              <w:t>Autre</w:t>
            </w:r>
          </w:p>
        </w:tc>
        <w:tc>
          <w:tcPr>
            <w:tcW w:w="1820" w:type="pct"/>
          </w:tcPr>
          <w:p w14:paraId="5F4962C2" w14:textId="77777777" w:rsidR="00A7023F" w:rsidRPr="004D1706" w:rsidRDefault="00A7023F" w:rsidP="00BF469C">
            <w:pPr>
              <w:autoSpaceDE w:val="0"/>
              <w:autoSpaceDN w:val="0"/>
              <w:adjustRightInd w:val="0"/>
              <w:jc w:val="center"/>
              <w:rPr>
                <w:rFonts w:asciiTheme="minorHAnsi" w:hAnsiTheme="minorHAnsi" w:cstheme="minorHAnsi"/>
                <w:sz w:val="22"/>
                <w:szCs w:val="24"/>
                <w:lang w:val="fr-CA"/>
              </w:rPr>
            </w:pPr>
            <w:r w:rsidRPr="004D1706">
              <w:rPr>
                <w:rFonts w:asciiTheme="minorHAnsi" w:hAnsiTheme="minorHAnsi" w:cstheme="minorHAnsi"/>
                <w:sz w:val="22"/>
                <w:szCs w:val="24"/>
                <w:lang w:val="fr-CA"/>
              </w:rPr>
              <w:t>17</w:t>
            </w:r>
          </w:p>
        </w:tc>
        <w:tc>
          <w:tcPr>
            <w:tcW w:w="1854" w:type="pct"/>
          </w:tcPr>
          <w:p w14:paraId="1D5E9D79" w14:textId="4C92179B" w:rsidR="00A7023F" w:rsidRPr="004D1706" w:rsidRDefault="00A7023F" w:rsidP="00BF469C">
            <w:pPr>
              <w:autoSpaceDE w:val="0"/>
              <w:autoSpaceDN w:val="0"/>
              <w:adjustRightInd w:val="0"/>
              <w:jc w:val="center"/>
              <w:rPr>
                <w:rFonts w:asciiTheme="minorHAnsi" w:hAnsiTheme="minorHAnsi" w:cstheme="minorHAnsi"/>
                <w:sz w:val="22"/>
                <w:szCs w:val="24"/>
                <w:lang w:val="fr-CA"/>
              </w:rPr>
            </w:pPr>
            <w:r w:rsidRPr="004D1706">
              <w:rPr>
                <w:rFonts w:asciiTheme="minorHAnsi" w:hAnsiTheme="minorHAnsi" w:cstheme="minorHAnsi"/>
                <w:sz w:val="22"/>
                <w:szCs w:val="24"/>
                <w:lang w:val="fr-CA"/>
              </w:rPr>
              <w:t>21</w:t>
            </w:r>
            <w:r w:rsidR="006D7FE7">
              <w:rPr>
                <w:rFonts w:asciiTheme="minorHAnsi" w:hAnsiTheme="minorHAnsi" w:cstheme="minorHAnsi"/>
                <w:sz w:val="22"/>
                <w:szCs w:val="24"/>
                <w:lang w:val="fr-CA"/>
              </w:rPr>
              <w:t xml:space="preserve"> </w:t>
            </w:r>
            <w:r w:rsidRPr="004D1706">
              <w:rPr>
                <w:rFonts w:asciiTheme="minorHAnsi" w:hAnsiTheme="minorHAnsi" w:cstheme="minorHAnsi"/>
                <w:sz w:val="22"/>
                <w:szCs w:val="24"/>
                <w:lang w:val="fr-CA"/>
              </w:rPr>
              <w:t>%</w:t>
            </w:r>
          </w:p>
        </w:tc>
      </w:tr>
      <w:tr w:rsidR="004D1706" w:rsidRPr="004D1706" w14:paraId="2AE0D271" w14:textId="77777777" w:rsidTr="0037297E">
        <w:trPr>
          <w:cantSplit/>
          <w:trHeight w:val="290"/>
          <w:tblHeader/>
          <w:jc w:val="center"/>
        </w:trPr>
        <w:tc>
          <w:tcPr>
            <w:tcW w:w="1326" w:type="pct"/>
          </w:tcPr>
          <w:p w14:paraId="181517FC" w14:textId="77777777" w:rsidR="00A7023F" w:rsidRPr="004D1706" w:rsidRDefault="00A7023F" w:rsidP="00BF469C">
            <w:pPr>
              <w:autoSpaceDE w:val="0"/>
              <w:autoSpaceDN w:val="0"/>
              <w:adjustRightInd w:val="0"/>
              <w:rPr>
                <w:rFonts w:asciiTheme="minorHAnsi" w:hAnsiTheme="minorHAnsi" w:cstheme="minorHAnsi"/>
                <w:sz w:val="22"/>
                <w:szCs w:val="24"/>
                <w:lang w:val="fr-CA"/>
              </w:rPr>
            </w:pPr>
            <w:r w:rsidRPr="004D1706">
              <w:rPr>
                <w:rFonts w:asciiTheme="minorHAnsi" w:hAnsiTheme="minorHAnsi" w:cstheme="minorHAnsi"/>
                <w:sz w:val="22"/>
                <w:szCs w:val="24"/>
                <w:lang w:val="fr-CA"/>
              </w:rPr>
              <w:t>Total</w:t>
            </w:r>
          </w:p>
        </w:tc>
        <w:tc>
          <w:tcPr>
            <w:tcW w:w="1820" w:type="pct"/>
          </w:tcPr>
          <w:p w14:paraId="7C45EE44" w14:textId="77777777" w:rsidR="00A7023F" w:rsidRPr="004D1706" w:rsidRDefault="00A7023F" w:rsidP="00BF469C">
            <w:pPr>
              <w:autoSpaceDE w:val="0"/>
              <w:autoSpaceDN w:val="0"/>
              <w:adjustRightInd w:val="0"/>
              <w:jc w:val="center"/>
              <w:rPr>
                <w:rFonts w:asciiTheme="minorHAnsi" w:hAnsiTheme="minorHAnsi" w:cstheme="minorHAnsi"/>
                <w:sz w:val="22"/>
                <w:szCs w:val="24"/>
                <w:lang w:val="fr-CA"/>
              </w:rPr>
            </w:pPr>
            <w:r w:rsidRPr="004D1706">
              <w:rPr>
                <w:rFonts w:asciiTheme="minorHAnsi" w:hAnsiTheme="minorHAnsi" w:cstheme="minorHAnsi"/>
                <w:sz w:val="22"/>
                <w:szCs w:val="24"/>
                <w:lang w:val="fr-CA"/>
              </w:rPr>
              <w:t>80</w:t>
            </w:r>
          </w:p>
        </w:tc>
        <w:tc>
          <w:tcPr>
            <w:tcW w:w="1854" w:type="pct"/>
          </w:tcPr>
          <w:p w14:paraId="21D2B119" w14:textId="1BA0603D" w:rsidR="00A7023F" w:rsidRPr="004D1706" w:rsidRDefault="00A7023F" w:rsidP="00BF469C">
            <w:pPr>
              <w:autoSpaceDE w:val="0"/>
              <w:autoSpaceDN w:val="0"/>
              <w:adjustRightInd w:val="0"/>
              <w:jc w:val="center"/>
              <w:rPr>
                <w:rFonts w:asciiTheme="minorHAnsi" w:hAnsiTheme="minorHAnsi" w:cstheme="minorHAnsi"/>
                <w:sz w:val="22"/>
                <w:szCs w:val="24"/>
                <w:lang w:val="fr-CA"/>
              </w:rPr>
            </w:pPr>
            <w:r w:rsidRPr="004D1706">
              <w:rPr>
                <w:rFonts w:asciiTheme="minorHAnsi" w:hAnsiTheme="minorHAnsi" w:cstheme="minorHAnsi"/>
                <w:sz w:val="22"/>
                <w:szCs w:val="24"/>
                <w:lang w:val="fr-CA"/>
              </w:rPr>
              <w:t>100</w:t>
            </w:r>
            <w:r w:rsidR="006D7FE7">
              <w:rPr>
                <w:rFonts w:asciiTheme="minorHAnsi" w:hAnsiTheme="minorHAnsi" w:cstheme="minorHAnsi"/>
                <w:sz w:val="22"/>
                <w:szCs w:val="24"/>
                <w:lang w:val="fr-CA"/>
              </w:rPr>
              <w:t xml:space="preserve"> </w:t>
            </w:r>
            <w:r w:rsidRPr="004D1706">
              <w:rPr>
                <w:rFonts w:asciiTheme="minorHAnsi" w:hAnsiTheme="minorHAnsi" w:cstheme="minorHAnsi"/>
                <w:sz w:val="22"/>
                <w:szCs w:val="24"/>
                <w:lang w:val="fr-CA"/>
              </w:rPr>
              <w:t>%</w:t>
            </w:r>
          </w:p>
        </w:tc>
      </w:tr>
    </w:tbl>
    <w:p w14:paraId="0DF60209" w14:textId="77777777" w:rsidR="00A7023F" w:rsidRDefault="00A7023F" w:rsidP="00413E58">
      <w:pPr>
        <w:tabs>
          <w:tab w:val="left" w:pos="7839"/>
        </w:tabs>
        <w:jc w:val="center"/>
        <w:rPr>
          <w:lang w:val="fr-CA"/>
        </w:rPr>
      </w:pPr>
    </w:p>
    <w:p w14:paraId="31B8C399" w14:textId="77777777" w:rsidR="00A7023F" w:rsidRDefault="00A7023F" w:rsidP="00413E58">
      <w:pPr>
        <w:tabs>
          <w:tab w:val="left" w:pos="7839"/>
        </w:tabs>
        <w:jc w:val="center"/>
        <w:rPr>
          <w:lang w:val="fr-CA"/>
        </w:rPr>
        <w:sectPr w:rsidR="00A7023F" w:rsidSect="00C67F41">
          <w:footnotePr>
            <w:numFmt w:val="lowerLetter"/>
          </w:footnotePr>
          <w:endnotePr>
            <w:numFmt w:val="lowerLetter"/>
          </w:endnotePr>
          <w:pgSz w:w="15840" w:h="12240" w:orient="landscape" w:code="1"/>
          <w:pgMar w:top="567" w:right="709" w:bottom="1304" w:left="709" w:header="284" w:footer="284" w:gutter="0"/>
          <w:cols w:space="720"/>
          <w:docGrid w:linePitch="326"/>
        </w:sectPr>
      </w:pPr>
    </w:p>
    <w:p w14:paraId="1834A47E" w14:textId="77777777" w:rsidR="00FB155C" w:rsidRPr="00FB155C" w:rsidRDefault="00FB155C" w:rsidP="00FB155C">
      <w:pPr>
        <w:pStyle w:val="Heading1"/>
        <w:spacing w:before="120" w:after="120"/>
        <w:rPr>
          <w:sz w:val="40"/>
          <w:lang w:val="en-CA"/>
        </w:rPr>
      </w:pPr>
      <w:r w:rsidRPr="00FB155C">
        <w:rPr>
          <w:rFonts w:eastAsia="Times New Roman"/>
          <w:sz w:val="40"/>
        </w:rPr>
        <w:lastRenderedPageBreak/>
        <w:t>Dotation par région</w:t>
      </w:r>
    </w:p>
    <w:p w14:paraId="36973C6F" w14:textId="77777777" w:rsidR="00FB155C" w:rsidRDefault="00A7023F" w:rsidP="00FB155C">
      <w:pPr>
        <w:keepNext/>
        <w:tabs>
          <w:tab w:val="left" w:pos="7839"/>
        </w:tabs>
        <w:jc w:val="center"/>
      </w:pPr>
      <w:r w:rsidRPr="008F610A">
        <w:rPr>
          <w:noProof/>
          <w:lang w:val="en-CA" w:eastAsia="en-CA"/>
        </w:rPr>
        <w:drawing>
          <wp:inline distT="0" distB="0" distL="0" distR="0" wp14:anchorId="790CC024" wp14:editId="79340CA0">
            <wp:extent cx="5648400" cy="3049200"/>
            <wp:effectExtent l="0" t="0" r="9525" b="18415"/>
            <wp:docPr id="6" name="Chart 6" descr="Dotation par région&#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2F62CD0" w14:textId="77777777" w:rsidR="00A7023F" w:rsidRPr="00FB155C" w:rsidRDefault="00FB155C" w:rsidP="00FB155C">
      <w:pPr>
        <w:pStyle w:val="Caption"/>
        <w:spacing w:after="0"/>
        <w:jc w:val="center"/>
        <w:rPr>
          <w:rFonts w:asciiTheme="minorHAnsi" w:hAnsiTheme="minorHAnsi" w:cstheme="minorHAnsi"/>
          <w:i w:val="0"/>
          <w:color w:val="auto"/>
          <w:lang w:val="fr-CA"/>
        </w:rPr>
      </w:pPr>
      <w:r w:rsidRPr="00FB155C">
        <w:rPr>
          <w:rFonts w:asciiTheme="minorHAnsi" w:hAnsiTheme="minorHAnsi" w:cstheme="minorHAnsi"/>
          <w:i w:val="0"/>
          <w:color w:val="auto"/>
        </w:rPr>
        <w:t xml:space="preserve">Figure </w:t>
      </w:r>
      <w:r w:rsidRPr="00FB155C">
        <w:rPr>
          <w:rFonts w:asciiTheme="minorHAnsi" w:hAnsiTheme="minorHAnsi" w:cstheme="minorHAnsi"/>
          <w:i w:val="0"/>
          <w:color w:val="auto"/>
        </w:rPr>
        <w:fldChar w:fldCharType="begin"/>
      </w:r>
      <w:r w:rsidRPr="00FB155C">
        <w:rPr>
          <w:rFonts w:asciiTheme="minorHAnsi" w:hAnsiTheme="minorHAnsi" w:cstheme="minorHAnsi"/>
          <w:i w:val="0"/>
          <w:color w:val="auto"/>
        </w:rPr>
        <w:instrText xml:space="preserve"> SEQ Figure \* ARABIC </w:instrText>
      </w:r>
      <w:r w:rsidRPr="00FB155C">
        <w:rPr>
          <w:rFonts w:asciiTheme="minorHAnsi" w:hAnsiTheme="minorHAnsi" w:cstheme="minorHAnsi"/>
          <w:i w:val="0"/>
          <w:color w:val="auto"/>
        </w:rPr>
        <w:fldChar w:fldCharType="separate"/>
      </w:r>
      <w:r w:rsidR="00353602">
        <w:rPr>
          <w:rFonts w:asciiTheme="minorHAnsi" w:hAnsiTheme="minorHAnsi" w:cstheme="minorHAnsi"/>
          <w:i w:val="0"/>
          <w:noProof/>
          <w:color w:val="auto"/>
        </w:rPr>
        <w:t>6</w:t>
      </w:r>
      <w:r w:rsidRPr="00FB155C">
        <w:rPr>
          <w:rFonts w:asciiTheme="minorHAnsi" w:hAnsiTheme="minorHAnsi" w:cstheme="minorHAnsi"/>
          <w:i w:val="0"/>
          <w:color w:val="auto"/>
        </w:rPr>
        <w:fldChar w:fldCharType="end"/>
      </w:r>
      <w:r w:rsidRPr="00FB155C">
        <w:rPr>
          <w:rFonts w:asciiTheme="minorHAnsi" w:hAnsiTheme="minorHAnsi" w:cstheme="minorHAnsi"/>
          <w:i w:val="0"/>
          <w:color w:val="auto"/>
        </w:rPr>
        <w:t xml:space="preserve"> - Dotation par région</w:t>
      </w:r>
    </w:p>
    <w:p w14:paraId="19221423" w14:textId="77777777" w:rsidR="00FB155C" w:rsidRPr="00FB155C" w:rsidRDefault="00FB155C" w:rsidP="00FB155C">
      <w:pPr>
        <w:pStyle w:val="Caption"/>
        <w:keepNext/>
        <w:spacing w:before="240" w:after="0"/>
        <w:jc w:val="center"/>
        <w:rPr>
          <w:rFonts w:asciiTheme="minorHAnsi" w:hAnsiTheme="minorHAnsi" w:cstheme="minorHAnsi"/>
          <w:i w:val="0"/>
          <w:color w:val="auto"/>
        </w:rPr>
      </w:pPr>
      <w:r w:rsidRPr="00FB155C">
        <w:rPr>
          <w:rFonts w:asciiTheme="minorHAnsi" w:hAnsiTheme="minorHAnsi" w:cstheme="minorHAnsi"/>
          <w:i w:val="0"/>
          <w:color w:val="auto"/>
        </w:rPr>
        <w:t xml:space="preserve">Table </w:t>
      </w:r>
      <w:r w:rsidRPr="00FB155C">
        <w:rPr>
          <w:rFonts w:asciiTheme="minorHAnsi" w:hAnsiTheme="minorHAnsi" w:cstheme="minorHAnsi"/>
          <w:i w:val="0"/>
          <w:color w:val="auto"/>
        </w:rPr>
        <w:fldChar w:fldCharType="begin"/>
      </w:r>
      <w:r w:rsidRPr="00FB155C">
        <w:rPr>
          <w:rFonts w:asciiTheme="minorHAnsi" w:hAnsiTheme="minorHAnsi" w:cstheme="minorHAnsi"/>
          <w:i w:val="0"/>
          <w:color w:val="auto"/>
        </w:rPr>
        <w:instrText xml:space="preserve"> SEQ Table \* ARABIC </w:instrText>
      </w:r>
      <w:r w:rsidRPr="00FB155C">
        <w:rPr>
          <w:rFonts w:asciiTheme="minorHAnsi" w:hAnsiTheme="minorHAnsi" w:cstheme="minorHAnsi"/>
          <w:i w:val="0"/>
          <w:color w:val="auto"/>
        </w:rPr>
        <w:fldChar w:fldCharType="separate"/>
      </w:r>
      <w:r w:rsidR="00766F9D">
        <w:rPr>
          <w:rFonts w:asciiTheme="minorHAnsi" w:hAnsiTheme="minorHAnsi" w:cstheme="minorHAnsi"/>
          <w:i w:val="0"/>
          <w:noProof/>
          <w:color w:val="auto"/>
        </w:rPr>
        <w:t>9</w:t>
      </w:r>
      <w:r w:rsidRPr="00FB155C">
        <w:rPr>
          <w:rFonts w:asciiTheme="minorHAnsi" w:hAnsiTheme="minorHAnsi" w:cstheme="minorHAnsi"/>
          <w:i w:val="0"/>
          <w:color w:val="auto"/>
        </w:rPr>
        <w:fldChar w:fldCharType="end"/>
      </w:r>
      <w:r w:rsidRPr="00FB155C">
        <w:rPr>
          <w:rFonts w:asciiTheme="minorHAnsi" w:hAnsiTheme="minorHAnsi" w:cstheme="minorHAnsi"/>
          <w:i w:val="0"/>
          <w:color w:val="auto"/>
        </w:rPr>
        <w:t xml:space="preserve"> - Pourcentage des activités de dotation dans la région de la capitale nationale en comparaison avec les régions à l’extérieur de la région de la capitale nationale selon l'exercice financier</w:t>
      </w:r>
    </w:p>
    <w:tbl>
      <w:tblPr>
        <w:tblStyle w:val="TableGrid"/>
        <w:tblW w:w="5000" w:type="pct"/>
        <w:jc w:val="center"/>
        <w:tblLook w:val="0020" w:firstRow="1" w:lastRow="0" w:firstColumn="0" w:lastColumn="0" w:noHBand="0" w:noVBand="0"/>
        <w:tblDescription w:val="Dotation selon la région de 2014 à 2019"/>
      </w:tblPr>
      <w:tblGrid>
        <w:gridCol w:w="1695"/>
        <w:gridCol w:w="6096"/>
        <w:gridCol w:w="6621"/>
      </w:tblGrid>
      <w:tr w:rsidR="00FB155C" w:rsidRPr="00FB155C" w14:paraId="551A372F" w14:textId="77777777" w:rsidTr="006C2E0A">
        <w:trPr>
          <w:cantSplit/>
          <w:trHeight w:val="290"/>
          <w:tblHeader/>
          <w:jc w:val="center"/>
        </w:trPr>
        <w:tc>
          <w:tcPr>
            <w:tcW w:w="588" w:type="pct"/>
          </w:tcPr>
          <w:p w14:paraId="4B6B3DC2" w14:textId="77777777" w:rsidR="00A7023F" w:rsidRPr="00FB155C" w:rsidRDefault="00A7023F" w:rsidP="00FB155C">
            <w:pPr>
              <w:pStyle w:val="TableTitle"/>
              <w:rPr>
                <w:color w:val="auto"/>
                <w:sz w:val="22"/>
                <w:lang w:val="fr-CA"/>
              </w:rPr>
            </w:pPr>
            <w:r w:rsidRPr="00FB155C">
              <w:rPr>
                <w:color w:val="auto"/>
                <w:sz w:val="22"/>
                <w:lang w:val="fr-CA"/>
              </w:rPr>
              <w:t>L'exercice financier</w:t>
            </w:r>
          </w:p>
        </w:tc>
        <w:tc>
          <w:tcPr>
            <w:tcW w:w="2115" w:type="pct"/>
          </w:tcPr>
          <w:p w14:paraId="6C2D1A69" w14:textId="77777777" w:rsidR="00A7023F" w:rsidRPr="00FB155C" w:rsidRDefault="00A7023F" w:rsidP="00FB155C">
            <w:pPr>
              <w:pStyle w:val="TableTitle"/>
              <w:rPr>
                <w:color w:val="auto"/>
                <w:sz w:val="22"/>
                <w:lang w:val="fr-CA"/>
              </w:rPr>
            </w:pPr>
            <w:r w:rsidRPr="00FB155C">
              <w:rPr>
                <w:color w:val="auto"/>
                <w:sz w:val="22"/>
                <w:lang w:val="fr-CA"/>
              </w:rPr>
              <w:t xml:space="preserve">Pourcentage des activités de dotation à l’organisation qui a eu lieu dans la région de la capitale nationale (RCN) </w:t>
            </w:r>
          </w:p>
        </w:tc>
        <w:tc>
          <w:tcPr>
            <w:tcW w:w="2297" w:type="pct"/>
          </w:tcPr>
          <w:p w14:paraId="195B0D4E" w14:textId="6358B5D6" w:rsidR="00A7023F" w:rsidRPr="00FB155C" w:rsidRDefault="00A7023F" w:rsidP="00FB155C">
            <w:pPr>
              <w:pStyle w:val="TableTitle"/>
              <w:rPr>
                <w:color w:val="auto"/>
                <w:sz w:val="22"/>
                <w:lang w:val="fr-CA"/>
              </w:rPr>
            </w:pPr>
            <w:r w:rsidRPr="00FB155C">
              <w:rPr>
                <w:color w:val="auto"/>
                <w:sz w:val="22"/>
                <w:lang w:val="fr-CA"/>
              </w:rPr>
              <w:t>Pourcentage des activités de dotation à l’organisation qui a eu lieu à l’extérieur de la région de la capitale nationale (RCN)</w:t>
            </w:r>
          </w:p>
        </w:tc>
      </w:tr>
      <w:tr w:rsidR="00FB155C" w:rsidRPr="00FB155C" w14:paraId="3B65A666" w14:textId="77777777" w:rsidTr="006C2E0A">
        <w:trPr>
          <w:cantSplit/>
          <w:trHeight w:val="290"/>
          <w:tblHeader/>
          <w:jc w:val="center"/>
        </w:trPr>
        <w:tc>
          <w:tcPr>
            <w:tcW w:w="588" w:type="pct"/>
          </w:tcPr>
          <w:p w14:paraId="69C3FBB6" w14:textId="77777777" w:rsidR="00A7023F" w:rsidRPr="00FB155C" w:rsidRDefault="00A7023F" w:rsidP="00BF469C">
            <w:pPr>
              <w:autoSpaceDE w:val="0"/>
              <w:autoSpaceDN w:val="0"/>
              <w:adjustRightInd w:val="0"/>
              <w:rPr>
                <w:rFonts w:asciiTheme="minorHAnsi" w:hAnsiTheme="minorHAnsi" w:cstheme="minorHAnsi"/>
                <w:sz w:val="22"/>
                <w:szCs w:val="24"/>
                <w:lang w:val="fr-CA"/>
              </w:rPr>
            </w:pPr>
            <w:r w:rsidRPr="00FB155C">
              <w:rPr>
                <w:rFonts w:asciiTheme="minorHAnsi" w:hAnsiTheme="minorHAnsi" w:cstheme="minorHAnsi"/>
                <w:sz w:val="22"/>
                <w:szCs w:val="24"/>
                <w:lang w:val="fr-CA"/>
              </w:rPr>
              <w:t>2014 à 2015</w:t>
            </w:r>
          </w:p>
        </w:tc>
        <w:tc>
          <w:tcPr>
            <w:tcW w:w="2115" w:type="pct"/>
          </w:tcPr>
          <w:p w14:paraId="1E9C55B4" w14:textId="3084979B" w:rsidR="00A7023F" w:rsidRPr="00FB155C" w:rsidRDefault="00A7023F" w:rsidP="00BF469C">
            <w:pPr>
              <w:autoSpaceDE w:val="0"/>
              <w:autoSpaceDN w:val="0"/>
              <w:adjustRightInd w:val="0"/>
              <w:jc w:val="center"/>
              <w:rPr>
                <w:rFonts w:asciiTheme="minorHAnsi" w:hAnsiTheme="minorHAnsi" w:cstheme="minorHAnsi"/>
                <w:sz w:val="22"/>
                <w:szCs w:val="24"/>
                <w:lang w:val="fr-CA"/>
              </w:rPr>
            </w:pPr>
            <w:r w:rsidRPr="00FB155C">
              <w:rPr>
                <w:rFonts w:asciiTheme="minorHAnsi" w:hAnsiTheme="minorHAnsi" w:cstheme="minorHAnsi"/>
                <w:sz w:val="22"/>
                <w:szCs w:val="24"/>
                <w:lang w:val="fr-CA"/>
              </w:rPr>
              <w:t>93</w:t>
            </w:r>
            <w:r w:rsidR="006D7FE7">
              <w:rPr>
                <w:rFonts w:asciiTheme="minorHAnsi" w:hAnsiTheme="minorHAnsi" w:cstheme="minorHAnsi"/>
                <w:sz w:val="22"/>
                <w:szCs w:val="24"/>
                <w:lang w:val="fr-CA"/>
              </w:rPr>
              <w:t xml:space="preserve"> </w:t>
            </w:r>
            <w:r w:rsidRPr="00FB155C">
              <w:rPr>
                <w:rFonts w:asciiTheme="minorHAnsi" w:hAnsiTheme="minorHAnsi" w:cstheme="minorHAnsi"/>
                <w:sz w:val="22"/>
                <w:szCs w:val="24"/>
                <w:lang w:val="fr-CA"/>
              </w:rPr>
              <w:t>%</w:t>
            </w:r>
          </w:p>
        </w:tc>
        <w:tc>
          <w:tcPr>
            <w:tcW w:w="2297" w:type="pct"/>
          </w:tcPr>
          <w:p w14:paraId="6E909309" w14:textId="7298D036" w:rsidR="00A7023F" w:rsidRPr="00FB155C" w:rsidRDefault="00A7023F" w:rsidP="00BF469C">
            <w:pPr>
              <w:autoSpaceDE w:val="0"/>
              <w:autoSpaceDN w:val="0"/>
              <w:adjustRightInd w:val="0"/>
              <w:jc w:val="center"/>
              <w:rPr>
                <w:rFonts w:asciiTheme="minorHAnsi" w:hAnsiTheme="minorHAnsi" w:cstheme="minorHAnsi"/>
                <w:sz w:val="22"/>
                <w:szCs w:val="24"/>
                <w:lang w:val="fr-CA"/>
              </w:rPr>
            </w:pPr>
            <w:r w:rsidRPr="00FB155C">
              <w:rPr>
                <w:rFonts w:asciiTheme="minorHAnsi" w:hAnsiTheme="minorHAnsi" w:cstheme="minorHAnsi"/>
                <w:sz w:val="22"/>
                <w:szCs w:val="24"/>
                <w:lang w:val="fr-CA"/>
              </w:rPr>
              <w:t>7</w:t>
            </w:r>
            <w:r w:rsidR="006D7FE7">
              <w:rPr>
                <w:rFonts w:asciiTheme="minorHAnsi" w:hAnsiTheme="minorHAnsi" w:cstheme="minorHAnsi"/>
                <w:sz w:val="22"/>
                <w:szCs w:val="24"/>
                <w:lang w:val="fr-CA"/>
              </w:rPr>
              <w:t xml:space="preserve"> </w:t>
            </w:r>
            <w:r w:rsidRPr="00FB155C">
              <w:rPr>
                <w:rFonts w:asciiTheme="minorHAnsi" w:hAnsiTheme="minorHAnsi" w:cstheme="minorHAnsi"/>
                <w:sz w:val="22"/>
                <w:szCs w:val="24"/>
                <w:lang w:val="fr-CA"/>
              </w:rPr>
              <w:t>%</w:t>
            </w:r>
          </w:p>
        </w:tc>
      </w:tr>
      <w:tr w:rsidR="00FB155C" w:rsidRPr="00FB155C" w14:paraId="331EAC47" w14:textId="77777777" w:rsidTr="006C2E0A">
        <w:trPr>
          <w:cantSplit/>
          <w:trHeight w:val="290"/>
          <w:tblHeader/>
          <w:jc w:val="center"/>
        </w:trPr>
        <w:tc>
          <w:tcPr>
            <w:tcW w:w="588" w:type="pct"/>
          </w:tcPr>
          <w:p w14:paraId="45AD60B6" w14:textId="77777777" w:rsidR="00A7023F" w:rsidRPr="00FB155C" w:rsidRDefault="00A7023F" w:rsidP="00BF469C">
            <w:pPr>
              <w:autoSpaceDE w:val="0"/>
              <w:autoSpaceDN w:val="0"/>
              <w:adjustRightInd w:val="0"/>
              <w:rPr>
                <w:rFonts w:asciiTheme="minorHAnsi" w:hAnsiTheme="minorHAnsi" w:cstheme="minorHAnsi"/>
                <w:sz w:val="22"/>
                <w:szCs w:val="24"/>
                <w:lang w:val="fr-CA"/>
              </w:rPr>
            </w:pPr>
            <w:r w:rsidRPr="00FB155C">
              <w:rPr>
                <w:rFonts w:asciiTheme="minorHAnsi" w:hAnsiTheme="minorHAnsi" w:cstheme="minorHAnsi"/>
                <w:sz w:val="22"/>
                <w:szCs w:val="24"/>
                <w:lang w:val="fr-CA"/>
              </w:rPr>
              <w:t>2015 à 2016</w:t>
            </w:r>
          </w:p>
        </w:tc>
        <w:tc>
          <w:tcPr>
            <w:tcW w:w="2115" w:type="pct"/>
          </w:tcPr>
          <w:p w14:paraId="2763EECD" w14:textId="69B8CF9A" w:rsidR="00A7023F" w:rsidRPr="00FB155C" w:rsidRDefault="00A7023F" w:rsidP="00BF469C">
            <w:pPr>
              <w:autoSpaceDE w:val="0"/>
              <w:autoSpaceDN w:val="0"/>
              <w:adjustRightInd w:val="0"/>
              <w:jc w:val="center"/>
              <w:rPr>
                <w:rFonts w:asciiTheme="minorHAnsi" w:hAnsiTheme="minorHAnsi" w:cstheme="minorHAnsi"/>
                <w:sz w:val="22"/>
                <w:szCs w:val="24"/>
                <w:lang w:val="fr-CA"/>
              </w:rPr>
            </w:pPr>
            <w:r w:rsidRPr="00FB155C">
              <w:rPr>
                <w:rFonts w:asciiTheme="minorHAnsi" w:hAnsiTheme="minorHAnsi" w:cstheme="minorHAnsi"/>
                <w:sz w:val="22"/>
                <w:szCs w:val="24"/>
                <w:lang w:val="fr-CA"/>
              </w:rPr>
              <w:t>92</w:t>
            </w:r>
            <w:r w:rsidR="006D7FE7">
              <w:rPr>
                <w:rFonts w:asciiTheme="minorHAnsi" w:hAnsiTheme="minorHAnsi" w:cstheme="minorHAnsi"/>
                <w:sz w:val="22"/>
                <w:szCs w:val="24"/>
                <w:lang w:val="fr-CA"/>
              </w:rPr>
              <w:t xml:space="preserve"> </w:t>
            </w:r>
            <w:r w:rsidRPr="00FB155C">
              <w:rPr>
                <w:rFonts w:asciiTheme="minorHAnsi" w:hAnsiTheme="minorHAnsi" w:cstheme="minorHAnsi"/>
                <w:sz w:val="22"/>
                <w:szCs w:val="24"/>
                <w:lang w:val="fr-CA"/>
              </w:rPr>
              <w:t>%</w:t>
            </w:r>
          </w:p>
        </w:tc>
        <w:tc>
          <w:tcPr>
            <w:tcW w:w="2297" w:type="pct"/>
          </w:tcPr>
          <w:p w14:paraId="3FCCE94B" w14:textId="6B788F77" w:rsidR="00A7023F" w:rsidRPr="00FB155C" w:rsidRDefault="00A7023F" w:rsidP="00BF469C">
            <w:pPr>
              <w:autoSpaceDE w:val="0"/>
              <w:autoSpaceDN w:val="0"/>
              <w:adjustRightInd w:val="0"/>
              <w:jc w:val="center"/>
              <w:rPr>
                <w:rFonts w:asciiTheme="minorHAnsi" w:hAnsiTheme="minorHAnsi" w:cstheme="minorHAnsi"/>
                <w:sz w:val="22"/>
                <w:szCs w:val="24"/>
                <w:lang w:val="fr-CA"/>
              </w:rPr>
            </w:pPr>
            <w:r w:rsidRPr="00FB155C">
              <w:rPr>
                <w:rFonts w:asciiTheme="minorHAnsi" w:hAnsiTheme="minorHAnsi" w:cstheme="minorHAnsi"/>
                <w:sz w:val="22"/>
                <w:szCs w:val="24"/>
                <w:lang w:val="fr-CA"/>
              </w:rPr>
              <w:t>8</w:t>
            </w:r>
            <w:r w:rsidR="006D7FE7">
              <w:rPr>
                <w:rFonts w:asciiTheme="minorHAnsi" w:hAnsiTheme="minorHAnsi" w:cstheme="minorHAnsi"/>
                <w:sz w:val="22"/>
                <w:szCs w:val="24"/>
                <w:lang w:val="fr-CA"/>
              </w:rPr>
              <w:t xml:space="preserve"> </w:t>
            </w:r>
            <w:r w:rsidRPr="00FB155C">
              <w:rPr>
                <w:rFonts w:asciiTheme="minorHAnsi" w:hAnsiTheme="minorHAnsi" w:cstheme="minorHAnsi"/>
                <w:sz w:val="22"/>
                <w:szCs w:val="24"/>
                <w:lang w:val="fr-CA"/>
              </w:rPr>
              <w:t>%</w:t>
            </w:r>
          </w:p>
        </w:tc>
      </w:tr>
      <w:tr w:rsidR="00FB155C" w:rsidRPr="00FB155C" w14:paraId="614733CD" w14:textId="77777777" w:rsidTr="006C2E0A">
        <w:trPr>
          <w:cantSplit/>
          <w:trHeight w:val="290"/>
          <w:tblHeader/>
          <w:jc w:val="center"/>
        </w:trPr>
        <w:tc>
          <w:tcPr>
            <w:tcW w:w="588" w:type="pct"/>
          </w:tcPr>
          <w:p w14:paraId="3AC3E4F4" w14:textId="77777777" w:rsidR="00A7023F" w:rsidRPr="00FB155C" w:rsidRDefault="00A7023F" w:rsidP="00BF469C">
            <w:pPr>
              <w:autoSpaceDE w:val="0"/>
              <w:autoSpaceDN w:val="0"/>
              <w:adjustRightInd w:val="0"/>
              <w:rPr>
                <w:rFonts w:asciiTheme="minorHAnsi" w:hAnsiTheme="minorHAnsi" w:cstheme="minorHAnsi"/>
                <w:sz w:val="22"/>
                <w:szCs w:val="24"/>
                <w:lang w:val="fr-CA"/>
              </w:rPr>
            </w:pPr>
            <w:r w:rsidRPr="00FB155C">
              <w:rPr>
                <w:rFonts w:asciiTheme="minorHAnsi" w:hAnsiTheme="minorHAnsi" w:cstheme="minorHAnsi"/>
                <w:sz w:val="22"/>
                <w:szCs w:val="24"/>
                <w:lang w:val="fr-CA"/>
              </w:rPr>
              <w:t>2016 à 2017</w:t>
            </w:r>
          </w:p>
        </w:tc>
        <w:tc>
          <w:tcPr>
            <w:tcW w:w="2115" w:type="pct"/>
          </w:tcPr>
          <w:p w14:paraId="08333139" w14:textId="72012CEC" w:rsidR="00A7023F" w:rsidRPr="00FB155C" w:rsidRDefault="00A7023F" w:rsidP="00BF469C">
            <w:pPr>
              <w:autoSpaceDE w:val="0"/>
              <w:autoSpaceDN w:val="0"/>
              <w:adjustRightInd w:val="0"/>
              <w:jc w:val="center"/>
              <w:rPr>
                <w:rFonts w:asciiTheme="minorHAnsi" w:hAnsiTheme="minorHAnsi" w:cstheme="minorHAnsi"/>
                <w:sz w:val="22"/>
                <w:szCs w:val="24"/>
                <w:lang w:val="fr-CA"/>
              </w:rPr>
            </w:pPr>
            <w:r w:rsidRPr="00FB155C">
              <w:rPr>
                <w:rFonts w:asciiTheme="minorHAnsi" w:hAnsiTheme="minorHAnsi" w:cstheme="minorHAnsi"/>
                <w:sz w:val="22"/>
                <w:szCs w:val="24"/>
                <w:lang w:val="fr-CA"/>
              </w:rPr>
              <w:t>92</w:t>
            </w:r>
            <w:r w:rsidR="006D7FE7">
              <w:rPr>
                <w:rFonts w:asciiTheme="minorHAnsi" w:hAnsiTheme="minorHAnsi" w:cstheme="minorHAnsi"/>
                <w:sz w:val="22"/>
                <w:szCs w:val="24"/>
                <w:lang w:val="fr-CA"/>
              </w:rPr>
              <w:t xml:space="preserve"> </w:t>
            </w:r>
            <w:r w:rsidRPr="00FB155C">
              <w:rPr>
                <w:rFonts w:asciiTheme="minorHAnsi" w:hAnsiTheme="minorHAnsi" w:cstheme="minorHAnsi"/>
                <w:sz w:val="22"/>
                <w:szCs w:val="24"/>
                <w:lang w:val="fr-CA"/>
              </w:rPr>
              <w:t>%</w:t>
            </w:r>
          </w:p>
        </w:tc>
        <w:tc>
          <w:tcPr>
            <w:tcW w:w="2297" w:type="pct"/>
          </w:tcPr>
          <w:p w14:paraId="2EF3FD3F" w14:textId="0B24BF25" w:rsidR="00A7023F" w:rsidRPr="00FB155C" w:rsidRDefault="00A7023F" w:rsidP="00BF469C">
            <w:pPr>
              <w:autoSpaceDE w:val="0"/>
              <w:autoSpaceDN w:val="0"/>
              <w:adjustRightInd w:val="0"/>
              <w:jc w:val="center"/>
              <w:rPr>
                <w:rFonts w:asciiTheme="minorHAnsi" w:hAnsiTheme="minorHAnsi" w:cstheme="minorHAnsi"/>
                <w:sz w:val="22"/>
                <w:szCs w:val="24"/>
                <w:lang w:val="fr-CA"/>
              </w:rPr>
            </w:pPr>
            <w:r w:rsidRPr="00FB155C">
              <w:rPr>
                <w:rFonts w:asciiTheme="minorHAnsi" w:hAnsiTheme="minorHAnsi" w:cstheme="minorHAnsi"/>
                <w:sz w:val="22"/>
                <w:szCs w:val="24"/>
                <w:lang w:val="fr-CA"/>
              </w:rPr>
              <w:t>8</w:t>
            </w:r>
            <w:r w:rsidR="006D7FE7">
              <w:rPr>
                <w:rFonts w:asciiTheme="minorHAnsi" w:hAnsiTheme="minorHAnsi" w:cstheme="minorHAnsi"/>
                <w:sz w:val="22"/>
                <w:szCs w:val="24"/>
                <w:lang w:val="fr-CA"/>
              </w:rPr>
              <w:t xml:space="preserve"> </w:t>
            </w:r>
            <w:r w:rsidRPr="00FB155C">
              <w:rPr>
                <w:rFonts w:asciiTheme="minorHAnsi" w:hAnsiTheme="minorHAnsi" w:cstheme="minorHAnsi"/>
                <w:sz w:val="22"/>
                <w:szCs w:val="24"/>
                <w:lang w:val="fr-CA"/>
              </w:rPr>
              <w:t>%</w:t>
            </w:r>
          </w:p>
        </w:tc>
      </w:tr>
      <w:tr w:rsidR="00FB155C" w:rsidRPr="00FB155C" w14:paraId="7C2636FD" w14:textId="77777777" w:rsidTr="006C2E0A">
        <w:trPr>
          <w:cantSplit/>
          <w:trHeight w:val="290"/>
          <w:tblHeader/>
          <w:jc w:val="center"/>
        </w:trPr>
        <w:tc>
          <w:tcPr>
            <w:tcW w:w="588" w:type="pct"/>
          </w:tcPr>
          <w:p w14:paraId="039B181E" w14:textId="77777777" w:rsidR="00A7023F" w:rsidRPr="00FB155C" w:rsidRDefault="00A7023F" w:rsidP="00BF469C">
            <w:pPr>
              <w:autoSpaceDE w:val="0"/>
              <w:autoSpaceDN w:val="0"/>
              <w:adjustRightInd w:val="0"/>
              <w:rPr>
                <w:rFonts w:asciiTheme="minorHAnsi" w:hAnsiTheme="minorHAnsi" w:cstheme="minorHAnsi"/>
                <w:sz w:val="22"/>
                <w:szCs w:val="24"/>
                <w:lang w:val="fr-CA"/>
              </w:rPr>
            </w:pPr>
            <w:r w:rsidRPr="00FB155C">
              <w:rPr>
                <w:rFonts w:asciiTheme="minorHAnsi" w:hAnsiTheme="minorHAnsi" w:cstheme="minorHAnsi"/>
                <w:sz w:val="22"/>
                <w:szCs w:val="24"/>
                <w:lang w:val="fr-CA"/>
              </w:rPr>
              <w:t>2017 à 2018</w:t>
            </w:r>
          </w:p>
        </w:tc>
        <w:tc>
          <w:tcPr>
            <w:tcW w:w="2115" w:type="pct"/>
          </w:tcPr>
          <w:p w14:paraId="6FF8E5CD" w14:textId="32253BBE" w:rsidR="00A7023F" w:rsidRPr="00FB155C" w:rsidRDefault="00A7023F" w:rsidP="00BF469C">
            <w:pPr>
              <w:autoSpaceDE w:val="0"/>
              <w:autoSpaceDN w:val="0"/>
              <w:adjustRightInd w:val="0"/>
              <w:jc w:val="center"/>
              <w:rPr>
                <w:rFonts w:asciiTheme="minorHAnsi" w:hAnsiTheme="minorHAnsi" w:cstheme="minorHAnsi"/>
                <w:sz w:val="22"/>
                <w:szCs w:val="24"/>
                <w:lang w:val="fr-CA"/>
              </w:rPr>
            </w:pPr>
            <w:r w:rsidRPr="00FB155C">
              <w:rPr>
                <w:rFonts w:asciiTheme="minorHAnsi" w:hAnsiTheme="minorHAnsi" w:cstheme="minorHAnsi"/>
                <w:sz w:val="22"/>
                <w:szCs w:val="24"/>
                <w:lang w:val="fr-CA"/>
              </w:rPr>
              <w:t>94</w:t>
            </w:r>
            <w:r w:rsidR="006D7FE7">
              <w:rPr>
                <w:rFonts w:asciiTheme="minorHAnsi" w:hAnsiTheme="minorHAnsi" w:cstheme="minorHAnsi"/>
                <w:sz w:val="22"/>
                <w:szCs w:val="24"/>
                <w:lang w:val="fr-CA"/>
              </w:rPr>
              <w:t xml:space="preserve"> </w:t>
            </w:r>
            <w:r w:rsidRPr="00FB155C">
              <w:rPr>
                <w:rFonts w:asciiTheme="minorHAnsi" w:hAnsiTheme="minorHAnsi" w:cstheme="minorHAnsi"/>
                <w:sz w:val="22"/>
                <w:szCs w:val="24"/>
                <w:lang w:val="fr-CA"/>
              </w:rPr>
              <w:t>%</w:t>
            </w:r>
          </w:p>
        </w:tc>
        <w:tc>
          <w:tcPr>
            <w:tcW w:w="2297" w:type="pct"/>
          </w:tcPr>
          <w:p w14:paraId="3A94DE70" w14:textId="1BC5AC1C" w:rsidR="00A7023F" w:rsidRPr="00FB155C" w:rsidRDefault="00A7023F" w:rsidP="00BF469C">
            <w:pPr>
              <w:autoSpaceDE w:val="0"/>
              <w:autoSpaceDN w:val="0"/>
              <w:adjustRightInd w:val="0"/>
              <w:jc w:val="center"/>
              <w:rPr>
                <w:rFonts w:asciiTheme="minorHAnsi" w:hAnsiTheme="minorHAnsi" w:cstheme="minorHAnsi"/>
                <w:sz w:val="22"/>
                <w:szCs w:val="24"/>
                <w:lang w:val="fr-CA"/>
              </w:rPr>
            </w:pPr>
            <w:r w:rsidRPr="00FB155C">
              <w:rPr>
                <w:rFonts w:asciiTheme="minorHAnsi" w:hAnsiTheme="minorHAnsi" w:cstheme="minorHAnsi"/>
                <w:sz w:val="22"/>
                <w:szCs w:val="24"/>
                <w:lang w:val="fr-CA"/>
              </w:rPr>
              <w:t>6</w:t>
            </w:r>
            <w:r w:rsidR="006D7FE7">
              <w:rPr>
                <w:rFonts w:asciiTheme="minorHAnsi" w:hAnsiTheme="minorHAnsi" w:cstheme="minorHAnsi"/>
                <w:sz w:val="22"/>
                <w:szCs w:val="24"/>
                <w:lang w:val="fr-CA"/>
              </w:rPr>
              <w:t xml:space="preserve"> </w:t>
            </w:r>
            <w:r w:rsidRPr="00FB155C">
              <w:rPr>
                <w:rFonts w:asciiTheme="minorHAnsi" w:hAnsiTheme="minorHAnsi" w:cstheme="minorHAnsi"/>
                <w:sz w:val="22"/>
                <w:szCs w:val="24"/>
                <w:lang w:val="fr-CA"/>
              </w:rPr>
              <w:t>%</w:t>
            </w:r>
          </w:p>
        </w:tc>
      </w:tr>
      <w:tr w:rsidR="00FB155C" w:rsidRPr="00FB155C" w14:paraId="501EF991" w14:textId="77777777" w:rsidTr="006C2E0A">
        <w:trPr>
          <w:cantSplit/>
          <w:trHeight w:val="290"/>
          <w:tblHeader/>
          <w:jc w:val="center"/>
        </w:trPr>
        <w:tc>
          <w:tcPr>
            <w:tcW w:w="588" w:type="pct"/>
          </w:tcPr>
          <w:p w14:paraId="611892FA" w14:textId="77777777" w:rsidR="00A7023F" w:rsidRPr="00FB155C" w:rsidRDefault="00A7023F" w:rsidP="00BF469C">
            <w:pPr>
              <w:autoSpaceDE w:val="0"/>
              <w:autoSpaceDN w:val="0"/>
              <w:adjustRightInd w:val="0"/>
              <w:rPr>
                <w:rFonts w:asciiTheme="minorHAnsi" w:hAnsiTheme="minorHAnsi" w:cstheme="minorHAnsi"/>
                <w:sz w:val="22"/>
                <w:szCs w:val="24"/>
                <w:lang w:val="fr-CA"/>
              </w:rPr>
            </w:pPr>
            <w:r w:rsidRPr="00FB155C">
              <w:rPr>
                <w:rFonts w:asciiTheme="minorHAnsi" w:hAnsiTheme="minorHAnsi" w:cstheme="minorHAnsi"/>
                <w:sz w:val="22"/>
                <w:szCs w:val="24"/>
                <w:lang w:val="fr-CA"/>
              </w:rPr>
              <w:t>2018 à 2019</w:t>
            </w:r>
          </w:p>
        </w:tc>
        <w:tc>
          <w:tcPr>
            <w:tcW w:w="2115" w:type="pct"/>
          </w:tcPr>
          <w:p w14:paraId="06CB5F75" w14:textId="5971B1FA" w:rsidR="00A7023F" w:rsidRPr="00FB155C" w:rsidRDefault="00A7023F" w:rsidP="00BF469C">
            <w:pPr>
              <w:autoSpaceDE w:val="0"/>
              <w:autoSpaceDN w:val="0"/>
              <w:adjustRightInd w:val="0"/>
              <w:jc w:val="center"/>
              <w:rPr>
                <w:rFonts w:asciiTheme="minorHAnsi" w:hAnsiTheme="minorHAnsi" w:cstheme="minorHAnsi"/>
                <w:sz w:val="22"/>
                <w:szCs w:val="24"/>
                <w:lang w:val="fr-CA"/>
              </w:rPr>
            </w:pPr>
            <w:r w:rsidRPr="00FB155C">
              <w:rPr>
                <w:rFonts w:asciiTheme="minorHAnsi" w:hAnsiTheme="minorHAnsi" w:cstheme="minorHAnsi"/>
                <w:sz w:val="22"/>
                <w:szCs w:val="24"/>
                <w:lang w:val="fr-CA"/>
              </w:rPr>
              <w:t>95</w:t>
            </w:r>
            <w:r w:rsidR="006D7FE7">
              <w:rPr>
                <w:rFonts w:asciiTheme="minorHAnsi" w:hAnsiTheme="minorHAnsi" w:cstheme="minorHAnsi"/>
                <w:sz w:val="22"/>
                <w:szCs w:val="24"/>
                <w:lang w:val="fr-CA"/>
              </w:rPr>
              <w:t xml:space="preserve"> </w:t>
            </w:r>
            <w:r w:rsidRPr="00FB155C">
              <w:rPr>
                <w:rFonts w:asciiTheme="minorHAnsi" w:hAnsiTheme="minorHAnsi" w:cstheme="minorHAnsi"/>
                <w:sz w:val="22"/>
                <w:szCs w:val="24"/>
                <w:lang w:val="fr-CA"/>
              </w:rPr>
              <w:t>%</w:t>
            </w:r>
          </w:p>
        </w:tc>
        <w:tc>
          <w:tcPr>
            <w:tcW w:w="2297" w:type="pct"/>
          </w:tcPr>
          <w:p w14:paraId="4319CECA" w14:textId="09687475" w:rsidR="00A7023F" w:rsidRPr="00FB155C" w:rsidRDefault="00A7023F" w:rsidP="00BF469C">
            <w:pPr>
              <w:autoSpaceDE w:val="0"/>
              <w:autoSpaceDN w:val="0"/>
              <w:adjustRightInd w:val="0"/>
              <w:jc w:val="center"/>
              <w:rPr>
                <w:rFonts w:asciiTheme="minorHAnsi" w:hAnsiTheme="minorHAnsi" w:cstheme="minorHAnsi"/>
                <w:sz w:val="22"/>
                <w:szCs w:val="24"/>
                <w:lang w:val="fr-CA"/>
              </w:rPr>
            </w:pPr>
            <w:r w:rsidRPr="00FB155C">
              <w:rPr>
                <w:rFonts w:asciiTheme="minorHAnsi" w:hAnsiTheme="minorHAnsi" w:cstheme="minorHAnsi"/>
                <w:sz w:val="22"/>
                <w:szCs w:val="24"/>
                <w:lang w:val="fr-CA"/>
              </w:rPr>
              <w:t>5</w:t>
            </w:r>
            <w:r w:rsidR="006D7FE7">
              <w:rPr>
                <w:rFonts w:asciiTheme="minorHAnsi" w:hAnsiTheme="minorHAnsi" w:cstheme="minorHAnsi"/>
                <w:sz w:val="22"/>
                <w:szCs w:val="24"/>
                <w:lang w:val="fr-CA"/>
              </w:rPr>
              <w:t xml:space="preserve"> </w:t>
            </w:r>
            <w:r w:rsidRPr="00FB155C">
              <w:rPr>
                <w:rFonts w:asciiTheme="minorHAnsi" w:hAnsiTheme="minorHAnsi" w:cstheme="minorHAnsi"/>
                <w:sz w:val="22"/>
                <w:szCs w:val="24"/>
                <w:lang w:val="fr-CA"/>
              </w:rPr>
              <w:t>%</w:t>
            </w:r>
          </w:p>
        </w:tc>
      </w:tr>
    </w:tbl>
    <w:p w14:paraId="4F5915E1" w14:textId="77777777" w:rsidR="00A7023F" w:rsidRPr="00FB155C" w:rsidRDefault="00A7023F" w:rsidP="00A7023F">
      <w:pPr>
        <w:pStyle w:val="ListParagraph"/>
        <w:numPr>
          <w:ilvl w:val="0"/>
          <w:numId w:val="20"/>
        </w:numPr>
        <w:spacing w:after="100" w:afterAutospacing="1"/>
        <w:contextualSpacing w:val="0"/>
        <w:rPr>
          <w:rFonts w:asciiTheme="minorHAnsi" w:hAnsiTheme="minorHAnsi" w:cstheme="minorHAnsi"/>
          <w:sz w:val="22"/>
          <w:szCs w:val="22"/>
          <w:lang w:val="fr-CA"/>
        </w:rPr>
      </w:pPr>
      <w:r w:rsidRPr="00FB155C">
        <w:rPr>
          <w:rFonts w:asciiTheme="minorHAnsi" w:hAnsiTheme="minorHAnsi" w:cstheme="minorHAnsi"/>
          <w:sz w:val="22"/>
          <w:szCs w:val="22"/>
          <w:lang w:val="fr-CA"/>
        </w:rPr>
        <w:t>La distribution régionale exclus les inconnus</w:t>
      </w:r>
    </w:p>
    <w:p w14:paraId="27A9294A" w14:textId="77777777" w:rsidR="00A7023F" w:rsidRPr="00FB155C" w:rsidRDefault="00A7023F" w:rsidP="00413E58">
      <w:pPr>
        <w:tabs>
          <w:tab w:val="left" w:pos="7839"/>
        </w:tabs>
        <w:jc w:val="center"/>
        <w:rPr>
          <w:rFonts w:asciiTheme="minorHAnsi" w:hAnsiTheme="minorHAnsi" w:cstheme="minorHAnsi"/>
          <w:sz w:val="22"/>
          <w:szCs w:val="22"/>
          <w:lang w:val="fr-CA"/>
        </w:rPr>
        <w:sectPr w:rsidR="00A7023F" w:rsidRPr="00FB155C" w:rsidSect="00C67F41">
          <w:footnotePr>
            <w:numFmt w:val="lowerLetter"/>
          </w:footnotePr>
          <w:endnotePr>
            <w:numFmt w:val="lowerLetter"/>
          </w:endnotePr>
          <w:pgSz w:w="15840" w:h="12240" w:orient="landscape" w:code="1"/>
          <w:pgMar w:top="567" w:right="709" w:bottom="1304" w:left="709" w:header="284" w:footer="284" w:gutter="0"/>
          <w:cols w:space="720"/>
          <w:docGrid w:linePitch="326"/>
        </w:sectPr>
      </w:pPr>
    </w:p>
    <w:p w14:paraId="1FA1B97A" w14:textId="76E8E0CC" w:rsidR="00FB155C" w:rsidRDefault="00FB155C" w:rsidP="00FB155C">
      <w:pPr>
        <w:pStyle w:val="Heading1"/>
        <w:spacing w:before="120" w:after="120"/>
        <w:rPr>
          <w:rFonts w:eastAsia="Times New Roman"/>
          <w:sz w:val="40"/>
        </w:rPr>
      </w:pPr>
      <w:r w:rsidRPr="00FB155C">
        <w:rPr>
          <w:rFonts w:eastAsia="Times New Roman"/>
          <w:sz w:val="40"/>
        </w:rPr>
        <w:lastRenderedPageBreak/>
        <w:t>Dotation par type de processus</w:t>
      </w:r>
    </w:p>
    <w:p w14:paraId="1A553CA3" w14:textId="77777777" w:rsidR="00FB155C" w:rsidRDefault="00A7023F" w:rsidP="00FB155C">
      <w:pPr>
        <w:keepNext/>
        <w:tabs>
          <w:tab w:val="left" w:pos="7839"/>
        </w:tabs>
        <w:jc w:val="center"/>
      </w:pPr>
      <w:r w:rsidRPr="008F610A">
        <w:rPr>
          <w:noProof/>
          <w:lang w:val="en-CA" w:eastAsia="en-CA"/>
        </w:rPr>
        <w:drawing>
          <wp:inline distT="0" distB="0" distL="0" distR="0" wp14:anchorId="5CD55786" wp14:editId="1A2EEE47">
            <wp:extent cx="5648400" cy="3049200"/>
            <wp:effectExtent l="0" t="0" r="9525" b="18415"/>
            <wp:docPr id="2" name="Chart 1" descr="Dotation par type de processus&#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303FF59" w14:textId="77777777" w:rsidR="00A7023F" w:rsidRPr="00FB155C" w:rsidRDefault="00FB155C" w:rsidP="00FB155C">
      <w:pPr>
        <w:pStyle w:val="Caption"/>
        <w:spacing w:after="0"/>
        <w:jc w:val="center"/>
        <w:rPr>
          <w:rFonts w:asciiTheme="minorHAnsi" w:hAnsiTheme="minorHAnsi" w:cstheme="minorHAnsi"/>
          <w:i w:val="0"/>
          <w:color w:val="auto"/>
          <w:lang w:val="fr-CA"/>
        </w:rPr>
      </w:pPr>
      <w:r w:rsidRPr="00FB155C">
        <w:rPr>
          <w:rFonts w:asciiTheme="minorHAnsi" w:hAnsiTheme="minorHAnsi" w:cstheme="minorHAnsi"/>
          <w:i w:val="0"/>
          <w:color w:val="auto"/>
        </w:rPr>
        <w:t xml:space="preserve">Figure </w:t>
      </w:r>
      <w:r w:rsidRPr="00FB155C">
        <w:rPr>
          <w:rFonts w:asciiTheme="minorHAnsi" w:hAnsiTheme="minorHAnsi" w:cstheme="minorHAnsi"/>
          <w:i w:val="0"/>
          <w:color w:val="auto"/>
        </w:rPr>
        <w:fldChar w:fldCharType="begin"/>
      </w:r>
      <w:r w:rsidRPr="00FB155C">
        <w:rPr>
          <w:rFonts w:asciiTheme="minorHAnsi" w:hAnsiTheme="minorHAnsi" w:cstheme="minorHAnsi"/>
          <w:i w:val="0"/>
          <w:color w:val="auto"/>
        </w:rPr>
        <w:instrText xml:space="preserve"> SEQ Figure \* ARABIC </w:instrText>
      </w:r>
      <w:r w:rsidRPr="00FB155C">
        <w:rPr>
          <w:rFonts w:asciiTheme="minorHAnsi" w:hAnsiTheme="minorHAnsi" w:cstheme="minorHAnsi"/>
          <w:i w:val="0"/>
          <w:color w:val="auto"/>
        </w:rPr>
        <w:fldChar w:fldCharType="separate"/>
      </w:r>
      <w:r w:rsidR="00353602">
        <w:rPr>
          <w:rFonts w:asciiTheme="minorHAnsi" w:hAnsiTheme="minorHAnsi" w:cstheme="minorHAnsi"/>
          <w:i w:val="0"/>
          <w:noProof/>
          <w:color w:val="auto"/>
        </w:rPr>
        <w:t>7</w:t>
      </w:r>
      <w:r w:rsidRPr="00FB155C">
        <w:rPr>
          <w:rFonts w:asciiTheme="minorHAnsi" w:hAnsiTheme="minorHAnsi" w:cstheme="minorHAnsi"/>
          <w:i w:val="0"/>
          <w:color w:val="auto"/>
        </w:rPr>
        <w:fldChar w:fldCharType="end"/>
      </w:r>
      <w:r w:rsidRPr="00FB155C">
        <w:rPr>
          <w:rFonts w:asciiTheme="minorHAnsi" w:hAnsiTheme="minorHAnsi" w:cstheme="minorHAnsi"/>
          <w:i w:val="0"/>
          <w:color w:val="auto"/>
        </w:rPr>
        <w:t xml:space="preserve"> - Dotation par type de processus</w:t>
      </w:r>
    </w:p>
    <w:p w14:paraId="5B67D3C5" w14:textId="77777777" w:rsidR="00FB155C" w:rsidRPr="00FB155C" w:rsidRDefault="00FB155C" w:rsidP="00FB155C">
      <w:pPr>
        <w:pStyle w:val="Caption"/>
        <w:keepNext/>
        <w:spacing w:before="240" w:after="0"/>
        <w:jc w:val="center"/>
        <w:rPr>
          <w:rFonts w:asciiTheme="minorHAnsi" w:hAnsiTheme="minorHAnsi" w:cstheme="minorHAnsi"/>
          <w:i w:val="0"/>
          <w:color w:val="auto"/>
        </w:rPr>
      </w:pPr>
      <w:r w:rsidRPr="00FB155C">
        <w:rPr>
          <w:rFonts w:asciiTheme="minorHAnsi" w:hAnsiTheme="minorHAnsi" w:cstheme="minorHAnsi"/>
          <w:i w:val="0"/>
          <w:color w:val="auto"/>
        </w:rPr>
        <w:t xml:space="preserve">Table </w:t>
      </w:r>
      <w:r w:rsidRPr="00FB155C">
        <w:rPr>
          <w:rFonts w:asciiTheme="minorHAnsi" w:hAnsiTheme="minorHAnsi" w:cstheme="minorHAnsi"/>
          <w:i w:val="0"/>
          <w:color w:val="auto"/>
        </w:rPr>
        <w:fldChar w:fldCharType="begin"/>
      </w:r>
      <w:r w:rsidRPr="00FB155C">
        <w:rPr>
          <w:rFonts w:asciiTheme="minorHAnsi" w:hAnsiTheme="minorHAnsi" w:cstheme="minorHAnsi"/>
          <w:i w:val="0"/>
          <w:color w:val="auto"/>
        </w:rPr>
        <w:instrText xml:space="preserve"> SEQ Table \* ARABIC </w:instrText>
      </w:r>
      <w:r w:rsidRPr="00FB155C">
        <w:rPr>
          <w:rFonts w:asciiTheme="minorHAnsi" w:hAnsiTheme="minorHAnsi" w:cstheme="minorHAnsi"/>
          <w:i w:val="0"/>
          <w:color w:val="auto"/>
        </w:rPr>
        <w:fldChar w:fldCharType="separate"/>
      </w:r>
      <w:r w:rsidR="00766F9D">
        <w:rPr>
          <w:rFonts w:asciiTheme="minorHAnsi" w:hAnsiTheme="minorHAnsi" w:cstheme="minorHAnsi"/>
          <w:i w:val="0"/>
          <w:noProof/>
          <w:color w:val="auto"/>
        </w:rPr>
        <w:t>10</w:t>
      </w:r>
      <w:r w:rsidRPr="00FB155C">
        <w:rPr>
          <w:rFonts w:asciiTheme="minorHAnsi" w:hAnsiTheme="minorHAnsi" w:cstheme="minorHAnsi"/>
          <w:i w:val="0"/>
          <w:color w:val="auto"/>
        </w:rPr>
        <w:fldChar w:fldCharType="end"/>
      </w:r>
      <w:r w:rsidRPr="00FB155C">
        <w:rPr>
          <w:rFonts w:asciiTheme="minorHAnsi" w:hAnsiTheme="minorHAnsi" w:cstheme="minorHAnsi"/>
          <w:i w:val="0"/>
          <w:color w:val="auto"/>
        </w:rPr>
        <w:t xml:space="preserve"> - Nombre et pourcentage des activités de dotation selon le type de processus et l’exercice financier</w:t>
      </w:r>
    </w:p>
    <w:tbl>
      <w:tblPr>
        <w:tblStyle w:val="TableGrid"/>
        <w:tblW w:w="5000" w:type="pct"/>
        <w:jc w:val="center"/>
        <w:tblLook w:val="0020" w:firstRow="1" w:lastRow="0" w:firstColumn="0" w:lastColumn="0" w:noHBand="0" w:noVBand="0"/>
        <w:tblDescription w:val="Dotation selon le type de processus de 2014 à 2019"/>
      </w:tblPr>
      <w:tblGrid>
        <w:gridCol w:w="2121"/>
        <w:gridCol w:w="4393"/>
        <w:gridCol w:w="3404"/>
        <w:gridCol w:w="4494"/>
      </w:tblGrid>
      <w:tr w:rsidR="00FB155C" w:rsidRPr="00FB155C" w14:paraId="32A8DC11" w14:textId="77777777" w:rsidTr="006C2E0A">
        <w:trPr>
          <w:cantSplit/>
          <w:trHeight w:val="290"/>
          <w:tblHeader/>
          <w:jc w:val="center"/>
        </w:trPr>
        <w:tc>
          <w:tcPr>
            <w:tcW w:w="736" w:type="pct"/>
          </w:tcPr>
          <w:p w14:paraId="39340F9F" w14:textId="77777777" w:rsidR="00A7023F" w:rsidRPr="00FB155C" w:rsidRDefault="00A7023F" w:rsidP="00FB155C">
            <w:pPr>
              <w:pStyle w:val="TableTitle"/>
              <w:rPr>
                <w:color w:val="auto"/>
                <w:sz w:val="22"/>
                <w:lang w:val="fr-CA"/>
              </w:rPr>
            </w:pPr>
            <w:r w:rsidRPr="00FB155C">
              <w:rPr>
                <w:color w:val="auto"/>
                <w:sz w:val="22"/>
                <w:lang w:val="fr-CA"/>
              </w:rPr>
              <w:t>Exercice financier</w:t>
            </w:r>
          </w:p>
        </w:tc>
        <w:tc>
          <w:tcPr>
            <w:tcW w:w="1524" w:type="pct"/>
          </w:tcPr>
          <w:p w14:paraId="1D48258C" w14:textId="2F720083" w:rsidR="00A7023F" w:rsidRPr="00FB155C" w:rsidRDefault="00A7023F" w:rsidP="00FB155C">
            <w:pPr>
              <w:pStyle w:val="TableTitle"/>
              <w:rPr>
                <w:color w:val="auto"/>
                <w:sz w:val="22"/>
                <w:lang w:val="fr-CA"/>
              </w:rPr>
            </w:pPr>
            <w:r w:rsidRPr="00FB155C">
              <w:rPr>
                <w:color w:val="auto"/>
                <w:sz w:val="22"/>
                <w:lang w:val="fr-CA"/>
              </w:rPr>
              <w:t>Processus non annoncé</w:t>
            </w:r>
            <w:r w:rsidR="00C24A0E">
              <w:rPr>
                <w:color w:val="auto"/>
                <w:sz w:val="22"/>
                <w:lang w:val="fr-CA"/>
              </w:rPr>
              <w:t>s</w:t>
            </w:r>
            <w:r w:rsidRPr="00FB155C">
              <w:rPr>
                <w:color w:val="auto"/>
                <w:sz w:val="22"/>
                <w:lang w:val="fr-CA"/>
              </w:rPr>
              <w:t xml:space="preserve"> (inconnus exclus)</w:t>
            </w:r>
          </w:p>
        </w:tc>
        <w:tc>
          <w:tcPr>
            <w:tcW w:w="1181" w:type="pct"/>
          </w:tcPr>
          <w:p w14:paraId="73D53D14" w14:textId="77777777" w:rsidR="00A7023F" w:rsidRPr="00FB155C" w:rsidRDefault="00A7023F" w:rsidP="00FB155C">
            <w:pPr>
              <w:pStyle w:val="TableTitle"/>
              <w:rPr>
                <w:color w:val="auto"/>
                <w:sz w:val="22"/>
                <w:lang w:val="fr-CA"/>
              </w:rPr>
            </w:pPr>
            <w:r w:rsidRPr="00FB155C">
              <w:rPr>
                <w:color w:val="auto"/>
                <w:sz w:val="22"/>
                <w:lang w:val="fr-CA"/>
              </w:rPr>
              <w:t>Processus annoncés</w:t>
            </w:r>
          </w:p>
        </w:tc>
        <w:tc>
          <w:tcPr>
            <w:tcW w:w="1559" w:type="pct"/>
          </w:tcPr>
          <w:p w14:paraId="56952492" w14:textId="77777777" w:rsidR="00A7023F" w:rsidRPr="00FB155C" w:rsidRDefault="00A7023F" w:rsidP="00FB155C">
            <w:pPr>
              <w:pStyle w:val="TableTitle"/>
              <w:rPr>
                <w:color w:val="auto"/>
                <w:sz w:val="22"/>
                <w:lang w:val="fr-CA"/>
              </w:rPr>
            </w:pPr>
            <w:r w:rsidRPr="00FB155C">
              <w:rPr>
                <w:color w:val="auto"/>
                <w:sz w:val="22"/>
                <w:lang w:val="fr-CA"/>
              </w:rPr>
              <w:t xml:space="preserve">Pourcentage de processus non annoncés </w:t>
            </w:r>
          </w:p>
        </w:tc>
      </w:tr>
      <w:tr w:rsidR="00FB155C" w:rsidRPr="00FB155C" w14:paraId="3FCCB6D7" w14:textId="77777777" w:rsidTr="006C2E0A">
        <w:trPr>
          <w:cantSplit/>
          <w:trHeight w:val="290"/>
          <w:tblHeader/>
          <w:jc w:val="center"/>
        </w:trPr>
        <w:tc>
          <w:tcPr>
            <w:tcW w:w="736" w:type="pct"/>
          </w:tcPr>
          <w:p w14:paraId="130F48A7" w14:textId="77777777" w:rsidR="00A7023F" w:rsidRPr="00FB155C" w:rsidRDefault="00A7023F" w:rsidP="00BF469C">
            <w:pPr>
              <w:autoSpaceDE w:val="0"/>
              <w:autoSpaceDN w:val="0"/>
              <w:adjustRightInd w:val="0"/>
              <w:rPr>
                <w:rFonts w:asciiTheme="minorHAnsi" w:hAnsiTheme="minorHAnsi" w:cstheme="minorHAnsi"/>
                <w:sz w:val="22"/>
                <w:szCs w:val="24"/>
                <w:lang w:val="fr-CA"/>
              </w:rPr>
            </w:pPr>
            <w:r w:rsidRPr="00FB155C">
              <w:rPr>
                <w:rFonts w:asciiTheme="minorHAnsi" w:hAnsiTheme="minorHAnsi" w:cstheme="minorHAnsi"/>
                <w:sz w:val="22"/>
                <w:szCs w:val="24"/>
                <w:lang w:val="fr-CA"/>
              </w:rPr>
              <w:t xml:space="preserve">2014 à 2015 </w:t>
            </w:r>
          </w:p>
        </w:tc>
        <w:tc>
          <w:tcPr>
            <w:tcW w:w="1524" w:type="pct"/>
          </w:tcPr>
          <w:p w14:paraId="4C62E54A" w14:textId="77777777" w:rsidR="00A7023F" w:rsidRPr="00FB155C" w:rsidRDefault="00A7023F" w:rsidP="00BF469C">
            <w:pPr>
              <w:autoSpaceDE w:val="0"/>
              <w:autoSpaceDN w:val="0"/>
              <w:adjustRightInd w:val="0"/>
              <w:jc w:val="center"/>
              <w:rPr>
                <w:rFonts w:asciiTheme="minorHAnsi" w:hAnsiTheme="minorHAnsi" w:cstheme="minorHAnsi"/>
                <w:sz w:val="22"/>
                <w:szCs w:val="24"/>
                <w:lang w:val="fr-CA"/>
              </w:rPr>
            </w:pPr>
            <w:r w:rsidRPr="00FB155C">
              <w:rPr>
                <w:rFonts w:asciiTheme="minorHAnsi" w:hAnsiTheme="minorHAnsi" w:cstheme="minorHAnsi"/>
                <w:sz w:val="22"/>
                <w:szCs w:val="24"/>
                <w:lang w:val="fr-CA"/>
              </w:rPr>
              <w:t>50</w:t>
            </w:r>
          </w:p>
        </w:tc>
        <w:tc>
          <w:tcPr>
            <w:tcW w:w="1181" w:type="pct"/>
          </w:tcPr>
          <w:p w14:paraId="090331AF" w14:textId="77777777" w:rsidR="00A7023F" w:rsidRPr="00FB155C" w:rsidRDefault="00A7023F" w:rsidP="00BF469C">
            <w:pPr>
              <w:autoSpaceDE w:val="0"/>
              <w:autoSpaceDN w:val="0"/>
              <w:adjustRightInd w:val="0"/>
              <w:jc w:val="center"/>
              <w:rPr>
                <w:rFonts w:asciiTheme="minorHAnsi" w:hAnsiTheme="minorHAnsi" w:cstheme="minorHAnsi"/>
                <w:sz w:val="22"/>
                <w:szCs w:val="24"/>
                <w:lang w:val="fr-CA"/>
              </w:rPr>
            </w:pPr>
            <w:r w:rsidRPr="00FB155C">
              <w:rPr>
                <w:rFonts w:asciiTheme="minorHAnsi" w:hAnsiTheme="minorHAnsi" w:cstheme="minorHAnsi"/>
                <w:sz w:val="22"/>
                <w:szCs w:val="24"/>
                <w:lang w:val="fr-CA"/>
              </w:rPr>
              <w:t>62</w:t>
            </w:r>
          </w:p>
        </w:tc>
        <w:tc>
          <w:tcPr>
            <w:tcW w:w="1559" w:type="pct"/>
          </w:tcPr>
          <w:p w14:paraId="5A95CC55" w14:textId="54C9D3B3" w:rsidR="00A7023F" w:rsidRPr="00FB155C" w:rsidRDefault="00A7023F" w:rsidP="00BF469C">
            <w:pPr>
              <w:autoSpaceDE w:val="0"/>
              <w:autoSpaceDN w:val="0"/>
              <w:adjustRightInd w:val="0"/>
              <w:jc w:val="center"/>
              <w:rPr>
                <w:rFonts w:asciiTheme="minorHAnsi" w:hAnsiTheme="minorHAnsi" w:cstheme="minorHAnsi"/>
                <w:sz w:val="22"/>
                <w:szCs w:val="24"/>
                <w:lang w:val="fr-CA"/>
              </w:rPr>
            </w:pPr>
            <w:r w:rsidRPr="00FB155C">
              <w:rPr>
                <w:rFonts w:asciiTheme="minorHAnsi" w:hAnsiTheme="minorHAnsi" w:cstheme="minorHAnsi"/>
                <w:sz w:val="22"/>
                <w:szCs w:val="24"/>
                <w:lang w:val="fr-CA"/>
              </w:rPr>
              <w:t>45</w:t>
            </w:r>
            <w:r w:rsidR="00C24A0E">
              <w:rPr>
                <w:rFonts w:asciiTheme="minorHAnsi" w:hAnsiTheme="minorHAnsi" w:cstheme="minorHAnsi"/>
                <w:sz w:val="22"/>
                <w:szCs w:val="24"/>
                <w:lang w:val="fr-CA"/>
              </w:rPr>
              <w:t xml:space="preserve"> </w:t>
            </w:r>
            <w:r w:rsidRPr="00FB155C">
              <w:rPr>
                <w:rFonts w:asciiTheme="minorHAnsi" w:hAnsiTheme="minorHAnsi" w:cstheme="minorHAnsi"/>
                <w:sz w:val="22"/>
                <w:szCs w:val="24"/>
                <w:lang w:val="fr-CA"/>
              </w:rPr>
              <w:t>%</w:t>
            </w:r>
          </w:p>
        </w:tc>
      </w:tr>
      <w:tr w:rsidR="00FB155C" w:rsidRPr="00FB155C" w14:paraId="0024E935" w14:textId="77777777" w:rsidTr="006C2E0A">
        <w:trPr>
          <w:cantSplit/>
          <w:trHeight w:val="290"/>
          <w:tblHeader/>
          <w:jc w:val="center"/>
        </w:trPr>
        <w:tc>
          <w:tcPr>
            <w:tcW w:w="736" w:type="pct"/>
          </w:tcPr>
          <w:p w14:paraId="2B8F2767" w14:textId="77777777" w:rsidR="00A7023F" w:rsidRPr="00FB155C" w:rsidRDefault="00A7023F" w:rsidP="00BF469C">
            <w:pPr>
              <w:autoSpaceDE w:val="0"/>
              <w:autoSpaceDN w:val="0"/>
              <w:adjustRightInd w:val="0"/>
              <w:rPr>
                <w:rFonts w:asciiTheme="minorHAnsi" w:hAnsiTheme="minorHAnsi" w:cstheme="minorHAnsi"/>
                <w:sz w:val="22"/>
                <w:szCs w:val="24"/>
                <w:lang w:val="fr-CA"/>
              </w:rPr>
            </w:pPr>
            <w:r w:rsidRPr="00FB155C">
              <w:rPr>
                <w:rFonts w:asciiTheme="minorHAnsi" w:hAnsiTheme="minorHAnsi" w:cstheme="minorHAnsi"/>
                <w:sz w:val="22"/>
                <w:szCs w:val="24"/>
                <w:lang w:val="fr-CA"/>
              </w:rPr>
              <w:t xml:space="preserve">2015 à 2016 </w:t>
            </w:r>
          </w:p>
        </w:tc>
        <w:tc>
          <w:tcPr>
            <w:tcW w:w="1524" w:type="pct"/>
          </w:tcPr>
          <w:p w14:paraId="2DE77755" w14:textId="77777777" w:rsidR="00A7023F" w:rsidRPr="00FB155C" w:rsidRDefault="00A7023F" w:rsidP="00BF469C">
            <w:pPr>
              <w:autoSpaceDE w:val="0"/>
              <w:autoSpaceDN w:val="0"/>
              <w:adjustRightInd w:val="0"/>
              <w:jc w:val="center"/>
              <w:rPr>
                <w:rFonts w:asciiTheme="minorHAnsi" w:hAnsiTheme="minorHAnsi" w:cstheme="minorHAnsi"/>
                <w:sz w:val="22"/>
                <w:szCs w:val="24"/>
                <w:lang w:val="fr-CA"/>
              </w:rPr>
            </w:pPr>
            <w:r w:rsidRPr="00FB155C">
              <w:rPr>
                <w:rFonts w:asciiTheme="minorHAnsi" w:hAnsiTheme="minorHAnsi" w:cstheme="minorHAnsi"/>
                <w:sz w:val="22"/>
                <w:szCs w:val="24"/>
                <w:lang w:val="fr-CA"/>
              </w:rPr>
              <w:t>87</w:t>
            </w:r>
          </w:p>
        </w:tc>
        <w:tc>
          <w:tcPr>
            <w:tcW w:w="1181" w:type="pct"/>
          </w:tcPr>
          <w:p w14:paraId="23D9B459" w14:textId="77777777" w:rsidR="00A7023F" w:rsidRPr="00FB155C" w:rsidRDefault="00A7023F" w:rsidP="00BF469C">
            <w:pPr>
              <w:autoSpaceDE w:val="0"/>
              <w:autoSpaceDN w:val="0"/>
              <w:adjustRightInd w:val="0"/>
              <w:jc w:val="center"/>
              <w:rPr>
                <w:rFonts w:asciiTheme="minorHAnsi" w:hAnsiTheme="minorHAnsi" w:cstheme="minorHAnsi"/>
                <w:sz w:val="22"/>
                <w:szCs w:val="24"/>
                <w:lang w:val="fr-CA"/>
              </w:rPr>
            </w:pPr>
            <w:r w:rsidRPr="00FB155C">
              <w:rPr>
                <w:rFonts w:asciiTheme="minorHAnsi" w:hAnsiTheme="minorHAnsi" w:cstheme="minorHAnsi"/>
                <w:sz w:val="22"/>
                <w:szCs w:val="24"/>
                <w:lang w:val="fr-CA"/>
              </w:rPr>
              <w:t>118</w:t>
            </w:r>
          </w:p>
        </w:tc>
        <w:tc>
          <w:tcPr>
            <w:tcW w:w="1559" w:type="pct"/>
          </w:tcPr>
          <w:p w14:paraId="71E88435" w14:textId="6A0C855C" w:rsidR="00A7023F" w:rsidRPr="00FB155C" w:rsidRDefault="00A7023F" w:rsidP="00BF469C">
            <w:pPr>
              <w:autoSpaceDE w:val="0"/>
              <w:autoSpaceDN w:val="0"/>
              <w:adjustRightInd w:val="0"/>
              <w:jc w:val="center"/>
              <w:rPr>
                <w:rFonts w:asciiTheme="minorHAnsi" w:hAnsiTheme="minorHAnsi" w:cstheme="minorHAnsi"/>
                <w:sz w:val="22"/>
                <w:szCs w:val="24"/>
                <w:lang w:val="fr-CA"/>
              </w:rPr>
            </w:pPr>
            <w:r w:rsidRPr="00FB155C">
              <w:rPr>
                <w:rFonts w:asciiTheme="minorHAnsi" w:hAnsiTheme="minorHAnsi" w:cstheme="minorHAnsi"/>
                <w:sz w:val="22"/>
                <w:szCs w:val="24"/>
                <w:lang w:val="fr-CA"/>
              </w:rPr>
              <w:t>42</w:t>
            </w:r>
            <w:r w:rsidR="00C24A0E">
              <w:rPr>
                <w:rFonts w:asciiTheme="minorHAnsi" w:hAnsiTheme="minorHAnsi" w:cstheme="minorHAnsi"/>
                <w:sz w:val="22"/>
                <w:szCs w:val="24"/>
                <w:lang w:val="fr-CA"/>
              </w:rPr>
              <w:t xml:space="preserve"> </w:t>
            </w:r>
            <w:r w:rsidRPr="00FB155C">
              <w:rPr>
                <w:rFonts w:asciiTheme="minorHAnsi" w:hAnsiTheme="minorHAnsi" w:cstheme="minorHAnsi"/>
                <w:sz w:val="22"/>
                <w:szCs w:val="24"/>
                <w:lang w:val="fr-CA"/>
              </w:rPr>
              <w:t>%</w:t>
            </w:r>
          </w:p>
        </w:tc>
      </w:tr>
      <w:tr w:rsidR="00FB155C" w:rsidRPr="00FB155C" w14:paraId="21F5A206" w14:textId="77777777" w:rsidTr="006C2E0A">
        <w:trPr>
          <w:cantSplit/>
          <w:trHeight w:val="290"/>
          <w:tblHeader/>
          <w:jc w:val="center"/>
        </w:trPr>
        <w:tc>
          <w:tcPr>
            <w:tcW w:w="736" w:type="pct"/>
          </w:tcPr>
          <w:p w14:paraId="231344C9" w14:textId="77777777" w:rsidR="00A7023F" w:rsidRPr="00FB155C" w:rsidRDefault="00A7023F" w:rsidP="00BF469C">
            <w:pPr>
              <w:autoSpaceDE w:val="0"/>
              <w:autoSpaceDN w:val="0"/>
              <w:adjustRightInd w:val="0"/>
              <w:rPr>
                <w:rFonts w:asciiTheme="minorHAnsi" w:hAnsiTheme="minorHAnsi" w:cstheme="minorHAnsi"/>
                <w:sz w:val="22"/>
                <w:szCs w:val="24"/>
                <w:lang w:val="fr-CA"/>
              </w:rPr>
            </w:pPr>
            <w:r w:rsidRPr="00FB155C">
              <w:rPr>
                <w:rFonts w:asciiTheme="minorHAnsi" w:hAnsiTheme="minorHAnsi" w:cstheme="minorHAnsi"/>
                <w:sz w:val="22"/>
                <w:szCs w:val="24"/>
                <w:lang w:val="fr-CA"/>
              </w:rPr>
              <w:t>2016 à 2017</w:t>
            </w:r>
          </w:p>
        </w:tc>
        <w:tc>
          <w:tcPr>
            <w:tcW w:w="1524" w:type="pct"/>
          </w:tcPr>
          <w:p w14:paraId="3542A525" w14:textId="77777777" w:rsidR="00A7023F" w:rsidRPr="00FB155C" w:rsidRDefault="00A7023F" w:rsidP="00BF469C">
            <w:pPr>
              <w:autoSpaceDE w:val="0"/>
              <w:autoSpaceDN w:val="0"/>
              <w:adjustRightInd w:val="0"/>
              <w:jc w:val="center"/>
              <w:rPr>
                <w:rFonts w:asciiTheme="minorHAnsi" w:hAnsiTheme="minorHAnsi" w:cstheme="minorHAnsi"/>
                <w:sz w:val="22"/>
                <w:szCs w:val="24"/>
                <w:lang w:val="fr-CA"/>
              </w:rPr>
            </w:pPr>
            <w:r w:rsidRPr="00FB155C">
              <w:rPr>
                <w:rFonts w:asciiTheme="minorHAnsi" w:hAnsiTheme="minorHAnsi" w:cstheme="minorHAnsi"/>
                <w:sz w:val="22"/>
                <w:szCs w:val="24"/>
                <w:lang w:val="fr-CA"/>
              </w:rPr>
              <w:t>106</w:t>
            </w:r>
          </w:p>
        </w:tc>
        <w:tc>
          <w:tcPr>
            <w:tcW w:w="1181" w:type="pct"/>
          </w:tcPr>
          <w:p w14:paraId="58C6414D" w14:textId="77777777" w:rsidR="00A7023F" w:rsidRPr="00FB155C" w:rsidRDefault="00A7023F" w:rsidP="00BF469C">
            <w:pPr>
              <w:autoSpaceDE w:val="0"/>
              <w:autoSpaceDN w:val="0"/>
              <w:adjustRightInd w:val="0"/>
              <w:jc w:val="center"/>
              <w:rPr>
                <w:rFonts w:asciiTheme="minorHAnsi" w:hAnsiTheme="minorHAnsi" w:cstheme="minorHAnsi"/>
                <w:sz w:val="22"/>
                <w:szCs w:val="24"/>
                <w:lang w:val="fr-CA"/>
              </w:rPr>
            </w:pPr>
            <w:r w:rsidRPr="00FB155C">
              <w:rPr>
                <w:rFonts w:asciiTheme="minorHAnsi" w:hAnsiTheme="minorHAnsi" w:cstheme="minorHAnsi"/>
                <w:sz w:val="22"/>
                <w:szCs w:val="24"/>
                <w:lang w:val="fr-CA"/>
              </w:rPr>
              <w:t>113</w:t>
            </w:r>
          </w:p>
        </w:tc>
        <w:tc>
          <w:tcPr>
            <w:tcW w:w="1559" w:type="pct"/>
          </w:tcPr>
          <w:p w14:paraId="48C3FE0A" w14:textId="0FCB00E2" w:rsidR="00A7023F" w:rsidRPr="00FB155C" w:rsidRDefault="00A7023F" w:rsidP="00BF469C">
            <w:pPr>
              <w:autoSpaceDE w:val="0"/>
              <w:autoSpaceDN w:val="0"/>
              <w:adjustRightInd w:val="0"/>
              <w:jc w:val="center"/>
              <w:rPr>
                <w:rFonts w:asciiTheme="minorHAnsi" w:hAnsiTheme="minorHAnsi" w:cstheme="minorHAnsi"/>
                <w:sz w:val="22"/>
                <w:szCs w:val="24"/>
                <w:lang w:val="fr-CA"/>
              </w:rPr>
            </w:pPr>
            <w:r w:rsidRPr="00FB155C">
              <w:rPr>
                <w:rFonts w:asciiTheme="minorHAnsi" w:hAnsiTheme="minorHAnsi" w:cstheme="minorHAnsi"/>
                <w:sz w:val="22"/>
                <w:szCs w:val="24"/>
                <w:lang w:val="fr-CA"/>
              </w:rPr>
              <w:t>48</w:t>
            </w:r>
            <w:r w:rsidR="00C24A0E">
              <w:rPr>
                <w:rFonts w:asciiTheme="minorHAnsi" w:hAnsiTheme="minorHAnsi" w:cstheme="minorHAnsi"/>
                <w:sz w:val="22"/>
                <w:szCs w:val="24"/>
                <w:lang w:val="fr-CA"/>
              </w:rPr>
              <w:t xml:space="preserve"> </w:t>
            </w:r>
            <w:r w:rsidRPr="00FB155C">
              <w:rPr>
                <w:rFonts w:asciiTheme="minorHAnsi" w:hAnsiTheme="minorHAnsi" w:cstheme="minorHAnsi"/>
                <w:sz w:val="22"/>
                <w:szCs w:val="24"/>
                <w:lang w:val="fr-CA"/>
              </w:rPr>
              <w:t>%</w:t>
            </w:r>
          </w:p>
        </w:tc>
      </w:tr>
      <w:tr w:rsidR="00FB155C" w:rsidRPr="00FB155C" w14:paraId="69B056EA" w14:textId="77777777" w:rsidTr="006C2E0A">
        <w:trPr>
          <w:cantSplit/>
          <w:trHeight w:val="290"/>
          <w:tblHeader/>
          <w:jc w:val="center"/>
        </w:trPr>
        <w:tc>
          <w:tcPr>
            <w:tcW w:w="736" w:type="pct"/>
          </w:tcPr>
          <w:p w14:paraId="6755723B" w14:textId="77777777" w:rsidR="00A7023F" w:rsidRPr="00FB155C" w:rsidRDefault="00A7023F" w:rsidP="00BF469C">
            <w:pPr>
              <w:autoSpaceDE w:val="0"/>
              <w:autoSpaceDN w:val="0"/>
              <w:adjustRightInd w:val="0"/>
              <w:rPr>
                <w:rFonts w:asciiTheme="minorHAnsi" w:hAnsiTheme="minorHAnsi" w:cstheme="minorHAnsi"/>
                <w:sz w:val="22"/>
                <w:szCs w:val="24"/>
                <w:lang w:val="fr-CA"/>
              </w:rPr>
            </w:pPr>
            <w:r w:rsidRPr="00FB155C">
              <w:rPr>
                <w:rFonts w:asciiTheme="minorHAnsi" w:hAnsiTheme="minorHAnsi" w:cstheme="minorHAnsi"/>
                <w:sz w:val="22"/>
                <w:szCs w:val="24"/>
                <w:lang w:val="fr-CA"/>
              </w:rPr>
              <w:t>2017 à 2018</w:t>
            </w:r>
          </w:p>
        </w:tc>
        <w:tc>
          <w:tcPr>
            <w:tcW w:w="1524" w:type="pct"/>
          </w:tcPr>
          <w:p w14:paraId="540C2829" w14:textId="77777777" w:rsidR="00A7023F" w:rsidRPr="00FB155C" w:rsidRDefault="00A7023F" w:rsidP="00BF469C">
            <w:pPr>
              <w:autoSpaceDE w:val="0"/>
              <w:autoSpaceDN w:val="0"/>
              <w:adjustRightInd w:val="0"/>
              <w:jc w:val="center"/>
              <w:rPr>
                <w:rFonts w:asciiTheme="minorHAnsi" w:hAnsiTheme="minorHAnsi" w:cstheme="minorHAnsi"/>
                <w:sz w:val="22"/>
                <w:szCs w:val="24"/>
                <w:lang w:val="fr-CA"/>
              </w:rPr>
            </w:pPr>
            <w:r w:rsidRPr="00FB155C">
              <w:rPr>
                <w:rFonts w:asciiTheme="minorHAnsi" w:hAnsiTheme="minorHAnsi" w:cstheme="minorHAnsi"/>
                <w:sz w:val="22"/>
                <w:szCs w:val="24"/>
                <w:lang w:val="fr-CA"/>
              </w:rPr>
              <w:t>163</w:t>
            </w:r>
          </w:p>
        </w:tc>
        <w:tc>
          <w:tcPr>
            <w:tcW w:w="1181" w:type="pct"/>
          </w:tcPr>
          <w:p w14:paraId="716D87DB" w14:textId="77777777" w:rsidR="00A7023F" w:rsidRPr="00FB155C" w:rsidRDefault="00A7023F" w:rsidP="00BF469C">
            <w:pPr>
              <w:autoSpaceDE w:val="0"/>
              <w:autoSpaceDN w:val="0"/>
              <w:adjustRightInd w:val="0"/>
              <w:jc w:val="center"/>
              <w:rPr>
                <w:rFonts w:asciiTheme="minorHAnsi" w:hAnsiTheme="minorHAnsi" w:cstheme="minorHAnsi"/>
                <w:sz w:val="22"/>
                <w:szCs w:val="24"/>
                <w:lang w:val="fr-CA"/>
              </w:rPr>
            </w:pPr>
            <w:r w:rsidRPr="00FB155C">
              <w:rPr>
                <w:rFonts w:asciiTheme="minorHAnsi" w:hAnsiTheme="minorHAnsi" w:cstheme="minorHAnsi"/>
                <w:sz w:val="22"/>
                <w:szCs w:val="24"/>
                <w:lang w:val="fr-CA"/>
              </w:rPr>
              <w:t>134</w:t>
            </w:r>
          </w:p>
        </w:tc>
        <w:tc>
          <w:tcPr>
            <w:tcW w:w="1559" w:type="pct"/>
          </w:tcPr>
          <w:p w14:paraId="1201CA08" w14:textId="613F1D35" w:rsidR="00A7023F" w:rsidRPr="00FB155C" w:rsidRDefault="00A7023F" w:rsidP="00BF469C">
            <w:pPr>
              <w:autoSpaceDE w:val="0"/>
              <w:autoSpaceDN w:val="0"/>
              <w:adjustRightInd w:val="0"/>
              <w:jc w:val="center"/>
              <w:rPr>
                <w:rFonts w:asciiTheme="minorHAnsi" w:hAnsiTheme="minorHAnsi" w:cstheme="minorHAnsi"/>
                <w:sz w:val="22"/>
                <w:szCs w:val="24"/>
                <w:lang w:val="fr-CA"/>
              </w:rPr>
            </w:pPr>
            <w:r w:rsidRPr="00FB155C">
              <w:rPr>
                <w:rFonts w:asciiTheme="minorHAnsi" w:hAnsiTheme="minorHAnsi" w:cstheme="minorHAnsi"/>
                <w:sz w:val="22"/>
                <w:szCs w:val="24"/>
                <w:lang w:val="fr-CA"/>
              </w:rPr>
              <w:t>55</w:t>
            </w:r>
            <w:r w:rsidR="00C24A0E">
              <w:rPr>
                <w:rFonts w:asciiTheme="minorHAnsi" w:hAnsiTheme="minorHAnsi" w:cstheme="minorHAnsi"/>
                <w:sz w:val="22"/>
                <w:szCs w:val="24"/>
                <w:lang w:val="fr-CA"/>
              </w:rPr>
              <w:t xml:space="preserve"> </w:t>
            </w:r>
            <w:r w:rsidRPr="00FB155C">
              <w:rPr>
                <w:rFonts w:asciiTheme="minorHAnsi" w:hAnsiTheme="minorHAnsi" w:cstheme="minorHAnsi"/>
                <w:sz w:val="22"/>
                <w:szCs w:val="24"/>
                <w:lang w:val="fr-CA"/>
              </w:rPr>
              <w:t>%</w:t>
            </w:r>
          </w:p>
        </w:tc>
      </w:tr>
      <w:tr w:rsidR="00FB155C" w:rsidRPr="00FB155C" w14:paraId="1CD76353" w14:textId="77777777" w:rsidTr="006C2E0A">
        <w:trPr>
          <w:cantSplit/>
          <w:trHeight w:val="290"/>
          <w:tblHeader/>
          <w:jc w:val="center"/>
        </w:trPr>
        <w:tc>
          <w:tcPr>
            <w:tcW w:w="736" w:type="pct"/>
          </w:tcPr>
          <w:p w14:paraId="2D035030" w14:textId="77777777" w:rsidR="00A7023F" w:rsidRPr="00FB155C" w:rsidRDefault="00A7023F" w:rsidP="00BF469C">
            <w:pPr>
              <w:autoSpaceDE w:val="0"/>
              <w:autoSpaceDN w:val="0"/>
              <w:adjustRightInd w:val="0"/>
              <w:rPr>
                <w:rFonts w:asciiTheme="minorHAnsi" w:hAnsiTheme="minorHAnsi" w:cstheme="minorHAnsi"/>
                <w:sz w:val="22"/>
                <w:szCs w:val="24"/>
                <w:lang w:val="fr-CA"/>
              </w:rPr>
            </w:pPr>
            <w:r w:rsidRPr="00FB155C">
              <w:rPr>
                <w:rFonts w:asciiTheme="minorHAnsi" w:hAnsiTheme="minorHAnsi" w:cstheme="minorHAnsi"/>
                <w:sz w:val="22"/>
                <w:szCs w:val="24"/>
                <w:lang w:val="fr-CA"/>
              </w:rPr>
              <w:t>2018 à 2019</w:t>
            </w:r>
          </w:p>
        </w:tc>
        <w:tc>
          <w:tcPr>
            <w:tcW w:w="1524" w:type="pct"/>
          </w:tcPr>
          <w:p w14:paraId="7327FA9B" w14:textId="77777777" w:rsidR="00A7023F" w:rsidRPr="00FB155C" w:rsidRDefault="00A7023F" w:rsidP="00BF469C">
            <w:pPr>
              <w:autoSpaceDE w:val="0"/>
              <w:autoSpaceDN w:val="0"/>
              <w:adjustRightInd w:val="0"/>
              <w:jc w:val="center"/>
              <w:rPr>
                <w:rFonts w:asciiTheme="minorHAnsi" w:hAnsiTheme="minorHAnsi" w:cstheme="minorHAnsi"/>
                <w:sz w:val="22"/>
                <w:szCs w:val="24"/>
                <w:lang w:val="fr-CA"/>
              </w:rPr>
            </w:pPr>
            <w:r w:rsidRPr="00FB155C">
              <w:rPr>
                <w:rFonts w:asciiTheme="minorHAnsi" w:hAnsiTheme="minorHAnsi" w:cstheme="minorHAnsi"/>
                <w:sz w:val="22"/>
                <w:szCs w:val="24"/>
                <w:lang w:val="fr-CA"/>
              </w:rPr>
              <w:t>179</w:t>
            </w:r>
          </w:p>
        </w:tc>
        <w:tc>
          <w:tcPr>
            <w:tcW w:w="1181" w:type="pct"/>
          </w:tcPr>
          <w:p w14:paraId="5FC5FCD9" w14:textId="77777777" w:rsidR="00A7023F" w:rsidRPr="00FB155C" w:rsidRDefault="00A7023F" w:rsidP="00BF469C">
            <w:pPr>
              <w:autoSpaceDE w:val="0"/>
              <w:autoSpaceDN w:val="0"/>
              <w:adjustRightInd w:val="0"/>
              <w:jc w:val="center"/>
              <w:rPr>
                <w:rFonts w:asciiTheme="minorHAnsi" w:hAnsiTheme="minorHAnsi" w:cstheme="minorHAnsi"/>
                <w:sz w:val="22"/>
                <w:szCs w:val="24"/>
                <w:lang w:val="fr-CA"/>
              </w:rPr>
            </w:pPr>
            <w:r w:rsidRPr="00FB155C">
              <w:rPr>
                <w:rFonts w:asciiTheme="minorHAnsi" w:hAnsiTheme="minorHAnsi" w:cstheme="minorHAnsi"/>
                <w:sz w:val="22"/>
                <w:szCs w:val="24"/>
                <w:lang w:val="fr-CA"/>
              </w:rPr>
              <w:t>164</w:t>
            </w:r>
          </w:p>
        </w:tc>
        <w:tc>
          <w:tcPr>
            <w:tcW w:w="1559" w:type="pct"/>
          </w:tcPr>
          <w:p w14:paraId="49820A71" w14:textId="719DBDD6" w:rsidR="00A7023F" w:rsidRPr="00FB155C" w:rsidRDefault="00A7023F" w:rsidP="00BF469C">
            <w:pPr>
              <w:autoSpaceDE w:val="0"/>
              <w:autoSpaceDN w:val="0"/>
              <w:adjustRightInd w:val="0"/>
              <w:jc w:val="center"/>
              <w:rPr>
                <w:rFonts w:asciiTheme="minorHAnsi" w:hAnsiTheme="minorHAnsi" w:cstheme="minorHAnsi"/>
                <w:sz w:val="22"/>
                <w:szCs w:val="24"/>
                <w:lang w:val="fr-CA"/>
              </w:rPr>
            </w:pPr>
            <w:r w:rsidRPr="00FB155C">
              <w:rPr>
                <w:rFonts w:asciiTheme="minorHAnsi" w:hAnsiTheme="minorHAnsi" w:cstheme="minorHAnsi"/>
                <w:sz w:val="22"/>
                <w:szCs w:val="24"/>
                <w:lang w:val="fr-CA"/>
              </w:rPr>
              <w:t>52</w:t>
            </w:r>
            <w:r w:rsidR="00C24A0E">
              <w:rPr>
                <w:rFonts w:asciiTheme="minorHAnsi" w:hAnsiTheme="minorHAnsi" w:cstheme="minorHAnsi"/>
                <w:sz w:val="22"/>
                <w:szCs w:val="24"/>
                <w:lang w:val="fr-CA"/>
              </w:rPr>
              <w:t xml:space="preserve"> </w:t>
            </w:r>
            <w:r w:rsidRPr="00FB155C">
              <w:rPr>
                <w:rFonts w:asciiTheme="minorHAnsi" w:hAnsiTheme="minorHAnsi" w:cstheme="minorHAnsi"/>
                <w:sz w:val="22"/>
                <w:szCs w:val="24"/>
                <w:lang w:val="fr-CA"/>
              </w:rPr>
              <w:t>%</w:t>
            </w:r>
          </w:p>
        </w:tc>
      </w:tr>
    </w:tbl>
    <w:p w14:paraId="0E0A2B91" w14:textId="77777777" w:rsidR="00A7023F" w:rsidRPr="00FB155C" w:rsidRDefault="00A7023F" w:rsidP="00C163E0">
      <w:pPr>
        <w:pStyle w:val="ListParagraph"/>
        <w:numPr>
          <w:ilvl w:val="0"/>
          <w:numId w:val="18"/>
        </w:numPr>
        <w:spacing w:after="0"/>
        <w:contextualSpacing w:val="0"/>
        <w:rPr>
          <w:rFonts w:asciiTheme="minorHAnsi" w:hAnsiTheme="minorHAnsi" w:cstheme="minorHAnsi"/>
          <w:sz w:val="22"/>
          <w:lang w:val="fr-CA"/>
        </w:rPr>
      </w:pPr>
      <w:r w:rsidRPr="00FB155C">
        <w:rPr>
          <w:rFonts w:asciiTheme="minorHAnsi" w:hAnsiTheme="minorHAnsi" w:cstheme="minorHAnsi"/>
          <w:sz w:val="22"/>
          <w:lang w:val="fr-CA"/>
        </w:rPr>
        <w:t>Comprend les nominations pour une période indéterminée et pour une durée déterminée.</w:t>
      </w:r>
    </w:p>
    <w:p w14:paraId="373606EF" w14:textId="77777777" w:rsidR="00A7023F" w:rsidRPr="00FB155C" w:rsidRDefault="00A7023F" w:rsidP="00C163E0">
      <w:pPr>
        <w:pStyle w:val="ListParagraph"/>
        <w:numPr>
          <w:ilvl w:val="0"/>
          <w:numId w:val="18"/>
        </w:numPr>
        <w:spacing w:after="0"/>
        <w:contextualSpacing w:val="0"/>
        <w:rPr>
          <w:rFonts w:asciiTheme="minorHAnsi" w:hAnsiTheme="minorHAnsi" w:cstheme="minorHAnsi"/>
          <w:sz w:val="22"/>
          <w:lang w:val="fr-CA"/>
        </w:rPr>
      </w:pPr>
      <w:r w:rsidRPr="00FB155C">
        <w:rPr>
          <w:rFonts w:asciiTheme="minorHAnsi" w:hAnsiTheme="minorHAnsi" w:cstheme="minorHAnsi"/>
          <w:sz w:val="22"/>
          <w:lang w:val="fr-CA"/>
        </w:rPr>
        <w:t>Exclut les déplacements latéraux et régressifs, les mutations et les nominations intérimaires de moins de 4 mois.</w:t>
      </w:r>
    </w:p>
    <w:p w14:paraId="2EB4CD93" w14:textId="77777777" w:rsidR="00A7023F" w:rsidRPr="00FB155C" w:rsidRDefault="00A7023F" w:rsidP="00A7023F">
      <w:pPr>
        <w:pStyle w:val="ListParagraph"/>
        <w:numPr>
          <w:ilvl w:val="0"/>
          <w:numId w:val="18"/>
        </w:numPr>
        <w:spacing w:after="100" w:afterAutospacing="1"/>
        <w:contextualSpacing w:val="0"/>
        <w:rPr>
          <w:rFonts w:asciiTheme="minorHAnsi" w:hAnsiTheme="minorHAnsi" w:cstheme="minorHAnsi"/>
          <w:sz w:val="22"/>
          <w:lang w:val="fr-CA"/>
        </w:rPr>
      </w:pPr>
      <w:r w:rsidRPr="00FB155C">
        <w:rPr>
          <w:rFonts w:asciiTheme="minorHAnsi" w:hAnsiTheme="minorHAnsi" w:cstheme="minorHAnsi"/>
          <w:sz w:val="22"/>
          <w:lang w:val="fr-CA"/>
        </w:rPr>
        <w:t>Inclut seulement les nominations où le type de processus est connu (63% à 83% des nominations)</w:t>
      </w:r>
    </w:p>
    <w:p w14:paraId="693F5691" w14:textId="77777777" w:rsidR="00A7023F" w:rsidRDefault="00A7023F" w:rsidP="00413E58">
      <w:pPr>
        <w:tabs>
          <w:tab w:val="left" w:pos="7839"/>
        </w:tabs>
        <w:jc w:val="center"/>
        <w:rPr>
          <w:lang w:val="fr-CA"/>
        </w:rPr>
        <w:sectPr w:rsidR="00A7023F" w:rsidSect="00C67F41">
          <w:footnotePr>
            <w:numFmt w:val="lowerLetter"/>
          </w:footnotePr>
          <w:endnotePr>
            <w:numFmt w:val="lowerLetter"/>
          </w:endnotePr>
          <w:pgSz w:w="15840" w:h="12240" w:orient="landscape" w:code="1"/>
          <w:pgMar w:top="567" w:right="709" w:bottom="1304" w:left="709" w:header="284" w:footer="284" w:gutter="0"/>
          <w:cols w:space="720"/>
          <w:docGrid w:linePitch="326"/>
        </w:sectPr>
      </w:pPr>
    </w:p>
    <w:p w14:paraId="3DE8F488" w14:textId="77777777" w:rsidR="00FB155C" w:rsidRPr="00FB155C" w:rsidRDefault="00FB155C" w:rsidP="00FB155C">
      <w:pPr>
        <w:pStyle w:val="Heading1"/>
        <w:spacing w:before="120" w:after="120"/>
        <w:rPr>
          <w:sz w:val="40"/>
          <w:lang w:val="en-CA"/>
        </w:rPr>
      </w:pPr>
      <w:r w:rsidRPr="00FB155C">
        <w:rPr>
          <w:rFonts w:eastAsia="Times New Roman"/>
          <w:sz w:val="40"/>
        </w:rPr>
        <w:lastRenderedPageBreak/>
        <w:t>Dotation par type de nomination</w:t>
      </w:r>
    </w:p>
    <w:p w14:paraId="2CF9E8EA" w14:textId="77777777" w:rsidR="00FB155C" w:rsidRDefault="00591DC8" w:rsidP="00FB155C">
      <w:pPr>
        <w:keepNext/>
        <w:jc w:val="center"/>
      </w:pPr>
      <w:r w:rsidRPr="008F610A">
        <w:rPr>
          <w:noProof/>
          <w:lang w:val="en-CA" w:eastAsia="en-CA"/>
        </w:rPr>
        <w:drawing>
          <wp:inline distT="0" distB="0" distL="0" distR="0" wp14:anchorId="2B26D6F3" wp14:editId="0C10F887">
            <wp:extent cx="5648400" cy="3049200"/>
            <wp:effectExtent l="0" t="0" r="9525" b="18415"/>
            <wp:docPr id="9" name="Chart 9" descr="Dotation par type de nomination&#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A6914E1" w14:textId="77777777" w:rsidR="00591DC8" w:rsidRPr="00FB155C" w:rsidRDefault="00FB155C" w:rsidP="00FB155C">
      <w:pPr>
        <w:pStyle w:val="Caption"/>
        <w:spacing w:after="0"/>
        <w:jc w:val="center"/>
        <w:rPr>
          <w:rFonts w:asciiTheme="minorHAnsi" w:hAnsiTheme="minorHAnsi" w:cstheme="minorHAnsi"/>
          <w:i w:val="0"/>
          <w:color w:val="auto"/>
          <w:lang w:val="fr-CA"/>
        </w:rPr>
      </w:pPr>
      <w:r w:rsidRPr="00FB155C">
        <w:rPr>
          <w:rFonts w:asciiTheme="minorHAnsi" w:hAnsiTheme="minorHAnsi" w:cstheme="minorHAnsi"/>
          <w:i w:val="0"/>
          <w:color w:val="auto"/>
        </w:rPr>
        <w:t xml:space="preserve">Figure </w:t>
      </w:r>
      <w:r w:rsidRPr="00FB155C">
        <w:rPr>
          <w:rFonts w:asciiTheme="minorHAnsi" w:hAnsiTheme="minorHAnsi" w:cstheme="minorHAnsi"/>
          <w:i w:val="0"/>
          <w:color w:val="auto"/>
        </w:rPr>
        <w:fldChar w:fldCharType="begin"/>
      </w:r>
      <w:r w:rsidRPr="00FB155C">
        <w:rPr>
          <w:rFonts w:asciiTheme="minorHAnsi" w:hAnsiTheme="minorHAnsi" w:cstheme="minorHAnsi"/>
          <w:i w:val="0"/>
          <w:color w:val="auto"/>
        </w:rPr>
        <w:instrText xml:space="preserve"> SEQ Figure \* ARABIC </w:instrText>
      </w:r>
      <w:r w:rsidRPr="00FB155C">
        <w:rPr>
          <w:rFonts w:asciiTheme="minorHAnsi" w:hAnsiTheme="minorHAnsi" w:cstheme="minorHAnsi"/>
          <w:i w:val="0"/>
          <w:color w:val="auto"/>
        </w:rPr>
        <w:fldChar w:fldCharType="separate"/>
      </w:r>
      <w:r w:rsidR="00353602">
        <w:rPr>
          <w:rFonts w:asciiTheme="minorHAnsi" w:hAnsiTheme="minorHAnsi" w:cstheme="minorHAnsi"/>
          <w:i w:val="0"/>
          <w:noProof/>
          <w:color w:val="auto"/>
        </w:rPr>
        <w:t>8</w:t>
      </w:r>
      <w:r w:rsidRPr="00FB155C">
        <w:rPr>
          <w:rFonts w:asciiTheme="minorHAnsi" w:hAnsiTheme="minorHAnsi" w:cstheme="minorHAnsi"/>
          <w:i w:val="0"/>
          <w:color w:val="auto"/>
        </w:rPr>
        <w:fldChar w:fldCharType="end"/>
      </w:r>
      <w:r w:rsidRPr="00FB155C">
        <w:rPr>
          <w:rFonts w:asciiTheme="minorHAnsi" w:hAnsiTheme="minorHAnsi" w:cstheme="minorHAnsi"/>
          <w:i w:val="0"/>
          <w:color w:val="auto"/>
        </w:rPr>
        <w:t xml:space="preserve"> - Dotation par type de nomination</w:t>
      </w:r>
    </w:p>
    <w:p w14:paraId="7C52B43B" w14:textId="77777777" w:rsidR="00FB155C" w:rsidRPr="00FB155C" w:rsidRDefault="00FB155C" w:rsidP="00FB155C">
      <w:pPr>
        <w:pStyle w:val="Caption"/>
        <w:keepNext/>
        <w:spacing w:before="240" w:after="0"/>
        <w:jc w:val="center"/>
        <w:rPr>
          <w:rFonts w:asciiTheme="minorHAnsi" w:hAnsiTheme="minorHAnsi" w:cstheme="minorHAnsi"/>
          <w:i w:val="0"/>
          <w:color w:val="auto"/>
        </w:rPr>
      </w:pPr>
      <w:r w:rsidRPr="00FB155C">
        <w:rPr>
          <w:rFonts w:asciiTheme="minorHAnsi" w:hAnsiTheme="minorHAnsi" w:cstheme="minorHAnsi"/>
          <w:i w:val="0"/>
          <w:color w:val="auto"/>
        </w:rPr>
        <w:t xml:space="preserve">Table </w:t>
      </w:r>
      <w:r w:rsidRPr="00FB155C">
        <w:rPr>
          <w:rFonts w:asciiTheme="minorHAnsi" w:hAnsiTheme="minorHAnsi" w:cstheme="minorHAnsi"/>
          <w:i w:val="0"/>
          <w:color w:val="auto"/>
        </w:rPr>
        <w:fldChar w:fldCharType="begin"/>
      </w:r>
      <w:r w:rsidRPr="00FB155C">
        <w:rPr>
          <w:rFonts w:asciiTheme="minorHAnsi" w:hAnsiTheme="minorHAnsi" w:cstheme="minorHAnsi"/>
          <w:i w:val="0"/>
          <w:color w:val="auto"/>
        </w:rPr>
        <w:instrText xml:space="preserve"> SEQ Table \* ARABIC </w:instrText>
      </w:r>
      <w:r w:rsidRPr="00FB155C">
        <w:rPr>
          <w:rFonts w:asciiTheme="minorHAnsi" w:hAnsiTheme="minorHAnsi" w:cstheme="minorHAnsi"/>
          <w:i w:val="0"/>
          <w:color w:val="auto"/>
        </w:rPr>
        <w:fldChar w:fldCharType="separate"/>
      </w:r>
      <w:r w:rsidR="00766F9D">
        <w:rPr>
          <w:rFonts w:asciiTheme="minorHAnsi" w:hAnsiTheme="minorHAnsi" w:cstheme="minorHAnsi"/>
          <w:i w:val="0"/>
          <w:noProof/>
          <w:color w:val="auto"/>
        </w:rPr>
        <w:t>11</w:t>
      </w:r>
      <w:r w:rsidRPr="00FB155C">
        <w:rPr>
          <w:rFonts w:asciiTheme="minorHAnsi" w:hAnsiTheme="minorHAnsi" w:cstheme="minorHAnsi"/>
          <w:i w:val="0"/>
          <w:color w:val="auto"/>
        </w:rPr>
        <w:fldChar w:fldCharType="end"/>
      </w:r>
      <w:r w:rsidRPr="00FB155C">
        <w:rPr>
          <w:rFonts w:asciiTheme="minorHAnsi" w:hAnsiTheme="minorHAnsi" w:cstheme="minorHAnsi"/>
          <w:i w:val="0"/>
          <w:color w:val="auto"/>
        </w:rPr>
        <w:t xml:space="preserve"> - Activités de dotation selon le type de nomination et exercice financier</w:t>
      </w:r>
    </w:p>
    <w:tbl>
      <w:tblPr>
        <w:tblStyle w:val="TableGrid"/>
        <w:tblW w:w="5000" w:type="pct"/>
        <w:jc w:val="center"/>
        <w:tblLook w:val="0020" w:firstRow="1" w:lastRow="0" w:firstColumn="0" w:lastColumn="0" w:noHBand="0" w:noVBand="0"/>
        <w:tblDescription w:val="Dotation selon le type de nomination de 2014 à 2019"/>
      </w:tblPr>
      <w:tblGrid>
        <w:gridCol w:w="1555"/>
        <w:gridCol w:w="1702"/>
        <w:gridCol w:w="2410"/>
        <w:gridCol w:w="3969"/>
        <w:gridCol w:w="3401"/>
        <w:gridCol w:w="1375"/>
      </w:tblGrid>
      <w:tr w:rsidR="00FB155C" w:rsidRPr="00FB155C" w14:paraId="68CB0AAB" w14:textId="77777777" w:rsidTr="006C2E0A">
        <w:trPr>
          <w:cantSplit/>
          <w:tblHeader/>
          <w:jc w:val="center"/>
        </w:trPr>
        <w:tc>
          <w:tcPr>
            <w:tcW w:w="539" w:type="pct"/>
          </w:tcPr>
          <w:p w14:paraId="0BD939FE" w14:textId="77777777" w:rsidR="00A7023F" w:rsidRPr="00FB155C" w:rsidRDefault="00A7023F" w:rsidP="00FB155C">
            <w:pPr>
              <w:pStyle w:val="TableTitle"/>
              <w:rPr>
                <w:color w:val="auto"/>
                <w:sz w:val="22"/>
                <w:lang w:val="fr-CA"/>
              </w:rPr>
            </w:pPr>
            <w:r w:rsidRPr="00FB155C">
              <w:rPr>
                <w:color w:val="auto"/>
                <w:sz w:val="22"/>
                <w:lang w:val="fr-CA"/>
              </w:rPr>
              <w:t>Exercice financier</w:t>
            </w:r>
          </w:p>
        </w:tc>
        <w:tc>
          <w:tcPr>
            <w:tcW w:w="590" w:type="pct"/>
          </w:tcPr>
          <w:p w14:paraId="279270CF" w14:textId="77777777" w:rsidR="00A7023F" w:rsidRPr="00FB155C" w:rsidRDefault="00A7023F" w:rsidP="00FB155C">
            <w:pPr>
              <w:pStyle w:val="TableTitle"/>
              <w:rPr>
                <w:color w:val="auto"/>
                <w:sz w:val="22"/>
                <w:lang w:val="fr-CA"/>
              </w:rPr>
            </w:pPr>
            <w:r w:rsidRPr="00FB155C">
              <w:rPr>
                <w:color w:val="auto"/>
                <w:sz w:val="22"/>
                <w:lang w:val="fr-CA"/>
              </w:rPr>
              <w:t>Promotions</w:t>
            </w:r>
          </w:p>
        </w:tc>
        <w:tc>
          <w:tcPr>
            <w:tcW w:w="836" w:type="pct"/>
          </w:tcPr>
          <w:p w14:paraId="37FE7D22" w14:textId="77777777" w:rsidR="00A7023F" w:rsidRPr="00FB155C" w:rsidRDefault="00A7023F" w:rsidP="00FB155C">
            <w:pPr>
              <w:pStyle w:val="TableTitle"/>
              <w:rPr>
                <w:color w:val="auto"/>
                <w:sz w:val="22"/>
                <w:lang w:val="fr-CA"/>
              </w:rPr>
            </w:pPr>
            <w:r w:rsidRPr="00FB155C">
              <w:rPr>
                <w:color w:val="auto"/>
                <w:sz w:val="22"/>
                <w:lang w:val="fr-CA"/>
              </w:rPr>
              <w:t>Déplacements latéraux et régressifs</w:t>
            </w:r>
          </w:p>
        </w:tc>
        <w:tc>
          <w:tcPr>
            <w:tcW w:w="1377" w:type="pct"/>
          </w:tcPr>
          <w:p w14:paraId="39134337" w14:textId="77777777" w:rsidR="00A7023F" w:rsidRPr="00FB155C" w:rsidRDefault="00A7023F" w:rsidP="00FB155C">
            <w:pPr>
              <w:pStyle w:val="TableTitle"/>
              <w:rPr>
                <w:color w:val="auto"/>
                <w:sz w:val="22"/>
                <w:lang w:val="fr-CA"/>
              </w:rPr>
            </w:pPr>
            <w:r w:rsidRPr="00FB155C">
              <w:rPr>
                <w:color w:val="auto"/>
                <w:sz w:val="22"/>
                <w:lang w:val="fr-CA"/>
              </w:rPr>
              <w:t>Nominations à la fonction publique (y compris les employés occasionnels et les étudiants)</w:t>
            </w:r>
          </w:p>
        </w:tc>
        <w:tc>
          <w:tcPr>
            <w:tcW w:w="1180" w:type="pct"/>
          </w:tcPr>
          <w:p w14:paraId="330661DC" w14:textId="77777777" w:rsidR="00A7023F" w:rsidRPr="00FB155C" w:rsidRDefault="00A7023F" w:rsidP="00FB155C">
            <w:pPr>
              <w:pStyle w:val="TableTitle"/>
              <w:rPr>
                <w:color w:val="auto"/>
                <w:sz w:val="22"/>
                <w:lang w:val="fr-CA"/>
              </w:rPr>
            </w:pPr>
            <w:r w:rsidRPr="00FB155C">
              <w:rPr>
                <w:color w:val="auto"/>
                <w:sz w:val="22"/>
                <w:lang w:val="fr-CA"/>
              </w:rPr>
              <w:t>Nominations intérimaires (Excluant les nominations de moins de 4 mois)</w:t>
            </w:r>
          </w:p>
        </w:tc>
        <w:tc>
          <w:tcPr>
            <w:tcW w:w="477" w:type="pct"/>
          </w:tcPr>
          <w:p w14:paraId="16E4F656" w14:textId="77777777" w:rsidR="00A7023F" w:rsidRPr="00FB155C" w:rsidRDefault="00A7023F" w:rsidP="00FB155C">
            <w:pPr>
              <w:pStyle w:val="TableTitle"/>
              <w:rPr>
                <w:color w:val="auto"/>
                <w:sz w:val="22"/>
                <w:lang w:val="fr-CA"/>
              </w:rPr>
            </w:pPr>
            <w:r w:rsidRPr="00FB155C">
              <w:rPr>
                <w:color w:val="auto"/>
                <w:sz w:val="22"/>
                <w:lang w:val="fr-CA"/>
              </w:rPr>
              <w:t>Total</w:t>
            </w:r>
          </w:p>
        </w:tc>
      </w:tr>
      <w:tr w:rsidR="00FB155C" w:rsidRPr="00FB155C" w14:paraId="510BF2F8" w14:textId="77777777" w:rsidTr="006C2E0A">
        <w:trPr>
          <w:cantSplit/>
          <w:tblHeader/>
          <w:jc w:val="center"/>
        </w:trPr>
        <w:tc>
          <w:tcPr>
            <w:tcW w:w="539" w:type="pct"/>
          </w:tcPr>
          <w:p w14:paraId="5065429F" w14:textId="77777777" w:rsidR="00A7023F" w:rsidRPr="00FB155C" w:rsidRDefault="00A7023F" w:rsidP="00BF469C">
            <w:pPr>
              <w:autoSpaceDE w:val="0"/>
              <w:autoSpaceDN w:val="0"/>
              <w:adjustRightInd w:val="0"/>
              <w:rPr>
                <w:rFonts w:asciiTheme="minorHAnsi" w:hAnsiTheme="minorHAnsi" w:cstheme="minorHAnsi"/>
                <w:sz w:val="22"/>
                <w:szCs w:val="22"/>
                <w:lang w:val="fr-CA"/>
              </w:rPr>
            </w:pPr>
            <w:r w:rsidRPr="00FB155C">
              <w:rPr>
                <w:rFonts w:asciiTheme="minorHAnsi" w:hAnsiTheme="minorHAnsi" w:cstheme="minorHAnsi"/>
                <w:sz w:val="22"/>
                <w:szCs w:val="22"/>
                <w:lang w:val="fr-CA"/>
              </w:rPr>
              <w:t xml:space="preserve">2014 à 2015 </w:t>
            </w:r>
          </w:p>
        </w:tc>
        <w:tc>
          <w:tcPr>
            <w:tcW w:w="590" w:type="pct"/>
          </w:tcPr>
          <w:p w14:paraId="57B9BB4E" w14:textId="77777777" w:rsidR="00A7023F" w:rsidRPr="00FB155C" w:rsidRDefault="00A7023F" w:rsidP="00BF469C">
            <w:pPr>
              <w:autoSpaceDE w:val="0"/>
              <w:autoSpaceDN w:val="0"/>
              <w:adjustRightInd w:val="0"/>
              <w:jc w:val="center"/>
              <w:rPr>
                <w:rFonts w:asciiTheme="minorHAnsi" w:hAnsiTheme="minorHAnsi" w:cstheme="minorHAnsi"/>
                <w:sz w:val="22"/>
                <w:szCs w:val="22"/>
                <w:lang w:val="fr-CA"/>
              </w:rPr>
            </w:pPr>
            <w:r w:rsidRPr="00FB155C">
              <w:rPr>
                <w:rFonts w:asciiTheme="minorHAnsi" w:hAnsiTheme="minorHAnsi" w:cstheme="minorHAnsi"/>
                <w:sz w:val="22"/>
                <w:szCs w:val="22"/>
                <w:lang w:val="fr-CA"/>
              </w:rPr>
              <w:t>59</w:t>
            </w:r>
          </w:p>
        </w:tc>
        <w:tc>
          <w:tcPr>
            <w:tcW w:w="836" w:type="pct"/>
          </w:tcPr>
          <w:p w14:paraId="0B538E9C" w14:textId="77777777" w:rsidR="00A7023F" w:rsidRPr="00FB155C" w:rsidRDefault="00A7023F" w:rsidP="00BF469C">
            <w:pPr>
              <w:autoSpaceDE w:val="0"/>
              <w:autoSpaceDN w:val="0"/>
              <w:adjustRightInd w:val="0"/>
              <w:jc w:val="center"/>
              <w:rPr>
                <w:rFonts w:asciiTheme="minorHAnsi" w:hAnsiTheme="minorHAnsi" w:cstheme="minorHAnsi"/>
                <w:sz w:val="22"/>
                <w:szCs w:val="22"/>
                <w:lang w:val="fr-CA"/>
              </w:rPr>
            </w:pPr>
            <w:r w:rsidRPr="00FB155C">
              <w:rPr>
                <w:rFonts w:asciiTheme="minorHAnsi" w:hAnsiTheme="minorHAnsi" w:cstheme="minorHAnsi"/>
                <w:sz w:val="22"/>
                <w:szCs w:val="22"/>
                <w:lang w:val="fr-CA"/>
              </w:rPr>
              <w:t>132</w:t>
            </w:r>
          </w:p>
        </w:tc>
        <w:tc>
          <w:tcPr>
            <w:tcW w:w="1377" w:type="pct"/>
          </w:tcPr>
          <w:p w14:paraId="1F92A009" w14:textId="77777777" w:rsidR="00A7023F" w:rsidRPr="00FB155C" w:rsidRDefault="00A7023F" w:rsidP="00BF469C">
            <w:pPr>
              <w:autoSpaceDE w:val="0"/>
              <w:autoSpaceDN w:val="0"/>
              <w:adjustRightInd w:val="0"/>
              <w:jc w:val="center"/>
              <w:rPr>
                <w:rFonts w:asciiTheme="minorHAnsi" w:hAnsiTheme="minorHAnsi" w:cstheme="minorHAnsi"/>
                <w:sz w:val="22"/>
                <w:szCs w:val="22"/>
                <w:lang w:val="fr-CA"/>
              </w:rPr>
            </w:pPr>
            <w:r w:rsidRPr="00FB155C">
              <w:rPr>
                <w:rFonts w:asciiTheme="minorHAnsi" w:hAnsiTheme="minorHAnsi" w:cstheme="minorHAnsi"/>
                <w:sz w:val="22"/>
                <w:szCs w:val="22"/>
                <w:lang w:val="fr-CA"/>
              </w:rPr>
              <w:t>257</w:t>
            </w:r>
          </w:p>
        </w:tc>
        <w:tc>
          <w:tcPr>
            <w:tcW w:w="1180" w:type="pct"/>
          </w:tcPr>
          <w:p w14:paraId="571236EF" w14:textId="77777777" w:rsidR="00A7023F" w:rsidRPr="00FB155C" w:rsidRDefault="00A7023F" w:rsidP="00BF469C">
            <w:pPr>
              <w:autoSpaceDE w:val="0"/>
              <w:autoSpaceDN w:val="0"/>
              <w:adjustRightInd w:val="0"/>
              <w:jc w:val="center"/>
              <w:rPr>
                <w:rFonts w:asciiTheme="minorHAnsi" w:hAnsiTheme="minorHAnsi" w:cstheme="minorHAnsi"/>
                <w:sz w:val="22"/>
                <w:szCs w:val="22"/>
                <w:lang w:val="fr-CA"/>
              </w:rPr>
            </w:pPr>
            <w:r w:rsidRPr="00FB155C">
              <w:rPr>
                <w:rFonts w:asciiTheme="minorHAnsi" w:hAnsiTheme="minorHAnsi" w:cstheme="minorHAnsi"/>
                <w:sz w:val="22"/>
                <w:szCs w:val="22"/>
                <w:lang w:val="fr-CA"/>
              </w:rPr>
              <w:t>63</w:t>
            </w:r>
          </w:p>
        </w:tc>
        <w:tc>
          <w:tcPr>
            <w:tcW w:w="477" w:type="pct"/>
          </w:tcPr>
          <w:p w14:paraId="70D25B78" w14:textId="77777777" w:rsidR="00A7023F" w:rsidRPr="00FB155C" w:rsidRDefault="00A7023F" w:rsidP="00BF469C">
            <w:pPr>
              <w:autoSpaceDE w:val="0"/>
              <w:autoSpaceDN w:val="0"/>
              <w:adjustRightInd w:val="0"/>
              <w:jc w:val="center"/>
              <w:rPr>
                <w:rFonts w:asciiTheme="minorHAnsi" w:hAnsiTheme="minorHAnsi" w:cstheme="minorHAnsi"/>
                <w:sz w:val="22"/>
                <w:szCs w:val="22"/>
                <w:lang w:val="fr-CA"/>
              </w:rPr>
            </w:pPr>
            <w:r w:rsidRPr="00FB155C">
              <w:rPr>
                <w:rFonts w:asciiTheme="minorHAnsi" w:hAnsiTheme="minorHAnsi" w:cstheme="minorHAnsi"/>
                <w:sz w:val="22"/>
                <w:szCs w:val="22"/>
                <w:lang w:val="fr-CA"/>
              </w:rPr>
              <w:t>511</w:t>
            </w:r>
          </w:p>
        </w:tc>
      </w:tr>
      <w:tr w:rsidR="00FB155C" w:rsidRPr="00FB155C" w14:paraId="0A2A4707" w14:textId="77777777" w:rsidTr="006C2E0A">
        <w:trPr>
          <w:cantSplit/>
          <w:tblHeader/>
          <w:jc w:val="center"/>
        </w:trPr>
        <w:tc>
          <w:tcPr>
            <w:tcW w:w="539" w:type="pct"/>
          </w:tcPr>
          <w:p w14:paraId="5274EEFB" w14:textId="77777777" w:rsidR="00A7023F" w:rsidRPr="00FB155C" w:rsidRDefault="00A7023F" w:rsidP="00BF469C">
            <w:pPr>
              <w:autoSpaceDE w:val="0"/>
              <w:autoSpaceDN w:val="0"/>
              <w:adjustRightInd w:val="0"/>
              <w:rPr>
                <w:rFonts w:asciiTheme="minorHAnsi" w:hAnsiTheme="minorHAnsi" w:cstheme="minorHAnsi"/>
                <w:sz w:val="22"/>
                <w:szCs w:val="22"/>
                <w:lang w:val="fr-CA"/>
              </w:rPr>
            </w:pPr>
            <w:r w:rsidRPr="00FB155C">
              <w:rPr>
                <w:rFonts w:asciiTheme="minorHAnsi" w:hAnsiTheme="minorHAnsi" w:cstheme="minorHAnsi"/>
                <w:sz w:val="22"/>
                <w:szCs w:val="22"/>
                <w:lang w:val="fr-CA"/>
              </w:rPr>
              <w:t>2015 à 2016</w:t>
            </w:r>
          </w:p>
        </w:tc>
        <w:tc>
          <w:tcPr>
            <w:tcW w:w="590" w:type="pct"/>
          </w:tcPr>
          <w:p w14:paraId="6B00F9AF" w14:textId="77777777" w:rsidR="00A7023F" w:rsidRPr="00FB155C" w:rsidRDefault="00A7023F" w:rsidP="00BF469C">
            <w:pPr>
              <w:autoSpaceDE w:val="0"/>
              <w:autoSpaceDN w:val="0"/>
              <w:adjustRightInd w:val="0"/>
              <w:jc w:val="center"/>
              <w:rPr>
                <w:rFonts w:asciiTheme="minorHAnsi" w:hAnsiTheme="minorHAnsi" w:cstheme="minorHAnsi"/>
                <w:sz w:val="22"/>
                <w:szCs w:val="22"/>
                <w:lang w:val="fr-CA"/>
              </w:rPr>
            </w:pPr>
            <w:r w:rsidRPr="00FB155C">
              <w:rPr>
                <w:rFonts w:asciiTheme="minorHAnsi" w:hAnsiTheme="minorHAnsi" w:cstheme="minorHAnsi"/>
                <w:sz w:val="22"/>
                <w:szCs w:val="22"/>
                <w:lang w:val="fr-CA"/>
              </w:rPr>
              <w:t>114</w:t>
            </w:r>
          </w:p>
        </w:tc>
        <w:tc>
          <w:tcPr>
            <w:tcW w:w="836" w:type="pct"/>
          </w:tcPr>
          <w:p w14:paraId="1F779AFF" w14:textId="77777777" w:rsidR="00A7023F" w:rsidRPr="00FB155C" w:rsidRDefault="00A7023F" w:rsidP="00BF469C">
            <w:pPr>
              <w:autoSpaceDE w:val="0"/>
              <w:autoSpaceDN w:val="0"/>
              <w:adjustRightInd w:val="0"/>
              <w:jc w:val="center"/>
              <w:rPr>
                <w:rFonts w:asciiTheme="minorHAnsi" w:hAnsiTheme="minorHAnsi" w:cstheme="minorHAnsi"/>
                <w:sz w:val="22"/>
                <w:szCs w:val="22"/>
                <w:lang w:val="fr-CA"/>
              </w:rPr>
            </w:pPr>
            <w:r w:rsidRPr="00FB155C">
              <w:rPr>
                <w:rFonts w:asciiTheme="minorHAnsi" w:hAnsiTheme="minorHAnsi" w:cstheme="minorHAnsi"/>
                <w:sz w:val="22"/>
                <w:szCs w:val="22"/>
                <w:lang w:val="fr-CA"/>
              </w:rPr>
              <w:t>332</w:t>
            </w:r>
          </w:p>
        </w:tc>
        <w:tc>
          <w:tcPr>
            <w:tcW w:w="1377" w:type="pct"/>
          </w:tcPr>
          <w:p w14:paraId="4A81FC2E" w14:textId="77777777" w:rsidR="00A7023F" w:rsidRPr="00FB155C" w:rsidRDefault="00A7023F" w:rsidP="00BF469C">
            <w:pPr>
              <w:autoSpaceDE w:val="0"/>
              <w:autoSpaceDN w:val="0"/>
              <w:adjustRightInd w:val="0"/>
              <w:jc w:val="center"/>
              <w:rPr>
                <w:rFonts w:asciiTheme="minorHAnsi" w:hAnsiTheme="minorHAnsi" w:cstheme="minorHAnsi"/>
                <w:sz w:val="22"/>
                <w:szCs w:val="22"/>
                <w:lang w:val="fr-CA"/>
              </w:rPr>
            </w:pPr>
            <w:r w:rsidRPr="00FB155C">
              <w:rPr>
                <w:rFonts w:asciiTheme="minorHAnsi" w:hAnsiTheme="minorHAnsi" w:cstheme="minorHAnsi"/>
                <w:sz w:val="22"/>
                <w:szCs w:val="22"/>
                <w:lang w:val="fr-CA"/>
              </w:rPr>
              <w:t>479</w:t>
            </w:r>
          </w:p>
        </w:tc>
        <w:tc>
          <w:tcPr>
            <w:tcW w:w="1180" w:type="pct"/>
          </w:tcPr>
          <w:p w14:paraId="77B45EDA" w14:textId="77777777" w:rsidR="00A7023F" w:rsidRPr="00FB155C" w:rsidRDefault="00A7023F" w:rsidP="00BF469C">
            <w:pPr>
              <w:autoSpaceDE w:val="0"/>
              <w:autoSpaceDN w:val="0"/>
              <w:adjustRightInd w:val="0"/>
              <w:jc w:val="center"/>
              <w:rPr>
                <w:rFonts w:asciiTheme="minorHAnsi" w:hAnsiTheme="minorHAnsi" w:cstheme="minorHAnsi"/>
                <w:sz w:val="22"/>
                <w:szCs w:val="22"/>
                <w:lang w:val="fr-CA"/>
              </w:rPr>
            </w:pPr>
            <w:r w:rsidRPr="00FB155C">
              <w:rPr>
                <w:rFonts w:asciiTheme="minorHAnsi" w:hAnsiTheme="minorHAnsi" w:cstheme="minorHAnsi"/>
                <w:sz w:val="22"/>
                <w:szCs w:val="22"/>
                <w:lang w:val="fr-CA"/>
              </w:rPr>
              <w:t>101</w:t>
            </w:r>
          </w:p>
        </w:tc>
        <w:tc>
          <w:tcPr>
            <w:tcW w:w="477" w:type="pct"/>
          </w:tcPr>
          <w:p w14:paraId="5DA7D1D9" w14:textId="77777777" w:rsidR="00A7023F" w:rsidRPr="00FB155C" w:rsidRDefault="00A7023F" w:rsidP="00BF469C">
            <w:pPr>
              <w:autoSpaceDE w:val="0"/>
              <w:autoSpaceDN w:val="0"/>
              <w:adjustRightInd w:val="0"/>
              <w:jc w:val="center"/>
              <w:rPr>
                <w:rFonts w:asciiTheme="minorHAnsi" w:hAnsiTheme="minorHAnsi" w:cstheme="minorHAnsi"/>
                <w:sz w:val="22"/>
                <w:szCs w:val="22"/>
                <w:lang w:val="fr-CA"/>
              </w:rPr>
            </w:pPr>
            <w:r w:rsidRPr="00FB155C">
              <w:rPr>
                <w:rFonts w:asciiTheme="minorHAnsi" w:hAnsiTheme="minorHAnsi" w:cstheme="minorHAnsi"/>
                <w:sz w:val="22"/>
                <w:szCs w:val="22"/>
                <w:lang w:val="fr-CA"/>
              </w:rPr>
              <w:t>1 026</w:t>
            </w:r>
          </w:p>
        </w:tc>
      </w:tr>
      <w:tr w:rsidR="00FB155C" w:rsidRPr="00FB155C" w14:paraId="70F69548" w14:textId="77777777" w:rsidTr="006C2E0A">
        <w:trPr>
          <w:cantSplit/>
          <w:tblHeader/>
          <w:jc w:val="center"/>
        </w:trPr>
        <w:tc>
          <w:tcPr>
            <w:tcW w:w="539" w:type="pct"/>
          </w:tcPr>
          <w:p w14:paraId="12F39F2D" w14:textId="77777777" w:rsidR="00A7023F" w:rsidRPr="00FB155C" w:rsidRDefault="00A7023F" w:rsidP="00BF469C">
            <w:pPr>
              <w:autoSpaceDE w:val="0"/>
              <w:autoSpaceDN w:val="0"/>
              <w:adjustRightInd w:val="0"/>
              <w:rPr>
                <w:rFonts w:asciiTheme="minorHAnsi" w:hAnsiTheme="minorHAnsi" w:cstheme="minorHAnsi"/>
                <w:sz w:val="22"/>
                <w:szCs w:val="22"/>
                <w:lang w:val="fr-CA"/>
              </w:rPr>
            </w:pPr>
            <w:r w:rsidRPr="00FB155C">
              <w:rPr>
                <w:rFonts w:asciiTheme="minorHAnsi" w:hAnsiTheme="minorHAnsi" w:cstheme="minorHAnsi"/>
                <w:sz w:val="22"/>
                <w:szCs w:val="22"/>
                <w:lang w:val="fr-CA"/>
              </w:rPr>
              <w:t xml:space="preserve">2016 à 2017 </w:t>
            </w:r>
          </w:p>
        </w:tc>
        <w:tc>
          <w:tcPr>
            <w:tcW w:w="590" w:type="pct"/>
          </w:tcPr>
          <w:p w14:paraId="272E4DB4" w14:textId="77777777" w:rsidR="00A7023F" w:rsidRPr="00FB155C" w:rsidRDefault="00A7023F" w:rsidP="00BF469C">
            <w:pPr>
              <w:autoSpaceDE w:val="0"/>
              <w:autoSpaceDN w:val="0"/>
              <w:adjustRightInd w:val="0"/>
              <w:jc w:val="center"/>
              <w:rPr>
                <w:rFonts w:asciiTheme="minorHAnsi" w:hAnsiTheme="minorHAnsi" w:cstheme="minorHAnsi"/>
                <w:sz w:val="22"/>
                <w:szCs w:val="22"/>
                <w:lang w:val="fr-CA"/>
              </w:rPr>
            </w:pPr>
            <w:r w:rsidRPr="00FB155C">
              <w:rPr>
                <w:rFonts w:asciiTheme="minorHAnsi" w:hAnsiTheme="minorHAnsi" w:cstheme="minorHAnsi"/>
                <w:sz w:val="22"/>
                <w:szCs w:val="22"/>
                <w:lang w:val="fr-CA"/>
              </w:rPr>
              <w:t>139</w:t>
            </w:r>
          </w:p>
        </w:tc>
        <w:tc>
          <w:tcPr>
            <w:tcW w:w="836" w:type="pct"/>
          </w:tcPr>
          <w:p w14:paraId="3667A964" w14:textId="77777777" w:rsidR="00A7023F" w:rsidRPr="00FB155C" w:rsidRDefault="00A7023F" w:rsidP="00BF469C">
            <w:pPr>
              <w:autoSpaceDE w:val="0"/>
              <w:autoSpaceDN w:val="0"/>
              <w:adjustRightInd w:val="0"/>
              <w:jc w:val="center"/>
              <w:rPr>
                <w:rFonts w:asciiTheme="minorHAnsi" w:hAnsiTheme="minorHAnsi" w:cstheme="minorHAnsi"/>
                <w:sz w:val="22"/>
                <w:szCs w:val="22"/>
                <w:lang w:val="fr-CA"/>
              </w:rPr>
            </w:pPr>
            <w:r w:rsidRPr="00FB155C">
              <w:rPr>
                <w:rFonts w:asciiTheme="minorHAnsi" w:hAnsiTheme="minorHAnsi" w:cstheme="minorHAnsi"/>
                <w:sz w:val="22"/>
                <w:szCs w:val="22"/>
                <w:lang w:val="fr-CA"/>
              </w:rPr>
              <w:t>200</w:t>
            </w:r>
          </w:p>
        </w:tc>
        <w:tc>
          <w:tcPr>
            <w:tcW w:w="1377" w:type="pct"/>
          </w:tcPr>
          <w:p w14:paraId="41DA213E" w14:textId="77777777" w:rsidR="00A7023F" w:rsidRPr="00FB155C" w:rsidRDefault="00A7023F" w:rsidP="00BF469C">
            <w:pPr>
              <w:autoSpaceDE w:val="0"/>
              <w:autoSpaceDN w:val="0"/>
              <w:adjustRightInd w:val="0"/>
              <w:jc w:val="center"/>
              <w:rPr>
                <w:rFonts w:asciiTheme="minorHAnsi" w:hAnsiTheme="minorHAnsi" w:cstheme="minorHAnsi"/>
                <w:sz w:val="22"/>
                <w:szCs w:val="22"/>
                <w:lang w:val="fr-CA"/>
              </w:rPr>
            </w:pPr>
            <w:r w:rsidRPr="00FB155C">
              <w:rPr>
                <w:rFonts w:asciiTheme="minorHAnsi" w:hAnsiTheme="minorHAnsi" w:cstheme="minorHAnsi"/>
                <w:sz w:val="22"/>
                <w:szCs w:val="22"/>
                <w:lang w:val="fr-CA"/>
              </w:rPr>
              <w:t>445</w:t>
            </w:r>
          </w:p>
        </w:tc>
        <w:tc>
          <w:tcPr>
            <w:tcW w:w="1180" w:type="pct"/>
          </w:tcPr>
          <w:p w14:paraId="683A1F0A" w14:textId="77777777" w:rsidR="00A7023F" w:rsidRPr="00FB155C" w:rsidRDefault="00A7023F" w:rsidP="00BF469C">
            <w:pPr>
              <w:autoSpaceDE w:val="0"/>
              <w:autoSpaceDN w:val="0"/>
              <w:adjustRightInd w:val="0"/>
              <w:jc w:val="center"/>
              <w:rPr>
                <w:rFonts w:asciiTheme="minorHAnsi" w:hAnsiTheme="minorHAnsi" w:cstheme="minorHAnsi"/>
                <w:sz w:val="22"/>
                <w:szCs w:val="22"/>
                <w:lang w:val="fr-CA"/>
              </w:rPr>
            </w:pPr>
            <w:r w:rsidRPr="00FB155C">
              <w:rPr>
                <w:rFonts w:asciiTheme="minorHAnsi" w:hAnsiTheme="minorHAnsi" w:cstheme="minorHAnsi"/>
                <w:sz w:val="22"/>
                <w:szCs w:val="22"/>
                <w:lang w:val="fr-CA"/>
              </w:rPr>
              <w:t>77</w:t>
            </w:r>
          </w:p>
        </w:tc>
        <w:tc>
          <w:tcPr>
            <w:tcW w:w="477" w:type="pct"/>
          </w:tcPr>
          <w:p w14:paraId="18C5A278" w14:textId="77777777" w:rsidR="00A7023F" w:rsidRPr="00FB155C" w:rsidRDefault="00A7023F" w:rsidP="00BF469C">
            <w:pPr>
              <w:autoSpaceDE w:val="0"/>
              <w:autoSpaceDN w:val="0"/>
              <w:adjustRightInd w:val="0"/>
              <w:jc w:val="center"/>
              <w:rPr>
                <w:rFonts w:asciiTheme="minorHAnsi" w:hAnsiTheme="minorHAnsi" w:cstheme="minorHAnsi"/>
                <w:sz w:val="22"/>
                <w:szCs w:val="22"/>
                <w:lang w:val="fr-CA"/>
              </w:rPr>
            </w:pPr>
            <w:r w:rsidRPr="00FB155C">
              <w:rPr>
                <w:rFonts w:asciiTheme="minorHAnsi" w:hAnsiTheme="minorHAnsi" w:cstheme="minorHAnsi"/>
                <w:sz w:val="22"/>
                <w:szCs w:val="22"/>
                <w:lang w:val="fr-CA"/>
              </w:rPr>
              <w:t>861</w:t>
            </w:r>
          </w:p>
        </w:tc>
      </w:tr>
      <w:tr w:rsidR="00FB155C" w:rsidRPr="00FB155C" w14:paraId="30D75742" w14:textId="77777777" w:rsidTr="006C2E0A">
        <w:trPr>
          <w:cantSplit/>
          <w:tblHeader/>
          <w:jc w:val="center"/>
        </w:trPr>
        <w:tc>
          <w:tcPr>
            <w:tcW w:w="539" w:type="pct"/>
          </w:tcPr>
          <w:p w14:paraId="3EC9D422" w14:textId="77777777" w:rsidR="00A7023F" w:rsidRPr="00FB155C" w:rsidRDefault="00A7023F" w:rsidP="00BF469C">
            <w:pPr>
              <w:autoSpaceDE w:val="0"/>
              <w:autoSpaceDN w:val="0"/>
              <w:adjustRightInd w:val="0"/>
              <w:rPr>
                <w:rFonts w:asciiTheme="minorHAnsi" w:hAnsiTheme="minorHAnsi" w:cstheme="minorHAnsi"/>
                <w:sz w:val="22"/>
                <w:szCs w:val="22"/>
                <w:lang w:val="fr-CA"/>
              </w:rPr>
            </w:pPr>
            <w:r w:rsidRPr="00FB155C">
              <w:rPr>
                <w:rFonts w:asciiTheme="minorHAnsi" w:hAnsiTheme="minorHAnsi" w:cstheme="minorHAnsi"/>
                <w:sz w:val="22"/>
                <w:szCs w:val="22"/>
                <w:lang w:val="fr-CA"/>
              </w:rPr>
              <w:t>2017 à 2018</w:t>
            </w:r>
          </w:p>
        </w:tc>
        <w:tc>
          <w:tcPr>
            <w:tcW w:w="590" w:type="pct"/>
          </w:tcPr>
          <w:p w14:paraId="5FDBE242" w14:textId="77777777" w:rsidR="00A7023F" w:rsidRPr="00FB155C" w:rsidRDefault="00A7023F" w:rsidP="00BF469C">
            <w:pPr>
              <w:autoSpaceDE w:val="0"/>
              <w:autoSpaceDN w:val="0"/>
              <w:adjustRightInd w:val="0"/>
              <w:jc w:val="center"/>
              <w:rPr>
                <w:rFonts w:asciiTheme="minorHAnsi" w:hAnsiTheme="minorHAnsi" w:cstheme="minorHAnsi"/>
                <w:sz w:val="22"/>
                <w:szCs w:val="22"/>
                <w:lang w:val="fr-CA"/>
              </w:rPr>
            </w:pPr>
            <w:r w:rsidRPr="00FB155C">
              <w:rPr>
                <w:rFonts w:asciiTheme="minorHAnsi" w:hAnsiTheme="minorHAnsi" w:cstheme="minorHAnsi"/>
                <w:sz w:val="22"/>
                <w:szCs w:val="22"/>
                <w:lang w:val="fr-CA"/>
              </w:rPr>
              <w:t>150</w:t>
            </w:r>
          </w:p>
        </w:tc>
        <w:tc>
          <w:tcPr>
            <w:tcW w:w="836" w:type="pct"/>
          </w:tcPr>
          <w:p w14:paraId="1183E9E0" w14:textId="77777777" w:rsidR="00A7023F" w:rsidRPr="00FB155C" w:rsidRDefault="00A7023F" w:rsidP="00BF469C">
            <w:pPr>
              <w:autoSpaceDE w:val="0"/>
              <w:autoSpaceDN w:val="0"/>
              <w:adjustRightInd w:val="0"/>
              <w:jc w:val="center"/>
              <w:rPr>
                <w:rFonts w:asciiTheme="minorHAnsi" w:hAnsiTheme="minorHAnsi" w:cstheme="minorHAnsi"/>
                <w:sz w:val="22"/>
                <w:szCs w:val="22"/>
                <w:lang w:val="fr-CA"/>
              </w:rPr>
            </w:pPr>
            <w:r w:rsidRPr="00FB155C">
              <w:rPr>
                <w:rFonts w:asciiTheme="minorHAnsi" w:hAnsiTheme="minorHAnsi" w:cstheme="minorHAnsi"/>
                <w:sz w:val="22"/>
                <w:szCs w:val="22"/>
                <w:lang w:val="fr-CA"/>
              </w:rPr>
              <w:t>169</w:t>
            </w:r>
          </w:p>
        </w:tc>
        <w:tc>
          <w:tcPr>
            <w:tcW w:w="1377" w:type="pct"/>
          </w:tcPr>
          <w:p w14:paraId="0CAFFF6F" w14:textId="77777777" w:rsidR="00A7023F" w:rsidRPr="00FB155C" w:rsidRDefault="00A7023F" w:rsidP="00BF469C">
            <w:pPr>
              <w:autoSpaceDE w:val="0"/>
              <w:autoSpaceDN w:val="0"/>
              <w:adjustRightInd w:val="0"/>
              <w:jc w:val="center"/>
              <w:rPr>
                <w:rFonts w:asciiTheme="minorHAnsi" w:hAnsiTheme="minorHAnsi" w:cstheme="minorHAnsi"/>
                <w:sz w:val="22"/>
                <w:szCs w:val="22"/>
                <w:lang w:val="fr-CA"/>
              </w:rPr>
            </w:pPr>
            <w:r w:rsidRPr="00FB155C">
              <w:rPr>
                <w:rFonts w:asciiTheme="minorHAnsi" w:hAnsiTheme="minorHAnsi" w:cstheme="minorHAnsi"/>
                <w:sz w:val="22"/>
                <w:szCs w:val="22"/>
                <w:lang w:val="fr-CA"/>
              </w:rPr>
              <w:t>407</w:t>
            </w:r>
          </w:p>
        </w:tc>
        <w:tc>
          <w:tcPr>
            <w:tcW w:w="1180" w:type="pct"/>
          </w:tcPr>
          <w:p w14:paraId="56E6FC9F" w14:textId="77777777" w:rsidR="00A7023F" w:rsidRPr="00FB155C" w:rsidRDefault="00A7023F" w:rsidP="00BF469C">
            <w:pPr>
              <w:autoSpaceDE w:val="0"/>
              <w:autoSpaceDN w:val="0"/>
              <w:adjustRightInd w:val="0"/>
              <w:jc w:val="center"/>
              <w:rPr>
                <w:rFonts w:asciiTheme="minorHAnsi" w:hAnsiTheme="minorHAnsi" w:cstheme="minorHAnsi"/>
                <w:sz w:val="22"/>
                <w:szCs w:val="22"/>
                <w:lang w:val="fr-CA"/>
              </w:rPr>
            </w:pPr>
            <w:r w:rsidRPr="00FB155C">
              <w:rPr>
                <w:rFonts w:asciiTheme="minorHAnsi" w:hAnsiTheme="minorHAnsi" w:cstheme="minorHAnsi"/>
                <w:sz w:val="22"/>
                <w:szCs w:val="22"/>
                <w:lang w:val="fr-CA"/>
              </w:rPr>
              <w:t>95</w:t>
            </w:r>
          </w:p>
        </w:tc>
        <w:tc>
          <w:tcPr>
            <w:tcW w:w="477" w:type="pct"/>
          </w:tcPr>
          <w:p w14:paraId="76763B8C" w14:textId="77777777" w:rsidR="00A7023F" w:rsidRPr="00FB155C" w:rsidRDefault="00A7023F" w:rsidP="00BF469C">
            <w:pPr>
              <w:autoSpaceDE w:val="0"/>
              <w:autoSpaceDN w:val="0"/>
              <w:adjustRightInd w:val="0"/>
              <w:jc w:val="center"/>
              <w:rPr>
                <w:rFonts w:asciiTheme="minorHAnsi" w:hAnsiTheme="minorHAnsi" w:cstheme="minorHAnsi"/>
                <w:sz w:val="22"/>
                <w:szCs w:val="22"/>
                <w:lang w:val="fr-CA"/>
              </w:rPr>
            </w:pPr>
            <w:r w:rsidRPr="00FB155C">
              <w:rPr>
                <w:rFonts w:asciiTheme="minorHAnsi" w:hAnsiTheme="minorHAnsi" w:cstheme="minorHAnsi"/>
                <w:sz w:val="22"/>
                <w:szCs w:val="22"/>
                <w:lang w:val="fr-CA"/>
              </w:rPr>
              <w:t>821</w:t>
            </w:r>
          </w:p>
        </w:tc>
      </w:tr>
      <w:tr w:rsidR="00FB155C" w:rsidRPr="00FB155C" w14:paraId="54FB24F7" w14:textId="77777777" w:rsidTr="006C2E0A">
        <w:trPr>
          <w:cantSplit/>
          <w:tblHeader/>
          <w:jc w:val="center"/>
        </w:trPr>
        <w:tc>
          <w:tcPr>
            <w:tcW w:w="539" w:type="pct"/>
          </w:tcPr>
          <w:p w14:paraId="503B39F2" w14:textId="77777777" w:rsidR="00A7023F" w:rsidRPr="00FB155C" w:rsidRDefault="00A7023F" w:rsidP="00BF469C">
            <w:pPr>
              <w:autoSpaceDE w:val="0"/>
              <w:autoSpaceDN w:val="0"/>
              <w:adjustRightInd w:val="0"/>
              <w:rPr>
                <w:rFonts w:asciiTheme="minorHAnsi" w:hAnsiTheme="minorHAnsi" w:cstheme="minorHAnsi"/>
                <w:sz w:val="22"/>
                <w:szCs w:val="22"/>
                <w:lang w:val="fr-CA"/>
              </w:rPr>
            </w:pPr>
            <w:r w:rsidRPr="00FB155C">
              <w:rPr>
                <w:rFonts w:asciiTheme="minorHAnsi" w:hAnsiTheme="minorHAnsi" w:cstheme="minorHAnsi"/>
                <w:sz w:val="22"/>
                <w:szCs w:val="22"/>
                <w:lang w:val="fr-CA"/>
              </w:rPr>
              <w:t>2018 à 2019</w:t>
            </w:r>
          </w:p>
        </w:tc>
        <w:tc>
          <w:tcPr>
            <w:tcW w:w="590" w:type="pct"/>
          </w:tcPr>
          <w:p w14:paraId="0B2AD0E2" w14:textId="77777777" w:rsidR="00A7023F" w:rsidRPr="00FB155C" w:rsidRDefault="00A7023F" w:rsidP="00BF469C">
            <w:pPr>
              <w:autoSpaceDE w:val="0"/>
              <w:autoSpaceDN w:val="0"/>
              <w:adjustRightInd w:val="0"/>
              <w:jc w:val="center"/>
              <w:rPr>
                <w:rFonts w:asciiTheme="minorHAnsi" w:hAnsiTheme="minorHAnsi" w:cstheme="minorHAnsi"/>
                <w:sz w:val="22"/>
                <w:szCs w:val="22"/>
                <w:lang w:val="fr-CA"/>
              </w:rPr>
            </w:pPr>
            <w:r w:rsidRPr="00FB155C">
              <w:rPr>
                <w:rFonts w:asciiTheme="minorHAnsi" w:hAnsiTheme="minorHAnsi" w:cstheme="minorHAnsi"/>
                <w:sz w:val="22"/>
                <w:szCs w:val="22"/>
                <w:lang w:val="fr-CA"/>
              </w:rPr>
              <w:t>194</w:t>
            </w:r>
          </w:p>
        </w:tc>
        <w:tc>
          <w:tcPr>
            <w:tcW w:w="836" w:type="pct"/>
          </w:tcPr>
          <w:p w14:paraId="049C2B06" w14:textId="77777777" w:rsidR="00A7023F" w:rsidRPr="00FB155C" w:rsidRDefault="00A7023F" w:rsidP="00BF469C">
            <w:pPr>
              <w:autoSpaceDE w:val="0"/>
              <w:autoSpaceDN w:val="0"/>
              <w:adjustRightInd w:val="0"/>
              <w:jc w:val="center"/>
              <w:rPr>
                <w:rFonts w:asciiTheme="minorHAnsi" w:hAnsiTheme="minorHAnsi" w:cstheme="minorHAnsi"/>
                <w:sz w:val="22"/>
                <w:szCs w:val="22"/>
                <w:lang w:val="fr-CA"/>
              </w:rPr>
            </w:pPr>
            <w:r w:rsidRPr="00FB155C">
              <w:rPr>
                <w:rFonts w:asciiTheme="minorHAnsi" w:hAnsiTheme="minorHAnsi" w:cstheme="minorHAnsi"/>
                <w:sz w:val="22"/>
                <w:szCs w:val="22"/>
                <w:lang w:val="fr-CA"/>
              </w:rPr>
              <w:t>218</w:t>
            </w:r>
          </w:p>
        </w:tc>
        <w:tc>
          <w:tcPr>
            <w:tcW w:w="1377" w:type="pct"/>
          </w:tcPr>
          <w:p w14:paraId="762B2C24" w14:textId="77777777" w:rsidR="00A7023F" w:rsidRPr="00FB155C" w:rsidRDefault="00A7023F" w:rsidP="00BF469C">
            <w:pPr>
              <w:autoSpaceDE w:val="0"/>
              <w:autoSpaceDN w:val="0"/>
              <w:adjustRightInd w:val="0"/>
              <w:jc w:val="center"/>
              <w:rPr>
                <w:rFonts w:asciiTheme="minorHAnsi" w:hAnsiTheme="minorHAnsi" w:cstheme="minorHAnsi"/>
                <w:sz w:val="22"/>
                <w:szCs w:val="22"/>
                <w:lang w:val="fr-CA"/>
              </w:rPr>
            </w:pPr>
            <w:r w:rsidRPr="00FB155C">
              <w:rPr>
                <w:rFonts w:asciiTheme="minorHAnsi" w:hAnsiTheme="minorHAnsi" w:cstheme="minorHAnsi"/>
                <w:sz w:val="22"/>
                <w:szCs w:val="22"/>
                <w:lang w:val="fr-CA"/>
              </w:rPr>
              <w:t>513</w:t>
            </w:r>
          </w:p>
        </w:tc>
        <w:tc>
          <w:tcPr>
            <w:tcW w:w="1180" w:type="pct"/>
          </w:tcPr>
          <w:p w14:paraId="71494C4C" w14:textId="77777777" w:rsidR="00A7023F" w:rsidRPr="00FB155C" w:rsidRDefault="00A7023F" w:rsidP="00BF469C">
            <w:pPr>
              <w:autoSpaceDE w:val="0"/>
              <w:autoSpaceDN w:val="0"/>
              <w:adjustRightInd w:val="0"/>
              <w:jc w:val="center"/>
              <w:rPr>
                <w:rFonts w:asciiTheme="minorHAnsi" w:hAnsiTheme="minorHAnsi" w:cstheme="minorHAnsi"/>
                <w:sz w:val="22"/>
                <w:szCs w:val="22"/>
                <w:lang w:val="fr-CA"/>
              </w:rPr>
            </w:pPr>
            <w:r w:rsidRPr="00FB155C">
              <w:rPr>
                <w:rFonts w:asciiTheme="minorHAnsi" w:hAnsiTheme="minorHAnsi" w:cstheme="minorHAnsi"/>
                <w:sz w:val="22"/>
                <w:szCs w:val="22"/>
                <w:lang w:val="fr-CA"/>
              </w:rPr>
              <w:t>68</w:t>
            </w:r>
          </w:p>
        </w:tc>
        <w:tc>
          <w:tcPr>
            <w:tcW w:w="477" w:type="pct"/>
          </w:tcPr>
          <w:p w14:paraId="2400FD1E" w14:textId="77777777" w:rsidR="00A7023F" w:rsidRPr="00FB155C" w:rsidRDefault="00A7023F" w:rsidP="00BF469C">
            <w:pPr>
              <w:autoSpaceDE w:val="0"/>
              <w:autoSpaceDN w:val="0"/>
              <w:adjustRightInd w:val="0"/>
              <w:jc w:val="center"/>
              <w:rPr>
                <w:rFonts w:asciiTheme="minorHAnsi" w:hAnsiTheme="minorHAnsi" w:cstheme="minorHAnsi"/>
                <w:sz w:val="22"/>
                <w:szCs w:val="22"/>
                <w:lang w:val="fr-CA"/>
              </w:rPr>
            </w:pPr>
            <w:r w:rsidRPr="00FB155C">
              <w:rPr>
                <w:rFonts w:asciiTheme="minorHAnsi" w:hAnsiTheme="minorHAnsi" w:cstheme="minorHAnsi"/>
                <w:sz w:val="22"/>
                <w:szCs w:val="22"/>
                <w:lang w:val="fr-CA"/>
              </w:rPr>
              <w:t>993</w:t>
            </w:r>
          </w:p>
        </w:tc>
      </w:tr>
    </w:tbl>
    <w:p w14:paraId="41C5F2FE" w14:textId="77777777" w:rsidR="00A7023F" w:rsidRDefault="00A7023F" w:rsidP="00591DC8">
      <w:pPr>
        <w:rPr>
          <w:lang w:val="fr-CA"/>
        </w:rPr>
      </w:pPr>
    </w:p>
    <w:p w14:paraId="6207DD41" w14:textId="77777777" w:rsidR="00A7023F" w:rsidRDefault="00A7023F" w:rsidP="00591DC8">
      <w:pPr>
        <w:rPr>
          <w:lang w:val="fr-CA"/>
        </w:rPr>
        <w:sectPr w:rsidR="00A7023F" w:rsidSect="00C67F41">
          <w:footnotePr>
            <w:numFmt w:val="lowerLetter"/>
          </w:footnotePr>
          <w:endnotePr>
            <w:numFmt w:val="lowerLetter"/>
          </w:endnotePr>
          <w:pgSz w:w="15840" w:h="12240" w:orient="landscape" w:code="1"/>
          <w:pgMar w:top="567" w:right="709" w:bottom="1304" w:left="709" w:header="284" w:footer="284" w:gutter="0"/>
          <w:cols w:space="720"/>
          <w:docGrid w:linePitch="326"/>
        </w:sectPr>
      </w:pPr>
    </w:p>
    <w:p w14:paraId="62BFDE6D" w14:textId="77777777" w:rsidR="00A7023F" w:rsidRDefault="00A7023F" w:rsidP="00591DC8">
      <w:pPr>
        <w:rPr>
          <w:lang w:val="fr-CA"/>
        </w:rPr>
      </w:pPr>
    </w:p>
    <w:p w14:paraId="75C4F74D" w14:textId="77777777" w:rsidR="00B0798A" w:rsidRPr="00B0798A" w:rsidRDefault="00B0798A" w:rsidP="00B0798A">
      <w:pPr>
        <w:pStyle w:val="Heading1"/>
        <w:spacing w:before="120" w:after="120"/>
        <w:rPr>
          <w:sz w:val="40"/>
          <w:lang w:val="en-CA"/>
        </w:rPr>
      </w:pPr>
      <w:r w:rsidRPr="00B0798A">
        <w:rPr>
          <w:rFonts w:eastAsia="Times New Roman"/>
          <w:sz w:val="40"/>
        </w:rPr>
        <w:t>Dotation selon la durée d’emploi</w:t>
      </w:r>
    </w:p>
    <w:p w14:paraId="205040E8" w14:textId="77777777" w:rsidR="00B0798A" w:rsidRDefault="00A7023F" w:rsidP="00B0798A">
      <w:pPr>
        <w:keepNext/>
        <w:jc w:val="center"/>
      </w:pPr>
      <w:r w:rsidRPr="008F610A">
        <w:rPr>
          <w:noProof/>
          <w:lang w:val="en-CA" w:eastAsia="en-CA"/>
        </w:rPr>
        <w:drawing>
          <wp:inline distT="0" distB="0" distL="0" distR="0" wp14:anchorId="021B1B21" wp14:editId="64EC6A6C">
            <wp:extent cx="5648400" cy="3049200"/>
            <wp:effectExtent l="0" t="0" r="9525" b="18415"/>
            <wp:docPr id="4" name="Chart 3" descr="Dotation selon la durée d’emploi&#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1D6C88B" w14:textId="77777777" w:rsidR="00A7023F" w:rsidRPr="00B0798A" w:rsidRDefault="00B0798A" w:rsidP="00B0798A">
      <w:pPr>
        <w:pStyle w:val="Caption"/>
        <w:spacing w:after="0"/>
        <w:jc w:val="center"/>
        <w:rPr>
          <w:rFonts w:asciiTheme="minorHAnsi" w:hAnsiTheme="minorHAnsi" w:cstheme="minorHAnsi"/>
          <w:i w:val="0"/>
          <w:color w:val="auto"/>
          <w:lang w:val="fr-CA"/>
        </w:rPr>
      </w:pPr>
      <w:r w:rsidRPr="00B0798A">
        <w:rPr>
          <w:rFonts w:asciiTheme="minorHAnsi" w:hAnsiTheme="minorHAnsi" w:cstheme="minorHAnsi"/>
          <w:i w:val="0"/>
          <w:color w:val="auto"/>
        </w:rPr>
        <w:t xml:space="preserve">Figure </w:t>
      </w:r>
      <w:r w:rsidRPr="00B0798A">
        <w:rPr>
          <w:rFonts w:asciiTheme="minorHAnsi" w:hAnsiTheme="minorHAnsi" w:cstheme="minorHAnsi"/>
          <w:i w:val="0"/>
          <w:color w:val="auto"/>
        </w:rPr>
        <w:fldChar w:fldCharType="begin"/>
      </w:r>
      <w:r w:rsidRPr="00B0798A">
        <w:rPr>
          <w:rFonts w:asciiTheme="minorHAnsi" w:hAnsiTheme="minorHAnsi" w:cstheme="minorHAnsi"/>
          <w:i w:val="0"/>
          <w:color w:val="auto"/>
        </w:rPr>
        <w:instrText xml:space="preserve"> SEQ Figure \* ARABIC </w:instrText>
      </w:r>
      <w:r w:rsidRPr="00B0798A">
        <w:rPr>
          <w:rFonts w:asciiTheme="minorHAnsi" w:hAnsiTheme="minorHAnsi" w:cstheme="minorHAnsi"/>
          <w:i w:val="0"/>
          <w:color w:val="auto"/>
        </w:rPr>
        <w:fldChar w:fldCharType="separate"/>
      </w:r>
      <w:r w:rsidR="00353602">
        <w:rPr>
          <w:rFonts w:asciiTheme="minorHAnsi" w:hAnsiTheme="minorHAnsi" w:cstheme="minorHAnsi"/>
          <w:i w:val="0"/>
          <w:noProof/>
          <w:color w:val="auto"/>
        </w:rPr>
        <w:t>9</w:t>
      </w:r>
      <w:r w:rsidRPr="00B0798A">
        <w:rPr>
          <w:rFonts w:asciiTheme="minorHAnsi" w:hAnsiTheme="minorHAnsi" w:cstheme="minorHAnsi"/>
          <w:i w:val="0"/>
          <w:color w:val="auto"/>
        </w:rPr>
        <w:fldChar w:fldCharType="end"/>
      </w:r>
      <w:r w:rsidRPr="00B0798A">
        <w:rPr>
          <w:rFonts w:asciiTheme="minorHAnsi" w:hAnsiTheme="minorHAnsi" w:cstheme="minorHAnsi"/>
          <w:i w:val="0"/>
          <w:color w:val="auto"/>
        </w:rPr>
        <w:t xml:space="preserve"> - Dotation selon la durée d’emploi</w:t>
      </w:r>
    </w:p>
    <w:p w14:paraId="67D8422D" w14:textId="77777777" w:rsidR="00B0798A" w:rsidRPr="00B0798A" w:rsidRDefault="00B0798A" w:rsidP="00B0798A">
      <w:pPr>
        <w:pStyle w:val="Caption"/>
        <w:keepNext/>
        <w:spacing w:before="240" w:after="0"/>
        <w:jc w:val="center"/>
        <w:rPr>
          <w:rFonts w:asciiTheme="minorHAnsi" w:hAnsiTheme="minorHAnsi" w:cstheme="minorHAnsi"/>
          <w:i w:val="0"/>
          <w:color w:val="auto"/>
        </w:rPr>
      </w:pPr>
      <w:r w:rsidRPr="00B0798A">
        <w:rPr>
          <w:rFonts w:asciiTheme="minorHAnsi" w:hAnsiTheme="minorHAnsi" w:cstheme="minorHAnsi"/>
          <w:i w:val="0"/>
          <w:color w:val="auto"/>
        </w:rPr>
        <w:t xml:space="preserve">Table </w:t>
      </w:r>
      <w:r w:rsidRPr="00B0798A">
        <w:rPr>
          <w:rFonts w:asciiTheme="minorHAnsi" w:hAnsiTheme="minorHAnsi" w:cstheme="minorHAnsi"/>
          <w:i w:val="0"/>
          <w:color w:val="auto"/>
        </w:rPr>
        <w:fldChar w:fldCharType="begin"/>
      </w:r>
      <w:r w:rsidRPr="00B0798A">
        <w:rPr>
          <w:rFonts w:asciiTheme="minorHAnsi" w:hAnsiTheme="minorHAnsi" w:cstheme="minorHAnsi"/>
          <w:i w:val="0"/>
          <w:color w:val="auto"/>
        </w:rPr>
        <w:instrText xml:space="preserve"> SEQ Table \* ARABIC </w:instrText>
      </w:r>
      <w:r w:rsidRPr="00B0798A">
        <w:rPr>
          <w:rFonts w:asciiTheme="minorHAnsi" w:hAnsiTheme="minorHAnsi" w:cstheme="minorHAnsi"/>
          <w:i w:val="0"/>
          <w:color w:val="auto"/>
        </w:rPr>
        <w:fldChar w:fldCharType="separate"/>
      </w:r>
      <w:r w:rsidR="00766F9D">
        <w:rPr>
          <w:rFonts w:asciiTheme="minorHAnsi" w:hAnsiTheme="minorHAnsi" w:cstheme="minorHAnsi"/>
          <w:i w:val="0"/>
          <w:noProof/>
          <w:color w:val="auto"/>
        </w:rPr>
        <w:t>12</w:t>
      </w:r>
      <w:r w:rsidRPr="00B0798A">
        <w:rPr>
          <w:rFonts w:asciiTheme="minorHAnsi" w:hAnsiTheme="minorHAnsi" w:cstheme="minorHAnsi"/>
          <w:i w:val="0"/>
          <w:color w:val="auto"/>
        </w:rPr>
        <w:fldChar w:fldCharType="end"/>
      </w:r>
      <w:r w:rsidRPr="00B0798A">
        <w:rPr>
          <w:rFonts w:asciiTheme="minorHAnsi" w:hAnsiTheme="minorHAnsi" w:cstheme="minorHAnsi"/>
          <w:i w:val="0"/>
          <w:color w:val="auto"/>
        </w:rPr>
        <w:t xml:space="preserve"> - Activités de dotation selon la durée d’emploi et l’exercice financier</w:t>
      </w:r>
    </w:p>
    <w:tbl>
      <w:tblPr>
        <w:tblStyle w:val="TableGrid"/>
        <w:tblW w:w="5000" w:type="pct"/>
        <w:jc w:val="center"/>
        <w:tblLook w:val="0020" w:firstRow="1" w:lastRow="0" w:firstColumn="0" w:lastColumn="0" w:noHBand="0" w:noVBand="0"/>
        <w:tblDescription w:val="Dotation selon la durée d’emploi de 2014 à 2019"/>
      </w:tblPr>
      <w:tblGrid>
        <w:gridCol w:w="2121"/>
        <w:gridCol w:w="3260"/>
        <w:gridCol w:w="2695"/>
        <w:gridCol w:w="2410"/>
        <w:gridCol w:w="2179"/>
        <w:gridCol w:w="1747"/>
      </w:tblGrid>
      <w:tr w:rsidR="00B0798A" w:rsidRPr="00C163E0" w14:paraId="32DB239C" w14:textId="77777777" w:rsidTr="006C2E0A">
        <w:trPr>
          <w:cantSplit/>
          <w:tblHeader/>
          <w:jc w:val="center"/>
        </w:trPr>
        <w:tc>
          <w:tcPr>
            <w:tcW w:w="736" w:type="pct"/>
          </w:tcPr>
          <w:p w14:paraId="6E6FB5B3" w14:textId="77777777" w:rsidR="00A7023F" w:rsidRPr="00C163E0" w:rsidRDefault="00A7023F" w:rsidP="00B0798A">
            <w:pPr>
              <w:pStyle w:val="TableTitle"/>
              <w:rPr>
                <w:rFonts w:cs="Segoe UI Semibold"/>
                <w:color w:val="auto"/>
                <w:sz w:val="22"/>
                <w:lang w:val="fr-CA"/>
              </w:rPr>
            </w:pPr>
            <w:r w:rsidRPr="00C163E0">
              <w:rPr>
                <w:rFonts w:cs="Segoe UI Semibold"/>
                <w:color w:val="auto"/>
                <w:sz w:val="22"/>
                <w:lang w:val="fr-CA"/>
              </w:rPr>
              <w:t>Exercice financier</w:t>
            </w:r>
          </w:p>
        </w:tc>
        <w:tc>
          <w:tcPr>
            <w:tcW w:w="1131" w:type="pct"/>
          </w:tcPr>
          <w:p w14:paraId="4E9A8FCF" w14:textId="77777777" w:rsidR="00A7023F" w:rsidRPr="00C163E0" w:rsidRDefault="00A7023F" w:rsidP="00B0798A">
            <w:pPr>
              <w:pStyle w:val="TableTitle"/>
              <w:rPr>
                <w:rFonts w:cs="Segoe UI Semibold"/>
                <w:color w:val="auto"/>
                <w:sz w:val="22"/>
                <w:lang w:val="fr-CA"/>
              </w:rPr>
            </w:pPr>
            <w:r w:rsidRPr="00C163E0">
              <w:rPr>
                <w:rFonts w:cs="Segoe UI Semibold"/>
                <w:color w:val="auto"/>
                <w:sz w:val="22"/>
                <w:lang w:val="fr-CA"/>
              </w:rPr>
              <w:t>Activités de dotation pour des postes pour une période indéterminée</w:t>
            </w:r>
          </w:p>
        </w:tc>
        <w:tc>
          <w:tcPr>
            <w:tcW w:w="935" w:type="pct"/>
          </w:tcPr>
          <w:p w14:paraId="1A8BD4BD" w14:textId="77777777" w:rsidR="00A7023F" w:rsidRPr="00C163E0" w:rsidRDefault="00A7023F" w:rsidP="00B0798A">
            <w:pPr>
              <w:pStyle w:val="TableTitle"/>
              <w:rPr>
                <w:rFonts w:cs="Segoe UI Semibold"/>
                <w:color w:val="auto"/>
                <w:sz w:val="22"/>
                <w:lang w:val="fr-CA"/>
              </w:rPr>
            </w:pPr>
            <w:r w:rsidRPr="00C163E0">
              <w:rPr>
                <w:rFonts w:cs="Segoe UI Semibold"/>
                <w:color w:val="auto"/>
                <w:sz w:val="22"/>
                <w:lang w:val="fr-CA"/>
              </w:rPr>
              <w:t>Activités de dotation pour des postes de durée déterminée</w:t>
            </w:r>
          </w:p>
        </w:tc>
        <w:tc>
          <w:tcPr>
            <w:tcW w:w="836" w:type="pct"/>
          </w:tcPr>
          <w:p w14:paraId="016D16A7" w14:textId="20A76DAB" w:rsidR="00A7023F" w:rsidRPr="00C163E0" w:rsidRDefault="00A7023F" w:rsidP="00B0798A">
            <w:pPr>
              <w:pStyle w:val="TableTitle"/>
              <w:rPr>
                <w:rFonts w:cs="Segoe UI Semibold"/>
                <w:color w:val="auto"/>
                <w:sz w:val="22"/>
                <w:lang w:val="fr-CA"/>
              </w:rPr>
            </w:pPr>
            <w:r w:rsidRPr="00C163E0">
              <w:rPr>
                <w:rFonts w:cs="Segoe UI Semibold"/>
                <w:color w:val="auto"/>
                <w:sz w:val="22"/>
                <w:lang w:val="fr-CA"/>
              </w:rPr>
              <w:t>Activités de dotation pour les emplois occasionnels</w:t>
            </w:r>
          </w:p>
        </w:tc>
        <w:tc>
          <w:tcPr>
            <w:tcW w:w="756" w:type="pct"/>
          </w:tcPr>
          <w:p w14:paraId="510ABCCA" w14:textId="77777777" w:rsidR="00A7023F" w:rsidRPr="00C163E0" w:rsidRDefault="00A7023F" w:rsidP="00B0798A">
            <w:pPr>
              <w:pStyle w:val="TableTitle"/>
              <w:rPr>
                <w:rFonts w:cs="Segoe UI Semibold"/>
                <w:color w:val="auto"/>
                <w:sz w:val="22"/>
                <w:lang w:val="fr-CA"/>
              </w:rPr>
            </w:pPr>
            <w:r w:rsidRPr="00C163E0">
              <w:rPr>
                <w:rFonts w:cs="Segoe UI Semibold"/>
                <w:color w:val="auto"/>
                <w:sz w:val="22"/>
                <w:lang w:val="fr-CA"/>
              </w:rPr>
              <w:t>Activités de dotation pour les emplois étudiants</w:t>
            </w:r>
          </w:p>
        </w:tc>
        <w:tc>
          <w:tcPr>
            <w:tcW w:w="606" w:type="pct"/>
          </w:tcPr>
          <w:p w14:paraId="23F96D19" w14:textId="77777777" w:rsidR="00A7023F" w:rsidRPr="00C163E0" w:rsidRDefault="00A7023F" w:rsidP="00B0798A">
            <w:pPr>
              <w:pStyle w:val="TableTitle"/>
              <w:rPr>
                <w:rFonts w:cs="Segoe UI Semibold"/>
                <w:color w:val="auto"/>
                <w:sz w:val="22"/>
                <w:lang w:val="fr-CA"/>
              </w:rPr>
            </w:pPr>
            <w:r w:rsidRPr="00C163E0">
              <w:rPr>
                <w:rFonts w:cs="Segoe UI Semibold"/>
                <w:color w:val="auto"/>
                <w:sz w:val="22"/>
                <w:lang w:val="fr-CA"/>
              </w:rPr>
              <w:t>Activités de dotation totale</w:t>
            </w:r>
          </w:p>
        </w:tc>
      </w:tr>
      <w:tr w:rsidR="00B0798A" w:rsidRPr="00B0798A" w14:paraId="6BA11573" w14:textId="77777777" w:rsidTr="006C2E0A">
        <w:trPr>
          <w:cantSplit/>
          <w:tblHeader/>
          <w:jc w:val="center"/>
        </w:trPr>
        <w:tc>
          <w:tcPr>
            <w:tcW w:w="736" w:type="pct"/>
          </w:tcPr>
          <w:p w14:paraId="1BF1F51C" w14:textId="77777777" w:rsidR="00A7023F" w:rsidRPr="00B0798A" w:rsidRDefault="00A7023F" w:rsidP="00BF469C">
            <w:pPr>
              <w:autoSpaceDE w:val="0"/>
              <w:autoSpaceDN w:val="0"/>
              <w:adjustRightInd w:val="0"/>
              <w:rPr>
                <w:rFonts w:asciiTheme="minorHAnsi" w:hAnsiTheme="minorHAnsi" w:cstheme="minorHAnsi"/>
                <w:sz w:val="22"/>
                <w:szCs w:val="24"/>
                <w:lang w:val="fr-CA"/>
              </w:rPr>
            </w:pPr>
            <w:r w:rsidRPr="00B0798A">
              <w:rPr>
                <w:rFonts w:asciiTheme="minorHAnsi" w:hAnsiTheme="minorHAnsi" w:cstheme="minorHAnsi"/>
                <w:sz w:val="22"/>
                <w:szCs w:val="24"/>
                <w:lang w:val="fr-CA"/>
              </w:rPr>
              <w:t>2014 à 2015</w:t>
            </w:r>
          </w:p>
        </w:tc>
        <w:tc>
          <w:tcPr>
            <w:tcW w:w="1131" w:type="pct"/>
          </w:tcPr>
          <w:p w14:paraId="2C54FA0E" w14:textId="77777777" w:rsidR="00A7023F" w:rsidRPr="00B0798A" w:rsidRDefault="00A7023F" w:rsidP="00BF469C">
            <w:pPr>
              <w:autoSpaceDE w:val="0"/>
              <w:autoSpaceDN w:val="0"/>
              <w:adjustRightInd w:val="0"/>
              <w:jc w:val="center"/>
              <w:rPr>
                <w:rFonts w:asciiTheme="minorHAnsi" w:hAnsiTheme="minorHAnsi" w:cstheme="minorHAnsi"/>
                <w:sz w:val="22"/>
                <w:szCs w:val="24"/>
                <w:lang w:val="fr-CA"/>
              </w:rPr>
            </w:pPr>
            <w:r w:rsidRPr="00B0798A">
              <w:rPr>
                <w:rFonts w:asciiTheme="minorHAnsi" w:hAnsiTheme="minorHAnsi" w:cstheme="minorHAnsi"/>
                <w:sz w:val="22"/>
                <w:szCs w:val="24"/>
                <w:lang w:val="fr-CA"/>
              </w:rPr>
              <w:t>268</w:t>
            </w:r>
          </w:p>
        </w:tc>
        <w:tc>
          <w:tcPr>
            <w:tcW w:w="935" w:type="pct"/>
          </w:tcPr>
          <w:p w14:paraId="5309BE7B" w14:textId="77777777" w:rsidR="00A7023F" w:rsidRPr="00B0798A" w:rsidRDefault="00A7023F" w:rsidP="00BF469C">
            <w:pPr>
              <w:autoSpaceDE w:val="0"/>
              <w:autoSpaceDN w:val="0"/>
              <w:adjustRightInd w:val="0"/>
              <w:jc w:val="center"/>
              <w:rPr>
                <w:rFonts w:asciiTheme="minorHAnsi" w:hAnsiTheme="minorHAnsi" w:cstheme="minorHAnsi"/>
                <w:sz w:val="22"/>
                <w:szCs w:val="24"/>
                <w:lang w:val="fr-CA"/>
              </w:rPr>
            </w:pPr>
            <w:r w:rsidRPr="00B0798A">
              <w:rPr>
                <w:rFonts w:asciiTheme="minorHAnsi" w:hAnsiTheme="minorHAnsi" w:cstheme="minorHAnsi"/>
                <w:sz w:val="22"/>
                <w:szCs w:val="24"/>
                <w:lang w:val="fr-CA"/>
              </w:rPr>
              <w:t>21</w:t>
            </w:r>
          </w:p>
        </w:tc>
        <w:tc>
          <w:tcPr>
            <w:tcW w:w="836" w:type="pct"/>
          </w:tcPr>
          <w:p w14:paraId="37DD54E4" w14:textId="77777777" w:rsidR="00A7023F" w:rsidRPr="00B0798A" w:rsidRDefault="00A7023F" w:rsidP="00BF469C">
            <w:pPr>
              <w:autoSpaceDE w:val="0"/>
              <w:autoSpaceDN w:val="0"/>
              <w:adjustRightInd w:val="0"/>
              <w:jc w:val="center"/>
              <w:rPr>
                <w:rFonts w:asciiTheme="minorHAnsi" w:hAnsiTheme="minorHAnsi" w:cstheme="minorHAnsi"/>
                <w:sz w:val="22"/>
                <w:szCs w:val="24"/>
                <w:lang w:val="fr-CA"/>
              </w:rPr>
            </w:pPr>
            <w:r w:rsidRPr="00B0798A">
              <w:rPr>
                <w:rFonts w:asciiTheme="minorHAnsi" w:hAnsiTheme="minorHAnsi" w:cstheme="minorHAnsi"/>
                <w:sz w:val="22"/>
                <w:szCs w:val="24"/>
                <w:lang w:val="fr-CA"/>
              </w:rPr>
              <w:t>140</w:t>
            </w:r>
          </w:p>
        </w:tc>
        <w:tc>
          <w:tcPr>
            <w:tcW w:w="756" w:type="pct"/>
          </w:tcPr>
          <w:p w14:paraId="410E915C" w14:textId="77777777" w:rsidR="00A7023F" w:rsidRPr="00B0798A" w:rsidRDefault="00A7023F" w:rsidP="00BF469C">
            <w:pPr>
              <w:autoSpaceDE w:val="0"/>
              <w:autoSpaceDN w:val="0"/>
              <w:adjustRightInd w:val="0"/>
              <w:jc w:val="center"/>
              <w:rPr>
                <w:rFonts w:asciiTheme="minorHAnsi" w:hAnsiTheme="minorHAnsi" w:cstheme="minorHAnsi"/>
                <w:sz w:val="22"/>
                <w:szCs w:val="24"/>
                <w:lang w:val="fr-CA"/>
              </w:rPr>
            </w:pPr>
            <w:r w:rsidRPr="00B0798A">
              <w:rPr>
                <w:rFonts w:asciiTheme="minorHAnsi" w:hAnsiTheme="minorHAnsi" w:cstheme="minorHAnsi"/>
                <w:sz w:val="22"/>
                <w:szCs w:val="24"/>
                <w:lang w:val="fr-CA"/>
              </w:rPr>
              <w:t>82</w:t>
            </w:r>
          </w:p>
        </w:tc>
        <w:tc>
          <w:tcPr>
            <w:tcW w:w="606" w:type="pct"/>
          </w:tcPr>
          <w:p w14:paraId="66EB4ACA" w14:textId="77777777" w:rsidR="00A7023F" w:rsidRPr="00B0798A" w:rsidRDefault="00A7023F" w:rsidP="00BF469C">
            <w:pPr>
              <w:autoSpaceDE w:val="0"/>
              <w:autoSpaceDN w:val="0"/>
              <w:adjustRightInd w:val="0"/>
              <w:jc w:val="center"/>
              <w:rPr>
                <w:rFonts w:asciiTheme="minorHAnsi" w:hAnsiTheme="minorHAnsi" w:cstheme="minorHAnsi"/>
                <w:sz w:val="22"/>
                <w:szCs w:val="24"/>
                <w:lang w:val="fr-CA"/>
              </w:rPr>
            </w:pPr>
            <w:r w:rsidRPr="00B0798A">
              <w:rPr>
                <w:rFonts w:asciiTheme="minorHAnsi" w:hAnsiTheme="minorHAnsi" w:cstheme="minorHAnsi"/>
                <w:sz w:val="22"/>
                <w:szCs w:val="24"/>
                <w:lang w:val="fr-CA"/>
              </w:rPr>
              <w:t>511</w:t>
            </w:r>
          </w:p>
        </w:tc>
      </w:tr>
      <w:tr w:rsidR="00B0798A" w:rsidRPr="00B0798A" w14:paraId="458E3F52" w14:textId="77777777" w:rsidTr="006C2E0A">
        <w:trPr>
          <w:cantSplit/>
          <w:tblHeader/>
          <w:jc w:val="center"/>
        </w:trPr>
        <w:tc>
          <w:tcPr>
            <w:tcW w:w="736" w:type="pct"/>
          </w:tcPr>
          <w:p w14:paraId="1DC0D677" w14:textId="77777777" w:rsidR="00A7023F" w:rsidRPr="00B0798A" w:rsidRDefault="00A7023F" w:rsidP="00BF469C">
            <w:pPr>
              <w:autoSpaceDE w:val="0"/>
              <w:autoSpaceDN w:val="0"/>
              <w:adjustRightInd w:val="0"/>
              <w:rPr>
                <w:rFonts w:asciiTheme="minorHAnsi" w:hAnsiTheme="minorHAnsi" w:cstheme="minorHAnsi"/>
                <w:sz w:val="22"/>
                <w:szCs w:val="24"/>
                <w:lang w:val="fr-CA"/>
              </w:rPr>
            </w:pPr>
            <w:r w:rsidRPr="00B0798A">
              <w:rPr>
                <w:rFonts w:asciiTheme="minorHAnsi" w:hAnsiTheme="minorHAnsi" w:cstheme="minorHAnsi"/>
                <w:sz w:val="22"/>
                <w:szCs w:val="24"/>
                <w:lang w:val="fr-CA"/>
              </w:rPr>
              <w:t>2015 à 2016</w:t>
            </w:r>
          </w:p>
        </w:tc>
        <w:tc>
          <w:tcPr>
            <w:tcW w:w="1131" w:type="pct"/>
          </w:tcPr>
          <w:p w14:paraId="09F0461C" w14:textId="77777777" w:rsidR="00A7023F" w:rsidRPr="00B0798A" w:rsidRDefault="00A7023F" w:rsidP="00BF469C">
            <w:pPr>
              <w:autoSpaceDE w:val="0"/>
              <w:autoSpaceDN w:val="0"/>
              <w:adjustRightInd w:val="0"/>
              <w:jc w:val="center"/>
              <w:rPr>
                <w:rFonts w:asciiTheme="minorHAnsi" w:hAnsiTheme="minorHAnsi" w:cstheme="minorHAnsi"/>
                <w:sz w:val="22"/>
                <w:szCs w:val="24"/>
                <w:lang w:val="fr-CA"/>
              </w:rPr>
            </w:pPr>
            <w:r w:rsidRPr="00B0798A">
              <w:rPr>
                <w:rFonts w:asciiTheme="minorHAnsi" w:hAnsiTheme="minorHAnsi" w:cstheme="minorHAnsi"/>
                <w:sz w:val="22"/>
                <w:szCs w:val="24"/>
                <w:lang w:val="fr-CA"/>
              </w:rPr>
              <w:t>580</w:t>
            </w:r>
          </w:p>
        </w:tc>
        <w:tc>
          <w:tcPr>
            <w:tcW w:w="935" w:type="pct"/>
          </w:tcPr>
          <w:p w14:paraId="61BE6075" w14:textId="77777777" w:rsidR="00A7023F" w:rsidRPr="00B0798A" w:rsidRDefault="00A7023F" w:rsidP="00BF469C">
            <w:pPr>
              <w:autoSpaceDE w:val="0"/>
              <w:autoSpaceDN w:val="0"/>
              <w:adjustRightInd w:val="0"/>
              <w:jc w:val="center"/>
              <w:rPr>
                <w:rFonts w:asciiTheme="minorHAnsi" w:hAnsiTheme="minorHAnsi" w:cstheme="minorHAnsi"/>
                <w:sz w:val="22"/>
                <w:szCs w:val="24"/>
                <w:lang w:val="fr-CA"/>
              </w:rPr>
            </w:pPr>
            <w:r w:rsidRPr="00B0798A">
              <w:rPr>
                <w:rFonts w:asciiTheme="minorHAnsi" w:hAnsiTheme="minorHAnsi" w:cstheme="minorHAnsi"/>
                <w:sz w:val="22"/>
                <w:szCs w:val="24"/>
                <w:lang w:val="fr-CA"/>
              </w:rPr>
              <w:t>79</w:t>
            </w:r>
          </w:p>
        </w:tc>
        <w:tc>
          <w:tcPr>
            <w:tcW w:w="836" w:type="pct"/>
          </w:tcPr>
          <w:p w14:paraId="5F8762DC" w14:textId="77777777" w:rsidR="00A7023F" w:rsidRPr="00B0798A" w:rsidRDefault="00A7023F" w:rsidP="00BF469C">
            <w:pPr>
              <w:autoSpaceDE w:val="0"/>
              <w:autoSpaceDN w:val="0"/>
              <w:adjustRightInd w:val="0"/>
              <w:jc w:val="center"/>
              <w:rPr>
                <w:rFonts w:asciiTheme="minorHAnsi" w:hAnsiTheme="minorHAnsi" w:cstheme="minorHAnsi"/>
                <w:sz w:val="22"/>
                <w:szCs w:val="24"/>
                <w:lang w:val="fr-CA"/>
              </w:rPr>
            </w:pPr>
            <w:r w:rsidRPr="00B0798A">
              <w:rPr>
                <w:rFonts w:asciiTheme="minorHAnsi" w:hAnsiTheme="minorHAnsi" w:cstheme="minorHAnsi"/>
                <w:sz w:val="22"/>
                <w:szCs w:val="24"/>
                <w:lang w:val="fr-CA"/>
              </w:rPr>
              <w:t>225</w:t>
            </w:r>
          </w:p>
        </w:tc>
        <w:tc>
          <w:tcPr>
            <w:tcW w:w="756" w:type="pct"/>
          </w:tcPr>
          <w:p w14:paraId="67E88383" w14:textId="77777777" w:rsidR="00A7023F" w:rsidRPr="00B0798A" w:rsidRDefault="00A7023F" w:rsidP="00BF469C">
            <w:pPr>
              <w:autoSpaceDE w:val="0"/>
              <w:autoSpaceDN w:val="0"/>
              <w:adjustRightInd w:val="0"/>
              <w:jc w:val="center"/>
              <w:rPr>
                <w:rFonts w:asciiTheme="minorHAnsi" w:hAnsiTheme="minorHAnsi" w:cstheme="minorHAnsi"/>
                <w:sz w:val="22"/>
                <w:szCs w:val="24"/>
                <w:lang w:val="fr-CA"/>
              </w:rPr>
            </w:pPr>
            <w:r w:rsidRPr="00B0798A">
              <w:rPr>
                <w:rFonts w:asciiTheme="minorHAnsi" w:hAnsiTheme="minorHAnsi" w:cstheme="minorHAnsi"/>
                <w:sz w:val="22"/>
                <w:szCs w:val="24"/>
                <w:lang w:val="fr-CA"/>
              </w:rPr>
              <w:t>142</w:t>
            </w:r>
          </w:p>
        </w:tc>
        <w:tc>
          <w:tcPr>
            <w:tcW w:w="606" w:type="pct"/>
          </w:tcPr>
          <w:p w14:paraId="5E0A2084" w14:textId="77777777" w:rsidR="00A7023F" w:rsidRPr="00B0798A" w:rsidRDefault="00A7023F" w:rsidP="00BF469C">
            <w:pPr>
              <w:autoSpaceDE w:val="0"/>
              <w:autoSpaceDN w:val="0"/>
              <w:adjustRightInd w:val="0"/>
              <w:jc w:val="center"/>
              <w:rPr>
                <w:rFonts w:asciiTheme="minorHAnsi" w:hAnsiTheme="minorHAnsi" w:cstheme="minorHAnsi"/>
                <w:sz w:val="22"/>
                <w:szCs w:val="24"/>
                <w:lang w:val="fr-CA"/>
              </w:rPr>
            </w:pPr>
            <w:r w:rsidRPr="00B0798A">
              <w:rPr>
                <w:rFonts w:asciiTheme="minorHAnsi" w:hAnsiTheme="minorHAnsi" w:cstheme="minorHAnsi"/>
                <w:sz w:val="22"/>
                <w:szCs w:val="24"/>
                <w:lang w:val="fr-CA"/>
              </w:rPr>
              <w:t>1 026</w:t>
            </w:r>
          </w:p>
        </w:tc>
      </w:tr>
      <w:tr w:rsidR="00B0798A" w:rsidRPr="00B0798A" w14:paraId="3066CD78" w14:textId="77777777" w:rsidTr="006C2E0A">
        <w:trPr>
          <w:cantSplit/>
          <w:tblHeader/>
          <w:jc w:val="center"/>
        </w:trPr>
        <w:tc>
          <w:tcPr>
            <w:tcW w:w="736" w:type="pct"/>
          </w:tcPr>
          <w:p w14:paraId="7D1FFEAF" w14:textId="77777777" w:rsidR="00A7023F" w:rsidRPr="00B0798A" w:rsidRDefault="00A7023F" w:rsidP="00BF469C">
            <w:pPr>
              <w:autoSpaceDE w:val="0"/>
              <w:autoSpaceDN w:val="0"/>
              <w:adjustRightInd w:val="0"/>
              <w:rPr>
                <w:rFonts w:asciiTheme="minorHAnsi" w:hAnsiTheme="minorHAnsi" w:cstheme="minorHAnsi"/>
                <w:sz w:val="22"/>
                <w:szCs w:val="24"/>
                <w:lang w:val="fr-CA"/>
              </w:rPr>
            </w:pPr>
            <w:r w:rsidRPr="00B0798A">
              <w:rPr>
                <w:rFonts w:asciiTheme="minorHAnsi" w:hAnsiTheme="minorHAnsi" w:cstheme="minorHAnsi"/>
                <w:sz w:val="22"/>
                <w:szCs w:val="24"/>
                <w:lang w:val="fr-CA"/>
              </w:rPr>
              <w:t>2016 à 2017</w:t>
            </w:r>
          </w:p>
        </w:tc>
        <w:tc>
          <w:tcPr>
            <w:tcW w:w="1131" w:type="pct"/>
          </w:tcPr>
          <w:p w14:paraId="4F7A6DDE" w14:textId="77777777" w:rsidR="00A7023F" w:rsidRPr="00B0798A" w:rsidRDefault="00A7023F" w:rsidP="00BF469C">
            <w:pPr>
              <w:autoSpaceDE w:val="0"/>
              <w:autoSpaceDN w:val="0"/>
              <w:adjustRightInd w:val="0"/>
              <w:jc w:val="center"/>
              <w:rPr>
                <w:rFonts w:asciiTheme="minorHAnsi" w:hAnsiTheme="minorHAnsi" w:cstheme="minorHAnsi"/>
                <w:sz w:val="22"/>
                <w:szCs w:val="24"/>
                <w:lang w:val="fr-CA"/>
              </w:rPr>
            </w:pPr>
            <w:r w:rsidRPr="00B0798A">
              <w:rPr>
                <w:rFonts w:asciiTheme="minorHAnsi" w:hAnsiTheme="minorHAnsi" w:cstheme="minorHAnsi"/>
                <w:sz w:val="22"/>
                <w:szCs w:val="24"/>
                <w:lang w:val="fr-CA"/>
              </w:rPr>
              <w:t>468</w:t>
            </w:r>
          </w:p>
        </w:tc>
        <w:tc>
          <w:tcPr>
            <w:tcW w:w="935" w:type="pct"/>
          </w:tcPr>
          <w:p w14:paraId="26D5C5E0" w14:textId="77777777" w:rsidR="00A7023F" w:rsidRPr="00B0798A" w:rsidRDefault="00A7023F" w:rsidP="00BF469C">
            <w:pPr>
              <w:autoSpaceDE w:val="0"/>
              <w:autoSpaceDN w:val="0"/>
              <w:adjustRightInd w:val="0"/>
              <w:jc w:val="center"/>
              <w:rPr>
                <w:rFonts w:asciiTheme="minorHAnsi" w:hAnsiTheme="minorHAnsi" w:cstheme="minorHAnsi"/>
                <w:sz w:val="22"/>
                <w:szCs w:val="24"/>
                <w:lang w:val="fr-CA"/>
              </w:rPr>
            </w:pPr>
            <w:r w:rsidRPr="00B0798A">
              <w:rPr>
                <w:rFonts w:asciiTheme="minorHAnsi" w:hAnsiTheme="minorHAnsi" w:cstheme="minorHAnsi"/>
                <w:sz w:val="22"/>
                <w:szCs w:val="24"/>
                <w:lang w:val="fr-CA"/>
              </w:rPr>
              <w:t>61</w:t>
            </w:r>
          </w:p>
        </w:tc>
        <w:tc>
          <w:tcPr>
            <w:tcW w:w="836" w:type="pct"/>
          </w:tcPr>
          <w:p w14:paraId="7214EF40" w14:textId="77777777" w:rsidR="00A7023F" w:rsidRPr="00B0798A" w:rsidRDefault="00A7023F" w:rsidP="00BF469C">
            <w:pPr>
              <w:autoSpaceDE w:val="0"/>
              <w:autoSpaceDN w:val="0"/>
              <w:adjustRightInd w:val="0"/>
              <w:jc w:val="center"/>
              <w:rPr>
                <w:rFonts w:asciiTheme="minorHAnsi" w:hAnsiTheme="minorHAnsi" w:cstheme="minorHAnsi"/>
                <w:sz w:val="22"/>
                <w:szCs w:val="24"/>
                <w:lang w:val="fr-CA"/>
              </w:rPr>
            </w:pPr>
            <w:r w:rsidRPr="00B0798A">
              <w:rPr>
                <w:rFonts w:asciiTheme="minorHAnsi" w:hAnsiTheme="minorHAnsi" w:cstheme="minorHAnsi"/>
                <w:sz w:val="22"/>
                <w:szCs w:val="24"/>
                <w:lang w:val="fr-CA"/>
              </w:rPr>
              <w:t>217</w:t>
            </w:r>
          </w:p>
        </w:tc>
        <w:tc>
          <w:tcPr>
            <w:tcW w:w="756" w:type="pct"/>
          </w:tcPr>
          <w:p w14:paraId="282B5207" w14:textId="77777777" w:rsidR="00A7023F" w:rsidRPr="00B0798A" w:rsidRDefault="00A7023F" w:rsidP="00BF469C">
            <w:pPr>
              <w:autoSpaceDE w:val="0"/>
              <w:autoSpaceDN w:val="0"/>
              <w:adjustRightInd w:val="0"/>
              <w:jc w:val="center"/>
              <w:rPr>
                <w:rFonts w:asciiTheme="minorHAnsi" w:hAnsiTheme="minorHAnsi" w:cstheme="minorHAnsi"/>
                <w:sz w:val="22"/>
                <w:szCs w:val="24"/>
                <w:lang w:val="fr-CA"/>
              </w:rPr>
            </w:pPr>
            <w:r w:rsidRPr="00B0798A">
              <w:rPr>
                <w:rFonts w:asciiTheme="minorHAnsi" w:hAnsiTheme="minorHAnsi" w:cstheme="minorHAnsi"/>
                <w:sz w:val="22"/>
                <w:szCs w:val="24"/>
                <w:lang w:val="fr-CA"/>
              </w:rPr>
              <w:t>115</w:t>
            </w:r>
          </w:p>
        </w:tc>
        <w:tc>
          <w:tcPr>
            <w:tcW w:w="606" w:type="pct"/>
          </w:tcPr>
          <w:p w14:paraId="20F6A00D" w14:textId="77777777" w:rsidR="00A7023F" w:rsidRPr="00B0798A" w:rsidRDefault="00A7023F" w:rsidP="00BF469C">
            <w:pPr>
              <w:autoSpaceDE w:val="0"/>
              <w:autoSpaceDN w:val="0"/>
              <w:adjustRightInd w:val="0"/>
              <w:jc w:val="center"/>
              <w:rPr>
                <w:rFonts w:asciiTheme="minorHAnsi" w:hAnsiTheme="minorHAnsi" w:cstheme="minorHAnsi"/>
                <w:sz w:val="22"/>
                <w:szCs w:val="24"/>
                <w:lang w:val="fr-CA"/>
              </w:rPr>
            </w:pPr>
            <w:r w:rsidRPr="00B0798A">
              <w:rPr>
                <w:rFonts w:asciiTheme="minorHAnsi" w:hAnsiTheme="minorHAnsi" w:cstheme="minorHAnsi"/>
                <w:sz w:val="22"/>
                <w:szCs w:val="24"/>
                <w:lang w:val="fr-CA"/>
              </w:rPr>
              <w:t>861</w:t>
            </w:r>
          </w:p>
        </w:tc>
      </w:tr>
      <w:tr w:rsidR="00B0798A" w:rsidRPr="00B0798A" w14:paraId="4C3A60DE" w14:textId="77777777" w:rsidTr="006C2E0A">
        <w:trPr>
          <w:cantSplit/>
          <w:tblHeader/>
          <w:jc w:val="center"/>
        </w:trPr>
        <w:tc>
          <w:tcPr>
            <w:tcW w:w="736" w:type="pct"/>
          </w:tcPr>
          <w:p w14:paraId="72E537A7" w14:textId="77777777" w:rsidR="00A7023F" w:rsidRPr="00B0798A" w:rsidRDefault="00A7023F" w:rsidP="00BF469C">
            <w:pPr>
              <w:autoSpaceDE w:val="0"/>
              <w:autoSpaceDN w:val="0"/>
              <w:adjustRightInd w:val="0"/>
              <w:rPr>
                <w:rFonts w:asciiTheme="minorHAnsi" w:hAnsiTheme="minorHAnsi" w:cstheme="minorHAnsi"/>
                <w:sz w:val="22"/>
                <w:szCs w:val="24"/>
                <w:lang w:val="fr-CA"/>
              </w:rPr>
            </w:pPr>
            <w:r w:rsidRPr="00B0798A">
              <w:rPr>
                <w:rFonts w:asciiTheme="minorHAnsi" w:hAnsiTheme="minorHAnsi" w:cstheme="minorHAnsi"/>
                <w:sz w:val="22"/>
                <w:szCs w:val="24"/>
                <w:lang w:val="fr-CA"/>
              </w:rPr>
              <w:t>2017 à 2018</w:t>
            </w:r>
          </w:p>
        </w:tc>
        <w:tc>
          <w:tcPr>
            <w:tcW w:w="1131" w:type="pct"/>
          </w:tcPr>
          <w:p w14:paraId="5E94F14F" w14:textId="77777777" w:rsidR="00A7023F" w:rsidRPr="00B0798A" w:rsidRDefault="00A7023F" w:rsidP="00BF469C">
            <w:pPr>
              <w:autoSpaceDE w:val="0"/>
              <w:autoSpaceDN w:val="0"/>
              <w:adjustRightInd w:val="0"/>
              <w:jc w:val="center"/>
              <w:rPr>
                <w:rFonts w:asciiTheme="minorHAnsi" w:hAnsiTheme="minorHAnsi" w:cstheme="minorHAnsi"/>
                <w:sz w:val="22"/>
                <w:szCs w:val="24"/>
                <w:lang w:val="fr-CA"/>
              </w:rPr>
            </w:pPr>
            <w:r w:rsidRPr="00B0798A">
              <w:rPr>
                <w:rFonts w:asciiTheme="minorHAnsi" w:hAnsiTheme="minorHAnsi" w:cstheme="minorHAnsi"/>
                <w:sz w:val="22"/>
                <w:szCs w:val="24"/>
                <w:lang w:val="fr-CA"/>
              </w:rPr>
              <w:t>461</w:t>
            </w:r>
          </w:p>
        </w:tc>
        <w:tc>
          <w:tcPr>
            <w:tcW w:w="935" w:type="pct"/>
          </w:tcPr>
          <w:p w14:paraId="12FA566B" w14:textId="77777777" w:rsidR="00A7023F" w:rsidRPr="00B0798A" w:rsidRDefault="00A7023F" w:rsidP="00BF469C">
            <w:pPr>
              <w:autoSpaceDE w:val="0"/>
              <w:autoSpaceDN w:val="0"/>
              <w:adjustRightInd w:val="0"/>
              <w:jc w:val="center"/>
              <w:rPr>
                <w:rFonts w:asciiTheme="minorHAnsi" w:hAnsiTheme="minorHAnsi" w:cstheme="minorHAnsi"/>
                <w:sz w:val="22"/>
                <w:szCs w:val="24"/>
                <w:lang w:val="fr-CA"/>
              </w:rPr>
            </w:pPr>
            <w:r w:rsidRPr="00B0798A">
              <w:rPr>
                <w:rFonts w:asciiTheme="minorHAnsi" w:hAnsiTheme="minorHAnsi" w:cstheme="minorHAnsi"/>
                <w:sz w:val="22"/>
                <w:szCs w:val="24"/>
                <w:lang w:val="fr-CA"/>
              </w:rPr>
              <w:t>68</w:t>
            </w:r>
          </w:p>
        </w:tc>
        <w:tc>
          <w:tcPr>
            <w:tcW w:w="836" w:type="pct"/>
          </w:tcPr>
          <w:p w14:paraId="28D1FDDF" w14:textId="77777777" w:rsidR="00A7023F" w:rsidRPr="00B0798A" w:rsidRDefault="00A7023F" w:rsidP="00BF469C">
            <w:pPr>
              <w:autoSpaceDE w:val="0"/>
              <w:autoSpaceDN w:val="0"/>
              <w:adjustRightInd w:val="0"/>
              <w:jc w:val="center"/>
              <w:rPr>
                <w:rFonts w:asciiTheme="minorHAnsi" w:hAnsiTheme="minorHAnsi" w:cstheme="minorHAnsi"/>
                <w:sz w:val="22"/>
                <w:szCs w:val="24"/>
                <w:lang w:val="fr-CA"/>
              </w:rPr>
            </w:pPr>
            <w:r w:rsidRPr="00B0798A">
              <w:rPr>
                <w:rFonts w:asciiTheme="minorHAnsi" w:hAnsiTheme="minorHAnsi" w:cstheme="minorHAnsi"/>
                <w:sz w:val="22"/>
                <w:szCs w:val="24"/>
                <w:lang w:val="fr-CA"/>
              </w:rPr>
              <w:t>185</w:t>
            </w:r>
          </w:p>
        </w:tc>
        <w:tc>
          <w:tcPr>
            <w:tcW w:w="756" w:type="pct"/>
          </w:tcPr>
          <w:p w14:paraId="1B0513EE" w14:textId="77777777" w:rsidR="00A7023F" w:rsidRPr="00B0798A" w:rsidRDefault="00A7023F" w:rsidP="00BF469C">
            <w:pPr>
              <w:autoSpaceDE w:val="0"/>
              <w:autoSpaceDN w:val="0"/>
              <w:adjustRightInd w:val="0"/>
              <w:jc w:val="center"/>
              <w:rPr>
                <w:rFonts w:asciiTheme="minorHAnsi" w:hAnsiTheme="minorHAnsi" w:cstheme="minorHAnsi"/>
                <w:sz w:val="22"/>
                <w:szCs w:val="24"/>
                <w:lang w:val="fr-CA"/>
              </w:rPr>
            </w:pPr>
            <w:r w:rsidRPr="00B0798A">
              <w:rPr>
                <w:rFonts w:asciiTheme="minorHAnsi" w:hAnsiTheme="minorHAnsi" w:cstheme="minorHAnsi"/>
                <w:sz w:val="22"/>
                <w:szCs w:val="24"/>
                <w:lang w:val="fr-CA"/>
              </w:rPr>
              <w:t>107</w:t>
            </w:r>
          </w:p>
        </w:tc>
        <w:tc>
          <w:tcPr>
            <w:tcW w:w="606" w:type="pct"/>
          </w:tcPr>
          <w:p w14:paraId="2CDA429E" w14:textId="77777777" w:rsidR="00A7023F" w:rsidRPr="00B0798A" w:rsidRDefault="00A7023F" w:rsidP="00BF469C">
            <w:pPr>
              <w:autoSpaceDE w:val="0"/>
              <w:autoSpaceDN w:val="0"/>
              <w:adjustRightInd w:val="0"/>
              <w:jc w:val="center"/>
              <w:rPr>
                <w:rFonts w:asciiTheme="minorHAnsi" w:hAnsiTheme="minorHAnsi" w:cstheme="minorHAnsi"/>
                <w:sz w:val="22"/>
                <w:szCs w:val="24"/>
                <w:lang w:val="fr-CA"/>
              </w:rPr>
            </w:pPr>
            <w:r w:rsidRPr="00B0798A">
              <w:rPr>
                <w:rFonts w:asciiTheme="minorHAnsi" w:hAnsiTheme="minorHAnsi" w:cstheme="minorHAnsi"/>
                <w:sz w:val="22"/>
                <w:szCs w:val="24"/>
                <w:lang w:val="fr-CA"/>
              </w:rPr>
              <w:t>821</w:t>
            </w:r>
          </w:p>
        </w:tc>
      </w:tr>
      <w:tr w:rsidR="00B0798A" w:rsidRPr="00B0798A" w14:paraId="684BA325" w14:textId="77777777" w:rsidTr="006C2E0A">
        <w:trPr>
          <w:cantSplit/>
          <w:tblHeader/>
          <w:jc w:val="center"/>
        </w:trPr>
        <w:tc>
          <w:tcPr>
            <w:tcW w:w="736" w:type="pct"/>
          </w:tcPr>
          <w:p w14:paraId="76A30AB3" w14:textId="77777777" w:rsidR="00A7023F" w:rsidRPr="00B0798A" w:rsidRDefault="00A7023F" w:rsidP="00BF469C">
            <w:pPr>
              <w:autoSpaceDE w:val="0"/>
              <w:autoSpaceDN w:val="0"/>
              <w:adjustRightInd w:val="0"/>
              <w:rPr>
                <w:rFonts w:asciiTheme="minorHAnsi" w:hAnsiTheme="minorHAnsi" w:cstheme="minorHAnsi"/>
                <w:sz w:val="22"/>
                <w:szCs w:val="24"/>
                <w:lang w:val="fr-CA"/>
              </w:rPr>
            </w:pPr>
            <w:r w:rsidRPr="00B0798A">
              <w:rPr>
                <w:rFonts w:asciiTheme="minorHAnsi" w:hAnsiTheme="minorHAnsi" w:cstheme="minorHAnsi"/>
                <w:sz w:val="22"/>
                <w:szCs w:val="24"/>
                <w:lang w:val="fr-CA"/>
              </w:rPr>
              <w:t>2018 à 2019</w:t>
            </w:r>
          </w:p>
        </w:tc>
        <w:tc>
          <w:tcPr>
            <w:tcW w:w="1131" w:type="pct"/>
          </w:tcPr>
          <w:p w14:paraId="67DE5E00" w14:textId="77777777" w:rsidR="00A7023F" w:rsidRPr="00B0798A" w:rsidRDefault="00A7023F" w:rsidP="00BF469C">
            <w:pPr>
              <w:autoSpaceDE w:val="0"/>
              <w:autoSpaceDN w:val="0"/>
              <w:adjustRightInd w:val="0"/>
              <w:jc w:val="center"/>
              <w:rPr>
                <w:rFonts w:asciiTheme="minorHAnsi" w:hAnsiTheme="minorHAnsi" w:cstheme="minorHAnsi"/>
                <w:sz w:val="22"/>
                <w:szCs w:val="24"/>
                <w:lang w:val="fr-CA"/>
              </w:rPr>
            </w:pPr>
            <w:r w:rsidRPr="00B0798A">
              <w:rPr>
                <w:rFonts w:asciiTheme="minorHAnsi" w:hAnsiTheme="minorHAnsi" w:cstheme="minorHAnsi"/>
                <w:sz w:val="22"/>
                <w:szCs w:val="24"/>
                <w:lang w:val="fr-CA"/>
              </w:rPr>
              <w:t>549</w:t>
            </w:r>
          </w:p>
        </w:tc>
        <w:tc>
          <w:tcPr>
            <w:tcW w:w="935" w:type="pct"/>
          </w:tcPr>
          <w:p w14:paraId="58C91245" w14:textId="77777777" w:rsidR="00A7023F" w:rsidRPr="00B0798A" w:rsidRDefault="00A7023F" w:rsidP="00BF469C">
            <w:pPr>
              <w:autoSpaceDE w:val="0"/>
              <w:autoSpaceDN w:val="0"/>
              <w:adjustRightInd w:val="0"/>
              <w:jc w:val="center"/>
              <w:rPr>
                <w:rFonts w:asciiTheme="minorHAnsi" w:hAnsiTheme="minorHAnsi" w:cstheme="minorHAnsi"/>
                <w:sz w:val="22"/>
                <w:szCs w:val="24"/>
                <w:lang w:val="fr-CA"/>
              </w:rPr>
            </w:pPr>
            <w:r w:rsidRPr="00B0798A">
              <w:rPr>
                <w:rFonts w:asciiTheme="minorHAnsi" w:hAnsiTheme="minorHAnsi" w:cstheme="minorHAnsi"/>
                <w:sz w:val="22"/>
                <w:szCs w:val="24"/>
                <w:lang w:val="fr-CA"/>
              </w:rPr>
              <w:t>94</w:t>
            </w:r>
          </w:p>
        </w:tc>
        <w:tc>
          <w:tcPr>
            <w:tcW w:w="836" w:type="pct"/>
          </w:tcPr>
          <w:p w14:paraId="34CECCF7" w14:textId="77777777" w:rsidR="00A7023F" w:rsidRPr="00B0798A" w:rsidRDefault="00A7023F" w:rsidP="00BF469C">
            <w:pPr>
              <w:autoSpaceDE w:val="0"/>
              <w:autoSpaceDN w:val="0"/>
              <w:adjustRightInd w:val="0"/>
              <w:jc w:val="center"/>
              <w:rPr>
                <w:rFonts w:asciiTheme="minorHAnsi" w:hAnsiTheme="minorHAnsi" w:cstheme="minorHAnsi"/>
                <w:sz w:val="22"/>
                <w:szCs w:val="24"/>
                <w:lang w:val="fr-CA"/>
              </w:rPr>
            </w:pPr>
            <w:r w:rsidRPr="00B0798A">
              <w:rPr>
                <w:rFonts w:asciiTheme="minorHAnsi" w:hAnsiTheme="minorHAnsi" w:cstheme="minorHAnsi"/>
                <w:sz w:val="22"/>
                <w:szCs w:val="24"/>
                <w:lang w:val="fr-CA"/>
              </w:rPr>
              <w:t>241</w:t>
            </w:r>
          </w:p>
        </w:tc>
        <w:tc>
          <w:tcPr>
            <w:tcW w:w="756" w:type="pct"/>
          </w:tcPr>
          <w:p w14:paraId="7C99E8C8" w14:textId="77777777" w:rsidR="00A7023F" w:rsidRPr="00B0798A" w:rsidRDefault="00A7023F" w:rsidP="00BF469C">
            <w:pPr>
              <w:autoSpaceDE w:val="0"/>
              <w:autoSpaceDN w:val="0"/>
              <w:adjustRightInd w:val="0"/>
              <w:jc w:val="center"/>
              <w:rPr>
                <w:rFonts w:asciiTheme="minorHAnsi" w:hAnsiTheme="minorHAnsi" w:cstheme="minorHAnsi"/>
                <w:sz w:val="22"/>
                <w:szCs w:val="24"/>
                <w:lang w:val="fr-CA"/>
              </w:rPr>
            </w:pPr>
            <w:r w:rsidRPr="00B0798A">
              <w:rPr>
                <w:rFonts w:asciiTheme="minorHAnsi" w:hAnsiTheme="minorHAnsi" w:cstheme="minorHAnsi"/>
                <w:sz w:val="22"/>
                <w:szCs w:val="24"/>
                <w:lang w:val="fr-CA"/>
              </w:rPr>
              <w:t>109</w:t>
            </w:r>
          </w:p>
        </w:tc>
        <w:tc>
          <w:tcPr>
            <w:tcW w:w="606" w:type="pct"/>
          </w:tcPr>
          <w:p w14:paraId="378444AE" w14:textId="77777777" w:rsidR="00A7023F" w:rsidRPr="00B0798A" w:rsidRDefault="00A7023F" w:rsidP="00BF469C">
            <w:pPr>
              <w:autoSpaceDE w:val="0"/>
              <w:autoSpaceDN w:val="0"/>
              <w:adjustRightInd w:val="0"/>
              <w:jc w:val="center"/>
              <w:rPr>
                <w:rFonts w:asciiTheme="minorHAnsi" w:hAnsiTheme="minorHAnsi" w:cstheme="minorHAnsi"/>
                <w:sz w:val="22"/>
                <w:szCs w:val="24"/>
                <w:lang w:val="fr-CA"/>
              </w:rPr>
            </w:pPr>
            <w:r w:rsidRPr="00B0798A">
              <w:rPr>
                <w:rFonts w:asciiTheme="minorHAnsi" w:hAnsiTheme="minorHAnsi" w:cstheme="minorHAnsi"/>
                <w:sz w:val="22"/>
                <w:szCs w:val="24"/>
                <w:lang w:val="fr-CA"/>
              </w:rPr>
              <w:t>993</w:t>
            </w:r>
          </w:p>
        </w:tc>
      </w:tr>
    </w:tbl>
    <w:p w14:paraId="38BEBDC6" w14:textId="74242E88" w:rsidR="00A7023F" w:rsidRPr="00B0798A" w:rsidRDefault="00A7023F" w:rsidP="00C163E0">
      <w:pPr>
        <w:rPr>
          <w:rStyle w:val="Strong"/>
          <w:rFonts w:asciiTheme="minorHAnsi" w:hAnsiTheme="minorHAnsi" w:cstheme="minorHAnsi"/>
          <w:sz w:val="22"/>
        </w:rPr>
      </w:pPr>
      <w:r w:rsidRPr="00B0798A">
        <w:rPr>
          <w:rStyle w:val="Strong"/>
          <w:rFonts w:asciiTheme="minorHAnsi" w:hAnsiTheme="minorHAnsi" w:cstheme="minorHAnsi"/>
          <w:sz w:val="22"/>
        </w:rPr>
        <w:t>Sondage sur la dotation et l’impartialité politique (2018) – Principales constatations</w:t>
      </w:r>
    </w:p>
    <w:p w14:paraId="08832E06" w14:textId="178064FF" w:rsidR="00A7023F" w:rsidRPr="00B0798A" w:rsidRDefault="00A7023F" w:rsidP="00B0798A">
      <w:pPr>
        <w:pStyle w:val="ListParagraph"/>
        <w:numPr>
          <w:ilvl w:val="0"/>
          <w:numId w:val="19"/>
        </w:numPr>
        <w:spacing w:after="0"/>
        <w:jc w:val="both"/>
        <w:rPr>
          <w:rFonts w:asciiTheme="minorHAnsi" w:hAnsiTheme="minorHAnsi" w:cstheme="minorHAnsi"/>
          <w:sz w:val="22"/>
          <w:lang w:val="fr-CA"/>
        </w:rPr>
      </w:pPr>
      <w:r w:rsidRPr="00B0798A">
        <w:rPr>
          <w:rFonts w:asciiTheme="minorHAnsi" w:hAnsiTheme="minorHAnsi" w:cstheme="minorHAnsi"/>
          <w:sz w:val="22"/>
          <w:lang w:val="fr-CA"/>
        </w:rPr>
        <w:t>56,2</w:t>
      </w:r>
      <w:r w:rsidR="00C24A0E">
        <w:rPr>
          <w:rFonts w:asciiTheme="minorHAnsi" w:hAnsiTheme="minorHAnsi" w:cstheme="minorHAnsi"/>
          <w:sz w:val="22"/>
          <w:lang w:val="fr-CA"/>
        </w:rPr>
        <w:t xml:space="preserve"> </w:t>
      </w:r>
      <w:r w:rsidRPr="00B0798A">
        <w:rPr>
          <w:rFonts w:asciiTheme="minorHAnsi" w:hAnsiTheme="minorHAnsi" w:cstheme="minorHAnsi"/>
          <w:sz w:val="22"/>
          <w:lang w:val="fr-CA"/>
        </w:rPr>
        <w:t xml:space="preserve">% des </w:t>
      </w:r>
      <w:r w:rsidRPr="00B0798A">
        <w:rPr>
          <w:rStyle w:val="Strong"/>
          <w:rFonts w:asciiTheme="minorHAnsi" w:hAnsiTheme="minorHAnsi" w:cstheme="minorHAnsi"/>
          <w:sz w:val="22"/>
        </w:rPr>
        <w:t>employés</w:t>
      </w:r>
      <w:r w:rsidRPr="00B0798A">
        <w:rPr>
          <w:rFonts w:asciiTheme="minorHAnsi" w:hAnsiTheme="minorHAnsi" w:cstheme="minorHAnsi"/>
          <w:sz w:val="22"/>
          <w:lang w:val="fr-CA"/>
        </w:rPr>
        <w:t xml:space="preserve"> estiment que les personnes embauchées peuvent effectuer le travail, comparativement à 67,6</w:t>
      </w:r>
      <w:r w:rsidR="00C24A0E">
        <w:rPr>
          <w:rFonts w:asciiTheme="minorHAnsi" w:hAnsiTheme="minorHAnsi" w:cstheme="minorHAnsi"/>
          <w:sz w:val="22"/>
          <w:lang w:val="fr-CA"/>
        </w:rPr>
        <w:t xml:space="preserve"> </w:t>
      </w:r>
      <w:r w:rsidRPr="00B0798A">
        <w:rPr>
          <w:rFonts w:asciiTheme="minorHAnsi" w:hAnsiTheme="minorHAnsi" w:cstheme="minorHAnsi"/>
          <w:sz w:val="22"/>
          <w:lang w:val="fr-CA"/>
        </w:rPr>
        <w:t>% dans les organisations de même taille et à 53,8</w:t>
      </w:r>
      <w:r w:rsidR="00C24A0E">
        <w:rPr>
          <w:rFonts w:asciiTheme="minorHAnsi" w:hAnsiTheme="minorHAnsi" w:cstheme="minorHAnsi"/>
          <w:sz w:val="22"/>
          <w:lang w:val="fr-CA"/>
        </w:rPr>
        <w:t xml:space="preserve"> </w:t>
      </w:r>
      <w:r w:rsidRPr="00B0798A">
        <w:rPr>
          <w:rFonts w:asciiTheme="minorHAnsi" w:hAnsiTheme="minorHAnsi" w:cstheme="minorHAnsi"/>
          <w:sz w:val="22"/>
          <w:lang w:val="fr-CA"/>
        </w:rPr>
        <w:t>% dans la fonction publique fédérale.</w:t>
      </w:r>
    </w:p>
    <w:p w14:paraId="2B894E88" w14:textId="30775FA1" w:rsidR="00A7023F" w:rsidRPr="00B0798A" w:rsidRDefault="00A7023F" w:rsidP="00A7023F">
      <w:pPr>
        <w:pStyle w:val="ListParagraph"/>
        <w:numPr>
          <w:ilvl w:val="0"/>
          <w:numId w:val="19"/>
        </w:numPr>
        <w:spacing w:before="100" w:beforeAutospacing="1" w:after="100" w:afterAutospacing="1"/>
        <w:jc w:val="both"/>
        <w:rPr>
          <w:rFonts w:asciiTheme="minorHAnsi" w:hAnsiTheme="minorHAnsi" w:cstheme="minorHAnsi"/>
          <w:sz w:val="22"/>
          <w:lang w:val="fr-CA"/>
        </w:rPr>
      </w:pPr>
      <w:r w:rsidRPr="00B0798A">
        <w:rPr>
          <w:rFonts w:asciiTheme="minorHAnsi" w:hAnsiTheme="minorHAnsi" w:cstheme="minorHAnsi"/>
          <w:sz w:val="22"/>
          <w:lang w:val="fr-CA"/>
        </w:rPr>
        <w:lastRenderedPageBreak/>
        <w:t>63,4</w:t>
      </w:r>
      <w:r w:rsidR="00C24A0E">
        <w:rPr>
          <w:rFonts w:asciiTheme="minorHAnsi" w:hAnsiTheme="minorHAnsi" w:cstheme="minorHAnsi"/>
          <w:sz w:val="22"/>
          <w:lang w:val="fr-CA"/>
        </w:rPr>
        <w:t xml:space="preserve"> </w:t>
      </w:r>
      <w:r w:rsidRPr="00B0798A">
        <w:rPr>
          <w:rFonts w:asciiTheme="minorHAnsi" w:hAnsiTheme="minorHAnsi" w:cstheme="minorHAnsi"/>
          <w:sz w:val="22"/>
          <w:lang w:val="fr-CA"/>
        </w:rPr>
        <w:t xml:space="preserve">% des </w:t>
      </w:r>
      <w:r w:rsidRPr="00B0798A">
        <w:rPr>
          <w:rStyle w:val="Strong"/>
          <w:rFonts w:asciiTheme="minorHAnsi" w:hAnsiTheme="minorHAnsi" w:cstheme="minorHAnsi"/>
          <w:sz w:val="22"/>
        </w:rPr>
        <w:t>gestionnaires</w:t>
      </w:r>
      <w:r w:rsidRPr="00B0798A">
        <w:rPr>
          <w:rFonts w:asciiTheme="minorHAnsi" w:hAnsiTheme="minorHAnsi" w:cstheme="minorHAnsi"/>
          <w:sz w:val="22"/>
          <w:lang w:val="fr-CA"/>
        </w:rPr>
        <w:t xml:space="preserve"> estiment que la Nouvelle orientation en dotation a amélioré la façon d'embaucher et de nommer les candidats au sein de leur organisation, comparativement à 69,4</w:t>
      </w:r>
      <w:r w:rsidR="00C24A0E">
        <w:rPr>
          <w:rFonts w:asciiTheme="minorHAnsi" w:hAnsiTheme="minorHAnsi" w:cstheme="minorHAnsi"/>
          <w:sz w:val="22"/>
          <w:lang w:val="fr-CA"/>
        </w:rPr>
        <w:t xml:space="preserve"> </w:t>
      </w:r>
      <w:r w:rsidRPr="00B0798A">
        <w:rPr>
          <w:rFonts w:asciiTheme="minorHAnsi" w:hAnsiTheme="minorHAnsi" w:cstheme="minorHAnsi"/>
          <w:sz w:val="22"/>
          <w:lang w:val="fr-CA"/>
        </w:rPr>
        <w:t>% dans les organisations de même taille et à 56,1</w:t>
      </w:r>
      <w:r w:rsidR="00C24A0E">
        <w:rPr>
          <w:rFonts w:asciiTheme="minorHAnsi" w:hAnsiTheme="minorHAnsi" w:cstheme="minorHAnsi"/>
          <w:sz w:val="22"/>
          <w:lang w:val="fr-CA"/>
        </w:rPr>
        <w:t xml:space="preserve"> </w:t>
      </w:r>
      <w:r w:rsidRPr="00B0798A">
        <w:rPr>
          <w:rFonts w:asciiTheme="minorHAnsi" w:hAnsiTheme="minorHAnsi" w:cstheme="minorHAnsi"/>
          <w:sz w:val="22"/>
          <w:lang w:val="fr-CA"/>
        </w:rPr>
        <w:t>% dans la fonction publique fédérale.</w:t>
      </w:r>
    </w:p>
    <w:p w14:paraId="4D9693A4" w14:textId="1A403006" w:rsidR="00A7023F" w:rsidRPr="00B0798A" w:rsidRDefault="00A7023F" w:rsidP="00E76E17">
      <w:pPr>
        <w:pStyle w:val="ListParagraph"/>
        <w:numPr>
          <w:ilvl w:val="0"/>
          <w:numId w:val="19"/>
        </w:numPr>
        <w:spacing w:before="100" w:beforeAutospacing="1" w:after="100" w:afterAutospacing="1"/>
        <w:jc w:val="both"/>
        <w:rPr>
          <w:lang w:val="fr-CA"/>
        </w:rPr>
      </w:pPr>
      <w:r w:rsidRPr="00B0798A">
        <w:rPr>
          <w:rFonts w:asciiTheme="minorHAnsi" w:hAnsiTheme="minorHAnsi" w:cstheme="minorHAnsi"/>
          <w:sz w:val="22"/>
          <w:lang w:val="fr-CA"/>
        </w:rPr>
        <w:t>91,7</w:t>
      </w:r>
      <w:r w:rsidR="00C24A0E">
        <w:rPr>
          <w:rFonts w:asciiTheme="minorHAnsi" w:hAnsiTheme="minorHAnsi" w:cstheme="minorHAnsi"/>
          <w:sz w:val="22"/>
          <w:lang w:val="fr-CA"/>
        </w:rPr>
        <w:t xml:space="preserve"> </w:t>
      </w:r>
      <w:r w:rsidRPr="00B0798A">
        <w:rPr>
          <w:rFonts w:asciiTheme="minorHAnsi" w:hAnsiTheme="minorHAnsi" w:cstheme="minorHAnsi"/>
          <w:sz w:val="22"/>
          <w:lang w:val="fr-CA"/>
        </w:rPr>
        <w:t xml:space="preserve">% des </w:t>
      </w:r>
      <w:r w:rsidRPr="00B0798A">
        <w:rPr>
          <w:rStyle w:val="Strong"/>
          <w:rFonts w:asciiTheme="minorHAnsi" w:hAnsiTheme="minorHAnsi" w:cstheme="minorHAnsi"/>
          <w:sz w:val="22"/>
          <w:lang w:val="fr-CA"/>
        </w:rPr>
        <w:t>gestionnaires</w:t>
      </w:r>
      <w:r w:rsidRPr="00B0798A">
        <w:rPr>
          <w:rFonts w:asciiTheme="minorHAnsi" w:hAnsiTheme="minorHAnsi" w:cstheme="minorHAnsi"/>
          <w:sz w:val="22"/>
          <w:lang w:val="fr-CA"/>
        </w:rPr>
        <w:t xml:space="preserve"> estiment qu'au sein de leur organisation, le processus administratif visant à pourvoir un poste est </w:t>
      </w:r>
      <w:r w:rsidRPr="00B0798A">
        <w:rPr>
          <w:rStyle w:val="Strong"/>
          <w:rFonts w:asciiTheme="minorHAnsi" w:hAnsiTheme="minorHAnsi" w:cstheme="minorHAnsi"/>
          <w:sz w:val="22"/>
          <w:lang w:val="fr-CA"/>
        </w:rPr>
        <w:t>lourd,</w:t>
      </w:r>
      <w:r w:rsidRPr="00B0798A">
        <w:rPr>
          <w:rFonts w:asciiTheme="minorHAnsi" w:hAnsiTheme="minorHAnsi" w:cstheme="minorHAnsi"/>
          <w:sz w:val="22"/>
          <w:lang w:val="fr-CA"/>
        </w:rPr>
        <w:t xml:space="preserve"> comparativement à 84,0</w:t>
      </w:r>
      <w:r w:rsidR="00C24A0E">
        <w:rPr>
          <w:rFonts w:asciiTheme="minorHAnsi" w:hAnsiTheme="minorHAnsi" w:cstheme="minorHAnsi"/>
          <w:sz w:val="22"/>
          <w:lang w:val="fr-CA"/>
        </w:rPr>
        <w:t xml:space="preserve"> </w:t>
      </w:r>
      <w:r w:rsidRPr="00B0798A">
        <w:rPr>
          <w:rFonts w:asciiTheme="minorHAnsi" w:hAnsiTheme="minorHAnsi" w:cstheme="minorHAnsi"/>
          <w:sz w:val="22"/>
          <w:lang w:val="fr-CA"/>
        </w:rPr>
        <w:t>% dans les organisations de même taille et à 87,9</w:t>
      </w:r>
      <w:r w:rsidR="00C24A0E">
        <w:rPr>
          <w:rFonts w:asciiTheme="minorHAnsi" w:hAnsiTheme="minorHAnsi" w:cstheme="minorHAnsi"/>
          <w:sz w:val="22"/>
          <w:lang w:val="fr-CA"/>
        </w:rPr>
        <w:t xml:space="preserve"> </w:t>
      </w:r>
      <w:r w:rsidRPr="00B0798A">
        <w:rPr>
          <w:rFonts w:asciiTheme="minorHAnsi" w:hAnsiTheme="minorHAnsi" w:cstheme="minorHAnsi"/>
          <w:sz w:val="22"/>
          <w:lang w:val="fr-CA"/>
        </w:rPr>
        <w:t>% dans la fonction publique fédérale.</w:t>
      </w:r>
    </w:p>
    <w:p w14:paraId="24AAEB6C" w14:textId="77777777" w:rsidR="00A7023F" w:rsidRDefault="00A7023F" w:rsidP="00591DC8">
      <w:pPr>
        <w:rPr>
          <w:lang w:val="fr-CA"/>
        </w:rPr>
        <w:sectPr w:rsidR="00A7023F" w:rsidSect="00C67F41">
          <w:footnotePr>
            <w:numFmt w:val="lowerLetter"/>
          </w:footnotePr>
          <w:endnotePr>
            <w:numFmt w:val="lowerLetter"/>
          </w:endnotePr>
          <w:pgSz w:w="15840" w:h="12240" w:orient="landscape" w:code="1"/>
          <w:pgMar w:top="567" w:right="709" w:bottom="1304" w:left="709" w:header="284" w:footer="284" w:gutter="0"/>
          <w:cols w:space="720"/>
          <w:docGrid w:linePitch="326"/>
        </w:sectPr>
      </w:pPr>
    </w:p>
    <w:p w14:paraId="4C1656D7" w14:textId="77777777" w:rsidR="00B0798A" w:rsidRPr="00B0798A" w:rsidRDefault="00B0798A" w:rsidP="00B0798A">
      <w:pPr>
        <w:pStyle w:val="Heading1"/>
        <w:spacing w:before="120" w:after="120"/>
        <w:rPr>
          <w:sz w:val="40"/>
          <w:lang w:val="fr-CA"/>
        </w:rPr>
      </w:pPr>
      <w:r w:rsidRPr="00B0798A">
        <w:rPr>
          <w:rFonts w:eastAsia="Times New Roman"/>
          <w:sz w:val="40"/>
        </w:rPr>
        <w:lastRenderedPageBreak/>
        <w:t>Embauches dans le cadre de programmes pour étudiants</w:t>
      </w:r>
    </w:p>
    <w:p w14:paraId="100E5053" w14:textId="77777777" w:rsidR="00B0798A" w:rsidRDefault="00591DC8" w:rsidP="00B0798A">
      <w:pPr>
        <w:keepNext/>
        <w:jc w:val="center"/>
      </w:pPr>
      <w:r w:rsidRPr="008F610A">
        <w:rPr>
          <w:noProof/>
          <w:lang w:val="en-CA" w:eastAsia="en-CA"/>
        </w:rPr>
        <w:drawing>
          <wp:inline distT="0" distB="0" distL="0" distR="0" wp14:anchorId="5CBB9C3C" wp14:editId="246582F7">
            <wp:extent cx="5648400" cy="3049200"/>
            <wp:effectExtent l="0" t="0" r="9525" b="18415"/>
            <wp:docPr id="17" name="Chart 17" descr="Embauches dans le cadre de programmes pour étudiants&#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02C27F1" w14:textId="77777777" w:rsidR="00591DC8" w:rsidRPr="00B0798A" w:rsidRDefault="00B0798A" w:rsidP="00B0798A">
      <w:pPr>
        <w:pStyle w:val="Caption"/>
        <w:spacing w:after="0"/>
        <w:jc w:val="center"/>
        <w:rPr>
          <w:rFonts w:asciiTheme="minorHAnsi" w:hAnsiTheme="minorHAnsi" w:cstheme="minorHAnsi"/>
          <w:i w:val="0"/>
          <w:color w:val="auto"/>
          <w:lang w:val="fr-CA"/>
        </w:rPr>
      </w:pPr>
      <w:r w:rsidRPr="00B0798A">
        <w:rPr>
          <w:rFonts w:asciiTheme="minorHAnsi" w:hAnsiTheme="minorHAnsi" w:cstheme="minorHAnsi"/>
          <w:i w:val="0"/>
          <w:color w:val="auto"/>
        </w:rPr>
        <w:t xml:space="preserve">Figure </w:t>
      </w:r>
      <w:r w:rsidRPr="00B0798A">
        <w:rPr>
          <w:rFonts w:asciiTheme="minorHAnsi" w:hAnsiTheme="minorHAnsi" w:cstheme="minorHAnsi"/>
          <w:i w:val="0"/>
          <w:color w:val="auto"/>
        </w:rPr>
        <w:fldChar w:fldCharType="begin"/>
      </w:r>
      <w:r w:rsidRPr="00B0798A">
        <w:rPr>
          <w:rFonts w:asciiTheme="minorHAnsi" w:hAnsiTheme="minorHAnsi" w:cstheme="minorHAnsi"/>
          <w:i w:val="0"/>
          <w:color w:val="auto"/>
        </w:rPr>
        <w:instrText xml:space="preserve"> SEQ Figure \* ARABIC </w:instrText>
      </w:r>
      <w:r w:rsidRPr="00B0798A">
        <w:rPr>
          <w:rFonts w:asciiTheme="minorHAnsi" w:hAnsiTheme="minorHAnsi" w:cstheme="minorHAnsi"/>
          <w:i w:val="0"/>
          <w:color w:val="auto"/>
        </w:rPr>
        <w:fldChar w:fldCharType="separate"/>
      </w:r>
      <w:r w:rsidR="00353602">
        <w:rPr>
          <w:rFonts w:asciiTheme="minorHAnsi" w:hAnsiTheme="minorHAnsi" w:cstheme="minorHAnsi"/>
          <w:i w:val="0"/>
          <w:noProof/>
          <w:color w:val="auto"/>
        </w:rPr>
        <w:t>10</w:t>
      </w:r>
      <w:r w:rsidRPr="00B0798A">
        <w:rPr>
          <w:rFonts w:asciiTheme="minorHAnsi" w:hAnsiTheme="minorHAnsi" w:cstheme="minorHAnsi"/>
          <w:i w:val="0"/>
          <w:color w:val="auto"/>
        </w:rPr>
        <w:fldChar w:fldCharType="end"/>
      </w:r>
      <w:r w:rsidRPr="00B0798A">
        <w:rPr>
          <w:rFonts w:asciiTheme="minorHAnsi" w:hAnsiTheme="minorHAnsi" w:cstheme="minorHAnsi"/>
          <w:i w:val="0"/>
          <w:color w:val="auto"/>
        </w:rPr>
        <w:t xml:space="preserve"> - Embauches dans le cadre de programmes pour étudiants</w:t>
      </w:r>
    </w:p>
    <w:p w14:paraId="09050D57" w14:textId="3480DE89" w:rsidR="00B0798A" w:rsidRPr="00B0798A" w:rsidRDefault="00C24A0E" w:rsidP="00B0798A">
      <w:pPr>
        <w:pStyle w:val="Caption"/>
        <w:keepNext/>
        <w:spacing w:before="240" w:after="0"/>
        <w:jc w:val="center"/>
        <w:rPr>
          <w:rFonts w:asciiTheme="minorHAnsi" w:hAnsiTheme="minorHAnsi" w:cstheme="minorHAnsi"/>
          <w:i w:val="0"/>
          <w:color w:val="auto"/>
        </w:rPr>
      </w:pPr>
      <w:r>
        <w:rPr>
          <w:rFonts w:asciiTheme="minorHAnsi" w:hAnsiTheme="minorHAnsi" w:cstheme="minorHAnsi"/>
          <w:i w:val="0"/>
          <w:color w:val="auto"/>
        </w:rPr>
        <w:t xml:space="preserve">Table </w:t>
      </w:r>
      <w:r w:rsidR="00B0798A" w:rsidRPr="00B0798A">
        <w:rPr>
          <w:rFonts w:asciiTheme="minorHAnsi" w:hAnsiTheme="minorHAnsi" w:cstheme="minorHAnsi"/>
          <w:i w:val="0"/>
          <w:color w:val="auto"/>
        </w:rPr>
        <w:fldChar w:fldCharType="begin"/>
      </w:r>
      <w:r w:rsidR="00B0798A" w:rsidRPr="00B0798A">
        <w:rPr>
          <w:rFonts w:asciiTheme="minorHAnsi" w:hAnsiTheme="minorHAnsi" w:cstheme="minorHAnsi"/>
          <w:i w:val="0"/>
          <w:color w:val="auto"/>
        </w:rPr>
        <w:instrText xml:space="preserve"> SEQ Table \* ARABIC </w:instrText>
      </w:r>
      <w:r w:rsidR="00B0798A" w:rsidRPr="00B0798A">
        <w:rPr>
          <w:rFonts w:asciiTheme="minorHAnsi" w:hAnsiTheme="minorHAnsi" w:cstheme="minorHAnsi"/>
          <w:i w:val="0"/>
          <w:color w:val="auto"/>
        </w:rPr>
        <w:fldChar w:fldCharType="separate"/>
      </w:r>
      <w:r w:rsidR="00766F9D">
        <w:rPr>
          <w:rFonts w:asciiTheme="minorHAnsi" w:hAnsiTheme="minorHAnsi" w:cstheme="minorHAnsi"/>
          <w:i w:val="0"/>
          <w:noProof/>
          <w:color w:val="auto"/>
        </w:rPr>
        <w:t>13</w:t>
      </w:r>
      <w:r w:rsidR="00B0798A" w:rsidRPr="00B0798A">
        <w:rPr>
          <w:rFonts w:asciiTheme="minorHAnsi" w:hAnsiTheme="minorHAnsi" w:cstheme="minorHAnsi"/>
          <w:i w:val="0"/>
          <w:color w:val="auto"/>
        </w:rPr>
        <w:fldChar w:fldCharType="end"/>
      </w:r>
      <w:r w:rsidR="00B0798A" w:rsidRPr="00B0798A">
        <w:rPr>
          <w:rFonts w:asciiTheme="minorHAnsi" w:hAnsiTheme="minorHAnsi" w:cstheme="minorHAnsi"/>
          <w:i w:val="0"/>
          <w:color w:val="auto"/>
        </w:rPr>
        <w:t xml:space="preserve"> - Activités d’embauche d’étudiants selon le programme de recrutement et l’exercice financier</w:t>
      </w:r>
    </w:p>
    <w:tbl>
      <w:tblPr>
        <w:tblStyle w:val="TableGrid"/>
        <w:tblW w:w="5000" w:type="pct"/>
        <w:jc w:val="center"/>
        <w:tblLook w:val="0020" w:firstRow="1" w:lastRow="0" w:firstColumn="0" w:lastColumn="0" w:noHBand="0" w:noVBand="0"/>
        <w:tblDescription w:val="Embauches dans le cadre de programmes d’étudiants de 2014 à 2019"/>
      </w:tblPr>
      <w:tblGrid>
        <w:gridCol w:w="1840"/>
        <w:gridCol w:w="3542"/>
        <w:gridCol w:w="4110"/>
        <w:gridCol w:w="3260"/>
        <w:gridCol w:w="1660"/>
      </w:tblGrid>
      <w:tr w:rsidR="00B0798A" w:rsidRPr="00B0798A" w14:paraId="2D77785A" w14:textId="77777777" w:rsidTr="006C2E0A">
        <w:trPr>
          <w:cantSplit/>
          <w:tblHeader/>
          <w:jc w:val="center"/>
        </w:trPr>
        <w:tc>
          <w:tcPr>
            <w:tcW w:w="638" w:type="pct"/>
          </w:tcPr>
          <w:p w14:paraId="21DD6C58" w14:textId="77777777" w:rsidR="00A7023F" w:rsidRPr="00B0798A" w:rsidRDefault="00A7023F" w:rsidP="00B0798A">
            <w:pPr>
              <w:pStyle w:val="TableTitle"/>
              <w:rPr>
                <w:color w:val="auto"/>
                <w:sz w:val="22"/>
                <w:lang w:val="fr-CA"/>
              </w:rPr>
            </w:pPr>
            <w:r w:rsidRPr="00B0798A">
              <w:rPr>
                <w:color w:val="auto"/>
                <w:sz w:val="22"/>
                <w:lang w:val="fr-CA"/>
              </w:rPr>
              <w:t>Exercice financier</w:t>
            </w:r>
          </w:p>
        </w:tc>
        <w:tc>
          <w:tcPr>
            <w:tcW w:w="1229" w:type="pct"/>
          </w:tcPr>
          <w:p w14:paraId="4692261D" w14:textId="77777777" w:rsidR="00A7023F" w:rsidRPr="00B0798A" w:rsidRDefault="00A7023F" w:rsidP="00B0798A">
            <w:pPr>
              <w:pStyle w:val="TableTitle"/>
              <w:rPr>
                <w:color w:val="auto"/>
                <w:sz w:val="22"/>
                <w:lang w:val="fr-CA"/>
              </w:rPr>
            </w:pPr>
            <w:r w:rsidRPr="00B0798A">
              <w:rPr>
                <w:color w:val="auto"/>
                <w:sz w:val="22"/>
                <w:lang w:val="fr-CA"/>
              </w:rPr>
              <w:t xml:space="preserve">Programme fédéral d’expérience de travail étudiant </w:t>
            </w:r>
          </w:p>
        </w:tc>
        <w:tc>
          <w:tcPr>
            <w:tcW w:w="1426" w:type="pct"/>
          </w:tcPr>
          <w:p w14:paraId="6FCCFE93" w14:textId="77777777" w:rsidR="00A7023F" w:rsidRPr="00B0798A" w:rsidRDefault="00A7023F" w:rsidP="00B0798A">
            <w:pPr>
              <w:pStyle w:val="TableTitle"/>
              <w:rPr>
                <w:color w:val="auto"/>
                <w:sz w:val="22"/>
                <w:lang w:val="fr-CA"/>
              </w:rPr>
            </w:pPr>
            <w:r w:rsidRPr="00B0798A">
              <w:rPr>
                <w:color w:val="auto"/>
                <w:sz w:val="22"/>
                <w:lang w:val="fr-CA"/>
              </w:rPr>
              <w:t xml:space="preserve">Programme postsecondaire d'enseignement coopératif/de stages </w:t>
            </w:r>
          </w:p>
        </w:tc>
        <w:tc>
          <w:tcPr>
            <w:tcW w:w="1131" w:type="pct"/>
          </w:tcPr>
          <w:p w14:paraId="264F37A7" w14:textId="77777777" w:rsidR="00A7023F" w:rsidRPr="00B0798A" w:rsidRDefault="00A7023F" w:rsidP="00B0798A">
            <w:pPr>
              <w:pStyle w:val="TableTitle"/>
              <w:rPr>
                <w:color w:val="auto"/>
                <w:sz w:val="22"/>
                <w:lang w:val="fr-CA"/>
              </w:rPr>
            </w:pPr>
            <w:r w:rsidRPr="00B0798A">
              <w:rPr>
                <w:color w:val="auto"/>
                <w:sz w:val="22"/>
                <w:lang w:val="fr-CA"/>
              </w:rPr>
              <w:t>Programme des adjoints de recherche</w:t>
            </w:r>
          </w:p>
        </w:tc>
        <w:tc>
          <w:tcPr>
            <w:tcW w:w="576" w:type="pct"/>
          </w:tcPr>
          <w:p w14:paraId="4816CB06" w14:textId="77777777" w:rsidR="00A7023F" w:rsidRPr="00B0798A" w:rsidRDefault="00A7023F" w:rsidP="00B0798A">
            <w:pPr>
              <w:pStyle w:val="TableTitle"/>
              <w:rPr>
                <w:color w:val="auto"/>
                <w:sz w:val="22"/>
                <w:lang w:val="fr-CA"/>
              </w:rPr>
            </w:pPr>
            <w:r w:rsidRPr="00B0798A">
              <w:rPr>
                <w:color w:val="auto"/>
                <w:sz w:val="22"/>
                <w:lang w:val="fr-CA"/>
              </w:rPr>
              <w:t>Total</w:t>
            </w:r>
          </w:p>
        </w:tc>
      </w:tr>
      <w:tr w:rsidR="00A7023F" w:rsidRPr="00B0798A" w14:paraId="6314B1FC" w14:textId="77777777" w:rsidTr="006C2E0A">
        <w:trPr>
          <w:cantSplit/>
          <w:tblHeader/>
          <w:jc w:val="center"/>
        </w:trPr>
        <w:tc>
          <w:tcPr>
            <w:tcW w:w="638" w:type="pct"/>
          </w:tcPr>
          <w:p w14:paraId="5B50DFFF" w14:textId="77777777" w:rsidR="00A7023F" w:rsidRPr="00B0798A" w:rsidRDefault="00A7023F" w:rsidP="00BF469C">
            <w:pPr>
              <w:autoSpaceDE w:val="0"/>
              <w:autoSpaceDN w:val="0"/>
              <w:adjustRightInd w:val="0"/>
              <w:rPr>
                <w:rFonts w:asciiTheme="minorHAnsi" w:hAnsiTheme="minorHAnsi" w:cstheme="minorHAnsi"/>
                <w:color w:val="000000"/>
                <w:sz w:val="22"/>
                <w:szCs w:val="24"/>
                <w:lang w:val="fr-CA"/>
              </w:rPr>
            </w:pPr>
            <w:r w:rsidRPr="00B0798A">
              <w:rPr>
                <w:rFonts w:asciiTheme="minorHAnsi" w:hAnsiTheme="minorHAnsi" w:cstheme="minorHAnsi"/>
                <w:color w:val="000000"/>
                <w:sz w:val="22"/>
                <w:szCs w:val="24"/>
                <w:lang w:val="fr-CA"/>
              </w:rPr>
              <w:t>2014 à 2015</w:t>
            </w:r>
          </w:p>
        </w:tc>
        <w:tc>
          <w:tcPr>
            <w:tcW w:w="1229" w:type="pct"/>
          </w:tcPr>
          <w:p w14:paraId="48AE2888" w14:textId="77777777" w:rsidR="00A7023F" w:rsidRPr="00B0798A" w:rsidRDefault="00A7023F" w:rsidP="00BF469C">
            <w:pPr>
              <w:autoSpaceDE w:val="0"/>
              <w:autoSpaceDN w:val="0"/>
              <w:adjustRightInd w:val="0"/>
              <w:jc w:val="center"/>
              <w:rPr>
                <w:rFonts w:asciiTheme="minorHAnsi" w:hAnsiTheme="minorHAnsi" w:cstheme="minorHAnsi"/>
                <w:color w:val="000000"/>
                <w:sz w:val="22"/>
                <w:szCs w:val="24"/>
                <w:lang w:val="fr-CA"/>
              </w:rPr>
            </w:pPr>
            <w:r w:rsidRPr="00B0798A">
              <w:rPr>
                <w:rFonts w:asciiTheme="minorHAnsi" w:hAnsiTheme="minorHAnsi" w:cstheme="minorHAnsi"/>
                <w:color w:val="000000"/>
                <w:sz w:val="22"/>
                <w:szCs w:val="24"/>
                <w:lang w:val="fr-CA"/>
              </w:rPr>
              <w:t>47</w:t>
            </w:r>
          </w:p>
        </w:tc>
        <w:tc>
          <w:tcPr>
            <w:tcW w:w="1426" w:type="pct"/>
          </w:tcPr>
          <w:p w14:paraId="5C55BCA6" w14:textId="77777777" w:rsidR="00A7023F" w:rsidRPr="00B0798A" w:rsidRDefault="00A7023F" w:rsidP="00BF469C">
            <w:pPr>
              <w:autoSpaceDE w:val="0"/>
              <w:autoSpaceDN w:val="0"/>
              <w:adjustRightInd w:val="0"/>
              <w:jc w:val="center"/>
              <w:rPr>
                <w:rFonts w:asciiTheme="minorHAnsi" w:hAnsiTheme="minorHAnsi" w:cstheme="minorHAnsi"/>
                <w:color w:val="000000"/>
                <w:sz w:val="22"/>
                <w:szCs w:val="24"/>
                <w:lang w:val="fr-CA"/>
              </w:rPr>
            </w:pPr>
            <w:r w:rsidRPr="00B0798A">
              <w:rPr>
                <w:rFonts w:asciiTheme="minorHAnsi" w:hAnsiTheme="minorHAnsi" w:cstheme="minorHAnsi"/>
                <w:color w:val="000000"/>
                <w:sz w:val="22"/>
                <w:szCs w:val="24"/>
                <w:lang w:val="fr-CA"/>
              </w:rPr>
              <w:t>32</w:t>
            </w:r>
          </w:p>
        </w:tc>
        <w:tc>
          <w:tcPr>
            <w:tcW w:w="1131" w:type="pct"/>
          </w:tcPr>
          <w:p w14:paraId="603324F0" w14:textId="77777777" w:rsidR="00A7023F" w:rsidRPr="00B0798A" w:rsidRDefault="00A7023F" w:rsidP="00BF469C">
            <w:pPr>
              <w:autoSpaceDE w:val="0"/>
              <w:autoSpaceDN w:val="0"/>
              <w:adjustRightInd w:val="0"/>
              <w:jc w:val="center"/>
              <w:rPr>
                <w:rFonts w:asciiTheme="minorHAnsi" w:hAnsiTheme="minorHAnsi" w:cstheme="minorHAnsi"/>
                <w:color w:val="000000"/>
                <w:sz w:val="22"/>
                <w:szCs w:val="24"/>
                <w:lang w:val="fr-CA"/>
              </w:rPr>
            </w:pPr>
            <w:r w:rsidRPr="00B0798A">
              <w:rPr>
                <w:rFonts w:asciiTheme="minorHAnsi" w:hAnsiTheme="minorHAnsi" w:cstheme="minorHAnsi"/>
                <w:color w:val="000000"/>
                <w:sz w:val="22"/>
                <w:szCs w:val="24"/>
                <w:lang w:val="fr-CA"/>
              </w:rPr>
              <w:t>3</w:t>
            </w:r>
          </w:p>
        </w:tc>
        <w:tc>
          <w:tcPr>
            <w:tcW w:w="576" w:type="pct"/>
          </w:tcPr>
          <w:p w14:paraId="251CF5F6" w14:textId="77777777" w:rsidR="00A7023F" w:rsidRPr="00B0798A" w:rsidRDefault="00A7023F" w:rsidP="00BF469C">
            <w:pPr>
              <w:autoSpaceDE w:val="0"/>
              <w:autoSpaceDN w:val="0"/>
              <w:adjustRightInd w:val="0"/>
              <w:jc w:val="center"/>
              <w:rPr>
                <w:rFonts w:asciiTheme="minorHAnsi" w:hAnsiTheme="minorHAnsi" w:cstheme="minorHAnsi"/>
                <w:color w:val="000000"/>
                <w:sz w:val="22"/>
                <w:szCs w:val="24"/>
                <w:lang w:val="fr-CA"/>
              </w:rPr>
            </w:pPr>
            <w:r w:rsidRPr="00B0798A">
              <w:rPr>
                <w:rFonts w:asciiTheme="minorHAnsi" w:hAnsiTheme="minorHAnsi" w:cstheme="minorHAnsi"/>
                <w:color w:val="000000"/>
                <w:sz w:val="22"/>
                <w:szCs w:val="24"/>
                <w:lang w:val="fr-CA"/>
              </w:rPr>
              <w:t>82</w:t>
            </w:r>
          </w:p>
        </w:tc>
      </w:tr>
      <w:tr w:rsidR="00A7023F" w:rsidRPr="00B0798A" w14:paraId="3652C89A" w14:textId="77777777" w:rsidTr="006C2E0A">
        <w:trPr>
          <w:cantSplit/>
          <w:tblHeader/>
          <w:jc w:val="center"/>
        </w:trPr>
        <w:tc>
          <w:tcPr>
            <w:tcW w:w="638" w:type="pct"/>
          </w:tcPr>
          <w:p w14:paraId="2BFD05A9" w14:textId="77777777" w:rsidR="00A7023F" w:rsidRPr="00B0798A" w:rsidRDefault="00A7023F" w:rsidP="00BF469C">
            <w:pPr>
              <w:autoSpaceDE w:val="0"/>
              <w:autoSpaceDN w:val="0"/>
              <w:adjustRightInd w:val="0"/>
              <w:rPr>
                <w:rFonts w:asciiTheme="minorHAnsi" w:hAnsiTheme="minorHAnsi" w:cstheme="minorHAnsi"/>
                <w:color w:val="000000"/>
                <w:sz w:val="22"/>
                <w:szCs w:val="24"/>
                <w:lang w:val="fr-CA"/>
              </w:rPr>
            </w:pPr>
            <w:r w:rsidRPr="00B0798A">
              <w:rPr>
                <w:rFonts w:asciiTheme="minorHAnsi" w:hAnsiTheme="minorHAnsi" w:cstheme="minorHAnsi"/>
                <w:color w:val="000000"/>
                <w:sz w:val="22"/>
                <w:szCs w:val="24"/>
                <w:lang w:val="fr-CA"/>
              </w:rPr>
              <w:t>2015 à 2016</w:t>
            </w:r>
          </w:p>
        </w:tc>
        <w:tc>
          <w:tcPr>
            <w:tcW w:w="1229" w:type="pct"/>
          </w:tcPr>
          <w:p w14:paraId="24CEFA90" w14:textId="77777777" w:rsidR="00A7023F" w:rsidRPr="00B0798A" w:rsidRDefault="00A7023F" w:rsidP="00BF469C">
            <w:pPr>
              <w:autoSpaceDE w:val="0"/>
              <w:autoSpaceDN w:val="0"/>
              <w:adjustRightInd w:val="0"/>
              <w:jc w:val="center"/>
              <w:rPr>
                <w:rFonts w:asciiTheme="minorHAnsi" w:hAnsiTheme="minorHAnsi" w:cstheme="minorHAnsi"/>
                <w:color w:val="000000"/>
                <w:sz w:val="22"/>
                <w:szCs w:val="24"/>
                <w:lang w:val="fr-CA"/>
              </w:rPr>
            </w:pPr>
            <w:r w:rsidRPr="00B0798A">
              <w:rPr>
                <w:rFonts w:asciiTheme="minorHAnsi" w:hAnsiTheme="minorHAnsi" w:cstheme="minorHAnsi"/>
                <w:color w:val="000000"/>
                <w:sz w:val="22"/>
                <w:szCs w:val="24"/>
                <w:lang w:val="fr-CA"/>
              </w:rPr>
              <w:t>106</w:t>
            </w:r>
          </w:p>
        </w:tc>
        <w:tc>
          <w:tcPr>
            <w:tcW w:w="1426" w:type="pct"/>
          </w:tcPr>
          <w:p w14:paraId="336F3BCF" w14:textId="77777777" w:rsidR="00A7023F" w:rsidRPr="00B0798A" w:rsidRDefault="00A7023F" w:rsidP="00BF469C">
            <w:pPr>
              <w:autoSpaceDE w:val="0"/>
              <w:autoSpaceDN w:val="0"/>
              <w:adjustRightInd w:val="0"/>
              <w:jc w:val="center"/>
              <w:rPr>
                <w:rFonts w:asciiTheme="minorHAnsi" w:hAnsiTheme="minorHAnsi" w:cstheme="minorHAnsi"/>
                <w:color w:val="000000"/>
                <w:sz w:val="22"/>
                <w:szCs w:val="24"/>
                <w:lang w:val="fr-CA"/>
              </w:rPr>
            </w:pPr>
            <w:r w:rsidRPr="00B0798A">
              <w:rPr>
                <w:rFonts w:asciiTheme="minorHAnsi" w:hAnsiTheme="minorHAnsi" w:cstheme="minorHAnsi"/>
                <w:color w:val="000000"/>
                <w:sz w:val="22"/>
                <w:szCs w:val="24"/>
                <w:lang w:val="fr-CA"/>
              </w:rPr>
              <w:t>36</w:t>
            </w:r>
          </w:p>
        </w:tc>
        <w:tc>
          <w:tcPr>
            <w:tcW w:w="1131" w:type="pct"/>
          </w:tcPr>
          <w:p w14:paraId="4D563157" w14:textId="77777777" w:rsidR="00A7023F" w:rsidRPr="00B0798A" w:rsidRDefault="00A7023F" w:rsidP="00BF469C">
            <w:pPr>
              <w:autoSpaceDE w:val="0"/>
              <w:autoSpaceDN w:val="0"/>
              <w:adjustRightInd w:val="0"/>
              <w:jc w:val="center"/>
              <w:rPr>
                <w:rFonts w:asciiTheme="minorHAnsi" w:hAnsiTheme="minorHAnsi" w:cstheme="minorHAnsi"/>
                <w:color w:val="000000"/>
                <w:sz w:val="22"/>
                <w:szCs w:val="24"/>
                <w:lang w:val="fr-CA"/>
              </w:rPr>
            </w:pPr>
            <w:r w:rsidRPr="00B0798A">
              <w:rPr>
                <w:rFonts w:asciiTheme="minorHAnsi" w:hAnsiTheme="minorHAnsi" w:cstheme="minorHAnsi"/>
                <w:color w:val="000000"/>
                <w:sz w:val="22"/>
                <w:szCs w:val="24"/>
                <w:lang w:val="fr-CA"/>
              </w:rPr>
              <w:t>0</w:t>
            </w:r>
          </w:p>
        </w:tc>
        <w:tc>
          <w:tcPr>
            <w:tcW w:w="576" w:type="pct"/>
          </w:tcPr>
          <w:p w14:paraId="7EAFB8D5" w14:textId="77777777" w:rsidR="00A7023F" w:rsidRPr="00B0798A" w:rsidRDefault="00A7023F" w:rsidP="00BF469C">
            <w:pPr>
              <w:autoSpaceDE w:val="0"/>
              <w:autoSpaceDN w:val="0"/>
              <w:adjustRightInd w:val="0"/>
              <w:jc w:val="center"/>
              <w:rPr>
                <w:rFonts w:asciiTheme="minorHAnsi" w:hAnsiTheme="minorHAnsi" w:cstheme="minorHAnsi"/>
                <w:color w:val="000000"/>
                <w:sz w:val="22"/>
                <w:szCs w:val="24"/>
                <w:lang w:val="fr-CA"/>
              </w:rPr>
            </w:pPr>
            <w:r w:rsidRPr="00B0798A">
              <w:rPr>
                <w:rFonts w:asciiTheme="minorHAnsi" w:hAnsiTheme="minorHAnsi" w:cstheme="minorHAnsi"/>
                <w:color w:val="000000"/>
                <w:sz w:val="22"/>
                <w:szCs w:val="24"/>
                <w:lang w:val="fr-CA"/>
              </w:rPr>
              <w:t>142</w:t>
            </w:r>
          </w:p>
        </w:tc>
      </w:tr>
      <w:tr w:rsidR="00A7023F" w:rsidRPr="00B0798A" w14:paraId="587501F5" w14:textId="77777777" w:rsidTr="006C2E0A">
        <w:trPr>
          <w:cantSplit/>
          <w:tblHeader/>
          <w:jc w:val="center"/>
        </w:trPr>
        <w:tc>
          <w:tcPr>
            <w:tcW w:w="638" w:type="pct"/>
          </w:tcPr>
          <w:p w14:paraId="20E6944A" w14:textId="77777777" w:rsidR="00A7023F" w:rsidRPr="00B0798A" w:rsidRDefault="00A7023F" w:rsidP="00BF469C">
            <w:pPr>
              <w:autoSpaceDE w:val="0"/>
              <w:autoSpaceDN w:val="0"/>
              <w:adjustRightInd w:val="0"/>
              <w:rPr>
                <w:rFonts w:asciiTheme="minorHAnsi" w:hAnsiTheme="minorHAnsi" w:cstheme="minorHAnsi"/>
                <w:color w:val="000000"/>
                <w:sz w:val="22"/>
                <w:szCs w:val="24"/>
                <w:lang w:val="fr-CA"/>
              </w:rPr>
            </w:pPr>
            <w:r w:rsidRPr="00B0798A">
              <w:rPr>
                <w:rFonts w:asciiTheme="minorHAnsi" w:hAnsiTheme="minorHAnsi" w:cstheme="minorHAnsi"/>
                <w:color w:val="000000"/>
                <w:sz w:val="22"/>
                <w:szCs w:val="24"/>
                <w:lang w:val="fr-CA"/>
              </w:rPr>
              <w:t>2016 à 2017</w:t>
            </w:r>
          </w:p>
        </w:tc>
        <w:tc>
          <w:tcPr>
            <w:tcW w:w="1229" w:type="pct"/>
          </w:tcPr>
          <w:p w14:paraId="48D39447" w14:textId="77777777" w:rsidR="00A7023F" w:rsidRPr="00B0798A" w:rsidRDefault="00A7023F" w:rsidP="00BF469C">
            <w:pPr>
              <w:autoSpaceDE w:val="0"/>
              <w:autoSpaceDN w:val="0"/>
              <w:adjustRightInd w:val="0"/>
              <w:jc w:val="center"/>
              <w:rPr>
                <w:rFonts w:asciiTheme="minorHAnsi" w:hAnsiTheme="minorHAnsi" w:cstheme="minorHAnsi"/>
                <w:color w:val="000000"/>
                <w:sz w:val="22"/>
                <w:szCs w:val="24"/>
                <w:lang w:val="fr-CA"/>
              </w:rPr>
            </w:pPr>
            <w:r w:rsidRPr="00B0798A">
              <w:rPr>
                <w:rFonts w:asciiTheme="minorHAnsi" w:hAnsiTheme="minorHAnsi" w:cstheme="minorHAnsi"/>
                <w:color w:val="000000"/>
                <w:sz w:val="22"/>
                <w:szCs w:val="24"/>
                <w:lang w:val="fr-CA"/>
              </w:rPr>
              <w:t>70</w:t>
            </w:r>
          </w:p>
        </w:tc>
        <w:tc>
          <w:tcPr>
            <w:tcW w:w="1426" w:type="pct"/>
          </w:tcPr>
          <w:p w14:paraId="77EC46E0" w14:textId="77777777" w:rsidR="00A7023F" w:rsidRPr="00B0798A" w:rsidRDefault="00A7023F" w:rsidP="00BF469C">
            <w:pPr>
              <w:autoSpaceDE w:val="0"/>
              <w:autoSpaceDN w:val="0"/>
              <w:adjustRightInd w:val="0"/>
              <w:jc w:val="center"/>
              <w:rPr>
                <w:rFonts w:asciiTheme="minorHAnsi" w:hAnsiTheme="minorHAnsi" w:cstheme="minorHAnsi"/>
                <w:color w:val="000000"/>
                <w:sz w:val="22"/>
                <w:szCs w:val="24"/>
                <w:lang w:val="fr-CA"/>
              </w:rPr>
            </w:pPr>
            <w:r w:rsidRPr="00B0798A">
              <w:rPr>
                <w:rFonts w:asciiTheme="minorHAnsi" w:hAnsiTheme="minorHAnsi" w:cstheme="minorHAnsi"/>
                <w:color w:val="000000"/>
                <w:sz w:val="22"/>
                <w:szCs w:val="24"/>
                <w:lang w:val="fr-CA"/>
              </w:rPr>
              <w:t>45</w:t>
            </w:r>
          </w:p>
        </w:tc>
        <w:tc>
          <w:tcPr>
            <w:tcW w:w="1131" w:type="pct"/>
          </w:tcPr>
          <w:p w14:paraId="3E67EC79" w14:textId="77777777" w:rsidR="00A7023F" w:rsidRPr="00B0798A" w:rsidRDefault="00A7023F" w:rsidP="00BF469C">
            <w:pPr>
              <w:autoSpaceDE w:val="0"/>
              <w:autoSpaceDN w:val="0"/>
              <w:adjustRightInd w:val="0"/>
              <w:jc w:val="center"/>
              <w:rPr>
                <w:rFonts w:asciiTheme="minorHAnsi" w:hAnsiTheme="minorHAnsi" w:cstheme="minorHAnsi"/>
                <w:color w:val="000000"/>
                <w:sz w:val="22"/>
                <w:szCs w:val="24"/>
                <w:lang w:val="fr-CA"/>
              </w:rPr>
            </w:pPr>
            <w:r w:rsidRPr="00B0798A">
              <w:rPr>
                <w:rFonts w:asciiTheme="minorHAnsi" w:hAnsiTheme="minorHAnsi" w:cstheme="minorHAnsi"/>
                <w:color w:val="000000"/>
                <w:sz w:val="22"/>
                <w:szCs w:val="24"/>
                <w:lang w:val="fr-CA"/>
              </w:rPr>
              <w:t>0</w:t>
            </w:r>
          </w:p>
        </w:tc>
        <w:tc>
          <w:tcPr>
            <w:tcW w:w="576" w:type="pct"/>
          </w:tcPr>
          <w:p w14:paraId="33E7A36B" w14:textId="77777777" w:rsidR="00A7023F" w:rsidRPr="00B0798A" w:rsidRDefault="00A7023F" w:rsidP="00BF469C">
            <w:pPr>
              <w:autoSpaceDE w:val="0"/>
              <w:autoSpaceDN w:val="0"/>
              <w:adjustRightInd w:val="0"/>
              <w:jc w:val="center"/>
              <w:rPr>
                <w:rFonts w:asciiTheme="minorHAnsi" w:hAnsiTheme="minorHAnsi" w:cstheme="minorHAnsi"/>
                <w:color w:val="000000"/>
                <w:sz w:val="22"/>
                <w:szCs w:val="24"/>
                <w:lang w:val="fr-CA"/>
              </w:rPr>
            </w:pPr>
            <w:r w:rsidRPr="00B0798A">
              <w:rPr>
                <w:rFonts w:asciiTheme="minorHAnsi" w:hAnsiTheme="minorHAnsi" w:cstheme="minorHAnsi"/>
                <w:color w:val="000000"/>
                <w:sz w:val="22"/>
                <w:szCs w:val="24"/>
                <w:lang w:val="fr-CA"/>
              </w:rPr>
              <w:t>115</w:t>
            </w:r>
          </w:p>
        </w:tc>
      </w:tr>
      <w:tr w:rsidR="00A7023F" w:rsidRPr="00B0798A" w14:paraId="5D48E3F2" w14:textId="77777777" w:rsidTr="006C2E0A">
        <w:trPr>
          <w:cantSplit/>
          <w:tblHeader/>
          <w:jc w:val="center"/>
        </w:trPr>
        <w:tc>
          <w:tcPr>
            <w:tcW w:w="638" w:type="pct"/>
          </w:tcPr>
          <w:p w14:paraId="1BD8F5CA" w14:textId="77777777" w:rsidR="00A7023F" w:rsidRPr="00B0798A" w:rsidRDefault="00A7023F" w:rsidP="00BF469C">
            <w:pPr>
              <w:autoSpaceDE w:val="0"/>
              <w:autoSpaceDN w:val="0"/>
              <w:adjustRightInd w:val="0"/>
              <w:rPr>
                <w:rFonts w:asciiTheme="minorHAnsi" w:hAnsiTheme="minorHAnsi" w:cstheme="minorHAnsi"/>
                <w:color w:val="000000"/>
                <w:sz w:val="22"/>
                <w:szCs w:val="24"/>
                <w:lang w:val="fr-CA"/>
              </w:rPr>
            </w:pPr>
            <w:r w:rsidRPr="00B0798A">
              <w:rPr>
                <w:rFonts w:asciiTheme="minorHAnsi" w:hAnsiTheme="minorHAnsi" w:cstheme="minorHAnsi"/>
                <w:color w:val="000000"/>
                <w:sz w:val="22"/>
                <w:szCs w:val="24"/>
                <w:lang w:val="fr-CA"/>
              </w:rPr>
              <w:t>2017 à 2018</w:t>
            </w:r>
          </w:p>
        </w:tc>
        <w:tc>
          <w:tcPr>
            <w:tcW w:w="1229" w:type="pct"/>
          </w:tcPr>
          <w:p w14:paraId="6D59FB6E" w14:textId="77777777" w:rsidR="00A7023F" w:rsidRPr="00B0798A" w:rsidRDefault="00A7023F" w:rsidP="00BF469C">
            <w:pPr>
              <w:autoSpaceDE w:val="0"/>
              <w:autoSpaceDN w:val="0"/>
              <w:adjustRightInd w:val="0"/>
              <w:jc w:val="center"/>
              <w:rPr>
                <w:rFonts w:asciiTheme="minorHAnsi" w:hAnsiTheme="minorHAnsi" w:cstheme="minorHAnsi"/>
                <w:color w:val="000000"/>
                <w:sz w:val="22"/>
                <w:szCs w:val="24"/>
                <w:lang w:val="fr-CA"/>
              </w:rPr>
            </w:pPr>
            <w:r w:rsidRPr="00B0798A">
              <w:rPr>
                <w:rFonts w:asciiTheme="minorHAnsi" w:hAnsiTheme="minorHAnsi" w:cstheme="minorHAnsi"/>
                <w:color w:val="000000"/>
                <w:sz w:val="22"/>
                <w:szCs w:val="24"/>
                <w:lang w:val="fr-CA"/>
              </w:rPr>
              <w:t>55</w:t>
            </w:r>
          </w:p>
        </w:tc>
        <w:tc>
          <w:tcPr>
            <w:tcW w:w="1426" w:type="pct"/>
          </w:tcPr>
          <w:p w14:paraId="300F9BE1" w14:textId="77777777" w:rsidR="00A7023F" w:rsidRPr="00B0798A" w:rsidRDefault="00A7023F" w:rsidP="00BF469C">
            <w:pPr>
              <w:autoSpaceDE w:val="0"/>
              <w:autoSpaceDN w:val="0"/>
              <w:adjustRightInd w:val="0"/>
              <w:jc w:val="center"/>
              <w:rPr>
                <w:rFonts w:asciiTheme="minorHAnsi" w:hAnsiTheme="minorHAnsi" w:cstheme="minorHAnsi"/>
                <w:color w:val="000000"/>
                <w:sz w:val="22"/>
                <w:szCs w:val="24"/>
                <w:lang w:val="fr-CA"/>
              </w:rPr>
            </w:pPr>
            <w:r w:rsidRPr="00B0798A">
              <w:rPr>
                <w:rFonts w:asciiTheme="minorHAnsi" w:hAnsiTheme="minorHAnsi" w:cstheme="minorHAnsi"/>
                <w:color w:val="000000"/>
                <w:sz w:val="22"/>
                <w:szCs w:val="24"/>
                <w:lang w:val="fr-CA"/>
              </w:rPr>
              <w:t>52</w:t>
            </w:r>
          </w:p>
        </w:tc>
        <w:tc>
          <w:tcPr>
            <w:tcW w:w="1131" w:type="pct"/>
          </w:tcPr>
          <w:p w14:paraId="61DBD663" w14:textId="77777777" w:rsidR="00A7023F" w:rsidRPr="00B0798A" w:rsidRDefault="00A7023F" w:rsidP="00BF469C">
            <w:pPr>
              <w:autoSpaceDE w:val="0"/>
              <w:autoSpaceDN w:val="0"/>
              <w:adjustRightInd w:val="0"/>
              <w:jc w:val="center"/>
              <w:rPr>
                <w:rFonts w:asciiTheme="minorHAnsi" w:hAnsiTheme="minorHAnsi" w:cstheme="minorHAnsi"/>
                <w:color w:val="000000"/>
                <w:sz w:val="22"/>
                <w:szCs w:val="24"/>
                <w:lang w:val="fr-CA"/>
              </w:rPr>
            </w:pPr>
            <w:r w:rsidRPr="00B0798A">
              <w:rPr>
                <w:rFonts w:asciiTheme="minorHAnsi" w:hAnsiTheme="minorHAnsi" w:cstheme="minorHAnsi"/>
                <w:color w:val="000000"/>
                <w:sz w:val="22"/>
                <w:szCs w:val="24"/>
                <w:lang w:val="fr-CA"/>
              </w:rPr>
              <w:t>0</w:t>
            </w:r>
          </w:p>
        </w:tc>
        <w:tc>
          <w:tcPr>
            <w:tcW w:w="576" w:type="pct"/>
          </w:tcPr>
          <w:p w14:paraId="49BC7107" w14:textId="77777777" w:rsidR="00A7023F" w:rsidRPr="00B0798A" w:rsidRDefault="00A7023F" w:rsidP="00BF469C">
            <w:pPr>
              <w:autoSpaceDE w:val="0"/>
              <w:autoSpaceDN w:val="0"/>
              <w:adjustRightInd w:val="0"/>
              <w:jc w:val="center"/>
              <w:rPr>
                <w:rFonts w:asciiTheme="minorHAnsi" w:hAnsiTheme="minorHAnsi" w:cstheme="minorHAnsi"/>
                <w:color w:val="000000"/>
                <w:sz w:val="22"/>
                <w:szCs w:val="24"/>
                <w:lang w:val="fr-CA"/>
              </w:rPr>
            </w:pPr>
            <w:r w:rsidRPr="00B0798A">
              <w:rPr>
                <w:rFonts w:asciiTheme="minorHAnsi" w:hAnsiTheme="minorHAnsi" w:cstheme="minorHAnsi"/>
                <w:color w:val="000000"/>
                <w:sz w:val="22"/>
                <w:szCs w:val="24"/>
                <w:lang w:val="fr-CA"/>
              </w:rPr>
              <w:t>107</w:t>
            </w:r>
          </w:p>
        </w:tc>
      </w:tr>
      <w:tr w:rsidR="00A7023F" w:rsidRPr="00B0798A" w14:paraId="0CE9CD00" w14:textId="77777777" w:rsidTr="006C2E0A">
        <w:trPr>
          <w:cantSplit/>
          <w:tblHeader/>
          <w:jc w:val="center"/>
        </w:trPr>
        <w:tc>
          <w:tcPr>
            <w:tcW w:w="638" w:type="pct"/>
          </w:tcPr>
          <w:p w14:paraId="505DA2EA" w14:textId="77777777" w:rsidR="00A7023F" w:rsidRPr="00B0798A" w:rsidRDefault="00A7023F" w:rsidP="00BF469C">
            <w:pPr>
              <w:autoSpaceDE w:val="0"/>
              <w:autoSpaceDN w:val="0"/>
              <w:adjustRightInd w:val="0"/>
              <w:rPr>
                <w:rFonts w:asciiTheme="minorHAnsi" w:hAnsiTheme="minorHAnsi" w:cstheme="minorHAnsi"/>
                <w:color w:val="000000"/>
                <w:sz w:val="22"/>
                <w:szCs w:val="24"/>
                <w:lang w:val="fr-CA"/>
              </w:rPr>
            </w:pPr>
            <w:r w:rsidRPr="00B0798A">
              <w:rPr>
                <w:rFonts w:asciiTheme="minorHAnsi" w:hAnsiTheme="minorHAnsi" w:cstheme="minorHAnsi"/>
                <w:color w:val="000000"/>
                <w:sz w:val="22"/>
                <w:szCs w:val="24"/>
                <w:lang w:val="fr-CA"/>
              </w:rPr>
              <w:t>2018 à 2019</w:t>
            </w:r>
          </w:p>
        </w:tc>
        <w:tc>
          <w:tcPr>
            <w:tcW w:w="1229" w:type="pct"/>
          </w:tcPr>
          <w:p w14:paraId="333FC958" w14:textId="77777777" w:rsidR="00A7023F" w:rsidRPr="00B0798A" w:rsidRDefault="00A7023F" w:rsidP="00BF469C">
            <w:pPr>
              <w:autoSpaceDE w:val="0"/>
              <w:autoSpaceDN w:val="0"/>
              <w:adjustRightInd w:val="0"/>
              <w:jc w:val="center"/>
              <w:rPr>
                <w:rFonts w:asciiTheme="minorHAnsi" w:hAnsiTheme="minorHAnsi" w:cstheme="minorHAnsi"/>
                <w:color w:val="000000"/>
                <w:sz w:val="22"/>
                <w:szCs w:val="24"/>
                <w:lang w:val="fr-CA"/>
              </w:rPr>
            </w:pPr>
            <w:r w:rsidRPr="00B0798A">
              <w:rPr>
                <w:rFonts w:asciiTheme="minorHAnsi" w:hAnsiTheme="minorHAnsi" w:cstheme="minorHAnsi"/>
                <w:color w:val="000000"/>
                <w:sz w:val="22"/>
                <w:szCs w:val="24"/>
                <w:lang w:val="fr-CA"/>
              </w:rPr>
              <w:t>69</w:t>
            </w:r>
          </w:p>
        </w:tc>
        <w:tc>
          <w:tcPr>
            <w:tcW w:w="1426" w:type="pct"/>
          </w:tcPr>
          <w:p w14:paraId="311C02BF" w14:textId="77777777" w:rsidR="00A7023F" w:rsidRPr="00B0798A" w:rsidRDefault="00A7023F" w:rsidP="00BF469C">
            <w:pPr>
              <w:autoSpaceDE w:val="0"/>
              <w:autoSpaceDN w:val="0"/>
              <w:adjustRightInd w:val="0"/>
              <w:jc w:val="center"/>
              <w:rPr>
                <w:rFonts w:asciiTheme="minorHAnsi" w:hAnsiTheme="minorHAnsi" w:cstheme="minorHAnsi"/>
                <w:color w:val="000000"/>
                <w:sz w:val="22"/>
                <w:szCs w:val="24"/>
                <w:lang w:val="fr-CA"/>
              </w:rPr>
            </w:pPr>
            <w:r w:rsidRPr="00B0798A">
              <w:rPr>
                <w:rFonts w:asciiTheme="minorHAnsi" w:hAnsiTheme="minorHAnsi" w:cstheme="minorHAnsi"/>
                <w:color w:val="000000"/>
                <w:sz w:val="22"/>
                <w:szCs w:val="24"/>
                <w:lang w:val="fr-CA"/>
              </w:rPr>
              <w:t>40</w:t>
            </w:r>
          </w:p>
        </w:tc>
        <w:tc>
          <w:tcPr>
            <w:tcW w:w="1131" w:type="pct"/>
          </w:tcPr>
          <w:p w14:paraId="1AA221B2" w14:textId="77777777" w:rsidR="00A7023F" w:rsidRPr="00B0798A" w:rsidRDefault="00A7023F" w:rsidP="00BF469C">
            <w:pPr>
              <w:autoSpaceDE w:val="0"/>
              <w:autoSpaceDN w:val="0"/>
              <w:adjustRightInd w:val="0"/>
              <w:jc w:val="center"/>
              <w:rPr>
                <w:rFonts w:asciiTheme="minorHAnsi" w:hAnsiTheme="minorHAnsi" w:cstheme="minorHAnsi"/>
                <w:color w:val="000000"/>
                <w:sz w:val="22"/>
                <w:szCs w:val="24"/>
                <w:lang w:val="fr-CA"/>
              </w:rPr>
            </w:pPr>
            <w:r w:rsidRPr="00B0798A">
              <w:rPr>
                <w:rFonts w:asciiTheme="minorHAnsi" w:hAnsiTheme="minorHAnsi" w:cstheme="minorHAnsi"/>
                <w:color w:val="000000"/>
                <w:sz w:val="22"/>
                <w:szCs w:val="24"/>
                <w:lang w:val="fr-CA"/>
              </w:rPr>
              <w:t>0</w:t>
            </w:r>
          </w:p>
        </w:tc>
        <w:tc>
          <w:tcPr>
            <w:tcW w:w="576" w:type="pct"/>
          </w:tcPr>
          <w:p w14:paraId="58F36801" w14:textId="77777777" w:rsidR="00A7023F" w:rsidRPr="00B0798A" w:rsidRDefault="00A7023F" w:rsidP="00BF469C">
            <w:pPr>
              <w:autoSpaceDE w:val="0"/>
              <w:autoSpaceDN w:val="0"/>
              <w:adjustRightInd w:val="0"/>
              <w:jc w:val="center"/>
              <w:rPr>
                <w:rFonts w:asciiTheme="minorHAnsi" w:hAnsiTheme="minorHAnsi" w:cstheme="minorHAnsi"/>
                <w:color w:val="000000"/>
                <w:sz w:val="22"/>
                <w:szCs w:val="24"/>
                <w:lang w:val="fr-CA"/>
              </w:rPr>
            </w:pPr>
            <w:r w:rsidRPr="00B0798A">
              <w:rPr>
                <w:rFonts w:asciiTheme="minorHAnsi" w:hAnsiTheme="minorHAnsi" w:cstheme="minorHAnsi"/>
                <w:color w:val="000000"/>
                <w:sz w:val="22"/>
                <w:szCs w:val="24"/>
                <w:lang w:val="fr-CA"/>
              </w:rPr>
              <w:t>109</w:t>
            </w:r>
          </w:p>
        </w:tc>
      </w:tr>
    </w:tbl>
    <w:p w14:paraId="006A3C4A" w14:textId="77777777" w:rsidR="00A7023F" w:rsidRDefault="00A7023F" w:rsidP="00591DC8">
      <w:pPr>
        <w:rPr>
          <w:lang w:val="fr-CA"/>
        </w:rPr>
      </w:pPr>
    </w:p>
    <w:p w14:paraId="06979AB5" w14:textId="77777777" w:rsidR="00A7023F" w:rsidRDefault="00A7023F" w:rsidP="00591DC8">
      <w:pPr>
        <w:rPr>
          <w:lang w:val="fr-CA"/>
        </w:rPr>
        <w:sectPr w:rsidR="00A7023F" w:rsidSect="00C67F41">
          <w:footnotePr>
            <w:numFmt w:val="lowerLetter"/>
          </w:footnotePr>
          <w:endnotePr>
            <w:numFmt w:val="lowerLetter"/>
          </w:endnotePr>
          <w:pgSz w:w="15840" w:h="12240" w:orient="landscape" w:code="1"/>
          <w:pgMar w:top="567" w:right="709" w:bottom="1304" w:left="709" w:header="284" w:footer="284" w:gutter="0"/>
          <w:cols w:space="720"/>
          <w:docGrid w:linePitch="326"/>
        </w:sectPr>
      </w:pPr>
    </w:p>
    <w:p w14:paraId="0116D199" w14:textId="77777777" w:rsidR="00B0798A" w:rsidRPr="00B0798A" w:rsidRDefault="00B0798A" w:rsidP="00B0798A">
      <w:pPr>
        <w:pStyle w:val="Heading1"/>
        <w:spacing w:before="120" w:after="120"/>
        <w:rPr>
          <w:sz w:val="40"/>
          <w:lang w:val="fr-CA"/>
        </w:rPr>
      </w:pPr>
      <w:r w:rsidRPr="00B0798A">
        <w:rPr>
          <w:rFonts w:eastAsia="Times New Roman"/>
          <w:sz w:val="40"/>
        </w:rPr>
        <w:lastRenderedPageBreak/>
        <w:t>Activités d’embauche à l’externe - employés nommés pour une période déterminée/indéterminée : programme de recrutement post-secondaire et embauche d’anciens étudiants</w:t>
      </w:r>
    </w:p>
    <w:p w14:paraId="63739043" w14:textId="77777777" w:rsidR="00B0798A" w:rsidRDefault="00A7023F" w:rsidP="00B0798A">
      <w:pPr>
        <w:keepNext/>
        <w:jc w:val="center"/>
      </w:pPr>
      <w:r w:rsidRPr="008F610A">
        <w:rPr>
          <w:noProof/>
          <w:lang w:val="en-CA" w:eastAsia="en-CA"/>
        </w:rPr>
        <w:drawing>
          <wp:inline distT="0" distB="0" distL="0" distR="0" wp14:anchorId="655DF70C" wp14:editId="60DB85D6">
            <wp:extent cx="5648400" cy="3049200"/>
            <wp:effectExtent l="0" t="0" r="9525" b="18415"/>
            <wp:docPr id="10" name="Chart 2" descr="Activités d’embauche à l’externe - employés nommés pour une période déterminée/indéterminée : programme de recrutement post-secondaire et embauche d’anciens étudiants&#1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3724550" w14:textId="77777777" w:rsidR="00A7023F" w:rsidRPr="00B0798A" w:rsidRDefault="00B0798A" w:rsidP="00B0798A">
      <w:pPr>
        <w:pStyle w:val="Caption"/>
        <w:spacing w:after="0"/>
        <w:jc w:val="center"/>
        <w:rPr>
          <w:rFonts w:asciiTheme="minorHAnsi" w:hAnsiTheme="minorHAnsi" w:cstheme="minorHAnsi"/>
          <w:i w:val="0"/>
          <w:color w:val="auto"/>
          <w:lang w:val="fr-CA"/>
        </w:rPr>
      </w:pPr>
      <w:r w:rsidRPr="00B0798A">
        <w:rPr>
          <w:rFonts w:asciiTheme="minorHAnsi" w:hAnsiTheme="minorHAnsi" w:cstheme="minorHAnsi"/>
          <w:i w:val="0"/>
          <w:color w:val="auto"/>
        </w:rPr>
        <w:t xml:space="preserve">Figure </w:t>
      </w:r>
      <w:r w:rsidRPr="00B0798A">
        <w:rPr>
          <w:rFonts w:asciiTheme="minorHAnsi" w:hAnsiTheme="minorHAnsi" w:cstheme="minorHAnsi"/>
          <w:i w:val="0"/>
          <w:color w:val="auto"/>
        </w:rPr>
        <w:fldChar w:fldCharType="begin"/>
      </w:r>
      <w:r w:rsidRPr="00B0798A">
        <w:rPr>
          <w:rFonts w:asciiTheme="minorHAnsi" w:hAnsiTheme="minorHAnsi" w:cstheme="minorHAnsi"/>
          <w:i w:val="0"/>
          <w:color w:val="auto"/>
        </w:rPr>
        <w:instrText xml:space="preserve"> SEQ Figure \* ARABIC </w:instrText>
      </w:r>
      <w:r w:rsidRPr="00B0798A">
        <w:rPr>
          <w:rFonts w:asciiTheme="minorHAnsi" w:hAnsiTheme="minorHAnsi" w:cstheme="minorHAnsi"/>
          <w:i w:val="0"/>
          <w:color w:val="auto"/>
        </w:rPr>
        <w:fldChar w:fldCharType="separate"/>
      </w:r>
      <w:r w:rsidR="00353602">
        <w:rPr>
          <w:rFonts w:asciiTheme="minorHAnsi" w:hAnsiTheme="minorHAnsi" w:cstheme="minorHAnsi"/>
          <w:i w:val="0"/>
          <w:noProof/>
          <w:color w:val="auto"/>
        </w:rPr>
        <w:t>11</w:t>
      </w:r>
      <w:r w:rsidRPr="00B0798A">
        <w:rPr>
          <w:rFonts w:asciiTheme="minorHAnsi" w:hAnsiTheme="minorHAnsi" w:cstheme="minorHAnsi"/>
          <w:i w:val="0"/>
          <w:color w:val="auto"/>
        </w:rPr>
        <w:fldChar w:fldCharType="end"/>
      </w:r>
      <w:r w:rsidRPr="00B0798A">
        <w:rPr>
          <w:rFonts w:asciiTheme="minorHAnsi" w:hAnsiTheme="minorHAnsi" w:cstheme="minorHAnsi"/>
          <w:i w:val="0"/>
          <w:color w:val="auto"/>
        </w:rPr>
        <w:t xml:space="preserve"> - Activités d’embauche à l’externe - employés nommés pour une période déterminée/indéterminée : programme de recrutement post-secondaire et embauche d’anciens étudiants</w:t>
      </w:r>
    </w:p>
    <w:p w14:paraId="31DA0247" w14:textId="77777777" w:rsidR="00B0798A" w:rsidRPr="00B0798A" w:rsidRDefault="00B0798A" w:rsidP="00B0798A">
      <w:pPr>
        <w:pStyle w:val="Caption"/>
        <w:keepNext/>
        <w:spacing w:before="240" w:after="0"/>
        <w:jc w:val="center"/>
        <w:rPr>
          <w:rFonts w:asciiTheme="minorHAnsi" w:hAnsiTheme="minorHAnsi" w:cstheme="minorHAnsi"/>
          <w:i w:val="0"/>
          <w:color w:val="auto"/>
        </w:rPr>
      </w:pPr>
      <w:r w:rsidRPr="00B0798A">
        <w:rPr>
          <w:rFonts w:asciiTheme="minorHAnsi" w:hAnsiTheme="minorHAnsi" w:cstheme="minorHAnsi"/>
          <w:i w:val="0"/>
          <w:color w:val="auto"/>
        </w:rPr>
        <w:t xml:space="preserve">Table </w:t>
      </w:r>
      <w:r w:rsidRPr="00B0798A">
        <w:rPr>
          <w:rFonts w:asciiTheme="minorHAnsi" w:hAnsiTheme="minorHAnsi" w:cstheme="minorHAnsi"/>
          <w:i w:val="0"/>
          <w:color w:val="auto"/>
        </w:rPr>
        <w:fldChar w:fldCharType="begin"/>
      </w:r>
      <w:r w:rsidRPr="00B0798A">
        <w:rPr>
          <w:rFonts w:asciiTheme="minorHAnsi" w:hAnsiTheme="minorHAnsi" w:cstheme="minorHAnsi"/>
          <w:i w:val="0"/>
          <w:color w:val="auto"/>
        </w:rPr>
        <w:instrText xml:space="preserve"> SEQ Table \* ARABIC </w:instrText>
      </w:r>
      <w:r w:rsidRPr="00B0798A">
        <w:rPr>
          <w:rFonts w:asciiTheme="minorHAnsi" w:hAnsiTheme="minorHAnsi" w:cstheme="minorHAnsi"/>
          <w:i w:val="0"/>
          <w:color w:val="auto"/>
        </w:rPr>
        <w:fldChar w:fldCharType="separate"/>
      </w:r>
      <w:r w:rsidR="00766F9D">
        <w:rPr>
          <w:rFonts w:asciiTheme="minorHAnsi" w:hAnsiTheme="minorHAnsi" w:cstheme="minorHAnsi"/>
          <w:i w:val="0"/>
          <w:noProof/>
          <w:color w:val="auto"/>
        </w:rPr>
        <w:t>14</w:t>
      </w:r>
      <w:r w:rsidRPr="00B0798A">
        <w:rPr>
          <w:rFonts w:asciiTheme="minorHAnsi" w:hAnsiTheme="minorHAnsi" w:cstheme="minorHAnsi"/>
          <w:i w:val="0"/>
          <w:color w:val="auto"/>
        </w:rPr>
        <w:fldChar w:fldCharType="end"/>
      </w:r>
      <w:r w:rsidRPr="00B0798A">
        <w:rPr>
          <w:rFonts w:asciiTheme="minorHAnsi" w:hAnsiTheme="minorHAnsi" w:cstheme="minorHAnsi"/>
          <w:i w:val="0"/>
          <w:color w:val="auto"/>
        </w:rPr>
        <w:t xml:space="preserve"> - Activités d'embauche externe pour une période indéterminée et d'une durée déterminée : Programme de recrutement postsecondaire et embauche d'anciens étudiants selon l’exercice financier</w:t>
      </w:r>
    </w:p>
    <w:tbl>
      <w:tblPr>
        <w:tblStyle w:val="TableGrid"/>
        <w:tblW w:w="5000" w:type="pct"/>
        <w:jc w:val="center"/>
        <w:tblLook w:val="0020" w:firstRow="1" w:lastRow="0" w:firstColumn="0" w:lastColumn="0" w:noHBand="0" w:noVBand="0"/>
        <w:tblDescription w:val="Programme de recrutement postsecondaire et embauche d'anciens étudiants"/>
      </w:tblPr>
      <w:tblGrid>
        <w:gridCol w:w="2689"/>
        <w:gridCol w:w="6238"/>
        <w:gridCol w:w="5485"/>
      </w:tblGrid>
      <w:tr w:rsidR="00B0798A" w:rsidRPr="00B0798A" w14:paraId="3510B52D" w14:textId="77777777" w:rsidTr="006C2E0A">
        <w:trPr>
          <w:cantSplit/>
          <w:tblHeader/>
          <w:jc w:val="center"/>
        </w:trPr>
        <w:tc>
          <w:tcPr>
            <w:tcW w:w="933" w:type="pct"/>
          </w:tcPr>
          <w:p w14:paraId="13962D12" w14:textId="77777777" w:rsidR="00A7023F" w:rsidRPr="00B0798A" w:rsidRDefault="00A7023F" w:rsidP="00B0798A">
            <w:pPr>
              <w:pStyle w:val="TableTitle"/>
              <w:rPr>
                <w:color w:val="auto"/>
                <w:sz w:val="22"/>
                <w:lang w:val="fr-CA"/>
              </w:rPr>
            </w:pPr>
            <w:r w:rsidRPr="00B0798A">
              <w:rPr>
                <w:color w:val="auto"/>
                <w:sz w:val="22"/>
                <w:lang w:val="fr-CA"/>
              </w:rPr>
              <w:t>Exercice financier</w:t>
            </w:r>
          </w:p>
        </w:tc>
        <w:tc>
          <w:tcPr>
            <w:tcW w:w="2164" w:type="pct"/>
          </w:tcPr>
          <w:p w14:paraId="034BC5C3" w14:textId="77777777" w:rsidR="00A7023F" w:rsidRPr="00B0798A" w:rsidRDefault="00A7023F" w:rsidP="00B0798A">
            <w:pPr>
              <w:pStyle w:val="TableTitle"/>
              <w:rPr>
                <w:color w:val="auto"/>
                <w:sz w:val="22"/>
                <w:lang w:val="fr-CA"/>
              </w:rPr>
            </w:pPr>
            <w:r w:rsidRPr="00B0798A">
              <w:rPr>
                <w:color w:val="auto"/>
                <w:sz w:val="22"/>
                <w:lang w:val="fr-CA"/>
              </w:rPr>
              <w:t>Embauches du programme de recrutement postsecondaire</w:t>
            </w:r>
          </w:p>
        </w:tc>
        <w:tc>
          <w:tcPr>
            <w:tcW w:w="1903" w:type="pct"/>
          </w:tcPr>
          <w:p w14:paraId="0CEE827D" w14:textId="77777777" w:rsidR="00A7023F" w:rsidRPr="00B0798A" w:rsidRDefault="00A7023F" w:rsidP="00B0798A">
            <w:pPr>
              <w:pStyle w:val="TableTitle"/>
              <w:rPr>
                <w:color w:val="auto"/>
                <w:sz w:val="22"/>
                <w:lang w:val="fr-CA"/>
              </w:rPr>
            </w:pPr>
            <w:r w:rsidRPr="00B0798A">
              <w:rPr>
                <w:color w:val="auto"/>
                <w:sz w:val="22"/>
                <w:lang w:val="fr-CA"/>
              </w:rPr>
              <w:t>Embauches d’anciens étudiants</w:t>
            </w:r>
          </w:p>
        </w:tc>
      </w:tr>
      <w:tr w:rsidR="00B0798A" w:rsidRPr="00B0798A" w14:paraId="6DB05EEE" w14:textId="77777777" w:rsidTr="006C2E0A">
        <w:trPr>
          <w:cantSplit/>
          <w:tblHeader/>
          <w:jc w:val="center"/>
        </w:trPr>
        <w:tc>
          <w:tcPr>
            <w:tcW w:w="933" w:type="pct"/>
          </w:tcPr>
          <w:p w14:paraId="5D035FEB" w14:textId="77777777" w:rsidR="00A7023F" w:rsidRPr="00B0798A" w:rsidRDefault="00A7023F" w:rsidP="00BF469C">
            <w:pPr>
              <w:autoSpaceDE w:val="0"/>
              <w:autoSpaceDN w:val="0"/>
              <w:adjustRightInd w:val="0"/>
              <w:rPr>
                <w:rFonts w:asciiTheme="minorHAnsi" w:hAnsiTheme="minorHAnsi" w:cstheme="minorHAnsi"/>
                <w:sz w:val="22"/>
                <w:szCs w:val="24"/>
                <w:lang w:val="fr-CA"/>
              </w:rPr>
            </w:pPr>
            <w:r w:rsidRPr="00B0798A">
              <w:rPr>
                <w:rFonts w:asciiTheme="minorHAnsi" w:hAnsiTheme="minorHAnsi" w:cstheme="minorHAnsi"/>
                <w:sz w:val="22"/>
                <w:szCs w:val="24"/>
                <w:lang w:val="fr-CA"/>
              </w:rPr>
              <w:t>2014 à 2015</w:t>
            </w:r>
          </w:p>
        </w:tc>
        <w:tc>
          <w:tcPr>
            <w:tcW w:w="2164" w:type="pct"/>
          </w:tcPr>
          <w:p w14:paraId="6583B07E" w14:textId="77777777" w:rsidR="00A7023F" w:rsidRPr="00B0798A" w:rsidRDefault="00A7023F" w:rsidP="00BF469C">
            <w:pPr>
              <w:autoSpaceDE w:val="0"/>
              <w:autoSpaceDN w:val="0"/>
              <w:adjustRightInd w:val="0"/>
              <w:jc w:val="center"/>
              <w:rPr>
                <w:rFonts w:asciiTheme="minorHAnsi" w:hAnsiTheme="minorHAnsi" w:cstheme="minorHAnsi"/>
                <w:sz w:val="22"/>
                <w:szCs w:val="24"/>
                <w:lang w:val="fr-CA"/>
              </w:rPr>
            </w:pPr>
            <w:r w:rsidRPr="00B0798A">
              <w:rPr>
                <w:rFonts w:asciiTheme="minorHAnsi" w:hAnsiTheme="minorHAnsi" w:cstheme="minorHAnsi"/>
                <w:sz w:val="22"/>
                <w:szCs w:val="24"/>
                <w:lang w:val="fr-CA"/>
              </w:rPr>
              <w:t>2</w:t>
            </w:r>
          </w:p>
        </w:tc>
        <w:tc>
          <w:tcPr>
            <w:tcW w:w="1903" w:type="pct"/>
          </w:tcPr>
          <w:p w14:paraId="0816CC82" w14:textId="77777777" w:rsidR="00A7023F" w:rsidRPr="00B0798A" w:rsidRDefault="00A7023F" w:rsidP="00BF469C">
            <w:pPr>
              <w:autoSpaceDE w:val="0"/>
              <w:autoSpaceDN w:val="0"/>
              <w:adjustRightInd w:val="0"/>
              <w:jc w:val="center"/>
              <w:rPr>
                <w:rFonts w:asciiTheme="minorHAnsi" w:hAnsiTheme="minorHAnsi" w:cstheme="minorHAnsi"/>
                <w:sz w:val="22"/>
                <w:szCs w:val="24"/>
                <w:lang w:val="fr-CA"/>
              </w:rPr>
            </w:pPr>
            <w:r w:rsidRPr="00B0798A">
              <w:rPr>
                <w:rFonts w:asciiTheme="minorHAnsi" w:hAnsiTheme="minorHAnsi" w:cstheme="minorHAnsi"/>
                <w:sz w:val="22"/>
                <w:szCs w:val="24"/>
                <w:lang w:val="fr-CA"/>
              </w:rPr>
              <w:t>15</w:t>
            </w:r>
          </w:p>
        </w:tc>
      </w:tr>
      <w:tr w:rsidR="00B0798A" w:rsidRPr="00B0798A" w14:paraId="2972DD48" w14:textId="77777777" w:rsidTr="006C2E0A">
        <w:trPr>
          <w:cantSplit/>
          <w:tblHeader/>
          <w:jc w:val="center"/>
        </w:trPr>
        <w:tc>
          <w:tcPr>
            <w:tcW w:w="933" w:type="pct"/>
          </w:tcPr>
          <w:p w14:paraId="2236CA26" w14:textId="77777777" w:rsidR="00A7023F" w:rsidRPr="00B0798A" w:rsidRDefault="00A7023F" w:rsidP="00BF469C">
            <w:pPr>
              <w:autoSpaceDE w:val="0"/>
              <w:autoSpaceDN w:val="0"/>
              <w:adjustRightInd w:val="0"/>
              <w:rPr>
                <w:rFonts w:asciiTheme="minorHAnsi" w:hAnsiTheme="minorHAnsi" w:cstheme="minorHAnsi"/>
                <w:sz w:val="22"/>
                <w:szCs w:val="24"/>
                <w:lang w:val="fr-CA"/>
              </w:rPr>
            </w:pPr>
            <w:r w:rsidRPr="00B0798A">
              <w:rPr>
                <w:rFonts w:asciiTheme="minorHAnsi" w:hAnsiTheme="minorHAnsi" w:cstheme="minorHAnsi"/>
                <w:sz w:val="22"/>
                <w:szCs w:val="24"/>
                <w:lang w:val="fr-CA"/>
              </w:rPr>
              <w:t>2015 à 2016</w:t>
            </w:r>
          </w:p>
        </w:tc>
        <w:tc>
          <w:tcPr>
            <w:tcW w:w="2164" w:type="pct"/>
          </w:tcPr>
          <w:p w14:paraId="2AF5C6AF" w14:textId="77777777" w:rsidR="00A7023F" w:rsidRPr="00B0798A" w:rsidRDefault="00A7023F" w:rsidP="00BF469C">
            <w:pPr>
              <w:autoSpaceDE w:val="0"/>
              <w:autoSpaceDN w:val="0"/>
              <w:adjustRightInd w:val="0"/>
              <w:jc w:val="center"/>
              <w:rPr>
                <w:rFonts w:asciiTheme="minorHAnsi" w:hAnsiTheme="minorHAnsi" w:cstheme="minorHAnsi"/>
                <w:sz w:val="22"/>
                <w:szCs w:val="24"/>
                <w:lang w:val="fr-CA"/>
              </w:rPr>
            </w:pPr>
            <w:r w:rsidRPr="00B0798A">
              <w:rPr>
                <w:rFonts w:asciiTheme="minorHAnsi" w:hAnsiTheme="minorHAnsi" w:cstheme="minorHAnsi"/>
                <w:sz w:val="22"/>
                <w:szCs w:val="24"/>
                <w:lang w:val="fr-CA"/>
              </w:rPr>
              <w:t>12</w:t>
            </w:r>
          </w:p>
        </w:tc>
        <w:tc>
          <w:tcPr>
            <w:tcW w:w="1903" w:type="pct"/>
          </w:tcPr>
          <w:p w14:paraId="31D3E7DD" w14:textId="77777777" w:rsidR="00A7023F" w:rsidRPr="00B0798A" w:rsidRDefault="00A7023F" w:rsidP="00BF469C">
            <w:pPr>
              <w:autoSpaceDE w:val="0"/>
              <w:autoSpaceDN w:val="0"/>
              <w:adjustRightInd w:val="0"/>
              <w:jc w:val="center"/>
              <w:rPr>
                <w:rFonts w:asciiTheme="minorHAnsi" w:hAnsiTheme="minorHAnsi" w:cstheme="minorHAnsi"/>
                <w:sz w:val="22"/>
                <w:szCs w:val="24"/>
                <w:lang w:val="fr-CA"/>
              </w:rPr>
            </w:pPr>
            <w:r w:rsidRPr="00B0798A">
              <w:rPr>
                <w:rFonts w:asciiTheme="minorHAnsi" w:hAnsiTheme="minorHAnsi" w:cstheme="minorHAnsi"/>
                <w:sz w:val="22"/>
                <w:szCs w:val="24"/>
                <w:lang w:val="fr-CA"/>
              </w:rPr>
              <w:t>36</w:t>
            </w:r>
          </w:p>
        </w:tc>
      </w:tr>
      <w:tr w:rsidR="00B0798A" w:rsidRPr="00B0798A" w14:paraId="1F7FFD0B" w14:textId="77777777" w:rsidTr="006C2E0A">
        <w:trPr>
          <w:cantSplit/>
          <w:tblHeader/>
          <w:jc w:val="center"/>
        </w:trPr>
        <w:tc>
          <w:tcPr>
            <w:tcW w:w="933" w:type="pct"/>
          </w:tcPr>
          <w:p w14:paraId="369FDE63" w14:textId="77777777" w:rsidR="00A7023F" w:rsidRPr="00B0798A" w:rsidRDefault="00A7023F" w:rsidP="00BF469C">
            <w:pPr>
              <w:autoSpaceDE w:val="0"/>
              <w:autoSpaceDN w:val="0"/>
              <w:adjustRightInd w:val="0"/>
              <w:rPr>
                <w:rFonts w:asciiTheme="minorHAnsi" w:hAnsiTheme="minorHAnsi" w:cstheme="minorHAnsi"/>
                <w:sz w:val="22"/>
                <w:szCs w:val="24"/>
                <w:lang w:val="fr-CA"/>
              </w:rPr>
            </w:pPr>
            <w:r w:rsidRPr="00B0798A">
              <w:rPr>
                <w:rFonts w:asciiTheme="minorHAnsi" w:hAnsiTheme="minorHAnsi" w:cstheme="minorHAnsi"/>
                <w:sz w:val="22"/>
                <w:szCs w:val="24"/>
                <w:lang w:val="fr-CA"/>
              </w:rPr>
              <w:t>2016 à 2017</w:t>
            </w:r>
          </w:p>
        </w:tc>
        <w:tc>
          <w:tcPr>
            <w:tcW w:w="2164" w:type="pct"/>
          </w:tcPr>
          <w:p w14:paraId="2E233D87" w14:textId="77777777" w:rsidR="00A7023F" w:rsidRPr="00B0798A" w:rsidRDefault="00A7023F" w:rsidP="00BF469C">
            <w:pPr>
              <w:autoSpaceDE w:val="0"/>
              <w:autoSpaceDN w:val="0"/>
              <w:adjustRightInd w:val="0"/>
              <w:jc w:val="center"/>
              <w:rPr>
                <w:rFonts w:asciiTheme="minorHAnsi" w:hAnsiTheme="minorHAnsi" w:cstheme="minorHAnsi"/>
                <w:sz w:val="22"/>
                <w:szCs w:val="24"/>
                <w:lang w:val="fr-CA"/>
              </w:rPr>
            </w:pPr>
            <w:r w:rsidRPr="00B0798A">
              <w:rPr>
                <w:rFonts w:asciiTheme="minorHAnsi" w:hAnsiTheme="minorHAnsi" w:cstheme="minorHAnsi"/>
                <w:sz w:val="22"/>
                <w:szCs w:val="24"/>
                <w:lang w:val="fr-CA"/>
              </w:rPr>
              <w:t>5</w:t>
            </w:r>
          </w:p>
        </w:tc>
        <w:tc>
          <w:tcPr>
            <w:tcW w:w="1903" w:type="pct"/>
          </w:tcPr>
          <w:p w14:paraId="18FC3B69" w14:textId="77777777" w:rsidR="00A7023F" w:rsidRPr="00B0798A" w:rsidRDefault="00A7023F" w:rsidP="00BF469C">
            <w:pPr>
              <w:autoSpaceDE w:val="0"/>
              <w:autoSpaceDN w:val="0"/>
              <w:adjustRightInd w:val="0"/>
              <w:jc w:val="center"/>
              <w:rPr>
                <w:rFonts w:asciiTheme="minorHAnsi" w:hAnsiTheme="minorHAnsi" w:cstheme="minorHAnsi"/>
                <w:sz w:val="22"/>
                <w:szCs w:val="24"/>
                <w:lang w:val="fr-CA"/>
              </w:rPr>
            </w:pPr>
            <w:r w:rsidRPr="00B0798A">
              <w:rPr>
                <w:rFonts w:asciiTheme="minorHAnsi" w:hAnsiTheme="minorHAnsi" w:cstheme="minorHAnsi"/>
                <w:sz w:val="22"/>
                <w:szCs w:val="24"/>
                <w:lang w:val="fr-CA"/>
              </w:rPr>
              <w:t>53</w:t>
            </w:r>
          </w:p>
        </w:tc>
      </w:tr>
      <w:tr w:rsidR="00B0798A" w:rsidRPr="00B0798A" w14:paraId="58C09751" w14:textId="77777777" w:rsidTr="006C2E0A">
        <w:trPr>
          <w:cantSplit/>
          <w:tblHeader/>
          <w:jc w:val="center"/>
        </w:trPr>
        <w:tc>
          <w:tcPr>
            <w:tcW w:w="933" w:type="pct"/>
          </w:tcPr>
          <w:p w14:paraId="0C1B56EE" w14:textId="77777777" w:rsidR="00A7023F" w:rsidRPr="00B0798A" w:rsidRDefault="00A7023F" w:rsidP="00BF469C">
            <w:pPr>
              <w:autoSpaceDE w:val="0"/>
              <w:autoSpaceDN w:val="0"/>
              <w:adjustRightInd w:val="0"/>
              <w:rPr>
                <w:rFonts w:asciiTheme="minorHAnsi" w:hAnsiTheme="minorHAnsi" w:cstheme="minorHAnsi"/>
                <w:sz w:val="22"/>
                <w:szCs w:val="24"/>
                <w:lang w:val="fr-CA"/>
              </w:rPr>
            </w:pPr>
            <w:r w:rsidRPr="00B0798A">
              <w:rPr>
                <w:rFonts w:asciiTheme="minorHAnsi" w:hAnsiTheme="minorHAnsi" w:cstheme="minorHAnsi"/>
                <w:sz w:val="22"/>
                <w:szCs w:val="24"/>
                <w:lang w:val="fr-CA"/>
              </w:rPr>
              <w:t>2017 à 2018</w:t>
            </w:r>
          </w:p>
        </w:tc>
        <w:tc>
          <w:tcPr>
            <w:tcW w:w="2164" w:type="pct"/>
          </w:tcPr>
          <w:p w14:paraId="0FE2AA53" w14:textId="77777777" w:rsidR="00A7023F" w:rsidRPr="00B0798A" w:rsidRDefault="00A7023F" w:rsidP="00BF469C">
            <w:pPr>
              <w:autoSpaceDE w:val="0"/>
              <w:autoSpaceDN w:val="0"/>
              <w:adjustRightInd w:val="0"/>
              <w:jc w:val="center"/>
              <w:rPr>
                <w:rFonts w:asciiTheme="minorHAnsi" w:hAnsiTheme="minorHAnsi" w:cstheme="minorHAnsi"/>
                <w:sz w:val="22"/>
                <w:szCs w:val="24"/>
                <w:lang w:val="fr-CA"/>
              </w:rPr>
            </w:pPr>
            <w:r w:rsidRPr="00B0798A">
              <w:rPr>
                <w:rFonts w:asciiTheme="minorHAnsi" w:hAnsiTheme="minorHAnsi" w:cstheme="minorHAnsi"/>
                <w:sz w:val="22"/>
                <w:szCs w:val="24"/>
                <w:lang w:val="fr-CA"/>
              </w:rPr>
              <w:t>2</w:t>
            </w:r>
          </w:p>
        </w:tc>
        <w:tc>
          <w:tcPr>
            <w:tcW w:w="1903" w:type="pct"/>
          </w:tcPr>
          <w:p w14:paraId="05ACFF08" w14:textId="77777777" w:rsidR="00A7023F" w:rsidRPr="00B0798A" w:rsidRDefault="00A7023F" w:rsidP="00BF469C">
            <w:pPr>
              <w:autoSpaceDE w:val="0"/>
              <w:autoSpaceDN w:val="0"/>
              <w:adjustRightInd w:val="0"/>
              <w:jc w:val="center"/>
              <w:rPr>
                <w:rFonts w:asciiTheme="minorHAnsi" w:hAnsiTheme="minorHAnsi" w:cstheme="minorHAnsi"/>
                <w:sz w:val="22"/>
                <w:szCs w:val="24"/>
                <w:lang w:val="fr-CA"/>
              </w:rPr>
            </w:pPr>
            <w:r w:rsidRPr="00B0798A">
              <w:rPr>
                <w:rFonts w:asciiTheme="minorHAnsi" w:hAnsiTheme="minorHAnsi" w:cstheme="minorHAnsi"/>
                <w:sz w:val="22"/>
                <w:szCs w:val="24"/>
                <w:lang w:val="fr-CA"/>
              </w:rPr>
              <w:t>42</w:t>
            </w:r>
          </w:p>
        </w:tc>
      </w:tr>
      <w:tr w:rsidR="00B0798A" w:rsidRPr="00B0798A" w14:paraId="6AEA4035" w14:textId="77777777" w:rsidTr="006C2E0A">
        <w:trPr>
          <w:cantSplit/>
          <w:tblHeader/>
          <w:jc w:val="center"/>
        </w:trPr>
        <w:tc>
          <w:tcPr>
            <w:tcW w:w="933" w:type="pct"/>
          </w:tcPr>
          <w:p w14:paraId="6F79EE37" w14:textId="77777777" w:rsidR="00A7023F" w:rsidRPr="00B0798A" w:rsidRDefault="00A7023F" w:rsidP="00BF469C">
            <w:pPr>
              <w:autoSpaceDE w:val="0"/>
              <w:autoSpaceDN w:val="0"/>
              <w:adjustRightInd w:val="0"/>
              <w:rPr>
                <w:rFonts w:asciiTheme="minorHAnsi" w:hAnsiTheme="minorHAnsi" w:cstheme="minorHAnsi"/>
                <w:sz w:val="22"/>
                <w:szCs w:val="24"/>
                <w:lang w:val="fr-CA"/>
              </w:rPr>
            </w:pPr>
            <w:r w:rsidRPr="00B0798A">
              <w:rPr>
                <w:rFonts w:asciiTheme="minorHAnsi" w:hAnsiTheme="minorHAnsi" w:cstheme="minorHAnsi"/>
                <w:sz w:val="22"/>
                <w:szCs w:val="24"/>
                <w:lang w:val="fr-CA"/>
              </w:rPr>
              <w:t>2018 à 2019</w:t>
            </w:r>
          </w:p>
        </w:tc>
        <w:tc>
          <w:tcPr>
            <w:tcW w:w="2164" w:type="pct"/>
          </w:tcPr>
          <w:p w14:paraId="33B4B47C" w14:textId="77777777" w:rsidR="00A7023F" w:rsidRPr="00B0798A" w:rsidRDefault="00A7023F" w:rsidP="00BF469C">
            <w:pPr>
              <w:autoSpaceDE w:val="0"/>
              <w:autoSpaceDN w:val="0"/>
              <w:adjustRightInd w:val="0"/>
              <w:jc w:val="center"/>
              <w:rPr>
                <w:rFonts w:asciiTheme="minorHAnsi" w:hAnsiTheme="minorHAnsi" w:cstheme="minorHAnsi"/>
                <w:sz w:val="22"/>
                <w:szCs w:val="24"/>
                <w:lang w:val="fr-CA"/>
              </w:rPr>
            </w:pPr>
            <w:r w:rsidRPr="00B0798A">
              <w:rPr>
                <w:rFonts w:asciiTheme="minorHAnsi" w:hAnsiTheme="minorHAnsi" w:cstheme="minorHAnsi"/>
                <w:sz w:val="22"/>
                <w:szCs w:val="24"/>
                <w:lang w:val="fr-CA"/>
              </w:rPr>
              <w:t>7</w:t>
            </w:r>
          </w:p>
        </w:tc>
        <w:tc>
          <w:tcPr>
            <w:tcW w:w="1903" w:type="pct"/>
          </w:tcPr>
          <w:p w14:paraId="367CC04E" w14:textId="77777777" w:rsidR="00A7023F" w:rsidRPr="00B0798A" w:rsidRDefault="00A7023F" w:rsidP="00BF469C">
            <w:pPr>
              <w:autoSpaceDE w:val="0"/>
              <w:autoSpaceDN w:val="0"/>
              <w:adjustRightInd w:val="0"/>
              <w:jc w:val="center"/>
              <w:rPr>
                <w:rFonts w:asciiTheme="minorHAnsi" w:hAnsiTheme="minorHAnsi" w:cstheme="minorHAnsi"/>
                <w:sz w:val="22"/>
                <w:szCs w:val="24"/>
                <w:lang w:val="fr-CA"/>
              </w:rPr>
            </w:pPr>
            <w:r w:rsidRPr="00B0798A">
              <w:rPr>
                <w:rFonts w:asciiTheme="minorHAnsi" w:hAnsiTheme="minorHAnsi" w:cstheme="minorHAnsi"/>
                <w:sz w:val="22"/>
                <w:szCs w:val="24"/>
                <w:lang w:val="fr-CA"/>
              </w:rPr>
              <w:t>52</w:t>
            </w:r>
          </w:p>
        </w:tc>
      </w:tr>
    </w:tbl>
    <w:p w14:paraId="37AE2338" w14:textId="77777777" w:rsidR="00A7023F" w:rsidRDefault="00A7023F" w:rsidP="00591DC8">
      <w:pPr>
        <w:rPr>
          <w:lang w:val="fr-CA"/>
        </w:rPr>
      </w:pPr>
      <w:r w:rsidRPr="00B0798A">
        <w:rPr>
          <w:rFonts w:asciiTheme="minorHAnsi" w:hAnsiTheme="minorHAnsi" w:cstheme="minorHAnsi"/>
          <w:sz w:val="22"/>
          <w:szCs w:val="24"/>
          <w:lang w:val="fr-CA"/>
        </w:rPr>
        <w:t>L’embauche des anciens étudiants qui avaient une expérience dans le programme fédéral de recrutement étudiant au cours des 10 dernières années.</w:t>
      </w:r>
    </w:p>
    <w:p w14:paraId="2E89FFD3" w14:textId="77777777" w:rsidR="00A7023F" w:rsidRDefault="00A7023F" w:rsidP="00591DC8">
      <w:pPr>
        <w:rPr>
          <w:lang w:val="fr-CA"/>
        </w:rPr>
        <w:sectPr w:rsidR="00A7023F" w:rsidSect="00C67F41">
          <w:footnotePr>
            <w:numFmt w:val="lowerLetter"/>
          </w:footnotePr>
          <w:endnotePr>
            <w:numFmt w:val="lowerLetter"/>
          </w:endnotePr>
          <w:pgSz w:w="15840" w:h="12240" w:orient="landscape" w:code="1"/>
          <w:pgMar w:top="567" w:right="709" w:bottom="1304" w:left="709" w:header="284" w:footer="284" w:gutter="0"/>
          <w:cols w:space="720"/>
          <w:docGrid w:linePitch="326"/>
        </w:sectPr>
      </w:pPr>
    </w:p>
    <w:p w14:paraId="7F280B61" w14:textId="77777777" w:rsidR="00A7023F" w:rsidRPr="00A7023F" w:rsidRDefault="00A7023F" w:rsidP="00A7023F">
      <w:pPr>
        <w:pStyle w:val="Heading1"/>
        <w:spacing w:before="120" w:after="120"/>
        <w:rPr>
          <w:sz w:val="40"/>
          <w:lang w:val="fr-CA"/>
        </w:rPr>
      </w:pPr>
      <w:r w:rsidRPr="00A7023F">
        <w:rPr>
          <w:sz w:val="40"/>
          <w:lang w:val="fr-CA"/>
        </w:rPr>
        <w:lastRenderedPageBreak/>
        <w:t>Durée de processus de dotation interne</w:t>
      </w:r>
    </w:p>
    <w:p w14:paraId="3E497E40" w14:textId="77777777" w:rsidR="00B0798A" w:rsidRDefault="00591DC8" w:rsidP="00B0798A">
      <w:pPr>
        <w:pStyle w:val="Level1"/>
        <w:keepNext/>
        <w:tabs>
          <w:tab w:val="left" w:pos="-1440"/>
        </w:tabs>
        <w:autoSpaceDE w:val="0"/>
        <w:autoSpaceDN w:val="0"/>
        <w:adjustRightInd w:val="0"/>
        <w:spacing w:after="120" w:line="20" w:lineRule="atLeast"/>
      </w:pPr>
      <w:r w:rsidRPr="008F610A">
        <w:rPr>
          <w:noProof/>
          <w:lang w:val="en-CA" w:eastAsia="en-CA"/>
        </w:rPr>
        <w:drawing>
          <wp:inline distT="0" distB="0" distL="0" distR="0" wp14:anchorId="60AA53F5" wp14:editId="0163C975">
            <wp:extent cx="5648400" cy="3049200"/>
            <wp:effectExtent l="0" t="0" r="9525" b="18415"/>
            <wp:docPr id="22" name="Chart 22" descr="Durée de processus de dotation interne Médiane dans la fonction publique = 176 jours, 2018-2019&#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B0798A" w:rsidRPr="008F610A">
        <w:rPr>
          <w:noProof/>
          <w:lang w:val="en-CA" w:eastAsia="en-CA"/>
        </w:rPr>
        <w:drawing>
          <wp:inline distT="0" distB="0" distL="0" distR="0" wp14:anchorId="6C342CBF" wp14:editId="28A591C7">
            <wp:extent cx="5648400" cy="3049200"/>
            <wp:effectExtent l="0" t="0" r="9525" b="18415"/>
            <wp:docPr id="23" name="Chart 23" descr="Durée de processus de dotation à interne Sécurité publique Canada = 170 jours, 2018-2019&#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47D3A63" w14:textId="77777777" w:rsidR="00B0798A" w:rsidRPr="00353602" w:rsidRDefault="00B0798A" w:rsidP="00B50592">
      <w:pPr>
        <w:pStyle w:val="Caption"/>
        <w:tabs>
          <w:tab w:val="left" w:pos="8930"/>
        </w:tabs>
        <w:spacing w:after="0"/>
        <w:rPr>
          <w:rFonts w:asciiTheme="minorHAnsi" w:hAnsiTheme="minorHAnsi" w:cstheme="minorHAnsi"/>
          <w:i w:val="0"/>
          <w:color w:val="auto"/>
        </w:rPr>
      </w:pPr>
      <w:r w:rsidRPr="00353602">
        <w:rPr>
          <w:rFonts w:asciiTheme="minorHAnsi" w:hAnsiTheme="minorHAnsi" w:cstheme="minorHAnsi"/>
          <w:i w:val="0"/>
          <w:color w:val="auto"/>
        </w:rPr>
        <w:t xml:space="preserve">Figure </w:t>
      </w:r>
      <w:r w:rsidRPr="00353602">
        <w:rPr>
          <w:rFonts w:asciiTheme="minorHAnsi" w:hAnsiTheme="minorHAnsi" w:cstheme="minorHAnsi"/>
          <w:i w:val="0"/>
          <w:color w:val="auto"/>
        </w:rPr>
        <w:fldChar w:fldCharType="begin"/>
      </w:r>
      <w:r w:rsidRPr="00353602">
        <w:rPr>
          <w:rFonts w:asciiTheme="minorHAnsi" w:hAnsiTheme="minorHAnsi" w:cstheme="minorHAnsi"/>
          <w:i w:val="0"/>
          <w:color w:val="auto"/>
        </w:rPr>
        <w:instrText xml:space="preserve"> SEQ Figure \* ARABIC </w:instrText>
      </w:r>
      <w:r w:rsidRPr="00353602">
        <w:rPr>
          <w:rFonts w:asciiTheme="minorHAnsi" w:hAnsiTheme="minorHAnsi" w:cstheme="minorHAnsi"/>
          <w:i w:val="0"/>
          <w:color w:val="auto"/>
        </w:rPr>
        <w:fldChar w:fldCharType="separate"/>
      </w:r>
      <w:r w:rsidR="00353602">
        <w:rPr>
          <w:rFonts w:asciiTheme="minorHAnsi" w:hAnsiTheme="minorHAnsi" w:cstheme="minorHAnsi"/>
          <w:i w:val="0"/>
          <w:noProof/>
          <w:color w:val="auto"/>
        </w:rPr>
        <w:t>12</w:t>
      </w:r>
      <w:r w:rsidRPr="00353602">
        <w:rPr>
          <w:rFonts w:asciiTheme="minorHAnsi" w:hAnsiTheme="minorHAnsi" w:cstheme="minorHAnsi"/>
          <w:i w:val="0"/>
          <w:color w:val="auto"/>
        </w:rPr>
        <w:fldChar w:fldCharType="end"/>
      </w:r>
      <w:r w:rsidRPr="00353602">
        <w:rPr>
          <w:rFonts w:asciiTheme="minorHAnsi" w:hAnsiTheme="minorHAnsi" w:cstheme="minorHAnsi"/>
          <w:i w:val="0"/>
          <w:color w:val="auto"/>
        </w:rPr>
        <w:t xml:space="preserve"> - D</w:t>
      </w:r>
      <w:r w:rsidR="00353602" w:rsidRPr="00353602">
        <w:rPr>
          <w:rFonts w:asciiTheme="minorHAnsi" w:hAnsiTheme="minorHAnsi" w:cstheme="minorHAnsi"/>
          <w:i w:val="0"/>
          <w:color w:val="auto"/>
        </w:rPr>
        <w:t xml:space="preserve">urée de processus de dotation </w:t>
      </w:r>
      <w:r w:rsidRPr="00353602">
        <w:rPr>
          <w:rFonts w:asciiTheme="minorHAnsi" w:hAnsiTheme="minorHAnsi" w:cstheme="minorHAnsi"/>
          <w:i w:val="0"/>
          <w:color w:val="auto"/>
        </w:rPr>
        <w:t>interne</w:t>
      </w:r>
      <w:r w:rsidR="00353602" w:rsidRPr="00353602">
        <w:rPr>
          <w:rFonts w:asciiTheme="minorHAnsi" w:hAnsiTheme="minorHAnsi" w:cstheme="minorHAnsi"/>
          <w:i w:val="0"/>
          <w:color w:val="auto"/>
        </w:rPr>
        <w:t xml:space="preserve"> Médiane dans la fonction publique = 176 jours, 2018-2019</w:t>
      </w:r>
      <w:r w:rsidR="00353602" w:rsidRPr="00353602">
        <w:rPr>
          <w:rFonts w:asciiTheme="minorHAnsi" w:hAnsiTheme="minorHAnsi" w:cstheme="minorHAnsi"/>
          <w:i w:val="0"/>
          <w:color w:val="auto"/>
        </w:rPr>
        <w:tab/>
      </w:r>
      <w:r w:rsidRPr="00353602">
        <w:rPr>
          <w:rFonts w:asciiTheme="minorHAnsi" w:hAnsiTheme="minorHAnsi" w:cstheme="minorHAnsi"/>
          <w:i w:val="0"/>
          <w:color w:val="auto"/>
        </w:rPr>
        <w:t xml:space="preserve">Figure </w:t>
      </w:r>
      <w:r w:rsidRPr="00353602">
        <w:rPr>
          <w:rFonts w:asciiTheme="minorHAnsi" w:hAnsiTheme="minorHAnsi" w:cstheme="minorHAnsi"/>
          <w:i w:val="0"/>
          <w:color w:val="auto"/>
        </w:rPr>
        <w:fldChar w:fldCharType="begin"/>
      </w:r>
      <w:r w:rsidRPr="00353602">
        <w:rPr>
          <w:rFonts w:asciiTheme="minorHAnsi" w:hAnsiTheme="minorHAnsi" w:cstheme="minorHAnsi"/>
          <w:i w:val="0"/>
          <w:color w:val="auto"/>
        </w:rPr>
        <w:instrText xml:space="preserve"> SEQ Figure \* ARABIC </w:instrText>
      </w:r>
      <w:r w:rsidRPr="00353602">
        <w:rPr>
          <w:rFonts w:asciiTheme="minorHAnsi" w:hAnsiTheme="minorHAnsi" w:cstheme="minorHAnsi"/>
          <w:i w:val="0"/>
          <w:color w:val="auto"/>
        </w:rPr>
        <w:fldChar w:fldCharType="separate"/>
      </w:r>
      <w:r w:rsidR="00353602">
        <w:rPr>
          <w:rFonts w:asciiTheme="minorHAnsi" w:hAnsiTheme="minorHAnsi" w:cstheme="minorHAnsi"/>
          <w:i w:val="0"/>
          <w:noProof/>
          <w:color w:val="auto"/>
        </w:rPr>
        <w:t>13</w:t>
      </w:r>
      <w:r w:rsidRPr="00353602">
        <w:rPr>
          <w:rFonts w:asciiTheme="minorHAnsi" w:hAnsiTheme="minorHAnsi" w:cstheme="minorHAnsi"/>
          <w:i w:val="0"/>
          <w:color w:val="auto"/>
        </w:rPr>
        <w:fldChar w:fldCharType="end"/>
      </w:r>
      <w:r w:rsidRPr="00353602">
        <w:rPr>
          <w:rFonts w:asciiTheme="minorHAnsi" w:hAnsiTheme="minorHAnsi" w:cstheme="minorHAnsi"/>
          <w:i w:val="0"/>
          <w:color w:val="auto"/>
        </w:rPr>
        <w:t xml:space="preserve"> - Durée de processus de dotation interne</w:t>
      </w:r>
      <w:r w:rsidR="00353602" w:rsidRPr="00353602">
        <w:rPr>
          <w:rFonts w:asciiTheme="minorHAnsi" w:hAnsiTheme="minorHAnsi" w:cstheme="minorHAnsi"/>
          <w:i w:val="0"/>
          <w:color w:val="auto"/>
        </w:rPr>
        <w:t xml:space="preserve"> Sécurité publique Canada = 170 jours, 2018-2019</w:t>
      </w:r>
    </w:p>
    <w:p w14:paraId="7335B956" w14:textId="77777777" w:rsidR="00353602" w:rsidRPr="00353602" w:rsidRDefault="00353602" w:rsidP="00B50592">
      <w:pPr>
        <w:numPr>
          <w:ilvl w:val="1"/>
          <w:numId w:val="0"/>
        </w:numPr>
        <w:spacing w:before="240" w:after="120"/>
        <w:rPr>
          <w:rStyle w:val="Hyperlink"/>
          <w:rFonts w:asciiTheme="minorHAnsi" w:eastAsiaTheme="minorHAnsi" w:hAnsiTheme="minorHAnsi" w:cstheme="minorHAnsi"/>
          <w:sz w:val="22"/>
          <w:szCs w:val="22"/>
        </w:rPr>
      </w:pPr>
      <w:r>
        <w:rPr>
          <w:rStyle w:val="Hyperlink"/>
          <w:rFonts w:asciiTheme="minorHAnsi" w:eastAsiaTheme="minorHAnsi" w:hAnsiTheme="minorHAnsi" w:cstheme="minorHAnsi"/>
          <w:sz w:val="22"/>
          <w:szCs w:val="22"/>
        </w:rPr>
        <w:fldChar w:fldCharType="begin"/>
      </w:r>
      <w:r>
        <w:rPr>
          <w:rStyle w:val="Hyperlink"/>
          <w:rFonts w:asciiTheme="minorHAnsi" w:eastAsiaTheme="minorHAnsi" w:hAnsiTheme="minorHAnsi" w:cstheme="minorHAnsi"/>
          <w:sz w:val="22"/>
          <w:szCs w:val="22"/>
        </w:rPr>
        <w:instrText xml:space="preserve"> HYPERLINK  \l "Durée_dotation_interne" </w:instrText>
      </w:r>
      <w:r>
        <w:rPr>
          <w:rStyle w:val="Hyperlink"/>
          <w:rFonts w:asciiTheme="minorHAnsi" w:eastAsiaTheme="minorHAnsi" w:hAnsiTheme="minorHAnsi" w:cstheme="minorHAnsi"/>
          <w:sz w:val="22"/>
          <w:szCs w:val="22"/>
        </w:rPr>
        <w:fldChar w:fldCharType="separate"/>
      </w:r>
      <w:r w:rsidRPr="00353602">
        <w:rPr>
          <w:rStyle w:val="Hyperlink"/>
          <w:rFonts w:asciiTheme="minorHAnsi" w:eastAsiaTheme="minorHAnsi" w:hAnsiTheme="minorHAnsi" w:cstheme="minorHAnsi"/>
          <w:sz w:val="22"/>
          <w:szCs w:val="22"/>
        </w:rPr>
        <w:t>Tableau des données sur la durée de dotation interne disponible ici.</w:t>
      </w:r>
    </w:p>
    <w:p w14:paraId="6F13FC1E" w14:textId="77777777" w:rsidR="00353602" w:rsidRDefault="00353602" w:rsidP="00AA6E5A">
      <w:pPr>
        <w:pStyle w:val="Level1"/>
        <w:tabs>
          <w:tab w:val="left" w:pos="-1440"/>
        </w:tabs>
        <w:autoSpaceDE w:val="0"/>
        <w:autoSpaceDN w:val="0"/>
        <w:adjustRightInd w:val="0"/>
        <w:spacing w:after="120" w:line="20" w:lineRule="atLeast"/>
        <w:rPr>
          <w:rFonts w:asciiTheme="minorHAnsi" w:hAnsiTheme="minorHAnsi"/>
          <w:sz w:val="22"/>
          <w:szCs w:val="22"/>
          <w:lang w:val="fr-CA"/>
        </w:rPr>
        <w:sectPr w:rsidR="00353602" w:rsidSect="00A7023F">
          <w:footnotePr>
            <w:numFmt w:val="lowerLetter"/>
          </w:footnotePr>
          <w:endnotePr>
            <w:numFmt w:val="lowerLetter"/>
          </w:endnotePr>
          <w:pgSz w:w="20160" w:h="12240" w:orient="landscape" w:code="5"/>
          <w:pgMar w:top="567" w:right="709" w:bottom="1304" w:left="709" w:header="284" w:footer="284" w:gutter="0"/>
          <w:cols w:space="720"/>
          <w:docGrid w:linePitch="326"/>
        </w:sectPr>
      </w:pPr>
      <w:r>
        <w:rPr>
          <w:rStyle w:val="Hyperlink"/>
          <w:rFonts w:asciiTheme="minorHAnsi" w:eastAsiaTheme="minorHAnsi" w:hAnsiTheme="minorHAnsi" w:cstheme="minorHAnsi"/>
          <w:sz w:val="22"/>
          <w:szCs w:val="22"/>
        </w:rPr>
        <w:fldChar w:fldCharType="end"/>
      </w:r>
    </w:p>
    <w:p w14:paraId="6CBC100B" w14:textId="77777777" w:rsidR="00AA6E5A" w:rsidRPr="00353602" w:rsidRDefault="00094204" w:rsidP="00AA6E5A">
      <w:pPr>
        <w:pStyle w:val="Level1"/>
        <w:tabs>
          <w:tab w:val="left" w:pos="-1440"/>
        </w:tabs>
        <w:autoSpaceDE w:val="0"/>
        <w:autoSpaceDN w:val="0"/>
        <w:adjustRightInd w:val="0"/>
        <w:spacing w:after="120" w:line="20" w:lineRule="atLeast"/>
        <w:rPr>
          <w:rFonts w:asciiTheme="minorHAnsi" w:hAnsiTheme="minorHAnsi" w:cstheme="minorHAnsi"/>
          <w:sz w:val="22"/>
          <w:szCs w:val="22"/>
          <w:lang w:val="fr-CA"/>
        </w:rPr>
      </w:pPr>
      <w:r w:rsidRPr="00353602">
        <w:rPr>
          <w:rFonts w:asciiTheme="minorHAnsi" w:hAnsiTheme="minorHAnsi" w:cstheme="minorHAnsi"/>
          <w:sz w:val="22"/>
          <w:szCs w:val="22"/>
          <w:lang w:val="fr-CA"/>
        </w:rPr>
        <w:t xml:space="preserve">La durée d’un processus de dotation </w:t>
      </w:r>
      <w:r w:rsidR="00591DC8" w:rsidRPr="00353602">
        <w:rPr>
          <w:rFonts w:asciiTheme="minorHAnsi" w:hAnsiTheme="minorHAnsi" w:cstheme="minorHAnsi"/>
          <w:sz w:val="22"/>
          <w:szCs w:val="22"/>
          <w:lang w:val="fr-CA"/>
        </w:rPr>
        <w:t>interne correspond au nombre de jours civils entre la date d</w:t>
      </w:r>
      <w:r w:rsidR="00E346A8" w:rsidRPr="00353602">
        <w:rPr>
          <w:rFonts w:asciiTheme="minorHAnsi" w:hAnsiTheme="minorHAnsi" w:cstheme="minorHAnsi"/>
          <w:sz w:val="22"/>
          <w:szCs w:val="22"/>
          <w:lang w:val="fr-CA"/>
        </w:rPr>
        <w:t>’</w:t>
      </w:r>
      <w:r w:rsidR="00591DC8" w:rsidRPr="00353602">
        <w:rPr>
          <w:rFonts w:asciiTheme="minorHAnsi" w:hAnsiTheme="minorHAnsi" w:cstheme="minorHAnsi"/>
          <w:sz w:val="22"/>
          <w:szCs w:val="22"/>
          <w:lang w:val="fr-CA"/>
        </w:rPr>
        <w:t>ouverture de l</w:t>
      </w:r>
      <w:r w:rsidR="00E346A8" w:rsidRPr="00353602">
        <w:rPr>
          <w:rFonts w:asciiTheme="minorHAnsi" w:hAnsiTheme="minorHAnsi" w:cstheme="minorHAnsi"/>
          <w:sz w:val="22"/>
          <w:szCs w:val="22"/>
          <w:lang w:val="fr-CA"/>
        </w:rPr>
        <w:t>’</w:t>
      </w:r>
      <w:r w:rsidR="00591DC8" w:rsidRPr="00353602">
        <w:rPr>
          <w:rFonts w:asciiTheme="minorHAnsi" w:hAnsiTheme="minorHAnsi" w:cstheme="minorHAnsi"/>
          <w:sz w:val="22"/>
          <w:szCs w:val="22"/>
          <w:lang w:val="fr-CA"/>
        </w:rPr>
        <w:t>annonce et la date d</w:t>
      </w:r>
      <w:r w:rsidRPr="00353602">
        <w:rPr>
          <w:rFonts w:asciiTheme="minorHAnsi" w:hAnsiTheme="minorHAnsi" w:cstheme="minorHAnsi"/>
          <w:sz w:val="22"/>
          <w:szCs w:val="22"/>
          <w:lang w:val="fr-CA"/>
        </w:rPr>
        <w:t>u premier avis</w:t>
      </w:r>
      <w:r w:rsidR="00591DC8" w:rsidRPr="00353602">
        <w:rPr>
          <w:rFonts w:asciiTheme="minorHAnsi" w:hAnsiTheme="minorHAnsi" w:cstheme="minorHAnsi"/>
          <w:sz w:val="22"/>
          <w:szCs w:val="22"/>
          <w:lang w:val="fr-CA"/>
        </w:rPr>
        <w:t>.</w:t>
      </w:r>
      <w:r w:rsidR="005D0989" w:rsidRPr="00353602">
        <w:rPr>
          <w:rFonts w:asciiTheme="minorHAnsi" w:hAnsiTheme="minorHAnsi" w:cstheme="minorHAnsi"/>
          <w:sz w:val="22"/>
          <w:szCs w:val="22"/>
          <w:lang w:val="fr-CA"/>
        </w:rPr>
        <w:t xml:space="preserve"> </w:t>
      </w:r>
    </w:p>
    <w:p w14:paraId="05C06DA9" w14:textId="77777777" w:rsidR="00353602" w:rsidRPr="00353602" w:rsidRDefault="00353602" w:rsidP="00353602">
      <w:pPr>
        <w:rPr>
          <w:rFonts w:asciiTheme="minorHAnsi" w:hAnsiTheme="minorHAnsi" w:cstheme="minorHAnsi"/>
          <w:sz w:val="22"/>
          <w:szCs w:val="22"/>
          <w:lang w:val="fr-CA"/>
        </w:rPr>
      </w:pPr>
      <w:r w:rsidRPr="00353602">
        <w:rPr>
          <w:rFonts w:asciiTheme="minorHAnsi" w:hAnsiTheme="minorHAnsi" w:cstheme="minorHAnsi"/>
          <w:sz w:val="22"/>
          <w:szCs w:val="22"/>
          <w:lang w:val="fr-CA"/>
        </w:rPr>
        <w:t xml:space="preserve">La durée médiane de dotation interne pour la fonction publique (organisations assujetties à la </w:t>
      </w:r>
      <w:r w:rsidRPr="00353602">
        <w:rPr>
          <w:rStyle w:val="Emphasis"/>
          <w:rFonts w:asciiTheme="minorHAnsi" w:hAnsiTheme="minorHAnsi" w:cstheme="minorHAnsi"/>
          <w:sz w:val="22"/>
        </w:rPr>
        <w:t>Loi sur l’emploi dans la fonction publique</w:t>
      </w:r>
      <w:r w:rsidRPr="00353602">
        <w:rPr>
          <w:rFonts w:asciiTheme="minorHAnsi" w:hAnsiTheme="minorHAnsi" w:cstheme="minorHAnsi"/>
          <w:sz w:val="22"/>
          <w:szCs w:val="22"/>
          <w:lang w:val="fr-CA"/>
        </w:rPr>
        <w:t>) pour l’exercice financier 2018 à 2019 est 176 jours</w:t>
      </w:r>
    </w:p>
    <w:p w14:paraId="423BA304" w14:textId="77777777" w:rsidR="00A7023F" w:rsidRPr="00353602" w:rsidRDefault="00A7023F" w:rsidP="00BF469C">
      <w:pPr>
        <w:rPr>
          <w:rStyle w:val="Strong"/>
          <w:rFonts w:asciiTheme="minorHAnsi" w:hAnsiTheme="minorHAnsi" w:cstheme="minorHAnsi"/>
          <w:sz w:val="22"/>
        </w:rPr>
      </w:pPr>
      <w:r w:rsidRPr="00353602">
        <w:rPr>
          <w:rStyle w:val="Strong"/>
          <w:rFonts w:asciiTheme="minorHAnsi" w:hAnsiTheme="minorHAnsi" w:cstheme="minorHAnsi"/>
          <w:sz w:val="22"/>
        </w:rPr>
        <w:t>Durée de dotation interne pour l’exercice financier de 2018 à 2019</w:t>
      </w:r>
    </w:p>
    <w:p w14:paraId="04E9BA41" w14:textId="77777777" w:rsidR="00A7023F" w:rsidRPr="00353602" w:rsidRDefault="00A7023F" w:rsidP="00BF469C">
      <w:pPr>
        <w:rPr>
          <w:rFonts w:asciiTheme="minorHAnsi" w:hAnsiTheme="minorHAnsi" w:cstheme="minorHAnsi"/>
          <w:sz w:val="22"/>
          <w:szCs w:val="22"/>
          <w:lang w:val="fr-CA"/>
        </w:rPr>
      </w:pPr>
      <w:r w:rsidRPr="00353602">
        <w:rPr>
          <w:rFonts w:asciiTheme="minorHAnsi" w:hAnsiTheme="minorHAnsi" w:cstheme="minorHAnsi"/>
          <w:sz w:val="22"/>
          <w:szCs w:val="22"/>
          <w:lang w:val="fr-CA"/>
        </w:rPr>
        <w:t>La durée médiane de dotation interne à la Sécurité publique du Canada pour l’exercice financier 2018 à 2019 est 170 jours</w:t>
      </w:r>
    </w:p>
    <w:p w14:paraId="159B1560" w14:textId="77777777" w:rsidR="00353602" w:rsidRPr="00353602" w:rsidRDefault="00353602" w:rsidP="00AA6E5A">
      <w:pPr>
        <w:pStyle w:val="Level1"/>
        <w:tabs>
          <w:tab w:val="left" w:pos="-1440"/>
        </w:tabs>
        <w:autoSpaceDE w:val="0"/>
        <w:autoSpaceDN w:val="0"/>
        <w:adjustRightInd w:val="0"/>
        <w:spacing w:after="120" w:line="20" w:lineRule="atLeast"/>
        <w:rPr>
          <w:rFonts w:asciiTheme="minorHAnsi" w:hAnsiTheme="minorHAnsi" w:cstheme="minorHAnsi"/>
          <w:sz w:val="22"/>
          <w:szCs w:val="22"/>
          <w:lang w:val="fr-CA"/>
        </w:rPr>
        <w:sectPr w:rsidR="00353602" w:rsidRPr="00353602" w:rsidSect="00353602">
          <w:footnotePr>
            <w:numFmt w:val="lowerLetter"/>
          </w:footnotePr>
          <w:endnotePr>
            <w:numFmt w:val="lowerLetter"/>
          </w:endnotePr>
          <w:type w:val="continuous"/>
          <w:pgSz w:w="20160" w:h="12240" w:orient="landscape" w:code="5"/>
          <w:pgMar w:top="567" w:right="709" w:bottom="1304" w:left="709" w:header="284" w:footer="284" w:gutter="0"/>
          <w:cols w:num="2" w:space="720"/>
          <w:docGrid w:linePitch="326"/>
        </w:sectPr>
      </w:pPr>
    </w:p>
    <w:p w14:paraId="798FBB78" w14:textId="77777777" w:rsidR="00A7023F" w:rsidRPr="008F610A" w:rsidRDefault="00A7023F" w:rsidP="00AA6E5A">
      <w:pPr>
        <w:pStyle w:val="Level1"/>
        <w:tabs>
          <w:tab w:val="left" w:pos="-1440"/>
        </w:tabs>
        <w:autoSpaceDE w:val="0"/>
        <w:autoSpaceDN w:val="0"/>
        <w:adjustRightInd w:val="0"/>
        <w:spacing w:after="120" w:line="20" w:lineRule="atLeast"/>
        <w:rPr>
          <w:rFonts w:cs="Arial"/>
          <w:lang w:val="fr-CA"/>
        </w:rPr>
        <w:sectPr w:rsidR="00A7023F" w:rsidRPr="008F610A" w:rsidSect="00353602">
          <w:footnotePr>
            <w:numFmt w:val="lowerLetter"/>
          </w:footnotePr>
          <w:endnotePr>
            <w:numFmt w:val="lowerLetter"/>
          </w:endnotePr>
          <w:type w:val="continuous"/>
          <w:pgSz w:w="20160" w:h="12240" w:orient="landscape" w:code="5"/>
          <w:pgMar w:top="567" w:right="709" w:bottom="1304" w:left="709" w:header="284" w:footer="284" w:gutter="0"/>
          <w:cols w:space="720"/>
          <w:docGrid w:linePitch="326"/>
        </w:sectPr>
      </w:pPr>
    </w:p>
    <w:p w14:paraId="1A17E242" w14:textId="77777777" w:rsidR="00707DA2" w:rsidRPr="005F0C32" w:rsidRDefault="00707DA2" w:rsidP="005F0C32">
      <w:pPr>
        <w:pStyle w:val="Heading1"/>
        <w:spacing w:before="120" w:after="120"/>
        <w:rPr>
          <w:sz w:val="40"/>
          <w:lang w:val="fr-CA"/>
        </w:rPr>
      </w:pPr>
      <w:r w:rsidRPr="005F0C32">
        <w:rPr>
          <w:sz w:val="40"/>
          <w:lang w:val="fr-CA"/>
        </w:rPr>
        <w:lastRenderedPageBreak/>
        <w:t>Durée de processus de dotation interne</w:t>
      </w:r>
    </w:p>
    <w:p w14:paraId="214FB49A" w14:textId="77777777" w:rsidR="005F0C32" w:rsidRPr="0035288E" w:rsidRDefault="005F0C32" w:rsidP="005F0C32">
      <w:pPr>
        <w:pStyle w:val="Caption"/>
        <w:keepNext/>
        <w:spacing w:after="0"/>
        <w:rPr>
          <w:rFonts w:asciiTheme="minorHAnsi" w:hAnsiTheme="minorHAnsi" w:cstheme="minorHAnsi"/>
          <w:i w:val="0"/>
          <w:color w:val="auto"/>
        </w:rPr>
      </w:pPr>
      <w:r w:rsidRPr="0035288E">
        <w:rPr>
          <w:rFonts w:asciiTheme="minorHAnsi" w:hAnsiTheme="minorHAnsi" w:cstheme="minorHAnsi"/>
          <w:i w:val="0"/>
          <w:color w:val="auto"/>
        </w:rPr>
        <w:t xml:space="preserve">Table </w:t>
      </w:r>
      <w:r w:rsidRPr="0035288E">
        <w:rPr>
          <w:rFonts w:asciiTheme="minorHAnsi" w:hAnsiTheme="minorHAnsi" w:cstheme="minorHAnsi"/>
          <w:i w:val="0"/>
          <w:color w:val="auto"/>
        </w:rPr>
        <w:fldChar w:fldCharType="begin"/>
      </w:r>
      <w:r w:rsidRPr="0035288E">
        <w:rPr>
          <w:rFonts w:asciiTheme="minorHAnsi" w:hAnsiTheme="minorHAnsi" w:cstheme="minorHAnsi"/>
          <w:i w:val="0"/>
          <w:color w:val="auto"/>
        </w:rPr>
        <w:instrText xml:space="preserve"> SEQ Table \* ARABIC </w:instrText>
      </w:r>
      <w:r w:rsidRPr="0035288E">
        <w:rPr>
          <w:rFonts w:asciiTheme="minorHAnsi" w:hAnsiTheme="minorHAnsi" w:cstheme="minorHAnsi"/>
          <w:i w:val="0"/>
          <w:color w:val="auto"/>
        </w:rPr>
        <w:fldChar w:fldCharType="separate"/>
      </w:r>
      <w:r w:rsidR="00766F9D" w:rsidRPr="0035288E">
        <w:rPr>
          <w:rFonts w:asciiTheme="minorHAnsi" w:hAnsiTheme="minorHAnsi" w:cstheme="minorHAnsi"/>
          <w:i w:val="0"/>
          <w:noProof/>
          <w:color w:val="auto"/>
        </w:rPr>
        <w:t>15</w:t>
      </w:r>
      <w:r w:rsidRPr="0035288E">
        <w:rPr>
          <w:rFonts w:asciiTheme="minorHAnsi" w:hAnsiTheme="minorHAnsi" w:cstheme="minorHAnsi"/>
          <w:i w:val="0"/>
          <w:color w:val="auto"/>
        </w:rPr>
        <w:fldChar w:fldCharType="end"/>
      </w:r>
      <w:r w:rsidRPr="0035288E">
        <w:rPr>
          <w:rFonts w:asciiTheme="minorHAnsi" w:hAnsiTheme="minorHAnsi" w:cstheme="minorHAnsi"/>
          <w:i w:val="0"/>
          <w:color w:val="auto"/>
        </w:rPr>
        <w:t xml:space="preserve"> - Durée de processus de dotation interne</w:t>
      </w:r>
    </w:p>
    <w:tbl>
      <w:tblPr>
        <w:tblStyle w:val="TableGrid"/>
        <w:tblW w:w="5000" w:type="pct"/>
        <w:jc w:val="center"/>
        <w:tblLook w:val="0020" w:firstRow="1" w:lastRow="0" w:firstColumn="0" w:lastColumn="0" w:noHBand="0" w:noVBand="0"/>
        <w:tblDescription w:val="Durée des processus de dotation interne"/>
      </w:tblPr>
      <w:tblGrid>
        <w:gridCol w:w="5882"/>
        <w:gridCol w:w="8585"/>
        <w:gridCol w:w="8585"/>
      </w:tblGrid>
      <w:tr w:rsidR="00707DA2" w:rsidRPr="00353602" w14:paraId="41AD2FE6" w14:textId="77777777" w:rsidTr="006C2E0A">
        <w:trPr>
          <w:cantSplit/>
          <w:trHeight w:val="290"/>
          <w:tblHeader/>
          <w:jc w:val="center"/>
        </w:trPr>
        <w:tc>
          <w:tcPr>
            <w:tcW w:w="1276" w:type="pct"/>
          </w:tcPr>
          <w:p w14:paraId="09D03B62" w14:textId="77777777" w:rsidR="00707DA2" w:rsidRPr="00353602" w:rsidRDefault="00707DA2" w:rsidP="00353602">
            <w:pPr>
              <w:pStyle w:val="TableTitle"/>
              <w:rPr>
                <w:color w:val="auto"/>
                <w:sz w:val="22"/>
                <w:lang w:val="fr-CA"/>
              </w:rPr>
            </w:pPr>
            <w:bookmarkStart w:id="2" w:name="Durée_dotation_interne"/>
            <w:r w:rsidRPr="00353602">
              <w:rPr>
                <w:color w:val="auto"/>
                <w:sz w:val="22"/>
                <w:lang w:val="fr-CA"/>
              </w:rPr>
              <w:t>Nombre de jours civils</w:t>
            </w:r>
            <w:bookmarkEnd w:id="2"/>
          </w:p>
        </w:tc>
        <w:tc>
          <w:tcPr>
            <w:tcW w:w="1862" w:type="pct"/>
          </w:tcPr>
          <w:p w14:paraId="1482E45D" w14:textId="33B986F5" w:rsidR="00707DA2" w:rsidRPr="00353602" w:rsidRDefault="00707DA2" w:rsidP="00353602">
            <w:pPr>
              <w:pStyle w:val="TableTitle"/>
              <w:rPr>
                <w:color w:val="auto"/>
                <w:sz w:val="22"/>
                <w:lang w:val="fr-CA"/>
              </w:rPr>
            </w:pPr>
            <w:r w:rsidRPr="00353602">
              <w:rPr>
                <w:color w:val="auto"/>
                <w:sz w:val="22"/>
                <w:lang w:val="fr-CA"/>
              </w:rPr>
              <w:t xml:space="preserve">Le nombre de premières embauches internes dans un processus interne (durée de dotation interne) dans les organisations assujetties à la </w:t>
            </w:r>
            <w:r w:rsidRPr="0035288E">
              <w:rPr>
                <w:rStyle w:val="Emphasis"/>
                <w:rFonts w:cs="Segoe UI Semibold"/>
                <w:color w:val="auto"/>
                <w:sz w:val="22"/>
              </w:rPr>
              <w:t>Loi sur l’emploi dans la fonction publique,</w:t>
            </w:r>
            <w:r w:rsidRPr="00353602">
              <w:rPr>
                <w:color w:val="auto"/>
                <w:sz w:val="22"/>
                <w:lang w:val="fr-CA"/>
              </w:rPr>
              <w:t xml:space="preserve"> </w:t>
            </w:r>
            <w:r w:rsidR="00C24A0E">
              <w:rPr>
                <w:color w:val="auto"/>
                <w:sz w:val="22"/>
                <w:lang w:val="fr-CA"/>
              </w:rPr>
              <w:t>selon</w:t>
            </w:r>
            <w:r w:rsidR="00C24A0E" w:rsidRPr="00353602">
              <w:rPr>
                <w:color w:val="auto"/>
                <w:sz w:val="22"/>
                <w:lang w:val="fr-CA"/>
              </w:rPr>
              <w:t xml:space="preserve"> </w:t>
            </w:r>
            <w:r w:rsidRPr="00353602">
              <w:rPr>
                <w:color w:val="auto"/>
                <w:sz w:val="22"/>
                <w:lang w:val="fr-CA"/>
              </w:rPr>
              <w:t>le nombre de jours civils spécifié</w:t>
            </w:r>
          </w:p>
        </w:tc>
        <w:tc>
          <w:tcPr>
            <w:tcW w:w="1862" w:type="pct"/>
          </w:tcPr>
          <w:p w14:paraId="7C7F7B61" w14:textId="6F7B431C" w:rsidR="00707DA2" w:rsidRPr="00353602" w:rsidRDefault="00707DA2" w:rsidP="00353602">
            <w:pPr>
              <w:pStyle w:val="TableTitle"/>
              <w:rPr>
                <w:color w:val="auto"/>
                <w:sz w:val="22"/>
                <w:lang w:val="fr-CA"/>
              </w:rPr>
            </w:pPr>
            <w:r w:rsidRPr="00353602">
              <w:rPr>
                <w:color w:val="auto"/>
                <w:sz w:val="22"/>
                <w:lang w:val="fr-CA"/>
              </w:rPr>
              <w:t xml:space="preserve">Le nombre de premières embauches internes dans un processus interne (durée de dotation interne) dans l’organisation spécifiée, </w:t>
            </w:r>
            <w:r w:rsidR="00C24A0E">
              <w:rPr>
                <w:color w:val="auto"/>
                <w:sz w:val="22"/>
                <w:lang w:val="fr-CA"/>
              </w:rPr>
              <w:t>selon</w:t>
            </w:r>
            <w:r w:rsidR="00C24A0E" w:rsidRPr="00353602">
              <w:rPr>
                <w:color w:val="auto"/>
                <w:sz w:val="22"/>
                <w:lang w:val="fr-CA"/>
              </w:rPr>
              <w:t xml:space="preserve"> </w:t>
            </w:r>
            <w:r w:rsidRPr="00353602">
              <w:rPr>
                <w:color w:val="auto"/>
                <w:sz w:val="22"/>
                <w:lang w:val="fr-CA"/>
              </w:rPr>
              <w:t>le nombre de jours civils spécifié</w:t>
            </w:r>
          </w:p>
        </w:tc>
      </w:tr>
      <w:tr w:rsidR="005F0C32" w:rsidRPr="005F0C32" w14:paraId="5EC1422A" w14:textId="77777777" w:rsidTr="006C2E0A">
        <w:trPr>
          <w:cantSplit/>
          <w:trHeight w:val="290"/>
          <w:tblHeader/>
          <w:jc w:val="center"/>
        </w:trPr>
        <w:tc>
          <w:tcPr>
            <w:tcW w:w="1276" w:type="pct"/>
          </w:tcPr>
          <w:p w14:paraId="2C13678B" w14:textId="77777777" w:rsidR="00707DA2" w:rsidRPr="00353602" w:rsidRDefault="00707DA2" w:rsidP="00BF469C">
            <w:pPr>
              <w:autoSpaceDE w:val="0"/>
              <w:autoSpaceDN w:val="0"/>
              <w:adjustRightInd w:val="0"/>
              <w:rPr>
                <w:rFonts w:asciiTheme="minorHAnsi" w:hAnsiTheme="minorHAnsi" w:cstheme="minorHAnsi"/>
                <w:sz w:val="22"/>
                <w:szCs w:val="22"/>
                <w:lang w:val="fr-CA"/>
              </w:rPr>
            </w:pPr>
            <w:r w:rsidRPr="00353602">
              <w:rPr>
                <w:rFonts w:asciiTheme="minorHAnsi" w:hAnsiTheme="minorHAnsi" w:cstheme="minorHAnsi"/>
                <w:sz w:val="22"/>
                <w:szCs w:val="22"/>
                <w:lang w:val="fr-CA"/>
              </w:rPr>
              <w:t>0 à 29 jours civils</w:t>
            </w:r>
          </w:p>
        </w:tc>
        <w:tc>
          <w:tcPr>
            <w:tcW w:w="1862" w:type="pct"/>
          </w:tcPr>
          <w:p w14:paraId="7F7802EE" w14:textId="77777777" w:rsidR="00707DA2" w:rsidRPr="00353602" w:rsidRDefault="00707DA2" w:rsidP="00BF469C">
            <w:pPr>
              <w:autoSpaceDE w:val="0"/>
              <w:autoSpaceDN w:val="0"/>
              <w:adjustRightInd w:val="0"/>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15</w:t>
            </w:r>
          </w:p>
        </w:tc>
        <w:tc>
          <w:tcPr>
            <w:tcW w:w="1862" w:type="pct"/>
          </w:tcPr>
          <w:p w14:paraId="3A155095" w14:textId="77777777" w:rsidR="00707DA2" w:rsidRPr="00353602" w:rsidRDefault="00707DA2" w:rsidP="00BF469C">
            <w:pPr>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0</w:t>
            </w:r>
          </w:p>
        </w:tc>
      </w:tr>
      <w:tr w:rsidR="005F0C32" w:rsidRPr="005F0C32" w14:paraId="2A35CAD5" w14:textId="77777777" w:rsidTr="006C2E0A">
        <w:trPr>
          <w:cantSplit/>
          <w:trHeight w:val="290"/>
          <w:tblHeader/>
          <w:jc w:val="center"/>
        </w:trPr>
        <w:tc>
          <w:tcPr>
            <w:tcW w:w="1276" w:type="pct"/>
          </w:tcPr>
          <w:p w14:paraId="37141D86" w14:textId="77777777" w:rsidR="00707DA2" w:rsidRPr="00353602" w:rsidRDefault="00707DA2" w:rsidP="00BF469C">
            <w:pPr>
              <w:autoSpaceDE w:val="0"/>
              <w:autoSpaceDN w:val="0"/>
              <w:adjustRightInd w:val="0"/>
              <w:rPr>
                <w:rFonts w:asciiTheme="minorHAnsi" w:hAnsiTheme="minorHAnsi" w:cstheme="minorHAnsi"/>
                <w:sz w:val="22"/>
                <w:szCs w:val="22"/>
                <w:lang w:val="fr-CA"/>
              </w:rPr>
            </w:pPr>
            <w:r w:rsidRPr="00353602">
              <w:rPr>
                <w:rFonts w:asciiTheme="minorHAnsi" w:hAnsiTheme="minorHAnsi" w:cstheme="minorHAnsi"/>
                <w:sz w:val="22"/>
                <w:szCs w:val="22"/>
                <w:lang w:val="fr-CA"/>
              </w:rPr>
              <w:t>30 à 59 jours civils</w:t>
            </w:r>
          </w:p>
        </w:tc>
        <w:tc>
          <w:tcPr>
            <w:tcW w:w="1862" w:type="pct"/>
          </w:tcPr>
          <w:p w14:paraId="19BD7679" w14:textId="77777777" w:rsidR="00707DA2" w:rsidRPr="00353602" w:rsidRDefault="00707DA2" w:rsidP="00BF469C">
            <w:pPr>
              <w:autoSpaceDE w:val="0"/>
              <w:autoSpaceDN w:val="0"/>
              <w:adjustRightInd w:val="0"/>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130</w:t>
            </w:r>
          </w:p>
        </w:tc>
        <w:tc>
          <w:tcPr>
            <w:tcW w:w="1862" w:type="pct"/>
          </w:tcPr>
          <w:p w14:paraId="1476BCCD" w14:textId="77777777" w:rsidR="00707DA2" w:rsidRPr="00353602" w:rsidRDefault="00707DA2" w:rsidP="00BF469C">
            <w:pPr>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0</w:t>
            </w:r>
          </w:p>
        </w:tc>
      </w:tr>
      <w:tr w:rsidR="005F0C32" w:rsidRPr="005F0C32" w14:paraId="796921F0" w14:textId="77777777" w:rsidTr="006C2E0A">
        <w:trPr>
          <w:cantSplit/>
          <w:trHeight w:val="290"/>
          <w:tblHeader/>
          <w:jc w:val="center"/>
        </w:trPr>
        <w:tc>
          <w:tcPr>
            <w:tcW w:w="1276" w:type="pct"/>
          </w:tcPr>
          <w:p w14:paraId="6CB3165B" w14:textId="77777777" w:rsidR="00707DA2" w:rsidRPr="00353602" w:rsidRDefault="00707DA2" w:rsidP="00BF469C">
            <w:pPr>
              <w:autoSpaceDE w:val="0"/>
              <w:autoSpaceDN w:val="0"/>
              <w:adjustRightInd w:val="0"/>
              <w:rPr>
                <w:rFonts w:asciiTheme="minorHAnsi" w:hAnsiTheme="minorHAnsi" w:cstheme="minorHAnsi"/>
                <w:sz w:val="22"/>
                <w:szCs w:val="22"/>
                <w:lang w:val="fr-CA"/>
              </w:rPr>
            </w:pPr>
            <w:r w:rsidRPr="00353602">
              <w:rPr>
                <w:rFonts w:asciiTheme="minorHAnsi" w:hAnsiTheme="minorHAnsi" w:cstheme="minorHAnsi"/>
                <w:sz w:val="22"/>
                <w:szCs w:val="22"/>
                <w:lang w:val="fr-CA"/>
              </w:rPr>
              <w:t>60 à 89 jours civils</w:t>
            </w:r>
          </w:p>
        </w:tc>
        <w:tc>
          <w:tcPr>
            <w:tcW w:w="1862" w:type="pct"/>
          </w:tcPr>
          <w:p w14:paraId="2D6D9E1E" w14:textId="77777777" w:rsidR="00707DA2" w:rsidRPr="00353602" w:rsidRDefault="00707DA2" w:rsidP="00BF469C">
            <w:pPr>
              <w:autoSpaceDE w:val="0"/>
              <w:autoSpaceDN w:val="0"/>
              <w:adjustRightInd w:val="0"/>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277</w:t>
            </w:r>
          </w:p>
        </w:tc>
        <w:tc>
          <w:tcPr>
            <w:tcW w:w="1862" w:type="pct"/>
          </w:tcPr>
          <w:p w14:paraId="61579E84" w14:textId="77777777" w:rsidR="00707DA2" w:rsidRPr="00353602" w:rsidRDefault="00707DA2" w:rsidP="00BF469C">
            <w:pPr>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1</w:t>
            </w:r>
          </w:p>
        </w:tc>
      </w:tr>
      <w:tr w:rsidR="005F0C32" w:rsidRPr="005F0C32" w14:paraId="5FA25E19" w14:textId="77777777" w:rsidTr="006C2E0A">
        <w:trPr>
          <w:cantSplit/>
          <w:trHeight w:val="290"/>
          <w:tblHeader/>
          <w:jc w:val="center"/>
        </w:trPr>
        <w:tc>
          <w:tcPr>
            <w:tcW w:w="1276" w:type="pct"/>
          </w:tcPr>
          <w:p w14:paraId="5147FB48" w14:textId="77777777" w:rsidR="00707DA2" w:rsidRPr="00353602" w:rsidRDefault="00707DA2" w:rsidP="00BF469C">
            <w:pPr>
              <w:autoSpaceDE w:val="0"/>
              <w:autoSpaceDN w:val="0"/>
              <w:adjustRightInd w:val="0"/>
              <w:rPr>
                <w:rFonts w:asciiTheme="minorHAnsi" w:hAnsiTheme="minorHAnsi" w:cstheme="minorHAnsi"/>
                <w:sz w:val="22"/>
                <w:szCs w:val="22"/>
                <w:lang w:val="fr-CA"/>
              </w:rPr>
            </w:pPr>
            <w:r w:rsidRPr="00353602">
              <w:rPr>
                <w:rFonts w:asciiTheme="minorHAnsi" w:hAnsiTheme="minorHAnsi" w:cstheme="minorHAnsi"/>
                <w:sz w:val="22"/>
                <w:szCs w:val="22"/>
                <w:lang w:val="fr-CA"/>
              </w:rPr>
              <w:t>90 à 119 jours civils</w:t>
            </w:r>
          </w:p>
        </w:tc>
        <w:tc>
          <w:tcPr>
            <w:tcW w:w="1862" w:type="pct"/>
          </w:tcPr>
          <w:p w14:paraId="517FE62D" w14:textId="77777777" w:rsidR="00707DA2" w:rsidRPr="00353602" w:rsidRDefault="00707DA2" w:rsidP="00BF469C">
            <w:pPr>
              <w:autoSpaceDE w:val="0"/>
              <w:autoSpaceDN w:val="0"/>
              <w:adjustRightInd w:val="0"/>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391</w:t>
            </w:r>
          </w:p>
        </w:tc>
        <w:tc>
          <w:tcPr>
            <w:tcW w:w="1862" w:type="pct"/>
          </w:tcPr>
          <w:p w14:paraId="32AE3134" w14:textId="77777777" w:rsidR="00707DA2" w:rsidRPr="00353602" w:rsidRDefault="00707DA2" w:rsidP="00BF469C">
            <w:pPr>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4</w:t>
            </w:r>
          </w:p>
        </w:tc>
      </w:tr>
      <w:tr w:rsidR="005F0C32" w:rsidRPr="005F0C32" w14:paraId="63FBDAA2" w14:textId="77777777" w:rsidTr="006C2E0A">
        <w:trPr>
          <w:cantSplit/>
          <w:trHeight w:val="290"/>
          <w:tblHeader/>
          <w:jc w:val="center"/>
        </w:trPr>
        <w:tc>
          <w:tcPr>
            <w:tcW w:w="1276" w:type="pct"/>
          </w:tcPr>
          <w:p w14:paraId="7300C67C" w14:textId="77777777" w:rsidR="00707DA2" w:rsidRPr="00353602" w:rsidRDefault="00707DA2" w:rsidP="00BF469C">
            <w:pPr>
              <w:autoSpaceDE w:val="0"/>
              <w:autoSpaceDN w:val="0"/>
              <w:adjustRightInd w:val="0"/>
              <w:rPr>
                <w:rFonts w:asciiTheme="minorHAnsi" w:hAnsiTheme="minorHAnsi" w:cstheme="minorHAnsi"/>
                <w:sz w:val="22"/>
                <w:szCs w:val="22"/>
                <w:lang w:val="fr-CA"/>
              </w:rPr>
            </w:pPr>
            <w:r w:rsidRPr="00353602">
              <w:rPr>
                <w:rFonts w:asciiTheme="minorHAnsi" w:hAnsiTheme="minorHAnsi" w:cstheme="minorHAnsi"/>
                <w:sz w:val="22"/>
                <w:szCs w:val="22"/>
                <w:lang w:val="fr-CA"/>
              </w:rPr>
              <w:t>120 à 149 jours civils</w:t>
            </w:r>
          </w:p>
        </w:tc>
        <w:tc>
          <w:tcPr>
            <w:tcW w:w="1862" w:type="pct"/>
          </w:tcPr>
          <w:p w14:paraId="7FCB8857" w14:textId="77777777" w:rsidR="00707DA2" w:rsidRPr="00353602" w:rsidRDefault="00707DA2" w:rsidP="00BF469C">
            <w:pPr>
              <w:autoSpaceDE w:val="0"/>
              <w:autoSpaceDN w:val="0"/>
              <w:adjustRightInd w:val="0"/>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367</w:t>
            </w:r>
          </w:p>
        </w:tc>
        <w:tc>
          <w:tcPr>
            <w:tcW w:w="1862" w:type="pct"/>
          </w:tcPr>
          <w:p w14:paraId="3E3A7734" w14:textId="77777777" w:rsidR="00707DA2" w:rsidRPr="00353602" w:rsidRDefault="00707DA2" w:rsidP="00BF469C">
            <w:pPr>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5</w:t>
            </w:r>
          </w:p>
        </w:tc>
      </w:tr>
      <w:tr w:rsidR="005F0C32" w:rsidRPr="005F0C32" w14:paraId="3220FE46" w14:textId="77777777" w:rsidTr="006C2E0A">
        <w:trPr>
          <w:cantSplit/>
          <w:trHeight w:val="290"/>
          <w:tblHeader/>
          <w:jc w:val="center"/>
        </w:trPr>
        <w:tc>
          <w:tcPr>
            <w:tcW w:w="1276" w:type="pct"/>
          </w:tcPr>
          <w:p w14:paraId="4FFF6366" w14:textId="77777777" w:rsidR="00707DA2" w:rsidRPr="00353602" w:rsidRDefault="00707DA2" w:rsidP="00BF469C">
            <w:pPr>
              <w:autoSpaceDE w:val="0"/>
              <w:autoSpaceDN w:val="0"/>
              <w:adjustRightInd w:val="0"/>
              <w:rPr>
                <w:rFonts w:asciiTheme="minorHAnsi" w:hAnsiTheme="minorHAnsi" w:cstheme="minorHAnsi"/>
                <w:sz w:val="22"/>
                <w:szCs w:val="22"/>
                <w:lang w:val="fr-CA"/>
              </w:rPr>
            </w:pPr>
            <w:r w:rsidRPr="00353602">
              <w:rPr>
                <w:rFonts w:asciiTheme="minorHAnsi" w:hAnsiTheme="minorHAnsi" w:cstheme="minorHAnsi"/>
                <w:sz w:val="22"/>
                <w:szCs w:val="22"/>
                <w:lang w:val="fr-CA"/>
              </w:rPr>
              <w:t>150 à 179 jours civils</w:t>
            </w:r>
          </w:p>
        </w:tc>
        <w:tc>
          <w:tcPr>
            <w:tcW w:w="1862" w:type="pct"/>
          </w:tcPr>
          <w:p w14:paraId="13952523" w14:textId="77777777" w:rsidR="00707DA2" w:rsidRPr="00353602" w:rsidRDefault="00707DA2" w:rsidP="00BF469C">
            <w:pPr>
              <w:autoSpaceDE w:val="0"/>
              <w:autoSpaceDN w:val="0"/>
              <w:adjustRightInd w:val="0"/>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322</w:t>
            </w:r>
          </w:p>
        </w:tc>
        <w:tc>
          <w:tcPr>
            <w:tcW w:w="1862" w:type="pct"/>
          </w:tcPr>
          <w:p w14:paraId="5BBE6477" w14:textId="77777777" w:rsidR="00707DA2" w:rsidRPr="00353602" w:rsidRDefault="00707DA2" w:rsidP="00BF469C">
            <w:pPr>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3</w:t>
            </w:r>
          </w:p>
        </w:tc>
      </w:tr>
      <w:tr w:rsidR="005F0C32" w:rsidRPr="005F0C32" w14:paraId="488E36C7" w14:textId="77777777" w:rsidTr="006C2E0A">
        <w:trPr>
          <w:cantSplit/>
          <w:trHeight w:val="290"/>
          <w:tblHeader/>
          <w:jc w:val="center"/>
        </w:trPr>
        <w:tc>
          <w:tcPr>
            <w:tcW w:w="1276" w:type="pct"/>
          </w:tcPr>
          <w:p w14:paraId="36C7A37D" w14:textId="77777777" w:rsidR="00707DA2" w:rsidRPr="00353602" w:rsidRDefault="00707DA2" w:rsidP="00BF469C">
            <w:pPr>
              <w:autoSpaceDE w:val="0"/>
              <w:autoSpaceDN w:val="0"/>
              <w:adjustRightInd w:val="0"/>
              <w:rPr>
                <w:rFonts w:asciiTheme="minorHAnsi" w:hAnsiTheme="minorHAnsi" w:cstheme="minorHAnsi"/>
                <w:sz w:val="22"/>
                <w:szCs w:val="22"/>
                <w:lang w:val="fr-CA"/>
              </w:rPr>
            </w:pPr>
            <w:r w:rsidRPr="00353602">
              <w:rPr>
                <w:rFonts w:asciiTheme="minorHAnsi" w:hAnsiTheme="minorHAnsi" w:cstheme="minorHAnsi"/>
                <w:sz w:val="22"/>
                <w:szCs w:val="22"/>
                <w:lang w:val="fr-CA"/>
              </w:rPr>
              <w:t>180 à 209 jours civils</w:t>
            </w:r>
          </w:p>
        </w:tc>
        <w:tc>
          <w:tcPr>
            <w:tcW w:w="1862" w:type="pct"/>
          </w:tcPr>
          <w:p w14:paraId="23D7C702" w14:textId="77777777" w:rsidR="00707DA2" w:rsidRPr="00353602" w:rsidRDefault="00707DA2" w:rsidP="00BF469C">
            <w:pPr>
              <w:autoSpaceDE w:val="0"/>
              <w:autoSpaceDN w:val="0"/>
              <w:adjustRightInd w:val="0"/>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278</w:t>
            </w:r>
          </w:p>
        </w:tc>
        <w:tc>
          <w:tcPr>
            <w:tcW w:w="1862" w:type="pct"/>
          </w:tcPr>
          <w:p w14:paraId="27FA4DFA" w14:textId="77777777" w:rsidR="00707DA2" w:rsidRPr="00353602" w:rsidRDefault="00707DA2" w:rsidP="00BF469C">
            <w:pPr>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1</w:t>
            </w:r>
          </w:p>
        </w:tc>
      </w:tr>
      <w:tr w:rsidR="005F0C32" w:rsidRPr="005F0C32" w14:paraId="776D6FAE" w14:textId="77777777" w:rsidTr="006C2E0A">
        <w:trPr>
          <w:cantSplit/>
          <w:trHeight w:val="290"/>
          <w:tblHeader/>
          <w:jc w:val="center"/>
        </w:trPr>
        <w:tc>
          <w:tcPr>
            <w:tcW w:w="1276" w:type="pct"/>
          </w:tcPr>
          <w:p w14:paraId="12D84AA9" w14:textId="77777777" w:rsidR="00707DA2" w:rsidRPr="00353602" w:rsidRDefault="00707DA2" w:rsidP="00BF469C">
            <w:pPr>
              <w:autoSpaceDE w:val="0"/>
              <w:autoSpaceDN w:val="0"/>
              <w:adjustRightInd w:val="0"/>
              <w:rPr>
                <w:rFonts w:asciiTheme="minorHAnsi" w:hAnsiTheme="minorHAnsi" w:cstheme="minorHAnsi"/>
                <w:sz w:val="22"/>
                <w:szCs w:val="22"/>
                <w:lang w:val="fr-CA"/>
              </w:rPr>
            </w:pPr>
            <w:r w:rsidRPr="00353602">
              <w:rPr>
                <w:rFonts w:asciiTheme="minorHAnsi" w:hAnsiTheme="minorHAnsi" w:cstheme="minorHAnsi"/>
                <w:sz w:val="22"/>
                <w:szCs w:val="22"/>
                <w:lang w:val="fr-CA"/>
              </w:rPr>
              <w:t>210 à 239 jours civils</w:t>
            </w:r>
          </w:p>
        </w:tc>
        <w:tc>
          <w:tcPr>
            <w:tcW w:w="1862" w:type="pct"/>
          </w:tcPr>
          <w:p w14:paraId="0EB4EB1F" w14:textId="77777777" w:rsidR="00707DA2" w:rsidRPr="00353602" w:rsidRDefault="00707DA2" w:rsidP="00BF469C">
            <w:pPr>
              <w:autoSpaceDE w:val="0"/>
              <w:autoSpaceDN w:val="0"/>
              <w:adjustRightInd w:val="0"/>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241</w:t>
            </w:r>
          </w:p>
        </w:tc>
        <w:tc>
          <w:tcPr>
            <w:tcW w:w="1862" w:type="pct"/>
          </w:tcPr>
          <w:p w14:paraId="4DACC0CE" w14:textId="77777777" w:rsidR="00707DA2" w:rsidRPr="00353602" w:rsidRDefault="00707DA2" w:rsidP="00BF469C">
            <w:pPr>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2</w:t>
            </w:r>
          </w:p>
        </w:tc>
      </w:tr>
      <w:tr w:rsidR="005F0C32" w:rsidRPr="005F0C32" w14:paraId="11894E71" w14:textId="77777777" w:rsidTr="006C2E0A">
        <w:trPr>
          <w:cantSplit/>
          <w:trHeight w:val="290"/>
          <w:tblHeader/>
          <w:jc w:val="center"/>
        </w:trPr>
        <w:tc>
          <w:tcPr>
            <w:tcW w:w="1276" w:type="pct"/>
          </w:tcPr>
          <w:p w14:paraId="3C62660A" w14:textId="77777777" w:rsidR="00707DA2" w:rsidRPr="00353602" w:rsidRDefault="00707DA2" w:rsidP="00BF469C">
            <w:pPr>
              <w:autoSpaceDE w:val="0"/>
              <w:autoSpaceDN w:val="0"/>
              <w:adjustRightInd w:val="0"/>
              <w:rPr>
                <w:rFonts w:asciiTheme="minorHAnsi" w:hAnsiTheme="minorHAnsi" w:cstheme="minorHAnsi"/>
                <w:sz w:val="22"/>
                <w:szCs w:val="22"/>
                <w:lang w:val="fr-CA"/>
              </w:rPr>
            </w:pPr>
            <w:r w:rsidRPr="00353602">
              <w:rPr>
                <w:rFonts w:asciiTheme="minorHAnsi" w:hAnsiTheme="minorHAnsi" w:cstheme="minorHAnsi"/>
                <w:sz w:val="22"/>
                <w:szCs w:val="22"/>
                <w:lang w:val="fr-CA"/>
              </w:rPr>
              <w:t>240 à 269 jours civils</w:t>
            </w:r>
          </w:p>
        </w:tc>
        <w:tc>
          <w:tcPr>
            <w:tcW w:w="1862" w:type="pct"/>
          </w:tcPr>
          <w:p w14:paraId="25F162FA" w14:textId="77777777" w:rsidR="00707DA2" w:rsidRPr="00353602" w:rsidRDefault="00707DA2" w:rsidP="00BF469C">
            <w:pPr>
              <w:autoSpaceDE w:val="0"/>
              <w:autoSpaceDN w:val="0"/>
              <w:adjustRightInd w:val="0"/>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165</w:t>
            </w:r>
          </w:p>
        </w:tc>
        <w:tc>
          <w:tcPr>
            <w:tcW w:w="1862" w:type="pct"/>
          </w:tcPr>
          <w:p w14:paraId="386EE664" w14:textId="77777777" w:rsidR="00707DA2" w:rsidRPr="00353602" w:rsidRDefault="00707DA2" w:rsidP="00BF469C">
            <w:pPr>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3</w:t>
            </w:r>
          </w:p>
        </w:tc>
      </w:tr>
      <w:tr w:rsidR="005F0C32" w:rsidRPr="005F0C32" w14:paraId="597869CB" w14:textId="77777777" w:rsidTr="006C2E0A">
        <w:trPr>
          <w:cantSplit/>
          <w:trHeight w:val="290"/>
          <w:tblHeader/>
          <w:jc w:val="center"/>
        </w:trPr>
        <w:tc>
          <w:tcPr>
            <w:tcW w:w="1276" w:type="pct"/>
          </w:tcPr>
          <w:p w14:paraId="5B92FCCC" w14:textId="77777777" w:rsidR="00707DA2" w:rsidRPr="00353602" w:rsidRDefault="00707DA2" w:rsidP="00BF469C">
            <w:pPr>
              <w:autoSpaceDE w:val="0"/>
              <w:autoSpaceDN w:val="0"/>
              <w:adjustRightInd w:val="0"/>
              <w:rPr>
                <w:rFonts w:asciiTheme="minorHAnsi" w:hAnsiTheme="minorHAnsi" w:cstheme="minorHAnsi"/>
                <w:sz w:val="22"/>
                <w:szCs w:val="22"/>
                <w:lang w:val="fr-CA"/>
              </w:rPr>
            </w:pPr>
            <w:r w:rsidRPr="00353602">
              <w:rPr>
                <w:rFonts w:asciiTheme="minorHAnsi" w:hAnsiTheme="minorHAnsi" w:cstheme="minorHAnsi"/>
                <w:sz w:val="22"/>
                <w:szCs w:val="22"/>
                <w:lang w:val="fr-CA"/>
              </w:rPr>
              <w:t>270 à 299 jours civils</w:t>
            </w:r>
          </w:p>
        </w:tc>
        <w:tc>
          <w:tcPr>
            <w:tcW w:w="1862" w:type="pct"/>
          </w:tcPr>
          <w:p w14:paraId="30F8FD58" w14:textId="77777777" w:rsidR="00707DA2" w:rsidRPr="00353602" w:rsidRDefault="00707DA2" w:rsidP="00BF469C">
            <w:pPr>
              <w:autoSpaceDE w:val="0"/>
              <w:autoSpaceDN w:val="0"/>
              <w:adjustRightInd w:val="0"/>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134</w:t>
            </w:r>
          </w:p>
        </w:tc>
        <w:tc>
          <w:tcPr>
            <w:tcW w:w="1862" w:type="pct"/>
          </w:tcPr>
          <w:p w14:paraId="5B1BEDA3" w14:textId="77777777" w:rsidR="00707DA2" w:rsidRPr="00353602" w:rsidRDefault="00707DA2" w:rsidP="00BF469C">
            <w:pPr>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1</w:t>
            </w:r>
          </w:p>
        </w:tc>
      </w:tr>
      <w:tr w:rsidR="005F0C32" w:rsidRPr="005F0C32" w14:paraId="50B099F8" w14:textId="77777777" w:rsidTr="006C2E0A">
        <w:trPr>
          <w:cantSplit/>
          <w:trHeight w:val="290"/>
          <w:tblHeader/>
          <w:jc w:val="center"/>
        </w:trPr>
        <w:tc>
          <w:tcPr>
            <w:tcW w:w="1276" w:type="pct"/>
          </w:tcPr>
          <w:p w14:paraId="7B7F79F1" w14:textId="77777777" w:rsidR="00707DA2" w:rsidRPr="00353602" w:rsidRDefault="00707DA2" w:rsidP="00BF469C">
            <w:pPr>
              <w:autoSpaceDE w:val="0"/>
              <w:autoSpaceDN w:val="0"/>
              <w:adjustRightInd w:val="0"/>
              <w:rPr>
                <w:rFonts w:asciiTheme="minorHAnsi" w:hAnsiTheme="minorHAnsi" w:cstheme="minorHAnsi"/>
                <w:sz w:val="22"/>
                <w:szCs w:val="22"/>
                <w:lang w:val="fr-CA"/>
              </w:rPr>
            </w:pPr>
            <w:r w:rsidRPr="00353602">
              <w:rPr>
                <w:rFonts w:asciiTheme="minorHAnsi" w:hAnsiTheme="minorHAnsi" w:cstheme="minorHAnsi"/>
                <w:sz w:val="22"/>
                <w:szCs w:val="22"/>
                <w:lang w:val="fr-CA"/>
              </w:rPr>
              <w:t>300 à 329 jours civils</w:t>
            </w:r>
          </w:p>
        </w:tc>
        <w:tc>
          <w:tcPr>
            <w:tcW w:w="1862" w:type="pct"/>
          </w:tcPr>
          <w:p w14:paraId="647613A6" w14:textId="77777777" w:rsidR="00707DA2" w:rsidRPr="00353602" w:rsidRDefault="00707DA2" w:rsidP="00BF469C">
            <w:pPr>
              <w:autoSpaceDE w:val="0"/>
              <w:autoSpaceDN w:val="0"/>
              <w:adjustRightInd w:val="0"/>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107</w:t>
            </w:r>
          </w:p>
        </w:tc>
        <w:tc>
          <w:tcPr>
            <w:tcW w:w="1862" w:type="pct"/>
          </w:tcPr>
          <w:p w14:paraId="20DCC64F" w14:textId="77777777" w:rsidR="00707DA2" w:rsidRPr="00353602" w:rsidRDefault="00707DA2" w:rsidP="00BF469C">
            <w:pPr>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1</w:t>
            </w:r>
          </w:p>
        </w:tc>
      </w:tr>
      <w:tr w:rsidR="005F0C32" w:rsidRPr="005F0C32" w14:paraId="023BF1DB" w14:textId="77777777" w:rsidTr="006C2E0A">
        <w:trPr>
          <w:cantSplit/>
          <w:trHeight w:val="290"/>
          <w:tblHeader/>
          <w:jc w:val="center"/>
        </w:trPr>
        <w:tc>
          <w:tcPr>
            <w:tcW w:w="1276" w:type="pct"/>
          </w:tcPr>
          <w:p w14:paraId="220F8DB2" w14:textId="77777777" w:rsidR="00707DA2" w:rsidRPr="00353602" w:rsidRDefault="00707DA2" w:rsidP="00BF469C">
            <w:pPr>
              <w:autoSpaceDE w:val="0"/>
              <w:autoSpaceDN w:val="0"/>
              <w:adjustRightInd w:val="0"/>
              <w:rPr>
                <w:rFonts w:asciiTheme="minorHAnsi" w:hAnsiTheme="minorHAnsi" w:cstheme="minorHAnsi"/>
                <w:sz w:val="22"/>
                <w:szCs w:val="22"/>
                <w:lang w:val="fr-CA"/>
              </w:rPr>
            </w:pPr>
            <w:r w:rsidRPr="00353602">
              <w:rPr>
                <w:rFonts w:asciiTheme="minorHAnsi" w:hAnsiTheme="minorHAnsi" w:cstheme="minorHAnsi"/>
                <w:sz w:val="22"/>
                <w:szCs w:val="22"/>
                <w:lang w:val="fr-CA"/>
              </w:rPr>
              <w:t>330 à 359 jours civils</w:t>
            </w:r>
          </w:p>
        </w:tc>
        <w:tc>
          <w:tcPr>
            <w:tcW w:w="1862" w:type="pct"/>
          </w:tcPr>
          <w:p w14:paraId="49BBADE5" w14:textId="77777777" w:rsidR="00707DA2" w:rsidRPr="00353602" w:rsidRDefault="00707DA2" w:rsidP="00BF469C">
            <w:pPr>
              <w:autoSpaceDE w:val="0"/>
              <w:autoSpaceDN w:val="0"/>
              <w:adjustRightInd w:val="0"/>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77</w:t>
            </w:r>
          </w:p>
        </w:tc>
        <w:tc>
          <w:tcPr>
            <w:tcW w:w="1862" w:type="pct"/>
          </w:tcPr>
          <w:p w14:paraId="400B07ED" w14:textId="77777777" w:rsidR="00707DA2" w:rsidRPr="00353602" w:rsidRDefault="00707DA2" w:rsidP="00BF469C">
            <w:pPr>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0</w:t>
            </w:r>
          </w:p>
        </w:tc>
      </w:tr>
      <w:tr w:rsidR="005F0C32" w:rsidRPr="005F0C32" w14:paraId="3C2C9FD8" w14:textId="77777777" w:rsidTr="006C2E0A">
        <w:trPr>
          <w:cantSplit/>
          <w:trHeight w:val="290"/>
          <w:tblHeader/>
          <w:jc w:val="center"/>
        </w:trPr>
        <w:tc>
          <w:tcPr>
            <w:tcW w:w="1276" w:type="pct"/>
          </w:tcPr>
          <w:p w14:paraId="50BA2178" w14:textId="77777777" w:rsidR="00707DA2" w:rsidRPr="00353602" w:rsidRDefault="00707DA2" w:rsidP="00BF469C">
            <w:pPr>
              <w:autoSpaceDE w:val="0"/>
              <w:autoSpaceDN w:val="0"/>
              <w:adjustRightInd w:val="0"/>
              <w:rPr>
                <w:rFonts w:asciiTheme="minorHAnsi" w:hAnsiTheme="minorHAnsi" w:cstheme="minorHAnsi"/>
                <w:sz w:val="22"/>
                <w:szCs w:val="22"/>
                <w:lang w:val="fr-CA"/>
              </w:rPr>
            </w:pPr>
            <w:r w:rsidRPr="00353602">
              <w:rPr>
                <w:rFonts w:asciiTheme="minorHAnsi" w:hAnsiTheme="minorHAnsi" w:cstheme="minorHAnsi"/>
                <w:sz w:val="22"/>
                <w:szCs w:val="22"/>
                <w:lang w:val="fr-CA"/>
              </w:rPr>
              <w:t>360 à 389 jours civils</w:t>
            </w:r>
          </w:p>
        </w:tc>
        <w:tc>
          <w:tcPr>
            <w:tcW w:w="1862" w:type="pct"/>
          </w:tcPr>
          <w:p w14:paraId="0FA2DA4E" w14:textId="77777777" w:rsidR="00707DA2" w:rsidRPr="00353602" w:rsidRDefault="00707DA2" w:rsidP="00BF469C">
            <w:pPr>
              <w:autoSpaceDE w:val="0"/>
              <w:autoSpaceDN w:val="0"/>
              <w:adjustRightInd w:val="0"/>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61</w:t>
            </w:r>
          </w:p>
        </w:tc>
        <w:tc>
          <w:tcPr>
            <w:tcW w:w="1862" w:type="pct"/>
          </w:tcPr>
          <w:p w14:paraId="759DA76B" w14:textId="77777777" w:rsidR="00707DA2" w:rsidRPr="00353602" w:rsidRDefault="00707DA2" w:rsidP="00BF469C">
            <w:pPr>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0</w:t>
            </w:r>
          </w:p>
        </w:tc>
      </w:tr>
      <w:tr w:rsidR="005F0C32" w:rsidRPr="005F0C32" w14:paraId="16D021CA" w14:textId="77777777" w:rsidTr="006C2E0A">
        <w:trPr>
          <w:cantSplit/>
          <w:trHeight w:val="290"/>
          <w:tblHeader/>
          <w:jc w:val="center"/>
        </w:trPr>
        <w:tc>
          <w:tcPr>
            <w:tcW w:w="1276" w:type="pct"/>
          </w:tcPr>
          <w:p w14:paraId="16FCF192" w14:textId="77777777" w:rsidR="00707DA2" w:rsidRPr="00353602" w:rsidRDefault="00707DA2" w:rsidP="00BF469C">
            <w:pPr>
              <w:autoSpaceDE w:val="0"/>
              <w:autoSpaceDN w:val="0"/>
              <w:adjustRightInd w:val="0"/>
              <w:rPr>
                <w:rFonts w:asciiTheme="minorHAnsi" w:hAnsiTheme="minorHAnsi" w:cstheme="minorHAnsi"/>
                <w:sz w:val="22"/>
                <w:szCs w:val="22"/>
                <w:lang w:val="fr-CA"/>
              </w:rPr>
            </w:pPr>
            <w:r w:rsidRPr="00353602">
              <w:rPr>
                <w:rFonts w:asciiTheme="minorHAnsi" w:hAnsiTheme="minorHAnsi" w:cstheme="minorHAnsi"/>
                <w:sz w:val="22"/>
                <w:szCs w:val="22"/>
                <w:lang w:val="fr-CA"/>
              </w:rPr>
              <w:t>390 à 419 jours civils</w:t>
            </w:r>
          </w:p>
        </w:tc>
        <w:tc>
          <w:tcPr>
            <w:tcW w:w="1862" w:type="pct"/>
          </w:tcPr>
          <w:p w14:paraId="00CC2830" w14:textId="77777777" w:rsidR="00707DA2" w:rsidRPr="00353602" w:rsidRDefault="00707DA2" w:rsidP="00BF469C">
            <w:pPr>
              <w:autoSpaceDE w:val="0"/>
              <w:autoSpaceDN w:val="0"/>
              <w:adjustRightInd w:val="0"/>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53</w:t>
            </w:r>
          </w:p>
        </w:tc>
        <w:tc>
          <w:tcPr>
            <w:tcW w:w="1862" w:type="pct"/>
          </w:tcPr>
          <w:p w14:paraId="332E6B1E" w14:textId="77777777" w:rsidR="00707DA2" w:rsidRPr="00353602" w:rsidRDefault="00707DA2" w:rsidP="00BF469C">
            <w:pPr>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1</w:t>
            </w:r>
          </w:p>
        </w:tc>
      </w:tr>
      <w:tr w:rsidR="005F0C32" w:rsidRPr="005F0C32" w14:paraId="39090313" w14:textId="77777777" w:rsidTr="006C2E0A">
        <w:trPr>
          <w:cantSplit/>
          <w:trHeight w:val="290"/>
          <w:tblHeader/>
          <w:jc w:val="center"/>
        </w:trPr>
        <w:tc>
          <w:tcPr>
            <w:tcW w:w="1276" w:type="pct"/>
          </w:tcPr>
          <w:p w14:paraId="49ACF0BA" w14:textId="77777777" w:rsidR="00707DA2" w:rsidRPr="00353602" w:rsidRDefault="00707DA2" w:rsidP="00BF469C">
            <w:pPr>
              <w:autoSpaceDE w:val="0"/>
              <w:autoSpaceDN w:val="0"/>
              <w:adjustRightInd w:val="0"/>
              <w:rPr>
                <w:rFonts w:asciiTheme="minorHAnsi" w:hAnsiTheme="minorHAnsi" w:cstheme="minorHAnsi"/>
                <w:sz w:val="22"/>
                <w:szCs w:val="22"/>
                <w:lang w:val="fr-CA"/>
              </w:rPr>
            </w:pPr>
            <w:r w:rsidRPr="00353602">
              <w:rPr>
                <w:rFonts w:asciiTheme="minorHAnsi" w:hAnsiTheme="minorHAnsi" w:cstheme="minorHAnsi"/>
                <w:sz w:val="22"/>
                <w:szCs w:val="22"/>
                <w:lang w:val="fr-CA"/>
              </w:rPr>
              <w:t>420 à 449 jours civils</w:t>
            </w:r>
          </w:p>
        </w:tc>
        <w:tc>
          <w:tcPr>
            <w:tcW w:w="1862" w:type="pct"/>
          </w:tcPr>
          <w:p w14:paraId="0A9BE375" w14:textId="77777777" w:rsidR="00707DA2" w:rsidRPr="00353602" w:rsidRDefault="00707DA2" w:rsidP="00BF469C">
            <w:pPr>
              <w:autoSpaceDE w:val="0"/>
              <w:autoSpaceDN w:val="0"/>
              <w:adjustRightInd w:val="0"/>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51</w:t>
            </w:r>
          </w:p>
        </w:tc>
        <w:tc>
          <w:tcPr>
            <w:tcW w:w="1862" w:type="pct"/>
          </w:tcPr>
          <w:p w14:paraId="1971AD10" w14:textId="77777777" w:rsidR="00707DA2" w:rsidRPr="00353602" w:rsidRDefault="00707DA2" w:rsidP="00BF469C">
            <w:pPr>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0</w:t>
            </w:r>
          </w:p>
        </w:tc>
      </w:tr>
      <w:tr w:rsidR="005F0C32" w:rsidRPr="005F0C32" w14:paraId="751A55C4" w14:textId="77777777" w:rsidTr="006C2E0A">
        <w:trPr>
          <w:cantSplit/>
          <w:trHeight w:val="290"/>
          <w:tblHeader/>
          <w:jc w:val="center"/>
        </w:trPr>
        <w:tc>
          <w:tcPr>
            <w:tcW w:w="1276" w:type="pct"/>
          </w:tcPr>
          <w:p w14:paraId="29C7B596" w14:textId="77777777" w:rsidR="00707DA2" w:rsidRPr="00353602" w:rsidRDefault="00707DA2" w:rsidP="00BF469C">
            <w:pPr>
              <w:autoSpaceDE w:val="0"/>
              <w:autoSpaceDN w:val="0"/>
              <w:adjustRightInd w:val="0"/>
              <w:rPr>
                <w:rFonts w:asciiTheme="minorHAnsi" w:hAnsiTheme="minorHAnsi" w:cstheme="minorHAnsi"/>
                <w:sz w:val="22"/>
                <w:szCs w:val="22"/>
                <w:lang w:val="fr-CA"/>
              </w:rPr>
            </w:pPr>
            <w:r w:rsidRPr="00353602">
              <w:rPr>
                <w:rFonts w:asciiTheme="minorHAnsi" w:hAnsiTheme="minorHAnsi" w:cstheme="minorHAnsi"/>
                <w:sz w:val="22"/>
                <w:szCs w:val="22"/>
                <w:lang w:val="fr-CA"/>
              </w:rPr>
              <w:t>450 à 479 jours civils</w:t>
            </w:r>
          </w:p>
        </w:tc>
        <w:tc>
          <w:tcPr>
            <w:tcW w:w="1862" w:type="pct"/>
          </w:tcPr>
          <w:p w14:paraId="6D8E127B" w14:textId="77777777" w:rsidR="00707DA2" w:rsidRPr="00353602" w:rsidRDefault="00707DA2" w:rsidP="00BF469C">
            <w:pPr>
              <w:autoSpaceDE w:val="0"/>
              <w:autoSpaceDN w:val="0"/>
              <w:adjustRightInd w:val="0"/>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42</w:t>
            </w:r>
          </w:p>
        </w:tc>
        <w:tc>
          <w:tcPr>
            <w:tcW w:w="1862" w:type="pct"/>
          </w:tcPr>
          <w:p w14:paraId="7E67F476" w14:textId="77777777" w:rsidR="00707DA2" w:rsidRPr="00353602" w:rsidRDefault="00707DA2" w:rsidP="00BF469C">
            <w:pPr>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0</w:t>
            </w:r>
          </w:p>
        </w:tc>
      </w:tr>
      <w:tr w:rsidR="005F0C32" w:rsidRPr="005F0C32" w14:paraId="4DAF61C5" w14:textId="77777777" w:rsidTr="006C2E0A">
        <w:trPr>
          <w:cantSplit/>
          <w:trHeight w:val="290"/>
          <w:tblHeader/>
          <w:jc w:val="center"/>
        </w:trPr>
        <w:tc>
          <w:tcPr>
            <w:tcW w:w="1276" w:type="pct"/>
          </w:tcPr>
          <w:p w14:paraId="0E5926A2" w14:textId="77777777" w:rsidR="00707DA2" w:rsidRPr="00353602" w:rsidRDefault="00707DA2" w:rsidP="00BF469C">
            <w:pPr>
              <w:autoSpaceDE w:val="0"/>
              <w:autoSpaceDN w:val="0"/>
              <w:adjustRightInd w:val="0"/>
              <w:rPr>
                <w:rFonts w:asciiTheme="minorHAnsi" w:hAnsiTheme="minorHAnsi" w:cstheme="minorHAnsi"/>
                <w:sz w:val="22"/>
                <w:szCs w:val="22"/>
                <w:lang w:val="fr-CA"/>
              </w:rPr>
            </w:pPr>
            <w:r w:rsidRPr="00353602">
              <w:rPr>
                <w:rFonts w:asciiTheme="minorHAnsi" w:hAnsiTheme="minorHAnsi" w:cstheme="minorHAnsi"/>
                <w:sz w:val="22"/>
                <w:szCs w:val="22"/>
                <w:lang w:val="fr-CA"/>
              </w:rPr>
              <w:t>480 à 509 jours civils</w:t>
            </w:r>
          </w:p>
        </w:tc>
        <w:tc>
          <w:tcPr>
            <w:tcW w:w="1862" w:type="pct"/>
          </w:tcPr>
          <w:p w14:paraId="0D2BD405" w14:textId="77777777" w:rsidR="00707DA2" w:rsidRPr="00353602" w:rsidRDefault="00707DA2" w:rsidP="00BF469C">
            <w:pPr>
              <w:autoSpaceDE w:val="0"/>
              <w:autoSpaceDN w:val="0"/>
              <w:adjustRightInd w:val="0"/>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40</w:t>
            </w:r>
          </w:p>
        </w:tc>
        <w:tc>
          <w:tcPr>
            <w:tcW w:w="1862" w:type="pct"/>
          </w:tcPr>
          <w:p w14:paraId="65717C03" w14:textId="77777777" w:rsidR="00707DA2" w:rsidRPr="00353602" w:rsidRDefault="00707DA2" w:rsidP="00BF469C">
            <w:pPr>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0</w:t>
            </w:r>
          </w:p>
        </w:tc>
      </w:tr>
      <w:tr w:rsidR="005F0C32" w:rsidRPr="005F0C32" w14:paraId="0C26F08C" w14:textId="77777777" w:rsidTr="006C2E0A">
        <w:trPr>
          <w:cantSplit/>
          <w:trHeight w:val="290"/>
          <w:tblHeader/>
          <w:jc w:val="center"/>
        </w:trPr>
        <w:tc>
          <w:tcPr>
            <w:tcW w:w="1276" w:type="pct"/>
          </w:tcPr>
          <w:p w14:paraId="5C46A4DF" w14:textId="77777777" w:rsidR="00707DA2" w:rsidRPr="00353602" w:rsidRDefault="00707DA2" w:rsidP="00BF469C">
            <w:pPr>
              <w:autoSpaceDE w:val="0"/>
              <w:autoSpaceDN w:val="0"/>
              <w:adjustRightInd w:val="0"/>
              <w:rPr>
                <w:rFonts w:asciiTheme="minorHAnsi" w:hAnsiTheme="minorHAnsi" w:cstheme="minorHAnsi"/>
                <w:sz w:val="22"/>
                <w:szCs w:val="22"/>
                <w:lang w:val="fr-CA"/>
              </w:rPr>
            </w:pPr>
            <w:r w:rsidRPr="00353602">
              <w:rPr>
                <w:rFonts w:asciiTheme="minorHAnsi" w:hAnsiTheme="minorHAnsi" w:cstheme="minorHAnsi"/>
                <w:sz w:val="22"/>
                <w:szCs w:val="22"/>
                <w:lang w:val="fr-CA"/>
              </w:rPr>
              <w:t xml:space="preserve">510 à 539 jours civils </w:t>
            </w:r>
          </w:p>
        </w:tc>
        <w:tc>
          <w:tcPr>
            <w:tcW w:w="1862" w:type="pct"/>
          </w:tcPr>
          <w:p w14:paraId="1D2FE4D7" w14:textId="77777777" w:rsidR="00707DA2" w:rsidRPr="00353602" w:rsidRDefault="00707DA2" w:rsidP="00BF469C">
            <w:pPr>
              <w:autoSpaceDE w:val="0"/>
              <w:autoSpaceDN w:val="0"/>
              <w:adjustRightInd w:val="0"/>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32</w:t>
            </w:r>
          </w:p>
        </w:tc>
        <w:tc>
          <w:tcPr>
            <w:tcW w:w="1862" w:type="pct"/>
          </w:tcPr>
          <w:p w14:paraId="516AE02D" w14:textId="77777777" w:rsidR="00707DA2" w:rsidRPr="00353602" w:rsidRDefault="00707DA2" w:rsidP="00BF469C">
            <w:pPr>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1</w:t>
            </w:r>
          </w:p>
        </w:tc>
      </w:tr>
      <w:tr w:rsidR="005F0C32" w:rsidRPr="005F0C32" w14:paraId="33EA6E40" w14:textId="77777777" w:rsidTr="006C2E0A">
        <w:trPr>
          <w:cantSplit/>
          <w:trHeight w:val="290"/>
          <w:tblHeader/>
          <w:jc w:val="center"/>
        </w:trPr>
        <w:tc>
          <w:tcPr>
            <w:tcW w:w="1276" w:type="pct"/>
          </w:tcPr>
          <w:p w14:paraId="4CE6E84D" w14:textId="77777777" w:rsidR="00707DA2" w:rsidRPr="00353602" w:rsidRDefault="00707DA2" w:rsidP="00BF469C">
            <w:pPr>
              <w:autoSpaceDE w:val="0"/>
              <w:autoSpaceDN w:val="0"/>
              <w:adjustRightInd w:val="0"/>
              <w:rPr>
                <w:rFonts w:asciiTheme="minorHAnsi" w:hAnsiTheme="minorHAnsi" w:cstheme="minorHAnsi"/>
                <w:sz w:val="22"/>
                <w:szCs w:val="22"/>
                <w:lang w:val="fr-CA"/>
              </w:rPr>
            </w:pPr>
            <w:r w:rsidRPr="00353602">
              <w:rPr>
                <w:rFonts w:asciiTheme="minorHAnsi" w:hAnsiTheme="minorHAnsi" w:cstheme="minorHAnsi"/>
                <w:sz w:val="22"/>
                <w:szCs w:val="22"/>
                <w:lang w:val="fr-CA"/>
              </w:rPr>
              <w:t>540 à 569 jours civils</w:t>
            </w:r>
          </w:p>
        </w:tc>
        <w:tc>
          <w:tcPr>
            <w:tcW w:w="1862" w:type="pct"/>
          </w:tcPr>
          <w:p w14:paraId="516AA9B7" w14:textId="77777777" w:rsidR="00707DA2" w:rsidRPr="00353602" w:rsidRDefault="00707DA2" w:rsidP="00BF469C">
            <w:pPr>
              <w:autoSpaceDE w:val="0"/>
              <w:autoSpaceDN w:val="0"/>
              <w:adjustRightInd w:val="0"/>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24</w:t>
            </w:r>
          </w:p>
        </w:tc>
        <w:tc>
          <w:tcPr>
            <w:tcW w:w="1862" w:type="pct"/>
          </w:tcPr>
          <w:p w14:paraId="03FD9FDC" w14:textId="77777777" w:rsidR="00707DA2" w:rsidRPr="00353602" w:rsidRDefault="00707DA2" w:rsidP="00BF469C">
            <w:pPr>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0</w:t>
            </w:r>
          </w:p>
        </w:tc>
      </w:tr>
      <w:tr w:rsidR="005F0C32" w:rsidRPr="005F0C32" w14:paraId="57A1CB3B" w14:textId="77777777" w:rsidTr="006C2E0A">
        <w:trPr>
          <w:cantSplit/>
          <w:trHeight w:val="290"/>
          <w:tblHeader/>
          <w:jc w:val="center"/>
        </w:trPr>
        <w:tc>
          <w:tcPr>
            <w:tcW w:w="1276" w:type="pct"/>
          </w:tcPr>
          <w:p w14:paraId="439450FC" w14:textId="77777777" w:rsidR="00707DA2" w:rsidRPr="00353602" w:rsidRDefault="00707DA2" w:rsidP="00BF469C">
            <w:pPr>
              <w:autoSpaceDE w:val="0"/>
              <w:autoSpaceDN w:val="0"/>
              <w:adjustRightInd w:val="0"/>
              <w:rPr>
                <w:rFonts w:asciiTheme="minorHAnsi" w:hAnsiTheme="minorHAnsi" w:cstheme="minorHAnsi"/>
                <w:sz w:val="22"/>
                <w:szCs w:val="22"/>
                <w:lang w:val="fr-CA"/>
              </w:rPr>
            </w:pPr>
            <w:r w:rsidRPr="00353602">
              <w:rPr>
                <w:rFonts w:asciiTheme="minorHAnsi" w:hAnsiTheme="minorHAnsi" w:cstheme="minorHAnsi"/>
                <w:sz w:val="22"/>
                <w:szCs w:val="22"/>
                <w:lang w:val="fr-CA"/>
              </w:rPr>
              <w:t>570 à 599 jours civils</w:t>
            </w:r>
          </w:p>
        </w:tc>
        <w:tc>
          <w:tcPr>
            <w:tcW w:w="1862" w:type="pct"/>
          </w:tcPr>
          <w:p w14:paraId="2BF3B52E" w14:textId="77777777" w:rsidR="00707DA2" w:rsidRPr="00353602" w:rsidRDefault="00707DA2" w:rsidP="00BF469C">
            <w:pPr>
              <w:autoSpaceDE w:val="0"/>
              <w:autoSpaceDN w:val="0"/>
              <w:adjustRightInd w:val="0"/>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21</w:t>
            </w:r>
          </w:p>
        </w:tc>
        <w:tc>
          <w:tcPr>
            <w:tcW w:w="1862" w:type="pct"/>
          </w:tcPr>
          <w:p w14:paraId="3F7A7330" w14:textId="77777777" w:rsidR="00707DA2" w:rsidRPr="00353602" w:rsidRDefault="00707DA2" w:rsidP="00BF469C">
            <w:pPr>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0</w:t>
            </w:r>
          </w:p>
        </w:tc>
      </w:tr>
      <w:tr w:rsidR="005F0C32" w:rsidRPr="005F0C32" w14:paraId="6C5F56D8" w14:textId="77777777" w:rsidTr="006C2E0A">
        <w:trPr>
          <w:cantSplit/>
          <w:trHeight w:val="290"/>
          <w:tblHeader/>
          <w:jc w:val="center"/>
        </w:trPr>
        <w:tc>
          <w:tcPr>
            <w:tcW w:w="1276" w:type="pct"/>
          </w:tcPr>
          <w:p w14:paraId="74FE8B9E" w14:textId="77777777" w:rsidR="00707DA2" w:rsidRPr="00353602" w:rsidRDefault="00707DA2" w:rsidP="00BF469C">
            <w:pPr>
              <w:autoSpaceDE w:val="0"/>
              <w:autoSpaceDN w:val="0"/>
              <w:adjustRightInd w:val="0"/>
              <w:rPr>
                <w:rFonts w:asciiTheme="minorHAnsi" w:hAnsiTheme="minorHAnsi" w:cstheme="minorHAnsi"/>
                <w:sz w:val="22"/>
                <w:szCs w:val="22"/>
                <w:lang w:val="fr-CA"/>
              </w:rPr>
            </w:pPr>
            <w:r w:rsidRPr="00353602">
              <w:rPr>
                <w:rFonts w:asciiTheme="minorHAnsi" w:hAnsiTheme="minorHAnsi" w:cstheme="minorHAnsi"/>
                <w:sz w:val="22"/>
                <w:szCs w:val="22"/>
                <w:lang w:val="fr-CA"/>
              </w:rPr>
              <w:t>600 à 629 jours civils</w:t>
            </w:r>
          </w:p>
        </w:tc>
        <w:tc>
          <w:tcPr>
            <w:tcW w:w="1862" w:type="pct"/>
          </w:tcPr>
          <w:p w14:paraId="643F2FE5" w14:textId="77777777" w:rsidR="00707DA2" w:rsidRPr="00353602" w:rsidRDefault="00707DA2" w:rsidP="00BF469C">
            <w:pPr>
              <w:autoSpaceDE w:val="0"/>
              <w:autoSpaceDN w:val="0"/>
              <w:adjustRightInd w:val="0"/>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11</w:t>
            </w:r>
          </w:p>
        </w:tc>
        <w:tc>
          <w:tcPr>
            <w:tcW w:w="1862" w:type="pct"/>
          </w:tcPr>
          <w:p w14:paraId="671D5C00" w14:textId="77777777" w:rsidR="00707DA2" w:rsidRPr="00353602" w:rsidRDefault="00707DA2" w:rsidP="00BF469C">
            <w:pPr>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0</w:t>
            </w:r>
          </w:p>
        </w:tc>
      </w:tr>
      <w:tr w:rsidR="005F0C32" w:rsidRPr="005F0C32" w14:paraId="0C7B36E2" w14:textId="77777777" w:rsidTr="006C2E0A">
        <w:trPr>
          <w:cantSplit/>
          <w:trHeight w:val="290"/>
          <w:tblHeader/>
          <w:jc w:val="center"/>
        </w:trPr>
        <w:tc>
          <w:tcPr>
            <w:tcW w:w="1276" w:type="pct"/>
          </w:tcPr>
          <w:p w14:paraId="20939D6C" w14:textId="77777777" w:rsidR="00707DA2" w:rsidRPr="00353602" w:rsidRDefault="00707DA2" w:rsidP="00BF469C">
            <w:pPr>
              <w:autoSpaceDE w:val="0"/>
              <w:autoSpaceDN w:val="0"/>
              <w:adjustRightInd w:val="0"/>
              <w:rPr>
                <w:rFonts w:asciiTheme="minorHAnsi" w:hAnsiTheme="minorHAnsi" w:cstheme="minorHAnsi"/>
                <w:sz w:val="22"/>
                <w:szCs w:val="22"/>
                <w:lang w:val="fr-CA"/>
              </w:rPr>
            </w:pPr>
            <w:r w:rsidRPr="00353602">
              <w:rPr>
                <w:rFonts w:asciiTheme="minorHAnsi" w:hAnsiTheme="minorHAnsi" w:cstheme="minorHAnsi"/>
                <w:sz w:val="22"/>
                <w:szCs w:val="22"/>
                <w:lang w:val="fr-CA"/>
              </w:rPr>
              <w:t>630 à 659 jours civils</w:t>
            </w:r>
          </w:p>
        </w:tc>
        <w:tc>
          <w:tcPr>
            <w:tcW w:w="1862" w:type="pct"/>
          </w:tcPr>
          <w:p w14:paraId="5A0B02F0" w14:textId="77777777" w:rsidR="00707DA2" w:rsidRPr="00353602" w:rsidRDefault="00707DA2" w:rsidP="00BF469C">
            <w:pPr>
              <w:autoSpaceDE w:val="0"/>
              <w:autoSpaceDN w:val="0"/>
              <w:adjustRightInd w:val="0"/>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19</w:t>
            </w:r>
          </w:p>
        </w:tc>
        <w:tc>
          <w:tcPr>
            <w:tcW w:w="1862" w:type="pct"/>
          </w:tcPr>
          <w:p w14:paraId="737C8EB2" w14:textId="77777777" w:rsidR="00707DA2" w:rsidRPr="00353602" w:rsidRDefault="00707DA2" w:rsidP="00BF469C">
            <w:pPr>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0</w:t>
            </w:r>
          </w:p>
        </w:tc>
      </w:tr>
      <w:tr w:rsidR="005F0C32" w:rsidRPr="005F0C32" w14:paraId="6268ACEB" w14:textId="77777777" w:rsidTr="006C2E0A">
        <w:trPr>
          <w:cantSplit/>
          <w:trHeight w:val="290"/>
          <w:tblHeader/>
          <w:jc w:val="center"/>
        </w:trPr>
        <w:tc>
          <w:tcPr>
            <w:tcW w:w="1276" w:type="pct"/>
          </w:tcPr>
          <w:p w14:paraId="6DF52516" w14:textId="77777777" w:rsidR="00707DA2" w:rsidRPr="00353602" w:rsidRDefault="00707DA2" w:rsidP="00BF469C">
            <w:pPr>
              <w:autoSpaceDE w:val="0"/>
              <w:autoSpaceDN w:val="0"/>
              <w:adjustRightInd w:val="0"/>
              <w:rPr>
                <w:rFonts w:asciiTheme="minorHAnsi" w:hAnsiTheme="minorHAnsi" w:cstheme="minorHAnsi"/>
                <w:sz w:val="22"/>
                <w:szCs w:val="22"/>
                <w:lang w:val="fr-CA"/>
              </w:rPr>
            </w:pPr>
            <w:r w:rsidRPr="00353602">
              <w:rPr>
                <w:rFonts w:asciiTheme="minorHAnsi" w:hAnsiTheme="minorHAnsi" w:cstheme="minorHAnsi"/>
                <w:sz w:val="22"/>
                <w:szCs w:val="22"/>
                <w:lang w:val="fr-CA"/>
              </w:rPr>
              <w:t>660 à 689 jours civils</w:t>
            </w:r>
          </w:p>
        </w:tc>
        <w:tc>
          <w:tcPr>
            <w:tcW w:w="1862" w:type="pct"/>
          </w:tcPr>
          <w:p w14:paraId="709CA48A" w14:textId="77777777" w:rsidR="00707DA2" w:rsidRPr="00353602" w:rsidRDefault="00707DA2" w:rsidP="00BF469C">
            <w:pPr>
              <w:autoSpaceDE w:val="0"/>
              <w:autoSpaceDN w:val="0"/>
              <w:adjustRightInd w:val="0"/>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3</w:t>
            </w:r>
          </w:p>
        </w:tc>
        <w:tc>
          <w:tcPr>
            <w:tcW w:w="1862" w:type="pct"/>
          </w:tcPr>
          <w:p w14:paraId="44614389" w14:textId="77777777" w:rsidR="00707DA2" w:rsidRPr="00353602" w:rsidRDefault="00707DA2" w:rsidP="00BF469C">
            <w:pPr>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0</w:t>
            </w:r>
          </w:p>
        </w:tc>
      </w:tr>
      <w:tr w:rsidR="005F0C32" w:rsidRPr="005F0C32" w14:paraId="11968C7F" w14:textId="77777777" w:rsidTr="006C2E0A">
        <w:trPr>
          <w:cantSplit/>
          <w:trHeight w:val="290"/>
          <w:tblHeader/>
          <w:jc w:val="center"/>
        </w:trPr>
        <w:tc>
          <w:tcPr>
            <w:tcW w:w="1276" w:type="pct"/>
          </w:tcPr>
          <w:p w14:paraId="64BE9E84" w14:textId="77777777" w:rsidR="00707DA2" w:rsidRPr="00353602" w:rsidRDefault="00707DA2" w:rsidP="00BF469C">
            <w:pPr>
              <w:autoSpaceDE w:val="0"/>
              <w:autoSpaceDN w:val="0"/>
              <w:adjustRightInd w:val="0"/>
              <w:rPr>
                <w:rFonts w:asciiTheme="minorHAnsi" w:hAnsiTheme="minorHAnsi" w:cstheme="minorHAnsi"/>
                <w:sz w:val="22"/>
                <w:szCs w:val="22"/>
                <w:lang w:val="fr-CA"/>
              </w:rPr>
            </w:pPr>
            <w:r w:rsidRPr="00353602">
              <w:rPr>
                <w:rFonts w:asciiTheme="minorHAnsi" w:hAnsiTheme="minorHAnsi" w:cstheme="minorHAnsi"/>
                <w:sz w:val="22"/>
                <w:szCs w:val="22"/>
                <w:lang w:val="fr-CA"/>
              </w:rPr>
              <w:t>690 à 719 jours civils</w:t>
            </w:r>
          </w:p>
        </w:tc>
        <w:tc>
          <w:tcPr>
            <w:tcW w:w="1862" w:type="pct"/>
          </w:tcPr>
          <w:p w14:paraId="7FD42469" w14:textId="77777777" w:rsidR="00707DA2" w:rsidRPr="00353602" w:rsidRDefault="00707DA2" w:rsidP="00BF469C">
            <w:pPr>
              <w:autoSpaceDE w:val="0"/>
              <w:autoSpaceDN w:val="0"/>
              <w:adjustRightInd w:val="0"/>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13</w:t>
            </w:r>
          </w:p>
        </w:tc>
        <w:tc>
          <w:tcPr>
            <w:tcW w:w="1862" w:type="pct"/>
          </w:tcPr>
          <w:p w14:paraId="0885D705" w14:textId="77777777" w:rsidR="00707DA2" w:rsidRPr="00353602" w:rsidRDefault="00707DA2" w:rsidP="00BF469C">
            <w:pPr>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0</w:t>
            </w:r>
          </w:p>
        </w:tc>
      </w:tr>
      <w:tr w:rsidR="005F0C32" w:rsidRPr="005F0C32" w14:paraId="674A7612" w14:textId="77777777" w:rsidTr="006C2E0A">
        <w:trPr>
          <w:cantSplit/>
          <w:trHeight w:val="302"/>
          <w:tblHeader/>
          <w:jc w:val="center"/>
        </w:trPr>
        <w:tc>
          <w:tcPr>
            <w:tcW w:w="1276" w:type="pct"/>
          </w:tcPr>
          <w:p w14:paraId="5798A805" w14:textId="77777777" w:rsidR="00707DA2" w:rsidRPr="00353602" w:rsidRDefault="00707DA2" w:rsidP="00BF469C">
            <w:pPr>
              <w:autoSpaceDE w:val="0"/>
              <w:autoSpaceDN w:val="0"/>
              <w:adjustRightInd w:val="0"/>
              <w:rPr>
                <w:rFonts w:asciiTheme="minorHAnsi" w:hAnsiTheme="minorHAnsi" w:cstheme="minorHAnsi"/>
                <w:sz w:val="22"/>
                <w:szCs w:val="22"/>
                <w:lang w:val="fr-CA"/>
              </w:rPr>
            </w:pPr>
            <w:r w:rsidRPr="00353602">
              <w:rPr>
                <w:rFonts w:asciiTheme="minorHAnsi" w:hAnsiTheme="minorHAnsi" w:cstheme="minorHAnsi"/>
                <w:sz w:val="22"/>
                <w:szCs w:val="22"/>
                <w:lang w:val="fr-CA"/>
              </w:rPr>
              <w:t>720 à 749 jours civils</w:t>
            </w:r>
          </w:p>
        </w:tc>
        <w:tc>
          <w:tcPr>
            <w:tcW w:w="1862" w:type="pct"/>
          </w:tcPr>
          <w:p w14:paraId="1672B763" w14:textId="77777777" w:rsidR="00707DA2" w:rsidRPr="00353602" w:rsidRDefault="00707DA2" w:rsidP="00BF469C">
            <w:pPr>
              <w:autoSpaceDE w:val="0"/>
              <w:autoSpaceDN w:val="0"/>
              <w:adjustRightInd w:val="0"/>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6</w:t>
            </w:r>
          </w:p>
        </w:tc>
        <w:tc>
          <w:tcPr>
            <w:tcW w:w="1862" w:type="pct"/>
          </w:tcPr>
          <w:p w14:paraId="49F21633" w14:textId="77777777" w:rsidR="00707DA2" w:rsidRPr="00353602" w:rsidRDefault="00707DA2" w:rsidP="00BF469C">
            <w:pPr>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0</w:t>
            </w:r>
          </w:p>
        </w:tc>
      </w:tr>
      <w:tr w:rsidR="005F0C32" w:rsidRPr="005F0C32" w14:paraId="4A26FE72" w14:textId="77777777" w:rsidTr="006C2E0A">
        <w:trPr>
          <w:cantSplit/>
          <w:trHeight w:val="290"/>
          <w:tblHeader/>
          <w:jc w:val="center"/>
        </w:trPr>
        <w:tc>
          <w:tcPr>
            <w:tcW w:w="1276" w:type="pct"/>
          </w:tcPr>
          <w:p w14:paraId="2EA07EAF" w14:textId="77777777" w:rsidR="00707DA2" w:rsidRPr="00353602" w:rsidRDefault="00707DA2" w:rsidP="00BF469C">
            <w:pPr>
              <w:autoSpaceDE w:val="0"/>
              <w:autoSpaceDN w:val="0"/>
              <w:adjustRightInd w:val="0"/>
              <w:rPr>
                <w:rFonts w:asciiTheme="minorHAnsi" w:hAnsiTheme="minorHAnsi" w:cstheme="minorHAnsi"/>
                <w:sz w:val="22"/>
                <w:szCs w:val="22"/>
                <w:lang w:val="fr-CA"/>
              </w:rPr>
            </w:pPr>
            <w:r w:rsidRPr="00353602">
              <w:rPr>
                <w:rFonts w:asciiTheme="minorHAnsi" w:hAnsiTheme="minorHAnsi" w:cstheme="minorHAnsi"/>
                <w:sz w:val="22"/>
                <w:szCs w:val="22"/>
                <w:lang w:val="fr-CA"/>
              </w:rPr>
              <w:t>750 à 779 jours civils</w:t>
            </w:r>
          </w:p>
        </w:tc>
        <w:tc>
          <w:tcPr>
            <w:tcW w:w="1862" w:type="pct"/>
          </w:tcPr>
          <w:p w14:paraId="5E28D9DC" w14:textId="77777777" w:rsidR="00707DA2" w:rsidRPr="00353602" w:rsidRDefault="00707DA2" w:rsidP="00BF469C">
            <w:pPr>
              <w:autoSpaceDE w:val="0"/>
              <w:autoSpaceDN w:val="0"/>
              <w:adjustRightInd w:val="0"/>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5</w:t>
            </w:r>
          </w:p>
        </w:tc>
        <w:tc>
          <w:tcPr>
            <w:tcW w:w="1862" w:type="pct"/>
          </w:tcPr>
          <w:p w14:paraId="603AC867" w14:textId="77777777" w:rsidR="00707DA2" w:rsidRPr="00353602" w:rsidRDefault="00707DA2" w:rsidP="00BF469C">
            <w:pPr>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0</w:t>
            </w:r>
          </w:p>
        </w:tc>
      </w:tr>
      <w:tr w:rsidR="005F0C32" w:rsidRPr="005F0C32" w14:paraId="5D04E486" w14:textId="77777777" w:rsidTr="006C2E0A">
        <w:trPr>
          <w:cantSplit/>
          <w:trHeight w:val="290"/>
          <w:tblHeader/>
          <w:jc w:val="center"/>
        </w:trPr>
        <w:tc>
          <w:tcPr>
            <w:tcW w:w="1276" w:type="pct"/>
          </w:tcPr>
          <w:p w14:paraId="54FC2BE3" w14:textId="77777777" w:rsidR="00707DA2" w:rsidRPr="00353602" w:rsidRDefault="00707DA2" w:rsidP="00BF469C">
            <w:pPr>
              <w:autoSpaceDE w:val="0"/>
              <w:autoSpaceDN w:val="0"/>
              <w:adjustRightInd w:val="0"/>
              <w:rPr>
                <w:rFonts w:asciiTheme="minorHAnsi" w:hAnsiTheme="minorHAnsi" w:cstheme="minorHAnsi"/>
                <w:sz w:val="22"/>
                <w:szCs w:val="22"/>
                <w:lang w:val="fr-CA"/>
              </w:rPr>
            </w:pPr>
            <w:r w:rsidRPr="00353602">
              <w:rPr>
                <w:rFonts w:asciiTheme="minorHAnsi" w:hAnsiTheme="minorHAnsi" w:cstheme="minorHAnsi"/>
                <w:sz w:val="22"/>
                <w:szCs w:val="22"/>
                <w:lang w:val="fr-CA"/>
              </w:rPr>
              <w:t>780 à 809 jours civils</w:t>
            </w:r>
          </w:p>
        </w:tc>
        <w:tc>
          <w:tcPr>
            <w:tcW w:w="1862" w:type="pct"/>
          </w:tcPr>
          <w:p w14:paraId="692C8073" w14:textId="77777777" w:rsidR="00707DA2" w:rsidRPr="00353602" w:rsidRDefault="00707DA2" w:rsidP="00BF469C">
            <w:pPr>
              <w:autoSpaceDE w:val="0"/>
              <w:autoSpaceDN w:val="0"/>
              <w:adjustRightInd w:val="0"/>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8</w:t>
            </w:r>
          </w:p>
        </w:tc>
        <w:tc>
          <w:tcPr>
            <w:tcW w:w="1862" w:type="pct"/>
          </w:tcPr>
          <w:p w14:paraId="6B48A593" w14:textId="77777777" w:rsidR="00707DA2" w:rsidRPr="00353602" w:rsidRDefault="00707DA2" w:rsidP="00BF469C">
            <w:pPr>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0</w:t>
            </w:r>
          </w:p>
        </w:tc>
      </w:tr>
      <w:tr w:rsidR="005F0C32" w:rsidRPr="005F0C32" w14:paraId="0D347B8E" w14:textId="77777777" w:rsidTr="006C2E0A">
        <w:trPr>
          <w:cantSplit/>
          <w:trHeight w:val="290"/>
          <w:tblHeader/>
          <w:jc w:val="center"/>
        </w:trPr>
        <w:tc>
          <w:tcPr>
            <w:tcW w:w="1276" w:type="pct"/>
          </w:tcPr>
          <w:p w14:paraId="1FBFC6B8" w14:textId="77777777" w:rsidR="00707DA2" w:rsidRPr="00353602" w:rsidRDefault="00707DA2" w:rsidP="00BF469C">
            <w:pPr>
              <w:autoSpaceDE w:val="0"/>
              <w:autoSpaceDN w:val="0"/>
              <w:adjustRightInd w:val="0"/>
              <w:rPr>
                <w:rFonts w:asciiTheme="minorHAnsi" w:hAnsiTheme="minorHAnsi" w:cstheme="minorHAnsi"/>
                <w:sz w:val="22"/>
                <w:szCs w:val="22"/>
                <w:lang w:val="fr-CA"/>
              </w:rPr>
            </w:pPr>
            <w:r w:rsidRPr="00353602">
              <w:rPr>
                <w:rFonts w:asciiTheme="minorHAnsi" w:hAnsiTheme="minorHAnsi" w:cstheme="minorHAnsi"/>
                <w:sz w:val="22"/>
                <w:szCs w:val="22"/>
                <w:lang w:val="fr-CA"/>
              </w:rPr>
              <w:t>810 à 839 jours civils</w:t>
            </w:r>
          </w:p>
        </w:tc>
        <w:tc>
          <w:tcPr>
            <w:tcW w:w="1862" w:type="pct"/>
          </w:tcPr>
          <w:p w14:paraId="1B3732C0" w14:textId="77777777" w:rsidR="00707DA2" w:rsidRPr="00353602" w:rsidRDefault="00707DA2" w:rsidP="00BF469C">
            <w:pPr>
              <w:autoSpaceDE w:val="0"/>
              <w:autoSpaceDN w:val="0"/>
              <w:adjustRightInd w:val="0"/>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4</w:t>
            </w:r>
          </w:p>
        </w:tc>
        <w:tc>
          <w:tcPr>
            <w:tcW w:w="1862" w:type="pct"/>
          </w:tcPr>
          <w:p w14:paraId="2FA2A22E" w14:textId="77777777" w:rsidR="00707DA2" w:rsidRPr="00353602" w:rsidRDefault="00707DA2" w:rsidP="00BF469C">
            <w:pPr>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0</w:t>
            </w:r>
          </w:p>
        </w:tc>
      </w:tr>
      <w:tr w:rsidR="005F0C32" w:rsidRPr="005F0C32" w14:paraId="1CA00103" w14:textId="77777777" w:rsidTr="006C2E0A">
        <w:trPr>
          <w:cantSplit/>
          <w:trHeight w:val="290"/>
          <w:tblHeader/>
          <w:jc w:val="center"/>
        </w:trPr>
        <w:tc>
          <w:tcPr>
            <w:tcW w:w="1276" w:type="pct"/>
          </w:tcPr>
          <w:p w14:paraId="3174BCF2" w14:textId="77777777" w:rsidR="00707DA2" w:rsidRPr="00353602" w:rsidRDefault="00707DA2" w:rsidP="00BF469C">
            <w:pPr>
              <w:autoSpaceDE w:val="0"/>
              <w:autoSpaceDN w:val="0"/>
              <w:adjustRightInd w:val="0"/>
              <w:rPr>
                <w:rFonts w:asciiTheme="minorHAnsi" w:hAnsiTheme="minorHAnsi" w:cstheme="minorHAnsi"/>
                <w:sz w:val="22"/>
                <w:szCs w:val="22"/>
                <w:lang w:val="fr-CA"/>
              </w:rPr>
            </w:pPr>
            <w:r w:rsidRPr="00353602">
              <w:rPr>
                <w:rFonts w:asciiTheme="minorHAnsi" w:hAnsiTheme="minorHAnsi" w:cstheme="minorHAnsi"/>
                <w:sz w:val="22"/>
                <w:szCs w:val="22"/>
                <w:lang w:val="fr-CA"/>
              </w:rPr>
              <w:t>840 à 869 jours civils</w:t>
            </w:r>
          </w:p>
        </w:tc>
        <w:tc>
          <w:tcPr>
            <w:tcW w:w="1862" w:type="pct"/>
          </w:tcPr>
          <w:p w14:paraId="668158E4" w14:textId="77777777" w:rsidR="00707DA2" w:rsidRPr="00353602" w:rsidRDefault="00707DA2" w:rsidP="00BF469C">
            <w:pPr>
              <w:autoSpaceDE w:val="0"/>
              <w:autoSpaceDN w:val="0"/>
              <w:adjustRightInd w:val="0"/>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10</w:t>
            </w:r>
          </w:p>
        </w:tc>
        <w:tc>
          <w:tcPr>
            <w:tcW w:w="1862" w:type="pct"/>
          </w:tcPr>
          <w:p w14:paraId="0B3C1FE3" w14:textId="77777777" w:rsidR="00707DA2" w:rsidRPr="00353602" w:rsidRDefault="00707DA2" w:rsidP="00BF469C">
            <w:pPr>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0</w:t>
            </w:r>
          </w:p>
        </w:tc>
      </w:tr>
      <w:tr w:rsidR="005F0C32" w:rsidRPr="005F0C32" w14:paraId="646B4957" w14:textId="77777777" w:rsidTr="006C2E0A">
        <w:trPr>
          <w:cantSplit/>
          <w:trHeight w:val="290"/>
          <w:tblHeader/>
          <w:jc w:val="center"/>
        </w:trPr>
        <w:tc>
          <w:tcPr>
            <w:tcW w:w="1276" w:type="pct"/>
          </w:tcPr>
          <w:p w14:paraId="415396BF" w14:textId="77777777" w:rsidR="00707DA2" w:rsidRPr="00353602" w:rsidRDefault="00707DA2" w:rsidP="00BF469C">
            <w:pPr>
              <w:autoSpaceDE w:val="0"/>
              <w:autoSpaceDN w:val="0"/>
              <w:adjustRightInd w:val="0"/>
              <w:rPr>
                <w:rFonts w:asciiTheme="minorHAnsi" w:hAnsiTheme="minorHAnsi" w:cstheme="minorHAnsi"/>
                <w:sz w:val="22"/>
                <w:szCs w:val="22"/>
                <w:lang w:val="fr-CA"/>
              </w:rPr>
            </w:pPr>
            <w:r w:rsidRPr="00353602">
              <w:rPr>
                <w:rFonts w:asciiTheme="minorHAnsi" w:hAnsiTheme="minorHAnsi" w:cstheme="minorHAnsi"/>
                <w:sz w:val="22"/>
                <w:szCs w:val="22"/>
                <w:lang w:val="fr-CA"/>
              </w:rPr>
              <w:t>870 à 899 jours civils</w:t>
            </w:r>
          </w:p>
        </w:tc>
        <w:tc>
          <w:tcPr>
            <w:tcW w:w="1862" w:type="pct"/>
          </w:tcPr>
          <w:p w14:paraId="3ECB023E" w14:textId="77777777" w:rsidR="00707DA2" w:rsidRPr="00353602" w:rsidRDefault="00707DA2" w:rsidP="00BF469C">
            <w:pPr>
              <w:autoSpaceDE w:val="0"/>
              <w:autoSpaceDN w:val="0"/>
              <w:adjustRightInd w:val="0"/>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4</w:t>
            </w:r>
          </w:p>
        </w:tc>
        <w:tc>
          <w:tcPr>
            <w:tcW w:w="1862" w:type="pct"/>
          </w:tcPr>
          <w:p w14:paraId="0D21CABC" w14:textId="77777777" w:rsidR="00707DA2" w:rsidRPr="00353602" w:rsidRDefault="00707DA2" w:rsidP="00BF469C">
            <w:pPr>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0</w:t>
            </w:r>
          </w:p>
        </w:tc>
      </w:tr>
      <w:tr w:rsidR="005F0C32" w:rsidRPr="005F0C32" w14:paraId="0C90BA9F" w14:textId="77777777" w:rsidTr="006C2E0A">
        <w:trPr>
          <w:cantSplit/>
          <w:trHeight w:val="290"/>
          <w:tblHeader/>
          <w:jc w:val="center"/>
        </w:trPr>
        <w:tc>
          <w:tcPr>
            <w:tcW w:w="1276" w:type="pct"/>
          </w:tcPr>
          <w:p w14:paraId="02E96D8B" w14:textId="77777777" w:rsidR="00707DA2" w:rsidRPr="00353602" w:rsidRDefault="00707DA2" w:rsidP="00BF469C">
            <w:pPr>
              <w:autoSpaceDE w:val="0"/>
              <w:autoSpaceDN w:val="0"/>
              <w:adjustRightInd w:val="0"/>
              <w:rPr>
                <w:rFonts w:asciiTheme="minorHAnsi" w:hAnsiTheme="minorHAnsi" w:cstheme="minorHAnsi"/>
                <w:sz w:val="22"/>
                <w:szCs w:val="22"/>
                <w:lang w:val="fr-CA"/>
              </w:rPr>
            </w:pPr>
            <w:r w:rsidRPr="00353602">
              <w:rPr>
                <w:rFonts w:asciiTheme="minorHAnsi" w:hAnsiTheme="minorHAnsi" w:cstheme="minorHAnsi"/>
                <w:sz w:val="22"/>
                <w:szCs w:val="22"/>
                <w:lang w:val="fr-CA"/>
              </w:rPr>
              <w:t>900 à 929 jours civils</w:t>
            </w:r>
          </w:p>
        </w:tc>
        <w:tc>
          <w:tcPr>
            <w:tcW w:w="1862" w:type="pct"/>
          </w:tcPr>
          <w:p w14:paraId="501C264B" w14:textId="77777777" w:rsidR="00707DA2" w:rsidRPr="00353602" w:rsidRDefault="00707DA2" w:rsidP="00BF469C">
            <w:pPr>
              <w:autoSpaceDE w:val="0"/>
              <w:autoSpaceDN w:val="0"/>
              <w:adjustRightInd w:val="0"/>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5</w:t>
            </w:r>
          </w:p>
        </w:tc>
        <w:tc>
          <w:tcPr>
            <w:tcW w:w="1862" w:type="pct"/>
          </w:tcPr>
          <w:p w14:paraId="62F5D8F3" w14:textId="77777777" w:rsidR="00707DA2" w:rsidRPr="00353602" w:rsidRDefault="00707DA2" w:rsidP="00BF469C">
            <w:pPr>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0</w:t>
            </w:r>
          </w:p>
        </w:tc>
      </w:tr>
      <w:tr w:rsidR="005F0C32" w:rsidRPr="005F0C32" w14:paraId="7C5D21CF" w14:textId="77777777" w:rsidTr="006C2E0A">
        <w:trPr>
          <w:cantSplit/>
          <w:trHeight w:val="290"/>
          <w:tblHeader/>
          <w:jc w:val="center"/>
        </w:trPr>
        <w:tc>
          <w:tcPr>
            <w:tcW w:w="1276" w:type="pct"/>
          </w:tcPr>
          <w:p w14:paraId="27541F29" w14:textId="77777777" w:rsidR="00707DA2" w:rsidRPr="00353602" w:rsidRDefault="00707DA2" w:rsidP="00BF469C">
            <w:pPr>
              <w:autoSpaceDE w:val="0"/>
              <w:autoSpaceDN w:val="0"/>
              <w:adjustRightInd w:val="0"/>
              <w:rPr>
                <w:rFonts w:asciiTheme="minorHAnsi" w:hAnsiTheme="minorHAnsi" w:cstheme="minorHAnsi"/>
                <w:sz w:val="22"/>
                <w:szCs w:val="22"/>
                <w:lang w:val="fr-CA"/>
              </w:rPr>
            </w:pPr>
            <w:r w:rsidRPr="00353602">
              <w:rPr>
                <w:rFonts w:asciiTheme="minorHAnsi" w:hAnsiTheme="minorHAnsi" w:cstheme="minorHAnsi"/>
                <w:sz w:val="22"/>
                <w:szCs w:val="22"/>
                <w:lang w:val="fr-CA"/>
              </w:rPr>
              <w:t>930 à 959 jours civils</w:t>
            </w:r>
          </w:p>
        </w:tc>
        <w:tc>
          <w:tcPr>
            <w:tcW w:w="1862" w:type="pct"/>
          </w:tcPr>
          <w:p w14:paraId="613C209D" w14:textId="77777777" w:rsidR="00707DA2" w:rsidRPr="00353602" w:rsidRDefault="00707DA2" w:rsidP="00BF469C">
            <w:pPr>
              <w:autoSpaceDE w:val="0"/>
              <w:autoSpaceDN w:val="0"/>
              <w:adjustRightInd w:val="0"/>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5</w:t>
            </w:r>
          </w:p>
        </w:tc>
        <w:tc>
          <w:tcPr>
            <w:tcW w:w="1862" w:type="pct"/>
          </w:tcPr>
          <w:p w14:paraId="5ABC1421" w14:textId="77777777" w:rsidR="00707DA2" w:rsidRPr="00353602" w:rsidRDefault="00707DA2" w:rsidP="00BF469C">
            <w:pPr>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0</w:t>
            </w:r>
          </w:p>
        </w:tc>
      </w:tr>
      <w:tr w:rsidR="005F0C32" w:rsidRPr="005F0C32" w14:paraId="7183431D" w14:textId="77777777" w:rsidTr="006C2E0A">
        <w:trPr>
          <w:cantSplit/>
          <w:trHeight w:val="290"/>
          <w:tblHeader/>
          <w:jc w:val="center"/>
        </w:trPr>
        <w:tc>
          <w:tcPr>
            <w:tcW w:w="1276" w:type="pct"/>
          </w:tcPr>
          <w:p w14:paraId="1BE6EAA7" w14:textId="77777777" w:rsidR="00707DA2" w:rsidRPr="00353602" w:rsidRDefault="00707DA2" w:rsidP="00BF469C">
            <w:pPr>
              <w:autoSpaceDE w:val="0"/>
              <w:autoSpaceDN w:val="0"/>
              <w:adjustRightInd w:val="0"/>
              <w:rPr>
                <w:rFonts w:asciiTheme="minorHAnsi" w:hAnsiTheme="minorHAnsi" w:cstheme="minorHAnsi"/>
                <w:sz w:val="22"/>
                <w:szCs w:val="22"/>
                <w:lang w:val="fr-CA"/>
              </w:rPr>
            </w:pPr>
            <w:r w:rsidRPr="00353602">
              <w:rPr>
                <w:rFonts w:asciiTheme="minorHAnsi" w:hAnsiTheme="minorHAnsi" w:cstheme="minorHAnsi"/>
                <w:sz w:val="22"/>
                <w:szCs w:val="22"/>
                <w:lang w:val="fr-CA"/>
              </w:rPr>
              <w:t>960 à 989 jours civils</w:t>
            </w:r>
          </w:p>
        </w:tc>
        <w:tc>
          <w:tcPr>
            <w:tcW w:w="1862" w:type="pct"/>
          </w:tcPr>
          <w:p w14:paraId="04C4C43D" w14:textId="77777777" w:rsidR="00707DA2" w:rsidRPr="00353602" w:rsidRDefault="00707DA2" w:rsidP="00BF469C">
            <w:pPr>
              <w:autoSpaceDE w:val="0"/>
              <w:autoSpaceDN w:val="0"/>
              <w:adjustRightInd w:val="0"/>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3</w:t>
            </w:r>
          </w:p>
        </w:tc>
        <w:tc>
          <w:tcPr>
            <w:tcW w:w="1862" w:type="pct"/>
          </w:tcPr>
          <w:p w14:paraId="0BA91B26" w14:textId="77777777" w:rsidR="00707DA2" w:rsidRPr="00353602" w:rsidRDefault="00707DA2" w:rsidP="00BF469C">
            <w:pPr>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0</w:t>
            </w:r>
          </w:p>
        </w:tc>
      </w:tr>
      <w:tr w:rsidR="005F0C32" w:rsidRPr="005F0C32" w14:paraId="23E1888B" w14:textId="77777777" w:rsidTr="006C2E0A">
        <w:trPr>
          <w:cantSplit/>
          <w:trHeight w:val="290"/>
          <w:tblHeader/>
          <w:jc w:val="center"/>
        </w:trPr>
        <w:tc>
          <w:tcPr>
            <w:tcW w:w="1276" w:type="pct"/>
          </w:tcPr>
          <w:p w14:paraId="53B2A638" w14:textId="77777777" w:rsidR="00707DA2" w:rsidRPr="00353602" w:rsidRDefault="00707DA2" w:rsidP="00BF469C">
            <w:pPr>
              <w:autoSpaceDE w:val="0"/>
              <w:autoSpaceDN w:val="0"/>
              <w:adjustRightInd w:val="0"/>
              <w:rPr>
                <w:rFonts w:asciiTheme="minorHAnsi" w:hAnsiTheme="minorHAnsi" w:cstheme="minorHAnsi"/>
                <w:sz w:val="22"/>
                <w:szCs w:val="22"/>
                <w:lang w:val="fr-CA"/>
              </w:rPr>
            </w:pPr>
            <w:r w:rsidRPr="00353602">
              <w:rPr>
                <w:rFonts w:asciiTheme="minorHAnsi" w:hAnsiTheme="minorHAnsi" w:cstheme="minorHAnsi"/>
                <w:sz w:val="22"/>
                <w:szCs w:val="22"/>
                <w:lang w:val="fr-CA"/>
              </w:rPr>
              <w:t>Plus de 990 jours civils</w:t>
            </w:r>
          </w:p>
        </w:tc>
        <w:tc>
          <w:tcPr>
            <w:tcW w:w="1862" w:type="pct"/>
          </w:tcPr>
          <w:p w14:paraId="079FA7C3" w14:textId="77777777" w:rsidR="00707DA2" w:rsidRPr="00353602" w:rsidRDefault="00707DA2" w:rsidP="00BF469C">
            <w:pPr>
              <w:autoSpaceDE w:val="0"/>
              <w:autoSpaceDN w:val="0"/>
              <w:adjustRightInd w:val="0"/>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23</w:t>
            </w:r>
          </w:p>
        </w:tc>
        <w:tc>
          <w:tcPr>
            <w:tcW w:w="1862" w:type="pct"/>
          </w:tcPr>
          <w:p w14:paraId="12F38928" w14:textId="77777777" w:rsidR="00707DA2" w:rsidRPr="00353602" w:rsidRDefault="00707DA2" w:rsidP="00BF469C">
            <w:pPr>
              <w:jc w:val="center"/>
              <w:rPr>
                <w:rFonts w:asciiTheme="minorHAnsi" w:hAnsiTheme="minorHAnsi" w:cstheme="minorHAnsi"/>
                <w:sz w:val="22"/>
                <w:szCs w:val="22"/>
                <w:lang w:val="fr-CA"/>
              </w:rPr>
            </w:pPr>
            <w:r w:rsidRPr="00353602">
              <w:rPr>
                <w:rFonts w:asciiTheme="minorHAnsi" w:hAnsiTheme="minorHAnsi" w:cstheme="minorHAnsi"/>
                <w:sz w:val="22"/>
                <w:szCs w:val="22"/>
                <w:lang w:val="fr-CA"/>
              </w:rPr>
              <w:t>0</w:t>
            </w:r>
          </w:p>
        </w:tc>
      </w:tr>
    </w:tbl>
    <w:p w14:paraId="1E3FFB23" w14:textId="77777777" w:rsidR="00707DA2" w:rsidRDefault="00707DA2" w:rsidP="00BE5FFE">
      <w:pPr>
        <w:pStyle w:val="Level1"/>
        <w:tabs>
          <w:tab w:val="left" w:pos="-1440"/>
        </w:tabs>
        <w:autoSpaceDE w:val="0"/>
        <w:autoSpaceDN w:val="0"/>
        <w:adjustRightInd w:val="0"/>
        <w:spacing w:after="120" w:line="20" w:lineRule="atLeast"/>
        <w:rPr>
          <w:rFonts w:asciiTheme="minorHAnsi" w:hAnsiTheme="minorHAnsi"/>
          <w:b/>
          <w:bCs/>
          <w:sz w:val="22"/>
          <w:szCs w:val="22"/>
          <w:lang w:val="fr-CA"/>
        </w:rPr>
      </w:pPr>
    </w:p>
    <w:p w14:paraId="179241DD" w14:textId="77777777" w:rsidR="00707DA2" w:rsidRDefault="00707DA2" w:rsidP="00BE5FFE">
      <w:pPr>
        <w:pStyle w:val="Level1"/>
        <w:tabs>
          <w:tab w:val="left" w:pos="-1440"/>
        </w:tabs>
        <w:autoSpaceDE w:val="0"/>
        <w:autoSpaceDN w:val="0"/>
        <w:adjustRightInd w:val="0"/>
        <w:spacing w:after="120" w:line="20" w:lineRule="atLeast"/>
        <w:rPr>
          <w:rFonts w:asciiTheme="minorHAnsi" w:hAnsiTheme="minorHAnsi"/>
          <w:b/>
          <w:bCs/>
          <w:sz w:val="22"/>
          <w:szCs w:val="22"/>
          <w:lang w:val="fr-CA"/>
        </w:rPr>
        <w:sectPr w:rsidR="00707DA2" w:rsidSect="00707DA2">
          <w:footnotePr>
            <w:numFmt w:val="lowerLetter"/>
          </w:footnotePr>
          <w:endnotePr>
            <w:numFmt w:val="lowerLetter"/>
          </w:endnotePr>
          <w:pgSz w:w="24480" w:h="15840" w:orient="landscape" w:code="3"/>
          <w:pgMar w:top="567" w:right="709" w:bottom="1304" w:left="709" w:header="284" w:footer="284" w:gutter="0"/>
          <w:cols w:space="720"/>
          <w:docGrid w:linePitch="326"/>
        </w:sectPr>
      </w:pPr>
    </w:p>
    <w:p w14:paraId="60F56E16" w14:textId="77777777" w:rsidR="00707DA2" w:rsidRPr="00353602" w:rsidRDefault="00707DA2" w:rsidP="00353602">
      <w:pPr>
        <w:pStyle w:val="Heading1"/>
        <w:spacing w:before="120" w:after="120"/>
        <w:rPr>
          <w:sz w:val="40"/>
          <w:lang w:val="fr-CA"/>
        </w:rPr>
      </w:pPr>
      <w:r w:rsidRPr="00353602">
        <w:rPr>
          <w:sz w:val="40"/>
          <w:lang w:val="fr-CA"/>
        </w:rPr>
        <w:lastRenderedPageBreak/>
        <w:t>Durée de processus de dotation externe</w:t>
      </w:r>
    </w:p>
    <w:p w14:paraId="428D21AD" w14:textId="77777777" w:rsidR="00353602" w:rsidRDefault="005F0C32" w:rsidP="00353602">
      <w:pPr>
        <w:pStyle w:val="Level1"/>
        <w:keepNext/>
        <w:tabs>
          <w:tab w:val="left" w:pos="-1440"/>
        </w:tabs>
        <w:autoSpaceDE w:val="0"/>
        <w:autoSpaceDN w:val="0"/>
        <w:adjustRightInd w:val="0"/>
        <w:spacing w:after="120" w:line="20" w:lineRule="atLeast"/>
        <w:jc w:val="center"/>
      </w:pPr>
      <w:r w:rsidRPr="006E11FB">
        <w:rPr>
          <w:noProof/>
          <w:lang w:val="en-CA" w:eastAsia="en-CA"/>
        </w:rPr>
        <w:drawing>
          <wp:inline distT="0" distB="0" distL="0" distR="0" wp14:anchorId="72D63E01" wp14:editId="2015ADD7">
            <wp:extent cx="5648400" cy="3049200"/>
            <wp:effectExtent l="0" t="0" r="9525" b="18415"/>
            <wp:docPr id="21" name="Chart 21" descr="Durée de dotation externe Médiane pour la fonction publique = 186 jours, 2018-2019&#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00353602">
        <w:rPr>
          <w:noProof/>
          <w:lang w:val="en-CA" w:eastAsia="en-CA"/>
        </w:rPr>
        <mc:AlternateContent>
          <mc:Choice Requires="wps">
            <w:drawing>
              <wp:inline distT="0" distB="0" distL="0" distR="0" wp14:anchorId="7ABAE625" wp14:editId="6F1C1FDC">
                <wp:extent cx="5648400" cy="3049200"/>
                <wp:effectExtent l="0" t="0" r="28575" b="18415"/>
                <wp:docPr id="14" name="Text Box 14" descr="Les données sont insuffisantes pour fournir des résultats sur la durée des processus de dotation externe pour la Sécurité publique Canada." title="Durée du processus de dotation externe pendant l’exercice financier 2018-2019 pour l'organisme concerné"/>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400" cy="3049200"/>
                        </a:xfrm>
                        <a:prstGeom prst="rect">
                          <a:avLst/>
                        </a:prstGeom>
                        <a:solidFill>
                          <a:srgbClr val="FFFFFF"/>
                        </a:solidFill>
                        <a:ln w="9525">
                          <a:solidFill>
                            <a:srgbClr val="000000"/>
                          </a:solidFill>
                          <a:miter lim="800000"/>
                          <a:headEnd/>
                          <a:tailEnd/>
                        </a:ln>
                      </wps:spPr>
                      <wps:txbx>
                        <w:txbxContent>
                          <w:p w14:paraId="29539744" w14:textId="77777777" w:rsidR="005824BE" w:rsidRPr="00353602" w:rsidRDefault="005824BE" w:rsidP="00353602">
                            <w:pPr>
                              <w:spacing w:after="120"/>
                              <w:rPr>
                                <w:rFonts w:asciiTheme="minorHAnsi" w:hAnsiTheme="minorHAnsi" w:cstheme="minorHAnsi"/>
                                <w:sz w:val="22"/>
                                <w:szCs w:val="24"/>
                                <w:lang w:val="fr-CA"/>
                              </w:rPr>
                            </w:pPr>
                            <w:r w:rsidRPr="00353602">
                              <w:rPr>
                                <w:rFonts w:asciiTheme="minorHAnsi" w:hAnsiTheme="minorHAnsi" w:cstheme="minorHAnsi"/>
                                <w:sz w:val="22"/>
                                <w:szCs w:val="24"/>
                                <w:lang w:val="fr-CA"/>
                              </w:rPr>
                              <w:t>Durée de dotation externe</w:t>
                            </w:r>
                          </w:p>
                          <w:p w14:paraId="06DEE5B2" w14:textId="77777777" w:rsidR="005824BE" w:rsidRPr="00353602" w:rsidRDefault="005824BE" w:rsidP="00353602">
                            <w:pPr>
                              <w:pStyle w:val="ListParagraph"/>
                              <w:ind w:left="360"/>
                              <w:rPr>
                                <w:rFonts w:asciiTheme="minorHAnsi" w:hAnsiTheme="minorHAnsi" w:cstheme="minorHAnsi"/>
                                <w:sz w:val="22"/>
                                <w:lang w:val="fr-CA"/>
                              </w:rPr>
                            </w:pPr>
                            <w:r w:rsidRPr="00353602">
                              <w:rPr>
                                <w:rFonts w:asciiTheme="minorHAnsi" w:hAnsiTheme="minorHAnsi" w:cstheme="minorHAnsi"/>
                                <w:sz w:val="22"/>
                                <w:lang w:val="fr-CA"/>
                              </w:rPr>
                              <w:t>Les données sont insuffisantes pour fournir des résultats sur la durée des processus de dotation externe pour la Sécurité publique Canada.</w:t>
                            </w:r>
                          </w:p>
                        </w:txbxContent>
                      </wps:txbx>
                      <wps:bodyPr rot="0" vert="horz" wrap="square" lIns="91440" tIns="45720" rIns="91440" bIns="45720" anchor="t" anchorCtr="0">
                        <a:noAutofit/>
                      </wps:bodyPr>
                    </wps:wsp>
                  </a:graphicData>
                </a:graphic>
              </wp:inline>
            </w:drawing>
          </mc:Choice>
          <mc:Fallback>
            <w:pict>
              <v:shapetype w14:anchorId="7ABAE625" id="_x0000_t202" coordsize="21600,21600" o:spt="202" path="m,l,21600r21600,l21600,xe">
                <v:stroke joinstyle="miter"/>
                <v:path gradientshapeok="t" o:connecttype="rect"/>
              </v:shapetype>
              <v:shape id="Text Box 14" o:spid="_x0000_s1026" type="#_x0000_t202" alt="Title: Durée du processus de dotation externe pendant l’exercice financier 2018-2019 pour l'organisme concerné - Description: Les données sont insuffisantes pour fournir des résultats sur la durée des processus de dotation externe pour la Sécurité publique Canada." style="width:444.75pt;height:2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">
                <v:textbox>
                  <w:txbxContent>
                    <w:p w14:paraId="29539744" w14:textId="77777777" w:rsidR="005824BE" w:rsidRPr="00353602" w:rsidRDefault="005824BE" w:rsidP="00353602">
                      <w:pPr>
                        <w:spacing w:after="120"/>
                        <w:rPr>
                          <w:rFonts w:asciiTheme="minorHAnsi" w:hAnsiTheme="minorHAnsi" w:cstheme="minorHAnsi"/>
                          <w:sz w:val="22"/>
                          <w:szCs w:val="24"/>
                          <w:lang w:val="fr-CA"/>
                        </w:rPr>
                      </w:pPr>
                      <w:r w:rsidRPr="00353602">
                        <w:rPr>
                          <w:rFonts w:asciiTheme="minorHAnsi" w:hAnsiTheme="minorHAnsi" w:cstheme="minorHAnsi"/>
                          <w:sz w:val="22"/>
                          <w:szCs w:val="24"/>
                          <w:lang w:val="fr-CA"/>
                        </w:rPr>
                        <w:t>Durée de dotation externe</w:t>
                      </w:r>
                    </w:p>
                    <w:p w14:paraId="06DEE5B2" w14:textId="77777777" w:rsidR="005824BE" w:rsidRPr="00353602" w:rsidRDefault="005824BE" w:rsidP="00353602">
                      <w:pPr>
                        <w:pStyle w:val="ListParagraph"/>
                        <w:ind w:left="360"/>
                        <w:rPr>
                          <w:rFonts w:asciiTheme="minorHAnsi" w:hAnsiTheme="minorHAnsi" w:cstheme="minorHAnsi"/>
                          <w:sz w:val="22"/>
                          <w:lang w:val="fr-CA"/>
                        </w:rPr>
                      </w:pPr>
                      <w:r w:rsidRPr="00353602">
                        <w:rPr>
                          <w:rFonts w:asciiTheme="minorHAnsi" w:hAnsiTheme="minorHAnsi" w:cstheme="minorHAnsi"/>
                          <w:sz w:val="22"/>
                          <w:lang w:val="fr-CA"/>
                        </w:rPr>
                        <w:t>Les données sont insuffisantes pour fournir des résultats sur la durée des processus de dotation externe pour la Sécurité publique Canada.</w:t>
                      </w:r>
                    </w:p>
                  </w:txbxContent>
                </v:textbox>
                <w10:anchorlock/>
              </v:shape>
            </w:pict>
          </mc:Fallback>
        </mc:AlternateContent>
      </w:r>
    </w:p>
    <w:p w14:paraId="3B51C1F7" w14:textId="77777777" w:rsidR="00353602" w:rsidRPr="00353602" w:rsidRDefault="00353602" w:rsidP="00353602">
      <w:pPr>
        <w:pStyle w:val="Caption"/>
        <w:spacing w:after="0"/>
        <w:rPr>
          <w:rFonts w:asciiTheme="minorHAnsi" w:hAnsiTheme="minorHAnsi" w:cstheme="minorHAnsi"/>
          <w:i w:val="0"/>
          <w:color w:val="auto"/>
        </w:rPr>
      </w:pPr>
      <w:r w:rsidRPr="00353602">
        <w:rPr>
          <w:rFonts w:asciiTheme="minorHAnsi" w:hAnsiTheme="minorHAnsi" w:cstheme="minorHAnsi"/>
          <w:i w:val="0"/>
          <w:color w:val="auto"/>
        </w:rPr>
        <w:t xml:space="preserve">Figure </w:t>
      </w:r>
      <w:r w:rsidRPr="00353602">
        <w:rPr>
          <w:rFonts w:asciiTheme="minorHAnsi" w:hAnsiTheme="minorHAnsi" w:cstheme="minorHAnsi"/>
          <w:i w:val="0"/>
          <w:color w:val="auto"/>
        </w:rPr>
        <w:fldChar w:fldCharType="begin"/>
      </w:r>
      <w:r w:rsidRPr="00353602">
        <w:rPr>
          <w:rFonts w:asciiTheme="minorHAnsi" w:hAnsiTheme="minorHAnsi" w:cstheme="minorHAnsi"/>
          <w:i w:val="0"/>
          <w:color w:val="auto"/>
        </w:rPr>
        <w:instrText xml:space="preserve"> SEQ Figure \* ARABIC </w:instrText>
      </w:r>
      <w:r w:rsidRPr="00353602">
        <w:rPr>
          <w:rFonts w:asciiTheme="minorHAnsi" w:hAnsiTheme="minorHAnsi" w:cstheme="minorHAnsi"/>
          <w:i w:val="0"/>
          <w:color w:val="auto"/>
        </w:rPr>
        <w:fldChar w:fldCharType="separate"/>
      </w:r>
      <w:r w:rsidRPr="00353602">
        <w:rPr>
          <w:rFonts w:asciiTheme="minorHAnsi" w:hAnsiTheme="minorHAnsi" w:cstheme="minorHAnsi"/>
          <w:i w:val="0"/>
          <w:noProof/>
          <w:color w:val="auto"/>
        </w:rPr>
        <w:t>14</w:t>
      </w:r>
      <w:r w:rsidRPr="00353602">
        <w:rPr>
          <w:rFonts w:asciiTheme="minorHAnsi" w:hAnsiTheme="minorHAnsi" w:cstheme="minorHAnsi"/>
          <w:i w:val="0"/>
          <w:color w:val="auto"/>
        </w:rPr>
        <w:fldChar w:fldCharType="end"/>
      </w:r>
      <w:r w:rsidRPr="00353602">
        <w:rPr>
          <w:rFonts w:asciiTheme="minorHAnsi" w:hAnsiTheme="minorHAnsi" w:cstheme="minorHAnsi"/>
          <w:i w:val="0"/>
          <w:color w:val="auto"/>
        </w:rPr>
        <w:t xml:space="preserve"> - Durée de dotation externe Médiane pour la fonction publique = 186 jours, 2018-2019</w:t>
      </w:r>
    </w:p>
    <w:p w14:paraId="4A8AEB95" w14:textId="77777777" w:rsidR="00353602" w:rsidRPr="00766F9D" w:rsidRDefault="00766F9D" w:rsidP="00766F9D">
      <w:pPr>
        <w:spacing w:before="240" w:after="120"/>
        <w:rPr>
          <w:rStyle w:val="Hyperlink"/>
          <w:rFonts w:asciiTheme="minorHAnsi" w:eastAsiaTheme="minorHAnsi" w:hAnsiTheme="minorHAnsi" w:cstheme="minorHAnsi"/>
          <w:sz w:val="22"/>
          <w:szCs w:val="22"/>
        </w:rPr>
      </w:pPr>
      <w:r>
        <w:rPr>
          <w:rStyle w:val="Hyperlink"/>
          <w:rFonts w:asciiTheme="minorHAnsi" w:eastAsiaTheme="minorHAnsi" w:hAnsiTheme="minorHAnsi" w:cstheme="minorHAnsi"/>
          <w:sz w:val="22"/>
          <w:szCs w:val="22"/>
        </w:rPr>
        <w:fldChar w:fldCharType="begin"/>
      </w:r>
      <w:r>
        <w:rPr>
          <w:rStyle w:val="Hyperlink"/>
          <w:rFonts w:asciiTheme="minorHAnsi" w:eastAsiaTheme="minorHAnsi" w:hAnsiTheme="minorHAnsi" w:cstheme="minorHAnsi"/>
          <w:sz w:val="22"/>
          <w:szCs w:val="22"/>
        </w:rPr>
        <w:instrText xml:space="preserve"> HYPERLINK  \l "Durée_dotation_externe" </w:instrText>
      </w:r>
      <w:r>
        <w:rPr>
          <w:rStyle w:val="Hyperlink"/>
          <w:rFonts w:asciiTheme="minorHAnsi" w:eastAsiaTheme="minorHAnsi" w:hAnsiTheme="minorHAnsi" w:cstheme="minorHAnsi"/>
          <w:sz w:val="22"/>
          <w:szCs w:val="22"/>
        </w:rPr>
        <w:fldChar w:fldCharType="separate"/>
      </w:r>
      <w:r w:rsidR="00353602" w:rsidRPr="00766F9D">
        <w:rPr>
          <w:rStyle w:val="Hyperlink"/>
          <w:rFonts w:asciiTheme="minorHAnsi" w:eastAsiaTheme="minorHAnsi" w:hAnsiTheme="minorHAnsi" w:cstheme="minorHAnsi"/>
          <w:sz w:val="22"/>
          <w:szCs w:val="22"/>
        </w:rPr>
        <w:t>Tableau des données sur la durée de dotation externe disponible ici.</w:t>
      </w:r>
    </w:p>
    <w:p w14:paraId="4E7C9E93" w14:textId="77777777" w:rsidR="00353602" w:rsidRDefault="00766F9D" w:rsidP="00BF469C">
      <w:pPr>
        <w:rPr>
          <w:rFonts w:cs="Arial"/>
          <w:b/>
          <w:lang w:val="fr-CA"/>
        </w:rPr>
      </w:pPr>
      <w:r>
        <w:rPr>
          <w:rStyle w:val="Hyperlink"/>
          <w:rFonts w:asciiTheme="minorHAnsi" w:eastAsiaTheme="minorHAnsi" w:hAnsiTheme="minorHAnsi" w:cstheme="minorHAnsi"/>
          <w:sz w:val="22"/>
          <w:szCs w:val="22"/>
        </w:rPr>
        <w:fldChar w:fldCharType="end"/>
      </w:r>
    </w:p>
    <w:p w14:paraId="1DDC5960" w14:textId="77777777" w:rsidR="00353602" w:rsidRDefault="00353602" w:rsidP="00353602">
      <w:pPr>
        <w:rPr>
          <w:rFonts w:asciiTheme="minorHAnsi" w:hAnsiTheme="minorHAnsi" w:cstheme="minorHAnsi"/>
          <w:sz w:val="22"/>
          <w:lang w:val="fr-CA" w:eastAsia="en-CA"/>
        </w:rPr>
        <w:sectPr w:rsidR="00353602" w:rsidSect="00707DA2">
          <w:footnotePr>
            <w:numFmt w:val="lowerLetter"/>
          </w:footnotePr>
          <w:endnotePr>
            <w:numFmt w:val="lowerLetter"/>
          </w:endnotePr>
          <w:pgSz w:w="20160" w:h="12240" w:orient="landscape" w:code="5"/>
          <w:pgMar w:top="567" w:right="709" w:bottom="1304" w:left="709" w:header="284" w:footer="284" w:gutter="0"/>
          <w:cols w:space="720"/>
          <w:docGrid w:linePitch="326"/>
        </w:sectPr>
      </w:pPr>
    </w:p>
    <w:p w14:paraId="295D87E6" w14:textId="77777777" w:rsidR="0035288E" w:rsidRDefault="0035288E" w:rsidP="0035288E">
      <w:pPr>
        <w:spacing w:after="120"/>
        <w:rPr>
          <w:rFonts w:asciiTheme="minorHAnsi" w:hAnsiTheme="minorHAnsi" w:cstheme="minorHAnsi"/>
          <w:sz w:val="22"/>
          <w:szCs w:val="22"/>
          <w:lang w:eastAsia="en-CA"/>
        </w:rPr>
      </w:pPr>
      <w:r w:rsidRPr="00D41B49">
        <w:rPr>
          <w:rFonts w:asciiTheme="minorHAnsi" w:hAnsiTheme="minorHAnsi" w:cstheme="minorHAnsi"/>
          <w:sz w:val="22"/>
          <w:szCs w:val="22"/>
          <w:lang w:eastAsia="en-CA"/>
        </w:rPr>
        <w:t>Afin de déterminer la durée d’un processus de dotation externe, il faut compter le nombre de jours civils entre la date d’ouverture de l’annonce et la date de la première embauche prévue à l’externe.</w:t>
      </w:r>
    </w:p>
    <w:p w14:paraId="04335C19" w14:textId="77777777" w:rsidR="00353602" w:rsidRPr="0035288E" w:rsidRDefault="00353602" w:rsidP="0035288E">
      <w:pPr>
        <w:spacing w:after="120"/>
        <w:rPr>
          <w:rFonts w:asciiTheme="minorHAnsi" w:hAnsiTheme="minorHAnsi" w:cstheme="minorHAnsi"/>
          <w:sz w:val="22"/>
          <w:szCs w:val="22"/>
          <w:lang w:eastAsia="en-CA"/>
        </w:rPr>
      </w:pPr>
      <w:r w:rsidRPr="00353602">
        <w:rPr>
          <w:rFonts w:asciiTheme="minorHAnsi" w:hAnsiTheme="minorHAnsi" w:cstheme="minorHAnsi"/>
          <w:sz w:val="22"/>
          <w:lang w:val="fr-CA" w:eastAsia="en-CA"/>
        </w:rPr>
        <w:t xml:space="preserve">La durée médiane de dotation externe pour la fonction publique (organisations assujetties à la </w:t>
      </w:r>
      <w:r w:rsidRPr="0035288E">
        <w:rPr>
          <w:rStyle w:val="Emphasis"/>
          <w:rFonts w:asciiTheme="minorHAnsi" w:hAnsiTheme="minorHAnsi" w:cstheme="minorHAnsi"/>
          <w:sz w:val="22"/>
        </w:rPr>
        <w:t>Loi sur l’e</w:t>
      </w:r>
      <w:r w:rsidR="00766F9D" w:rsidRPr="0035288E">
        <w:rPr>
          <w:rStyle w:val="Emphasis"/>
          <w:rFonts w:asciiTheme="minorHAnsi" w:hAnsiTheme="minorHAnsi" w:cstheme="minorHAnsi"/>
          <w:sz w:val="22"/>
        </w:rPr>
        <w:t>mploi dans la fonction publique</w:t>
      </w:r>
      <w:r w:rsidRPr="0035288E">
        <w:rPr>
          <w:rFonts w:asciiTheme="minorHAnsi" w:hAnsiTheme="minorHAnsi" w:cstheme="minorHAnsi"/>
          <w:i/>
          <w:sz w:val="18"/>
          <w:lang w:val="fr-CA" w:eastAsia="en-CA"/>
        </w:rPr>
        <w:t xml:space="preserve"> </w:t>
      </w:r>
      <w:r w:rsidRPr="00353602">
        <w:rPr>
          <w:rFonts w:asciiTheme="minorHAnsi" w:hAnsiTheme="minorHAnsi" w:cstheme="minorHAnsi"/>
          <w:sz w:val="22"/>
          <w:lang w:val="fr-CA" w:eastAsia="en-CA"/>
        </w:rPr>
        <w:t>(LEFP)) pour l’exercice financier 2018 à 2019 est 186 jours</w:t>
      </w:r>
    </w:p>
    <w:p w14:paraId="4160E0E1" w14:textId="77777777" w:rsidR="00707DA2" w:rsidRPr="0035288E" w:rsidRDefault="00353602" w:rsidP="00BF469C">
      <w:pPr>
        <w:rPr>
          <w:rStyle w:val="Strong"/>
          <w:rFonts w:asciiTheme="minorHAnsi" w:hAnsiTheme="minorHAnsi" w:cstheme="minorHAnsi"/>
          <w:sz w:val="22"/>
        </w:rPr>
      </w:pPr>
      <w:r w:rsidRPr="0035288E">
        <w:rPr>
          <w:rStyle w:val="Strong"/>
          <w:rFonts w:asciiTheme="minorHAnsi" w:hAnsiTheme="minorHAnsi" w:cstheme="minorHAnsi"/>
          <w:sz w:val="22"/>
        </w:rPr>
        <w:t>D</w:t>
      </w:r>
      <w:r w:rsidR="00707DA2" w:rsidRPr="0035288E">
        <w:rPr>
          <w:rStyle w:val="Strong"/>
          <w:rFonts w:asciiTheme="minorHAnsi" w:hAnsiTheme="minorHAnsi" w:cstheme="minorHAnsi"/>
          <w:sz w:val="22"/>
        </w:rPr>
        <w:t>urée de dotation externe pour l’exercice financier 2018 à 2019</w:t>
      </w:r>
    </w:p>
    <w:p w14:paraId="3CA0019D" w14:textId="77777777" w:rsidR="0035288E" w:rsidRPr="0035288E" w:rsidRDefault="00707DA2" w:rsidP="0035288E">
      <w:pPr>
        <w:rPr>
          <w:rFonts w:asciiTheme="minorHAnsi" w:hAnsiTheme="minorHAnsi" w:cstheme="minorHAnsi"/>
          <w:sz w:val="22"/>
          <w:lang w:val="fr-CA"/>
        </w:rPr>
        <w:sectPr w:rsidR="0035288E" w:rsidRPr="0035288E" w:rsidSect="0035288E">
          <w:footnotePr>
            <w:numFmt w:val="lowerLetter"/>
          </w:footnotePr>
          <w:endnotePr>
            <w:numFmt w:val="lowerLetter"/>
          </w:endnotePr>
          <w:type w:val="continuous"/>
          <w:pgSz w:w="20160" w:h="12240" w:orient="landscape" w:code="5"/>
          <w:pgMar w:top="567" w:right="709" w:bottom="1304" w:left="709" w:header="284" w:footer="284" w:gutter="0"/>
          <w:cols w:num="2" w:space="720"/>
          <w:docGrid w:linePitch="326"/>
        </w:sectPr>
      </w:pPr>
      <w:r w:rsidRPr="00353602">
        <w:rPr>
          <w:rFonts w:asciiTheme="minorHAnsi" w:hAnsiTheme="minorHAnsi" w:cstheme="minorHAnsi"/>
          <w:sz w:val="22"/>
          <w:lang w:val="fr-CA"/>
        </w:rPr>
        <w:t>Les données sont insuffisantes pour fournir des résultats sur la durée des processus de dotation externe pour</w:t>
      </w:r>
      <w:r w:rsidR="0035288E">
        <w:rPr>
          <w:rFonts w:asciiTheme="minorHAnsi" w:hAnsiTheme="minorHAnsi" w:cstheme="minorHAnsi"/>
          <w:sz w:val="22"/>
          <w:lang w:val="fr-CA"/>
        </w:rPr>
        <w:t xml:space="preserve"> la Sécurité publique du Canada</w:t>
      </w:r>
    </w:p>
    <w:p w14:paraId="616AB0C3" w14:textId="77777777" w:rsidR="00707DA2" w:rsidRDefault="00707DA2" w:rsidP="00BE5FFE">
      <w:pPr>
        <w:pStyle w:val="Level1"/>
        <w:tabs>
          <w:tab w:val="left" w:pos="-1440"/>
        </w:tabs>
        <w:autoSpaceDE w:val="0"/>
        <w:autoSpaceDN w:val="0"/>
        <w:adjustRightInd w:val="0"/>
        <w:spacing w:after="120" w:line="20" w:lineRule="atLeast"/>
        <w:rPr>
          <w:rFonts w:asciiTheme="minorHAnsi" w:hAnsiTheme="minorHAnsi"/>
          <w:b/>
          <w:bCs/>
          <w:sz w:val="22"/>
          <w:szCs w:val="22"/>
          <w:lang w:val="fr-CA"/>
        </w:rPr>
      </w:pPr>
    </w:p>
    <w:p w14:paraId="550C02AE" w14:textId="77777777" w:rsidR="00707DA2" w:rsidRDefault="00707DA2" w:rsidP="00BE5FFE">
      <w:pPr>
        <w:pStyle w:val="Level1"/>
        <w:tabs>
          <w:tab w:val="left" w:pos="-1440"/>
        </w:tabs>
        <w:autoSpaceDE w:val="0"/>
        <w:autoSpaceDN w:val="0"/>
        <w:adjustRightInd w:val="0"/>
        <w:spacing w:after="120" w:line="20" w:lineRule="atLeast"/>
        <w:rPr>
          <w:rFonts w:asciiTheme="minorHAnsi" w:hAnsiTheme="minorHAnsi"/>
          <w:b/>
          <w:bCs/>
          <w:sz w:val="22"/>
          <w:szCs w:val="22"/>
          <w:lang w:val="fr-CA"/>
        </w:rPr>
        <w:sectPr w:rsidR="00707DA2" w:rsidSect="00353602">
          <w:footnotePr>
            <w:numFmt w:val="lowerLetter"/>
          </w:footnotePr>
          <w:endnotePr>
            <w:numFmt w:val="lowerLetter"/>
          </w:endnotePr>
          <w:type w:val="continuous"/>
          <w:pgSz w:w="20160" w:h="12240" w:orient="landscape" w:code="5"/>
          <w:pgMar w:top="567" w:right="709" w:bottom="1304" w:left="709" w:header="284" w:footer="284" w:gutter="0"/>
          <w:cols w:space="720"/>
          <w:docGrid w:linePitch="326"/>
        </w:sectPr>
      </w:pPr>
    </w:p>
    <w:p w14:paraId="48CF9EE2" w14:textId="77777777" w:rsidR="00707DA2" w:rsidRPr="00766F9D" w:rsidRDefault="00707DA2" w:rsidP="00766F9D">
      <w:pPr>
        <w:pStyle w:val="Heading1"/>
        <w:spacing w:before="120" w:after="120"/>
        <w:rPr>
          <w:sz w:val="40"/>
          <w:lang w:val="fr-CA"/>
        </w:rPr>
      </w:pPr>
      <w:r w:rsidRPr="00766F9D">
        <w:rPr>
          <w:sz w:val="40"/>
          <w:lang w:val="fr-CA"/>
        </w:rPr>
        <w:lastRenderedPageBreak/>
        <w:t>Durée de processus de dotation externe</w:t>
      </w:r>
    </w:p>
    <w:p w14:paraId="600F1D7D" w14:textId="77777777" w:rsidR="00766F9D" w:rsidRPr="00766F9D" w:rsidRDefault="00766F9D" w:rsidP="00766F9D">
      <w:pPr>
        <w:pStyle w:val="Caption"/>
        <w:keepNext/>
        <w:spacing w:after="0"/>
        <w:rPr>
          <w:rFonts w:asciiTheme="minorHAnsi" w:hAnsiTheme="minorHAnsi" w:cstheme="minorHAnsi"/>
          <w:i w:val="0"/>
          <w:color w:val="auto"/>
        </w:rPr>
      </w:pPr>
      <w:r w:rsidRPr="00766F9D">
        <w:rPr>
          <w:rFonts w:asciiTheme="minorHAnsi" w:hAnsiTheme="minorHAnsi" w:cstheme="minorHAnsi"/>
          <w:i w:val="0"/>
          <w:color w:val="auto"/>
        </w:rPr>
        <w:fldChar w:fldCharType="begin"/>
      </w:r>
      <w:r w:rsidRPr="00766F9D">
        <w:rPr>
          <w:rFonts w:asciiTheme="minorHAnsi" w:hAnsiTheme="minorHAnsi" w:cstheme="minorHAnsi"/>
          <w:i w:val="0"/>
          <w:color w:val="auto"/>
        </w:rPr>
        <w:instrText xml:space="preserve"> SEQ Table \* ARABIC </w:instrText>
      </w:r>
      <w:r w:rsidRPr="00766F9D">
        <w:rPr>
          <w:rFonts w:asciiTheme="minorHAnsi" w:hAnsiTheme="minorHAnsi" w:cstheme="minorHAnsi"/>
          <w:i w:val="0"/>
          <w:color w:val="auto"/>
        </w:rPr>
        <w:fldChar w:fldCharType="separate"/>
      </w:r>
      <w:r w:rsidRPr="00766F9D">
        <w:rPr>
          <w:rFonts w:asciiTheme="minorHAnsi" w:hAnsiTheme="minorHAnsi" w:cstheme="minorHAnsi"/>
          <w:i w:val="0"/>
          <w:noProof/>
          <w:color w:val="auto"/>
        </w:rPr>
        <w:t>16</w:t>
      </w:r>
      <w:r w:rsidRPr="00766F9D">
        <w:rPr>
          <w:rFonts w:asciiTheme="minorHAnsi" w:hAnsiTheme="minorHAnsi" w:cstheme="minorHAnsi"/>
          <w:i w:val="0"/>
          <w:color w:val="auto"/>
        </w:rPr>
        <w:fldChar w:fldCharType="end"/>
      </w:r>
      <w:r w:rsidRPr="00766F9D">
        <w:rPr>
          <w:rFonts w:asciiTheme="minorHAnsi" w:hAnsiTheme="minorHAnsi" w:cstheme="minorHAnsi"/>
          <w:i w:val="0"/>
          <w:color w:val="auto"/>
        </w:rPr>
        <w:t xml:space="preserve"> - Durée de processus de dotation externe</w:t>
      </w:r>
    </w:p>
    <w:tbl>
      <w:tblPr>
        <w:tblStyle w:val="TableGrid"/>
        <w:tblW w:w="5000" w:type="pct"/>
        <w:jc w:val="center"/>
        <w:tblLayout w:type="fixed"/>
        <w:tblLook w:val="0020" w:firstRow="1" w:lastRow="0" w:firstColumn="0" w:lastColumn="0" w:noHBand="0" w:noVBand="0"/>
        <w:tblDescription w:val="Durée des processus de dotation externe"/>
      </w:tblPr>
      <w:tblGrid>
        <w:gridCol w:w="2830"/>
        <w:gridCol w:w="7529"/>
      </w:tblGrid>
      <w:tr w:rsidR="005F0C32" w:rsidRPr="005F0C32" w14:paraId="6BB63817" w14:textId="77777777" w:rsidTr="006C2E0A">
        <w:trPr>
          <w:cantSplit/>
          <w:trHeight w:val="290"/>
          <w:tblHeader/>
          <w:jc w:val="center"/>
        </w:trPr>
        <w:tc>
          <w:tcPr>
            <w:tcW w:w="1366" w:type="pct"/>
          </w:tcPr>
          <w:p w14:paraId="3EEB3900" w14:textId="77777777" w:rsidR="005F0C32" w:rsidRPr="005F0C32" w:rsidRDefault="005F0C32" w:rsidP="005F0C32">
            <w:pPr>
              <w:pStyle w:val="TableTitle"/>
              <w:rPr>
                <w:color w:val="auto"/>
                <w:sz w:val="22"/>
                <w:lang w:val="fr-CA"/>
              </w:rPr>
            </w:pPr>
            <w:bookmarkStart w:id="3" w:name="Durée_dotation_externe"/>
            <w:r w:rsidRPr="005F0C32">
              <w:rPr>
                <w:color w:val="auto"/>
                <w:sz w:val="22"/>
                <w:lang w:val="fr-CA"/>
              </w:rPr>
              <w:t>Nombre de jours civils</w:t>
            </w:r>
            <w:bookmarkEnd w:id="3"/>
          </w:p>
        </w:tc>
        <w:tc>
          <w:tcPr>
            <w:tcW w:w="3634" w:type="pct"/>
          </w:tcPr>
          <w:p w14:paraId="60F680C0" w14:textId="66CA8EC4" w:rsidR="005F0C32" w:rsidRPr="005F0C32" w:rsidRDefault="005F0C32" w:rsidP="005F0C32">
            <w:pPr>
              <w:pStyle w:val="TableTitle"/>
              <w:rPr>
                <w:color w:val="auto"/>
                <w:sz w:val="22"/>
                <w:lang w:val="fr-CA"/>
              </w:rPr>
            </w:pPr>
            <w:r w:rsidRPr="005F0C32">
              <w:rPr>
                <w:color w:val="auto"/>
                <w:sz w:val="22"/>
                <w:lang w:val="fr-CA"/>
              </w:rPr>
              <w:t>Le nombre de premières embauches externes dans un processus externe (durée de dotation externe) dans les organisations assujetties à la</w:t>
            </w:r>
            <w:r w:rsidRPr="005F0C32">
              <w:rPr>
                <w:i/>
                <w:color w:val="auto"/>
                <w:sz w:val="22"/>
                <w:lang w:val="fr-CA"/>
              </w:rPr>
              <w:t xml:space="preserve"> </w:t>
            </w:r>
            <w:r w:rsidRPr="005F0C32">
              <w:rPr>
                <w:rStyle w:val="Emphasis"/>
                <w:color w:val="auto"/>
                <w:sz w:val="22"/>
              </w:rPr>
              <w:t>Loi sur l’emploi dans la fonction publique</w:t>
            </w:r>
            <w:r w:rsidRPr="005F0C32">
              <w:rPr>
                <w:i/>
                <w:color w:val="auto"/>
                <w:sz w:val="22"/>
                <w:lang w:val="fr-CA"/>
              </w:rPr>
              <w:t xml:space="preserve">, </w:t>
            </w:r>
            <w:r w:rsidR="00140B1F">
              <w:rPr>
                <w:color w:val="auto"/>
                <w:sz w:val="22"/>
                <w:lang w:val="fr-CA"/>
              </w:rPr>
              <w:t>selon</w:t>
            </w:r>
            <w:r w:rsidR="00140B1F" w:rsidRPr="005F0C32">
              <w:rPr>
                <w:color w:val="auto"/>
                <w:sz w:val="22"/>
                <w:lang w:val="fr-CA"/>
              </w:rPr>
              <w:t xml:space="preserve"> </w:t>
            </w:r>
            <w:r w:rsidRPr="005F0C32">
              <w:rPr>
                <w:color w:val="auto"/>
                <w:sz w:val="22"/>
                <w:lang w:val="fr-CA"/>
              </w:rPr>
              <w:t>le nombre de jours civils spécifié</w:t>
            </w:r>
          </w:p>
        </w:tc>
      </w:tr>
      <w:tr w:rsidR="005F0C32" w:rsidRPr="00766F9D" w14:paraId="0D5C23BA" w14:textId="77777777" w:rsidTr="006C2E0A">
        <w:trPr>
          <w:cantSplit/>
          <w:trHeight w:val="290"/>
          <w:tblHeader/>
          <w:jc w:val="center"/>
        </w:trPr>
        <w:tc>
          <w:tcPr>
            <w:tcW w:w="1366" w:type="pct"/>
          </w:tcPr>
          <w:p w14:paraId="4892AB3D" w14:textId="77777777" w:rsidR="005F0C32" w:rsidRPr="00766F9D" w:rsidRDefault="005F0C32" w:rsidP="005F0C32">
            <w:pPr>
              <w:autoSpaceDE w:val="0"/>
              <w:autoSpaceDN w:val="0"/>
              <w:adjustRightInd w:val="0"/>
              <w:contextualSpacing/>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0 à 29 jours civils</w:t>
            </w:r>
          </w:p>
        </w:tc>
        <w:tc>
          <w:tcPr>
            <w:tcW w:w="3634" w:type="pct"/>
          </w:tcPr>
          <w:p w14:paraId="3DC017C1" w14:textId="77777777" w:rsidR="005F0C32" w:rsidRPr="00766F9D" w:rsidRDefault="005F0C32" w:rsidP="005F0C32">
            <w:pPr>
              <w:autoSpaceDE w:val="0"/>
              <w:autoSpaceDN w:val="0"/>
              <w:adjustRightInd w:val="0"/>
              <w:contextualSpacing/>
              <w:jc w:val="center"/>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49</w:t>
            </w:r>
          </w:p>
        </w:tc>
      </w:tr>
      <w:tr w:rsidR="005F0C32" w:rsidRPr="00766F9D" w14:paraId="25DC17DF" w14:textId="77777777" w:rsidTr="006C2E0A">
        <w:trPr>
          <w:cantSplit/>
          <w:trHeight w:val="290"/>
          <w:tblHeader/>
          <w:jc w:val="center"/>
        </w:trPr>
        <w:tc>
          <w:tcPr>
            <w:tcW w:w="1366" w:type="pct"/>
          </w:tcPr>
          <w:p w14:paraId="22D35D88" w14:textId="77777777" w:rsidR="005F0C32" w:rsidRPr="00766F9D" w:rsidRDefault="005F0C32" w:rsidP="005F0C32">
            <w:pPr>
              <w:autoSpaceDE w:val="0"/>
              <w:autoSpaceDN w:val="0"/>
              <w:adjustRightInd w:val="0"/>
              <w:contextualSpacing/>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30 à 59 jours civils</w:t>
            </w:r>
          </w:p>
        </w:tc>
        <w:tc>
          <w:tcPr>
            <w:tcW w:w="3634" w:type="pct"/>
          </w:tcPr>
          <w:p w14:paraId="21B7DE69" w14:textId="77777777" w:rsidR="005F0C32" w:rsidRPr="00766F9D" w:rsidRDefault="005F0C32" w:rsidP="005F0C32">
            <w:pPr>
              <w:autoSpaceDE w:val="0"/>
              <w:autoSpaceDN w:val="0"/>
              <w:adjustRightInd w:val="0"/>
              <w:contextualSpacing/>
              <w:jc w:val="center"/>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82</w:t>
            </w:r>
          </w:p>
        </w:tc>
      </w:tr>
      <w:tr w:rsidR="005F0C32" w:rsidRPr="00766F9D" w14:paraId="2D5C45CA" w14:textId="77777777" w:rsidTr="006C2E0A">
        <w:trPr>
          <w:cantSplit/>
          <w:trHeight w:val="290"/>
          <w:tblHeader/>
          <w:jc w:val="center"/>
        </w:trPr>
        <w:tc>
          <w:tcPr>
            <w:tcW w:w="1366" w:type="pct"/>
          </w:tcPr>
          <w:p w14:paraId="078C828F" w14:textId="77777777" w:rsidR="005F0C32" w:rsidRPr="00766F9D" w:rsidRDefault="005F0C32" w:rsidP="005F0C32">
            <w:pPr>
              <w:autoSpaceDE w:val="0"/>
              <w:autoSpaceDN w:val="0"/>
              <w:adjustRightInd w:val="0"/>
              <w:contextualSpacing/>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60 à 89 jours civils</w:t>
            </w:r>
          </w:p>
        </w:tc>
        <w:tc>
          <w:tcPr>
            <w:tcW w:w="3634" w:type="pct"/>
          </w:tcPr>
          <w:p w14:paraId="3479526F" w14:textId="77777777" w:rsidR="005F0C32" w:rsidRPr="00766F9D" w:rsidRDefault="005F0C32" w:rsidP="005F0C32">
            <w:pPr>
              <w:autoSpaceDE w:val="0"/>
              <w:autoSpaceDN w:val="0"/>
              <w:adjustRightInd w:val="0"/>
              <w:contextualSpacing/>
              <w:jc w:val="center"/>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124</w:t>
            </w:r>
          </w:p>
        </w:tc>
      </w:tr>
      <w:tr w:rsidR="005F0C32" w:rsidRPr="00766F9D" w14:paraId="0BEBD969" w14:textId="77777777" w:rsidTr="006C2E0A">
        <w:trPr>
          <w:cantSplit/>
          <w:trHeight w:val="290"/>
          <w:tblHeader/>
          <w:jc w:val="center"/>
        </w:trPr>
        <w:tc>
          <w:tcPr>
            <w:tcW w:w="1366" w:type="pct"/>
          </w:tcPr>
          <w:p w14:paraId="47EE2B93" w14:textId="77777777" w:rsidR="005F0C32" w:rsidRPr="00766F9D" w:rsidRDefault="005F0C32" w:rsidP="005F0C32">
            <w:pPr>
              <w:autoSpaceDE w:val="0"/>
              <w:autoSpaceDN w:val="0"/>
              <w:adjustRightInd w:val="0"/>
              <w:contextualSpacing/>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90 à 119 jours civils</w:t>
            </w:r>
          </w:p>
        </w:tc>
        <w:tc>
          <w:tcPr>
            <w:tcW w:w="3634" w:type="pct"/>
          </w:tcPr>
          <w:p w14:paraId="170A9466" w14:textId="77777777" w:rsidR="005F0C32" w:rsidRPr="00766F9D" w:rsidRDefault="005F0C32" w:rsidP="005F0C32">
            <w:pPr>
              <w:autoSpaceDE w:val="0"/>
              <w:autoSpaceDN w:val="0"/>
              <w:adjustRightInd w:val="0"/>
              <w:contextualSpacing/>
              <w:jc w:val="center"/>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160</w:t>
            </w:r>
          </w:p>
        </w:tc>
      </w:tr>
      <w:tr w:rsidR="005F0C32" w:rsidRPr="00766F9D" w14:paraId="174241A7" w14:textId="77777777" w:rsidTr="006C2E0A">
        <w:trPr>
          <w:cantSplit/>
          <w:trHeight w:val="290"/>
          <w:tblHeader/>
          <w:jc w:val="center"/>
        </w:trPr>
        <w:tc>
          <w:tcPr>
            <w:tcW w:w="1366" w:type="pct"/>
          </w:tcPr>
          <w:p w14:paraId="72004824" w14:textId="77777777" w:rsidR="005F0C32" w:rsidRPr="00766F9D" w:rsidRDefault="005F0C32" w:rsidP="005F0C32">
            <w:pPr>
              <w:autoSpaceDE w:val="0"/>
              <w:autoSpaceDN w:val="0"/>
              <w:adjustRightInd w:val="0"/>
              <w:contextualSpacing/>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120 à 149 jours civils</w:t>
            </w:r>
          </w:p>
        </w:tc>
        <w:tc>
          <w:tcPr>
            <w:tcW w:w="3634" w:type="pct"/>
          </w:tcPr>
          <w:p w14:paraId="0FDC735C" w14:textId="77777777" w:rsidR="005F0C32" w:rsidRPr="00766F9D" w:rsidRDefault="005F0C32" w:rsidP="005F0C32">
            <w:pPr>
              <w:autoSpaceDE w:val="0"/>
              <w:autoSpaceDN w:val="0"/>
              <w:adjustRightInd w:val="0"/>
              <w:contextualSpacing/>
              <w:jc w:val="center"/>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181</w:t>
            </w:r>
          </w:p>
        </w:tc>
      </w:tr>
      <w:tr w:rsidR="005F0C32" w:rsidRPr="00766F9D" w14:paraId="6B24D902" w14:textId="77777777" w:rsidTr="006C2E0A">
        <w:trPr>
          <w:cantSplit/>
          <w:trHeight w:val="290"/>
          <w:tblHeader/>
          <w:jc w:val="center"/>
        </w:trPr>
        <w:tc>
          <w:tcPr>
            <w:tcW w:w="1366" w:type="pct"/>
          </w:tcPr>
          <w:p w14:paraId="63DD641B" w14:textId="77777777" w:rsidR="005F0C32" w:rsidRPr="00766F9D" w:rsidRDefault="005F0C32" w:rsidP="005F0C32">
            <w:pPr>
              <w:autoSpaceDE w:val="0"/>
              <w:autoSpaceDN w:val="0"/>
              <w:adjustRightInd w:val="0"/>
              <w:contextualSpacing/>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150 à 179 jours civils</w:t>
            </w:r>
          </w:p>
        </w:tc>
        <w:tc>
          <w:tcPr>
            <w:tcW w:w="3634" w:type="pct"/>
          </w:tcPr>
          <w:p w14:paraId="3F5641BE" w14:textId="77777777" w:rsidR="005F0C32" w:rsidRPr="00766F9D" w:rsidRDefault="005F0C32" w:rsidP="005F0C32">
            <w:pPr>
              <w:autoSpaceDE w:val="0"/>
              <w:autoSpaceDN w:val="0"/>
              <w:adjustRightInd w:val="0"/>
              <w:contextualSpacing/>
              <w:jc w:val="center"/>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179</w:t>
            </w:r>
          </w:p>
        </w:tc>
      </w:tr>
      <w:tr w:rsidR="005F0C32" w:rsidRPr="00766F9D" w14:paraId="6A88E504" w14:textId="77777777" w:rsidTr="006C2E0A">
        <w:trPr>
          <w:cantSplit/>
          <w:trHeight w:val="290"/>
          <w:tblHeader/>
          <w:jc w:val="center"/>
        </w:trPr>
        <w:tc>
          <w:tcPr>
            <w:tcW w:w="1366" w:type="pct"/>
          </w:tcPr>
          <w:p w14:paraId="7FA60A66" w14:textId="77777777" w:rsidR="005F0C32" w:rsidRPr="00766F9D" w:rsidRDefault="005F0C32" w:rsidP="005F0C32">
            <w:pPr>
              <w:autoSpaceDE w:val="0"/>
              <w:autoSpaceDN w:val="0"/>
              <w:adjustRightInd w:val="0"/>
              <w:contextualSpacing/>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180 à 209 jours civils</w:t>
            </w:r>
          </w:p>
        </w:tc>
        <w:tc>
          <w:tcPr>
            <w:tcW w:w="3634" w:type="pct"/>
          </w:tcPr>
          <w:p w14:paraId="1FE9E1D1" w14:textId="77777777" w:rsidR="005F0C32" w:rsidRPr="00766F9D" w:rsidRDefault="005F0C32" w:rsidP="005F0C32">
            <w:pPr>
              <w:autoSpaceDE w:val="0"/>
              <w:autoSpaceDN w:val="0"/>
              <w:adjustRightInd w:val="0"/>
              <w:contextualSpacing/>
              <w:jc w:val="center"/>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160</w:t>
            </w:r>
          </w:p>
        </w:tc>
      </w:tr>
      <w:tr w:rsidR="005F0C32" w:rsidRPr="00766F9D" w14:paraId="45573D4A" w14:textId="77777777" w:rsidTr="006C2E0A">
        <w:trPr>
          <w:cantSplit/>
          <w:trHeight w:val="290"/>
          <w:tblHeader/>
          <w:jc w:val="center"/>
        </w:trPr>
        <w:tc>
          <w:tcPr>
            <w:tcW w:w="1366" w:type="pct"/>
          </w:tcPr>
          <w:p w14:paraId="20C6BF58" w14:textId="77777777" w:rsidR="005F0C32" w:rsidRPr="00766F9D" w:rsidRDefault="005F0C32" w:rsidP="005F0C32">
            <w:pPr>
              <w:autoSpaceDE w:val="0"/>
              <w:autoSpaceDN w:val="0"/>
              <w:adjustRightInd w:val="0"/>
              <w:contextualSpacing/>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210 à 239 jours civils</w:t>
            </w:r>
          </w:p>
        </w:tc>
        <w:tc>
          <w:tcPr>
            <w:tcW w:w="3634" w:type="pct"/>
          </w:tcPr>
          <w:p w14:paraId="03A7543C" w14:textId="77777777" w:rsidR="005F0C32" w:rsidRPr="00766F9D" w:rsidRDefault="005F0C32" w:rsidP="005F0C32">
            <w:pPr>
              <w:autoSpaceDE w:val="0"/>
              <w:autoSpaceDN w:val="0"/>
              <w:adjustRightInd w:val="0"/>
              <w:contextualSpacing/>
              <w:jc w:val="center"/>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139</w:t>
            </w:r>
          </w:p>
        </w:tc>
      </w:tr>
      <w:tr w:rsidR="005F0C32" w:rsidRPr="00766F9D" w14:paraId="64177BA9" w14:textId="77777777" w:rsidTr="006C2E0A">
        <w:trPr>
          <w:cantSplit/>
          <w:trHeight w:val="290"/>
          <w:tblHeader/>
          <w:jc w:val="center"/>
        </w:trPr>
        <w:tc>
          <w:tcPr>
            <w:tcW w:w="1366" w:type="pct"/>
          </w:tcPr>
          <w:p w14:paraId="3ED72244" w14:textId="77777777" w:rsidR="005F0C32" w:rsidRPr="00766F9D" w:rsidRDefault="005F0C32" w:rsidP="005F0C32">
            <w:pPr>
              <w:autoSpaceDE w:val="0"/>
              <w:autoSpaceDN w:val="0"/>
              <w:adjustRightInd w:val="0"/>
              <w:contextualSpacing/>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240 à 269 jours civils</w:t>
            </w:r>
          </w:p>
        </w:tc>
        <w:tc>
          <w:tcPr>
            <w:tcW w:w="3634" w:type="pct"/>
          </w:tcPr>
          <w:p w14:paraId="5E4A5122" w14:textId="77777777" w:rsidR="005F0C32" w:rsidRPr="00766F9D" w:rsidRDefault="005F0C32" w:rsidP="005F0C32">
            <w:pPr>
              <w:autoSpaceDE w:val="0"/>
              <w:autoSpaceDN w:val="0"/>
              <w:adjustRightInd w:val="0"/>
              <w:contextualSpacing/>
              <w:jc w:val="center"/>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84</w:t>
            </w:r>
          </w:p>
        </w:tc>
      </w:tr>
      <w:tr w:rsidR="005F0C32" w:rsidRPr="00766F9D" w14:paraId="33AA6CAF" w14:textId="77777777" w:rsidTr="006C2E0A">
        <w:trPr>
          <w:cantSplit/>
          <w:trHeight w:val="290"/>
          <w:tblHeader/>
          <w:jc w:val="center"/>
        </w:trPr>
        <w:tc>
          <w:tcPr>
            <w:tcW w:w="1366" w:type="pct"/>
          </w:tcPr>
          <w:p w14:paraId="73EFFB53" w14:textId="77777777" w:rsidR="005F0C32" w:rsidRPr="00766F9D" w:rsidRDefault="005F0C32" w:rsidP="005F0C32">
            <w:pPr>
              <w:autoSpaceDE w:val="0"/>
              <w:autoSpaceDN w:val="0"/>
              <w:adjustRightInd w:val="0"/>
              <w:contextualSpacing/>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270 à 299 jours civils</w:t>
            </w:r>
          </w:p>
        </w:tc>
        <w:tc>
          <w:tcPr>
            <w:tcW w:w="3634" w:type="pct"/>
          </w:tcPr>
          <w:p w14:paraId="5889A5CC" w14:textId="77777777" w:rsidR="005F0C32" w:rsidRPr="00766F9D" w:rsidRDefault="005F0C32" w:rsidP="005F0C32">
            <w:pPr>
              <w:autoSpaceDE w:val="0"/>
              <w:autoSpaceDN w:val="0"/>
              <w:adjustRightInd w:val="0"/>
              <w:contextualSpacing/>
              <w:jc w:val="center"/>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73</w:t>
            </w:r>
          </w:p>
        </w:tc>
      </w:tr>
      <w:tr w:rsidR="005F0C32" w:rsidRPr="00766F9D" w14:paraId="2601AEEE" w14:textId="77777777" w:rsidTr="006C2E0A">
        <w:trPr>
          <w:cantSplit/>
          <w:trHeight w:val="290"/>
          <w:tblHeader/>
          <w:jc w:val="center"/>
        </w:trPr>
        <w:tc>
          <w:tcPr>
            <w:tcW w:w="1366" w:type="pct"/>
          </w:tcPr>
          <w:p w14:paraId="2C184CCB" w14:textId="77777777" w:rsidR="005F0C32" w:rsidRPr="00766F9D" w:rsidRDefault="005F0C32" w:rsidP="005F0C32">
            <w:pPr>
              <w:autoSpaceDE w:val="0"/>
              <w:autoSpaceDN w:val="0"/>
              <w:adjustRightInd w:val="0"/>
              <w:contextualSpacing/>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300 à 329 jours civils</w:t>
            </w:r>
          </w:p>
        </w:tc>
        <w:tc>
          <w:tcPr>
            <w:tcW w:w="3634" w:type="pct"/>
          </w:tcPr>
          <w:p w14:paraId="3B46CBB5" w14:textId="77777777" w:rsidR="005F0C32" w:rsidRPr="00766F9D" w:rsidRDefault="005F0C32" w:rsidP="005F0C32">
            <w:pPr>
              <w:autoSpaceDE w:val="0"/>
              <w:autoSpaceDN w:val="0"/>
              <w:adjustRightInd w:val="0"/>
              <w:contextualSpacing/>
              <w:jc w:val="center"/>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61</w:t>
            </w:r>
          </w:p>
        </w:tc>
      </w:tr>
      <w:tr w:rsidR="005F0C32" w:rsidRPr="00766F9D" w14:paraId="08402C6A" w14:textId="77777777" w:rsidTr="006C2E0A">
        <w:trPr>
          <w:cantSplit/>
          <w:trHeight w:val="290"/>
          <w:tblHeader/>
          <w:jc w:val="center"/>
        </w:trPr>
        <w:tc>
          <w:tcPr>
            <w:tcW w:w="1366" w:type="pct"/>
          </w:tcPr>
          <w:p w14:paraId="29A0A193" w14:textId="77777777" w:rsidR="005F0C32" w:rsidRPr="00766F9D" w:rsidRDefault="005F0C32" w:rsidP="005F0C32">
            <w:pPr>
              <w:autoSpaceDE w:val="0"/>
              <w:autoSpaceDN w:val="0"/>
              <w:adjustRightInd w:val="0"/>
              <w:contextualSpacing/>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330 à 359 jours civils</w:t>
            </w:r>
          </w:p>
        </w:tc>
        <w:tc>
          <w:tcPr>
            <w:tcW w:w="3634" w:type="pct"/>
          </w:tcPr>
          <w:p w14:paraId="12635853" w14:textId="77777777" w:rsidR="005F0C32" w:rsidRPr="00766F9D" w:rsidRDefault="005F0C32" w:rsidP="005F0C32">
            <w:pPr>
              <w:autoSpaceDE w:val="0"/>
              <w:autoSpaceDN w:val="0"/>
              <w:adjustRightInd w:val="0"/>
              <w:contextualSpacing/>
              <w:jc w:val="center"/>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41</w:t>
            </w:r>
          </w:p>
        </w:tc>
      </w:tr>
      <w:tr w:rsidR="005F0C32" w:rsidRPr="00766F9D" w14:paraId="497CBB2A" w14:textId="77777777" w:rsidTr="006C2E0A">
        <w:trPr>
          <w:cantSplit/>
          <w:trHeight w:val="290"/>
          <w:tblHeader/>
          <w:jc w:val="center"/>
        </w:trPr>
        <w:tc>
          <w:tcPr>
            <w:tcW w:w="1366" w:type="pct"/>
          </w:tcPr>
          <w:p w14:paraId="20F4A431" w14:textId="77777777" w:rsidR="005F0C32" w:rsidRPr="00766F9D" w:rsidRDefault="005F0C32" w:rsidP="005F0C32">
            <w:pPr>
              <w:autoSpaceDE w:val="0"/>
              <w:autoSpaceDN w:val="0"/>
              <w:adjustRightInd w:val="0"/>
              <w:contextualSpacing/>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360 à 389 jours civils</w:t>
            </w:r>
          </w:p>
        </w:tc>
        <w:tc>
          <w:tcPr>
            <w:tcW w:w="3634" w:type="pct"/>
          </w:tcPr>
          <w:p w14:paraId="644BC2CA" w14:textId="77777777" w:rsidR="005F0C32" w:rsidRPr="00766F9D" w:rsidRDefault="005F0C32" w:rsidP="005F0C32">
            <w:pPr>
              <w:autoSpaceDE w:val="0"/>
              <w:autoSpaceDN w:val="0"/>
              <w:adjustRightInd w:val="0"/>
              <w:contextualSpacing/>
              <w:jc w:val="center"/>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43</w:t>
            </w:r>
          </w:p>
        </w:tc>
      </w:tr>
      <w:tr w:rsidR="005F0C32" w:rsidRPr="00766F9D" w14:paraId="6955AD90" w14:textId="77777777" w:rsidTr="006C2E0A">
        <w:trPr>
          <w:cantSplit/>
          <w:trHeight w:val="290"/>
          <w:tblHeader/>
          <w:jc w:val="center"/>
        </w:trPr>
        <w:tc>
          <w:tcPr>
            <w:tcW w:w="1366" w:type="pct"/>
          </w:tcPr>
          <w:p w14:paraId="512516CB" w14:textId="77777777" w:rsidR="005F0C32" w:rsidRPr="00766F9D" w:rsidRDefault="005F0C32" w:rsidP="005F0C32">
            <w:pPr>
              <w:autoSpaceDE w:val="0"/>
              <w:autoSpaceDN w:val="0"/>
              <w:adjustRightInd w:val="0"/>
              <w:contextualSpacing/>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390 à 419 jours civils</w:t>
            </w:r>
          </w:p>
        </w:tc>
        <w:tc>
          <w:tcPr>
            <w:tcW w:w="3634" w:type="pct"/>
          </w:tcPr>
          <w:p w14:paraId="16E8501A" w14:textId="77777777" w:rsidR="005F0C32" w:rsidRPr="00766F9D" w:rsidRDefault="005F0C32" w:rsidP="005F0C32">
            <w:pPr>
              <w:autoSpaceDE w:val="0"/>
              <w:autoSpaceDN w:val="0"/>
              <w:adjustRightInd w:val="0"/>
              <w:contextualSpacing/>
              <w:jc w:val="center"/>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49</w:t>
            </w:r>
          </w:p>
        </w:tc>
      </w:tr>
      <w:tr w:rsidR="005F0C32" w:rsidRPr="00766F9D" w14:paraId="67D154C7" w14:textId="77777777" w:rsidTr="006C2E0A">
        <w:trPr>
          <w:cantSplit/>
          <w:trHeight w:val="290"/>
          <w:tblHeader/>
          <w:jc w:val="center"/>
        </w:trPr>
        <w:tc>
          <w:tcPr>
            <w:tcW w:w="1366" w:type="pct"/>
          </w:tcPr>
          <w:p w14:paraId="16F06F64" w14:textId="77777777" w:rsidR="005F0C32" w:rsidRPr="00766F9D" w:rsidRDefault="005F0C32" w:rsidP="005F0C32">
            <w:pPr>
              <w:autoSpaceDE w:val="0"/>
              <w:autoSpaceDN w:val="0"/>
              <w:adjustRightInd w:val="0"/>
              <w:contextualSpacing/>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420 à 449 jours civils</w:t>
            </w:r>
          </w:p>
        </w:tc>
        <w:tc>
          <w:tcPr>
            <w:tcW w:w="3634" w:type="pct"/>
          </w:tcPr>
          <w:p w14:paraId="20EE0F65" w14:textId="77777777" w:rsidR="005F0C32" w:rsidRPr="00766F9D" w:rsidRDefault="005F0C32" w:rsidP="005F0C32">
            <w:pPr>
              <w:autoSpaceDE w:val="0"/>
              <w:autoSpaceDN w:val="0"/>
              <w:adjustRightInd w:val="0"/>
              <w:contextualSpacing/>
              <w:jc w:val="center"/>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35</w:t>
            </w:r>
          </w:p>
        </w:tc>
      </w:tr>
      <w:tr w:rsidR="005F0C32" w:rsidRPr="00766F9D" w14:paraId="3012D0DF" w14:textId="77777777" w:rsidTr="006C2E0A">
        <w:trPr>
          <w:cantSplit/>
          <w:trHeight w:val="290"/>
          <w:tblHeader/>
          <w:jc w:val="center"/>
        </w:trPr>
        <w:tc>
          <w:tcPr>
            <w:tcW w:w="1366" w:type="pct"/>
          </w:tcPr>
          <w:p w14:paraId="64AE543F" w14:textId="77777777" w:rsidR="005F0C32" w:rsidRPr="00766F9D" w:rsidRDefault="005F0C32" w:rsidP="005F0C32">
            <w:pPr>
              <w:autoSpaceDE w:val="0"/>
              <w:autoSpaceDN w:val="0"/>
              <w:adjustRightInd w:val="0"/>
              <w:contextualSpacing/>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450 à 479 jours civils</w:t>
            </w:r>
          </w:p>
        </w:tc>
        <w:tc>
          <w:tcPr>
            <w:tcW w:w="3634" w:type="pct"/>
          </w:tcPr>
          <w:p w14:paraId="0EE2DBB1" w14:textId="77777777" w:rsidR="005F0C32" w:rsidRPr="00766F9D" w:rsidRDefault="005F0C32" w:rsidP="005F0C32">
            <w:pPr>
              <w:autoSpaceDE w:val="0"/>
              <w:autoSpaceDN w:val="0"/>
              <w:adjustRightInd w:val="0"/>
              <w:contextualSpacing/>
              <w:jc w:val="center"/>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22</w:t>
            </w:r>
          </w:p>
        </w:tc>
      </w:tr>
      <w:tr w:rsidR="005F0C32" w:rsidRPr="00766F9D" w14:paraId="279D7563" w14:textId="77777777" w:rsidTr="006C2E0A">
        <w:trPr>
          <w:cantSplit/>
          <w:trHeight w:val="290"/>
          <w:tblHeader/>
          <w:jc w:val="center"/>
        </w:trPr>
        <w:tc>
          <w:tcPr>
            <w:tcW w:w="1366" w:type="pct"/>
          </w:tcPr>
          <w:p w14:paraId="5CE3BDFF" w14:textId="77777777" w:rsidR="005F0C32" w:rsidRPr="00766F9D" w:rsidRDefault="005F0C32" w:rsidP="005F0C32">
            <w:pPr>
              <w:autoSpaceDE w:val="0"/>
              <w:autoSpaceDN w:val="0"/>
              <w:adjustRightInd w:val="0"/>
              <w:contextualSpacing/>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480 à 509 jours civils</w:t>
            </w:r>
          </w:p>
        </w:tc>
        <w:tc>
          <w:tcPr>
            <w:tcW w:w="3634" w:type="pct"/>
          </w:tcPr>
          <w:p w14:paraId="27FCC850" w14:textId="77777777" w:rsidR="005F0C32" w:rsidRPr="00766F9D" w:rsidRDefault="005F0C32" w:rsidP="005F0C32">
            <w:pPr>
              <w:autoSpaceDE w:val="0"/>
              <w:autoSpaceDN w:val="0"/>
              <w:adjustRightInd w:val="0"/>
              <w:contextualSpacing/>
              <w:jc w:val="center"/>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27</w:t>
            </w:r>
          </w:p>
        </w:tc>
      </w:tr>
      <w:tr w:rsidR="005F0C32" w:rsidRPr="00766F9D" w14:paraId="70EE645C" w14:textId="77777777" w:rsidTr="006C2E0A">
        <w:trPr>
          <w:cantSplit/>
          <w:trHeight w:val="290"/>
          <w:tblHeader/>
          <w:jc w:val="center"/>
        </w:trPr>
        <w:tc>
          <w:tcPr>
            <w:tcW w:w="1366" w:type="pct"/>
          </w:tcPr>
          <w:p w14:paraId="5EAD2603" w14:textId="77777777" w:rsidR="005F0C32" w:rsidRPr="00766F9D" w:rsidRDefault="005F0C32" w:rsidP="005F0C32">
            <w:pPr>
              <w:autoSpaceDE w:val="0"/>
              <w:autoSpaceDN w:val="0"/>
              <w:adjustRightInd w:val="0"/>
              <w:contextualSpacing/>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 xml:space="preserve">510 à 539 jours civils </w:t>
            </w:r>
          </w:p>
        </w:tc>
        <w:tc>
          <w:tcPr>
            <w:tcW w:w="3634" w:type="pct"/>
          </w:tcPr>
          <w:p w14:paraId="33983322" w14:textId="77777777" w:rsidR="005F0C32" w:rsidRPr="00766F9D" w:rsidRDefault="005F0C32" w:rsidP="005F0C32">
            <w:pPr>
              <w:autoSpaceDE w:val="0"/>
              <w:autoSpaceDN w:val="0"/>
              <w:adjustRightInd w:val="0"/>
              <w:contextualSpacing/>
              <w:jc w:val="center"/>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17</w:t>
            </w:r>
          </w:p>
        </w:tc>
      </w:tr>
      <w:tr w:rsidR="005F0C32" w:rsidRPr="00766F9D" w14:paraId="7407C92F" w14:textId="77777777" w:rsidTr="006C2E0A">
        <w:trPr>
          <w:cantSplit/>
          <w:trHeight w:val="290"/>
          <w:tblHeader/>
          <w:jc w:val="center"/>
        </w:trPr>
        <w:tc>
          <w:tcPr>
            <w:tcW w:w="1366" w:type="pct"/>
          </w:tcPr>
          <w:p w14:paraId="048D026E" w14:textId="77777777" w:rsidR="005F0C32" w:rsidRPr="00766F9D" w:rsidRDefault="005F0C32" w:rsidP="005F0C32">
            <w:pPr>
              <w:autoSpaceDE w:val="0"/>
              <w:autoSpaceDN w:val="0"/>
              <w:adjustRightInd w:val="0"/>
              <w:contextualSpacing/>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540 à 569 jours civils</w:t>
            </w:r>
          </w:p>
        </w:tc>
        <w:tc>
          <w:tcPr>
            <w:tcW w:w="3634" w:type="pct"/>
          </w:tcPr>
          <w:p w14:paraId="30A2E3BE" w14:textId="77777777" w:rsidR="005F0C32" w:rsidRPr="00766F9D" w:rsidRDefault="005F0C32" w:rsidP="005F0C32">
            <w:pPr>
              <w:autoSpaceDE w:val="0"/>
              <w:autoSpaceDN w:val="0"/>
              <w:adjustRightInd w:val="0"/>
              <w:contextualSpacing/>
              <w:jc w:val="center"/>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15</w:t>
            </w:r>
          </w:p>
        </w:tc>
      </w:tr>
      <w:tr w:rsidR="005F0C32" w:rsidRPr="00766F9D" w14:paraId="4F83E2F6" w14:textId="77777777" w:rsidTr="006C2E0A">
        <w:trPr>
          <w:cantSplit/>
          <w:trHeight w:val="290"/>
          <w:tblHeader/>
          <w:jc w:val="center"/>
        </w:trPr>
        <w:tc>
          <w:tcPr>
            <w:tcW w:w="1366" w:type="pct"/>
          </w:tcPr>
          <w:p w14:paraId="69BE161E" w14:textId="77777777" w:rsidR="005F0C32" w:rsidRPr="00766F9D" w:rsidRDefault="005F0C32" w:rsidP="005F0C32">
            <w:pPr>
              <w:autoSpaceDE w:val="0"/>
              <w:autoSpaceDN w:val="0"/>
              <w:adjustRightInd w:val="0"/>
              <w:contextualSpacing/>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570 à 599 jours civils</w:t>
            </w:r>
          </w:p>
        </w:tc>
        <w:tc>
          <w:tcPr>
            <w:tcW w:w="3634" w:type="pct"/>
          </w:tcPr>
          <w:p w14:paraId="3C637B74" w14:textId="77777777" w:rsidR="005F0C32" w:rsidRPr="00766F9D" w:rsidRDefault="005F0C32" w:rsidP="005F0C32">
            <w:pPr>
              <w:autoSpaceDE w:val="0"/>
              <w:autoSpaceDN w:val="0"/>
              <w:adjustRightInd w:val="0"/>
              <w:contextualSpacing/>
              <w:jc w:val="center"/>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14</w:t>
            </w:r>
          </w:p>
        </w:tc>
      </w:tr>
      <w:tr w:rsidR="005F0C32" w:rsidRPr="00766F9D" w14:paraId="035064CF" w14:textId="77777777" w:rsidTr="006C2E0A">
        <w:trPr>
          <w:cantSplit/>
          <w:trHeight w:val="290"/>
          <w:tblHeader/>
          <w:jc w:val="center"/>
        </w:trPr>
        <w:tc>
          <w:tcPr>
            <w:tcW w:w="1366" w:type="pct"/>
          </w:tcPr>
          <w:p w14:paraId="11A6DEB2" w14:textId="77777777" w:rsidR="005F0C32" w:rsidRPr="00766F9D" w:rsidRDefault="005F0C32" w:rsidP="005F0C32">
            <w:pPr>
              <w:autoSpaceDE w:val="0"/>
              <w:autoSpaceDN w:val="0"/>
              <w:adjustRightInd w:val="0"/>
              <w:contextualSpacing/>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600 à 629 jours civils</w:t>
            </w:r>
          </w:p>
        </w:tc>
        <w:tc>
          <w:tcPr>
            <w:tcW w:w="3634" w:type="pct"/>
          </w:tcPr>
          <w:p w14:paraId="49BA18A6" w14:textId="77777777" w:rsidR="005F0C32" w:rsidRPr="00766F9D" w:rsidRDefault="005F0C32" w:rsidP="005F0C32">
            <w:pPr>
              <w:autoSpaceDE w:val="0"/>
              <w:autoSpaceDN w:val="0"/>
              <w:adjustRightInd w:val="0"/>
              <w:contextualSpacing/>
              <w:jc w:val="center"/>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12</w:t>
            </w:r>
          </w:p>
        </w:tc>
      </w:tr>
      <w:tr w:rsidR="005F0C32" w:rsidRPr="00766F9D" w14:paraId="455BB13C" w14:textId="77777777" w:rsidTr="006C2E0A">
        <w:trPr>
          <w:cantSplit/>
          <w:trHeight w:val="290"/>
          <w:tblHeader/>
          <w:jc w:val="center"/>
        </w:trPr>
        <w:tc>
          <w:tcPr>
            <w:tcW w:w="1366" w:type="pct"/>
          </w:tcPr>
          <w:p w14:paraId="3E381E22" w14:textId="77777777" w:rsidR="005F0C32" w:rsidRPr="00766F9D" w:rsidRDefault="005F0C32" w:rsidP="005F0C32">
            <w:pPr>
              <w:autoSpaceDE w:val="0"/>
              <w:autoSpaceDN w:val="0"/>
              <w:adjustRightInd w:val="0"/>
              <w:contextualSpacing/>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630 à 659 jours civils</w:t>
            </w:r>
          </w:p>
        </w:tc>
        <w:tc>
          <w:tcPr>
            <w:tcW w:w="3634" w:type="pct"/>
          </w:tcPr>
          <w:p w14:paraId="09E8DC64" w14:textId="77777777" w:rsidR="005F0C32" w:rsidRPr="00766F9D" w:rsidRDefault="005F0C32" w:rsidP="005F0C32">
            <w:pPr>
              <w:autoSpaceDE w:val="0"/>
              <w:autoSpaceDN w:val="0"/>
              <w:adjustRightInd w:val="0"/>
              <w:contextualSpacing/>
              <w:jc w:val="center"/>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7</w:t>
            </w:r>
          </w:p>
        </w:tc>
      </w:tr>
      <w:tr w:rsidR="005F0C32" w:rsidRPr="00766F9D" w14:paraId="04BBD09E" w14:textId="77777777" w:rsidTr="006C2E0A">
        <w:trPr>
          <w:cantSplit/>
          <w:trHeight w:val="290"/>
          <w:tblHeader/>
          <w:jc w:val="center"/>
        </w:trPr>
        <w:tc>
          <w:tcPr>
            <w:tcW w:w="1366" w:type="pct"/>
          </w:tcPr>
          <w:p w14:paraId="69AB1A85" w14:textId="77777777" w:rsidR="005F0C32" w:rsidRPr="00766F9D" w:rsidRDefault="005F0C32" w:rsidP="005F0C32">
            <w:pPr>
              <w:autoSpaceDE w:val="0"/>
              <w:autoSpaceDN w:val="0"/>
              <w:adjustRightInd w:val="0"/>
              <w:contextualSpacing/>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660 à 689 jours civils</w:t>
            </w:r>
          </w:p>
        </w:tc>
        <w:tc>
          <w:tcPr>
            <w:tcW w:w="3634" w:type="pct"/>
          </w:tcPr>
          <w:p w14:paraId="64254458" w14:textId="77777777" w:rsidR="005F0C32" w:rsidRPr="00766F9D" w:rsidRDefault="005F0C32" w:rsidP="005F0C32">
            <w:pPr>
              <w:autoSpaceDE w:val="0"/>
              <w:autoSpaceDN w:val="0"/>
              <w:adjustRightInd w:val="0"/>
              <w:contextualSpacing/>
              <w:jc w:val="center"/>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5</w:t>
            </w:r>
          </w:p>
        </w:tc>
      </w:tr>
      <w:tr w:rsidR="005F0C32" w:rsidRPr="00766F9D" w14:paraId="7B914B89" w14:textId="77777777" w:rsidTr="006C2E0A">
        <w:trPr>
          <w:cantSplit/>
          <w:trHeight w:val="290"/>
          <w:tblHeader/>
          <w:jc w:val="center"/>
        </w:trPr>
        <w:tc>
          <w:tcPr>
            <w:tcW w:w="1366" w:type="pct"/>
          </w:tcPr>
          <w:p w14:paraId="343EFF69" w14:textId="77777777" w:rsidR="005F0C32" w:rsidRPr="00766F9D" w:rsidRDefault="005F0C32" w:rsidP="005F0C32">
            <w:pPr>
              <w:autoSpaceDE w:val="0"/>
              <w:autoSpaceDN w:val="0"/>
              <w:adjustRightInd w:val="0"/>
              <w:contextualSpacing/>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690 à 719 jours civils</w:t>
            </w:r>
          </w:p>
        </w:tc>
        <w:tc>
          <w:tcPr>
            <w:tcW w:w="3634" w:type="pct"/>
          </w:tcPr>
          <w:p w14:paraId="6FD939F4" w14:textId="77777777" w:rsidR="005F0C32" w:rsidRPr="00766F9D" w:rsidRDefault="005F0C32" w:rsidP="005F0C32">
            <w:pPr>
              <w:autoSpaceDE w:val="0"/>
              <w:autoSpaceDN w:val="0"/>
              <w:adjustRightInd w:val="0"/>
              <w:contextualSpacing/>
              <w:jc w:val="center"/>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7</w:t>
            </w:r>
          </w:p>
        </w:tc>
      </w:tr>
      <w:tr w:rsidR="005F0C32" w:rsidRPr="00766F9D" w14:paraId="588D71FD" w14:textId="77777777" w:rsidTr="006C2E0A">
        <w:trPr>
          <w:cantSplit/>
          <w:trHeight w:val="302"/>
          <w:tblHeader/>
          <w:jc w:val="center"/>
        </w:trPr>
        <w:tc>
          <w:tcPr>
            <w:tcW w:w="1366" w:type="pct"/>
          </w:tcPr>
          <w:p w14:paraId="100BB764" w14:textId="77777777" w:rsidR="005F0C32" w:rsidRPr="00766F9D" w:rsidRDefault="005F0C32" w:rsidP="005F0C32">
            <w:pPr>
              <w:autoSpaceDE w:val="0"/>
              <w:autoSpaceDN w:val="0"/>
              <w:adjustRightInd w:val="0"/>
              <w:contextualSpacing/>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720 à 749 jours civils</w:t>
            </w:r>
          </w:p>
        </w:tc>
        <w:tc>
          <w:tcPr>
            <w:tcW w:w="3634" w:type="pct"/>
          </w:tcPr>
          <w:p w14:paraId="2C872B1B" w14:textId="77777777" w:rsidR="005F0C32" w:rsidRPr="00766F9D" w:rsidRDefault="005F0C32" w:rsidP="005F0C32">
            <w:pPr>
              <w:autoSpaceDE w:val="0"/>
              <w:autoSpaceDN w:val="0"/>
              <w:adjustRightInd w:val="0"/>
              <w:contextualSpacing/>
              <w:jc w:val="center"/>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11</w:t>
            </w:r>
          </w:p>
        </w:tc>
      </w:tr>
      <w:tr w:rsidR="005F0C32" w:rsidRPr="00766F9D" w14:paraId="082A805B" w14:textId="77777777" w:rsidTr="006C2E0A">
        <w:trPr>
          <w:cantSplit/>
          <w:trHeight w:val="290"/>
          <w:tblHeader/>
          <w:jc w:val="center"/>
        </w:trPr>
        <w:tc>
          <w:tcPr>
            <w:tcW w:w="1366" w:type="pct"/>
          </w:tcPr>
          <w:p w14:paraId="455AE62E" w14:textId="77777777" w:rsidR="005F0C32" w:rsidRPr="00766F9D" w:rsidRDefault="005F0C32" w:rsidP="005F0C32">
            <w:pPr>
              <w:autoSpaceDE w:val="0"/>
              <w:autoSpaceDN w:val="0"/>
              <w:adjustRightInd w:val="0"/>
              <w:contextualSpacing/>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750 à 779 jours civils</w:t>
            </w:r>
          </w:p>
        </w:tc>
        <w:tc>
          <w:tcPr>
            <w:tcW w:w="3634" w:type="pct"/>
          </w:tcPr>
          <w:p w14:paraId="4B3D426F" w14:textId="77777777" w:rsidR="005F0C32" w:rsidRPr="00766F9D" w:rsidRDefault="005F0C32" w:rsidP="005F0C32">
            <w:pPr>
              <w:autoSpaceDE w:val="0"/>
              <w:autoSpaceDN w:val="0"/>
              <w:adjustRightInd w:val="0"/>
              <w:contextualSpacing/>
              <w:jc w:val="center"/>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3</w:t>
            </w:r>
          </w:p>
        </w:tc>
      </w:tr>
      <w:tr w:rsidR="005F0C32" w:rsidRPr="00766F9D" w14:paraId="487AF5FF" w14:textId="77777777" w:rsidTr="006C2E0A">
        <w:trPr>
          <w:cantSplit/>
          <w:trHeight w:val="290"/>
          <w:tblHeader/>
          <w:jc w:val="center"/>
        </w:trPr>
        <w:tc>
          <w:tcPr>
            <w:tcW w:w="1366" w:type="pct"/>
          </w:tcPr>
          <w:p w14:paraId="618AE957" w14:textId="77777777" w:rsidR="005F0C32" w:rsidRPr="00766F9D" w:rsidRDefault="005F0C32" w:rsidP="005F0C32">
            <w:pPr>
              <w:autoSpaceDE w:val="0"/>
              <w:autoSpaceDN w:val="0"/>
              <w:adjustRightInd w:val="0"/>
              <w:contextualSpacing/>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780 à 809 jours civils</w:t>
            </w:r>
          </w:p>
        </w:tc>
        <w:tc>
          <w:tcPr>
            <w:tcW w:w="3634" w:type="pct"/>
          </w:tcPr>
          <w:p w14:paraId="292696FB" w14:textId="77777777" w:rsidR="005F0C32" w:rsidRPr="00766F9D" w:rsidRDefault="005F0C32" w:rsidP="005F0C32">
            <w:pPr>
              <w:autoSpaceDE w:val="0"/>
              <w:autoSpaceDN w:val="0"/>
              <w:adjustRightInd w:val="0"/>
              <w:contextualSpacing/>
              <w:jc w:val="center"/>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7</w:t>
            </w:r>
          </w:p>
        </w:tc>
      </w:tr>
      <w:tr w:rsidR="005F0C32" w:rsidRPr="00766F9D" w14:paraId="36D2C75B" w14:textId="77777777" w:rsidTr="006C2E0A">
        <w:trPr>
          <w:cantSplit/>
          <w:trHeight w:val="290"/>
          <w:tblHeader/>
          <w:jc w:val="center"/>
        </w:trPr>
        <w:tc>
          <w:tcPr>
            <w:tcW w:w="1366" w:type="pct"/>
          </w:tcPr>
          <w:p w14:paraId="303C172C" w14:textId="77777777" w:rsidR="005F0C32" w:rsidRPr="00766F9D" w:rsidRDefault="005F0C32" w:rsidP="005F0C32">
            <w:pPr>
              <w:autoSpaceDE w:val="0"/>
              <w:autoSpaceDN w:val="0"/>
              <w:adjustRightInd w:val="0"/>
              <w:contextualSpacing/>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810 à 839 jours civils</w:t>
            </w:r>
          </w:p>
        </w:tc>
        <w:tc>
          <w:tcPr>
            <w:tcW w:w="3634" w:type="pct"/>
          </w:tcPr>
          <w:p w14:paraId="0C51BD2B" w14:textId="77777777" w:rsidR="005F0C32" w:rsidRPr="00766F9D" w:rsidRDefault="005F0C32" w:rsidP="005F0C32">
            <w:pPr>
              <w:autoSpaceDE w:val="0"/>
              <w:autoSpaceDN w:val="0"/>
              <w:adjustRightInd w:val="0"/>
              <w:contextualSpacing/>
              <w:jc w:val="center"/>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2</w:t>
            </w:r>
          </w:p>
        </w:tc>
      </w:tr>
      <w:tr w:rsidR="005F0C32" w:rsidRPr="00766F9D" w14:paraId="7B1597D6" w14:textId="77777777" w:rsidTr="006C2E0A">
        <w:trPr>
          <w:cantSplit/>
          <w:trHeight w:val="290"/>
          <w:tblHeader/>
          <w:jc w:val="center"/>
        </w:trPr>
        <w:tc>
          <w:tcPr>
            <w:tcW w:w="1366" w:type="pct"/>
          </w:tcPr>
          <w:p w14:paraId="4F36B265" w14:textId="77777777" w:rsidR="005F0C32" w:rsidRPr="00766F9D" w:rsidRDefault="005F0C32" w:rsidP="005F0C32">
            <w:pPr>
              <w:autoSpaceDE w:val="0"/>
              <w:autoSpaceDN w:val="0"/>
              <w:adjustRightInd w:val="0"/>
              <w:contextualSpacing/>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840 à 869 jours civils</w:t>
            </w:r>
          </w:p>
        </w:tc>
        <w:tc>
          <w:tcPr>
            <w:tcW w:w="3634" w:type="pct"/>
          </w:tcPr>
          <w:p w14:paraId="00669959" w14:textId="77777777" w:rsidR="005F0C32" w:rsidRPr="00766F9D" w:rsidRDefault="005F0C32" w:rsidP="005F0C32">
            <w:pPr>
              <w:autoSpaceDE w:val="0"/>
              <w:autoSpaceDN w:val="0"/>
              <w:adjustRightInd w:val="0"/>
              <w:contextualSpacing/>
              <w:jc w:val="center"/>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2</w:t>
            </w:r>
          </w:p>
        </w:tc>
      </w:tr>
      <w:tr w:rsidR="005F0C32" w:rsidRPr="00766F9D" w14:paraId="09B9B1D4" w14:textId="77777777" w:rsidTr="006C2E0A">
        <w:trPr>
          <w:cantSplit/>
          <w:trHeight w:val="290"/>
          <w:tblHeader/>
          <w:jc w:val="center"/>
        </w:trPr>
        <w:tc>
          <w:tcPr>
            <w:tcW w:w="1366" w:type="pct"/>
          </w:tcPr>
          <w:p w14:paraId="066EE8E7" w14:textId="77777777" w:rsidR="005F0C32" w:rsidRPr="00766F9D" w:rsidRDefault="005F0C32" w:rsidP="005F0C32">
            <w:pPr>
              <w:autoSpaceDE w:val="0"/>
              <w:autoSpaceDN w:val="0"/>
              <w:adjustRightInd w:val="0"/>
              <w:contextualSpacing/>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870 à 899 jours civils</w:t>
            </w:r>
          </w:p>
        </w:tc>
        <w:tc>
          <w:tcPr>
            <w:tcW w:w="3634" w:type="pct"/>
          </w:tcPr>
          <w:p w14:paraId="67E9A707" w14:textId="77777777" w:rsidR="005F0C32" w:rsidRPr="00766F9D" w:rsidRDefault="005F0C32" w:rsidP="005F0C32">
            <w:pPr>
              <w:autoSpaceDE w:val="0"/>
              <w:autoSpaceDN w:val="0"/>
              <w:adjustRightInd w:val="0"/>
              <w:contextualSpacing/>
              <w:jc w:val="center"/>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0</w:t>
            </w:r>
          </w:p>
        </w:tc>
      </w:tr>
      <w:tr w:rsidR="005F0C32" w:rsidRPr="00766F9D" w14:paraId="003B4A51" w14:textId="77777777" w:rsidTr="006C2E0A">
        <w:trPr>
          <w:cantSplit/>
          <w:trHeight w:val="290"/>
          <w:tblHeader/>
          <w:jc w:val="center"/>
        </w:trPr>
        <w:tc>
          <w:tcPr>
            <w:tcW w:w="1366" w:type="pct"/>
          </w:tcPr>
          <w:p w14:paraId="33E7D647" w14:textId="77777777" w:rsidR="005F0C32" w:rsidRPr="00766F9D" w:rsidRDefault="005F0C32" w:rsidP="005F0C32">
            <w:pPr>
              <w:autoSpaceDE w:val="0"/>
              <w:autoSpaceDN w:val="0"/>
              <w:adjustRightInd w:val="0"/>
              <w:contextualSpacing/>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900 à 929 jours civils</w:t>
            </w:r>
          </w:p>
        </w:tc>
        <w:tc>
          <w:tcPr>
            <w:tcW w:w="3634" w:type="pct"/>
          </w:tcPr>
          <w:p w14:paraId="6014277A" w14:textId="77777777" w:rsidR="005F0C32" w:rsidRPr="00766F9D" w:rsidRDefault="005F0C32" w:rsidP="005F0C32">
            <w:pPr>
              <w:autoSpaceDE w:val="0"/>
              <w:autoSpaceDN w:val="0"/>
              <w:adjustRightInd w:val="0"/>
              <w:contextualSpacing/>
              <w:jc w:val="center"/>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3</w:t>
            </w:r>
          </w:p>
        </w:tc>
      </w:tr>
      <w:tr w:rsidR="005F0C32" w:rsidRPr="00766F9D" w14:paraId="3314EC28" w14:textId="77777777" w:rsidTr="006C2E0A">
        <w:trPr>
          <w:cantSplit/>
          <w:trHeight w:val="290"/>
          <w:tblHeader/>
          <w:jc w:val="center"/>
        </w:trPr>
        <w:tc>
          <w:tcPr>
            <w:tcW w:w="1366" w:type="pct"/>
          </w:tcPr>
          <w:p w14:paraId="7D9EB47A" w14:textId="77777777" w:rsidR="005F0C32" w:rsidRPr="00766F9D" w:rsidRDefault="005F0C32" w:rsidP="005F0C32">
            <w:pPr>
              <w:autoSpaceDE w:val="0"/>
              <w:autoSpaceDN w:val="0"/>
              <w:adjustRightInd w:val="0"/>
              <w:contextualSpacing/>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930 à 959 jours civils</w:t>
            </w:r>
          </w:p>
        </w:tc>
        <w:tc>
          <w:tcPr>
            <w:tcW w:w="3634" w:type="pct"/>
          </w:tcPr>
          <w:p w14:paraId="4C7EAF39" w14:textId="77777777" w:rsidR="005F0C32" w:rsidRPr="00766F9D" w:rsidRDefault="005F0C32" w:rsidP="005F0C32">
            <w:pPr>
              <w:autoSpaceDE w:val="0"/>
              <w:autoSpaceDN w:val="0"/>
              <w:adjustRightInd w:val="0"/>
              <w:contextualSpacing/>
              <w:jc w:val="center"/>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1</w:t>
            </w:r>
          </w:p>
        </w:tc>
      </w:tr>
      <w:tr w:rsidR="005F0C32" w:rsidRPr="00766F9D" w14:paraId="5A0FD283" w14:textId="77777777" w:rsidTr="006C2E0A">
        <w:trPr>
          <w:cantSplit/>
          <w:trHeight w:val="290"/>
          <w:tblHeader/>
          <w:jc w:val="center"/>
        </w:trPr>
        <w:tc>
          <w:tcPr>
            <w:tcW w:w="1366" w:type="pct"/>
          </w:tcPr>
          <w:p w14:paraId="44B49B30" w14:textId="77777777" w:rsidR="005F0C32" w:rsidRPr="00766F9D" w:rsidRDefault="005F0C32" w:rsidP="005F0C32">
            <w:pPr>
              <w:autoSpaceDE w:val="0"/>
              <w:autoSpaceDN w:val="0"/>
              <w:adjustRightInd w:val="0"/>
              <w:contextualSpacing/>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960 à 989 jours civils</w:t>
            </w:r>
          </w:p>
        </w:tc>
        <w:tc>
          <w:tcPr>
            <w:tcW w:w="3634" w:type="pct"/>
          </w:tcPr>
          <w:p w14:paraId="5FB2666A" w14:textId="77777777" w:rsidR="005F0C32" w:rsidRPr="00766F9D" w:rsidRDefault="005F0C32" w:rsidP="005F0C32">
            <w:pPr>
              <w:autoSpaceDE w:val="0"/>
              <w:autoSpaceDN w:val="0"/>
              <w:adjustRightInd w:val="0"/>
              <w:contextualSpacing/>
              <w:jc w:val="center"/>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0</w:t>
            </w:r>
          </w:p>
        </w:tc>
      </w:tr>
      <w:tr w:rsidR="005F0C32" w:rsidRPr="00766F9D" w14:paraId="496ADD71" w14:textId="77777777" w:rsidTr="006C2E0A">
        <w:trPr>
          <w:cantSplit/>
          <w:trHeight w:val="290"/>
          <w:tblHeader/>
          <w:jc w:val="center"/>
        </w:trPr>
        <w:tc>
          <w:tcPr>
            <w:tcW w:w="1366" w:type="pct"/>
          </w:tcPr>
          <w:p w14:paraId="2C0BDBE9" w14:textId="77777777" w:rsidR="005F0C32" w:rsidRPr="00766F9D" w:rsidRDefault="005F0C32" w:rsidP="005F0C32">
            <w:pPr>
              <w:autoSpaceDE w:val="0"/>
              <w:autoSpaceDN w:val="0"/>
              <w:adjustRightInd w:val="0"/>
              <w:contextualSpacing/>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Plus de 990 jours civils</w:t>
            </w:r>
          </w:p>
        </w:tc>
        <w:tc>
          <w:tcPr>
            <w:tcW w:w="3634" w:type="pct"/>
          </w:tcPr>
          <w:p w14:paraId="5E0037D5" w14:textId="77777777" w:rsidR="005F0C32" w:rsidRPr="00766F9D" w:rsidRDefault="005F0C32" w:rsidP="005F0C32">
            <w:pPr>
              <w:autoSpaceDE w:val="0"/>
              <w:autoSpaceDN w:val="0"/>
              <w:adjustRightInd w:val="0"/>
              <w:contextualSpacing/>
              <w:jc w:val="center"/>
              <w:rPr>
                <w:rFonts w:asciiTheme="minorHAnsi" w:hAnsiTheme="minorHAnsi" w:cstheme="minorHAnsi"/>
                <w:color w:val="000000"/>
                <w:sz w:val="22"/>
                <w:szCs w:val="22"/>
                <w:lang w:val="fr-CA"/>
              </w:rPr>
            </w:pPr>
            <w:r w:rsidRPr="00766F9D">
              <w:rPr>
                <w:rFonts w:asciiTheme="minorHAnsi" w:hAnsiTheme="minorHAnsi" w:cstheme="minorHAnsi"/>
                <w:color w:val="000000"/>
                <w:sz w:val="22"/>
                <w:szCs w:val="22"/>
                <w:lang w:val="fr-CA"/>
              </w:rPr>
              <w:t>0</w:t>
            </w:r>
          </w:p>
        </w:tc>
      </w:tr>
    </w:tbl>
    <w:p w14:paraId="23BE0395" w14:textId="77777777" w:rsidR="00707DA2" w:rsidRPr="00766F9D" w:rsidRDefault="00707DA2" w:rsidP="00BE5FFE">
      <w:pPr>
        <w:pStyle w:val="Level1"/>
        <w:tabs>
          <w:tab w:val="left" w:pos="-1440"/>
        </w:tabs>
        <w:autoSpaceDE w:val="0"/>
        <w:autoSpaceDN w:val="0"/>
        <w:adjustRightInd w:val="0"/>
        <w:spacing w:after="120" w:line="20" w:lineRule="atLeast"/>
        <w:rPr>
          <w:rFonts w:asciiTheme="minorHAnsi" w:hAnsiTheme="minorHAnsi" w:cstheme="minorHAnsi"/>
          <w:b/>
          <w:bCs/>
          <w:sz w:val="22"/>
          <w:szCs w:val="22"/>
          <w:lang w:val="fr-CA"/>
        </w:rPr>
      </w:pPr>
    </w:p>
    <w:p w14:paraId="4B9C2233" w14:textId="77777777" w:rsidR="00707DA2" w:rsidRDefault="00707DA2" w:rsidP="00BE5FFE">
      <w:pPr>
        <w:pStyle w:val="Level1"/>
        <w:tabs>
          <w:tab w:val="left" w:pos="-1440"/>
        </w:tabs>
        <w:autoSpaceDE w:val="0"/>
        <w:autoSpaceDN w:val="0"/>
        <w:adjustRightInd w:val="0"/>
        <w:spacing w:after="120" w:line="20" w:lineRule="atLeast"/>
        <w:rPr>
          <w:rFonts w:asciiTheme="minorHAnsi" w:hAnsiTheme="minorHAnsi"/>
          <w:b/>
          <w:bCs/>
          <w:sz w:val="22"/>
          <w:szCs w:val="22"/>
          <w:lang w:val="fr-CA"/>
        </w:rPr>
        <w:sectPr w:rsidR="00707DA2" w:rsidSect="005F0C32">
          <w:footnotePr>
            <w:numFmt w:val="lowerLetter"/>
          </w:footnotePr>
          <w:endnotePr>
            <w:numFmt w:val="lowerLetter"/>
          </w:endnotePr>
          <w:pgSz w:w="12240" w:h="15840" w:code="1"/>
          <w:pgMar w:top="709" w:right="1304" w:bottom="709" w:left="567" w:header="284" w:footer="284" w:gutter="0"/>
          <w:cols w:space="720"/>
          <w:docGrid w:linePitch="326"/>
        </w:sectPr>
      </w:pPr>
    </w:p>
    <w:p w14:paraId="3FD8EBC6" w14:textId="77777777" w:rsidR="00591DC8" w:rsidRPr="00707DA2" w:rsidRDefault="00591DC8" w:rsidP="00707DA2">
      <w:pPr>
        <w:pStyle w:val="Heading1"/>
        <w:spacing w:after="120"/>
        <w:rPr>
          <w:sz w:val="40"/>
          <w:lang w:val="fr-CA"/>
        </w:rPr>
      </w:pPr>
      <w:r w:rsidRPr="00707DA2">
        <w:rPr>
          <w:sz w:val="40"/>
          <w:lang w:val="fr-CA"/>
        </w:rPr>
        <w:lastRenderedPageBreak/>
        <w:t>Notes techniques</w:t>
      </w:r>
    </w:p>
    <w:p w14:paraId="7FD9DE52" w14:textId="2D715A68" w:rsidR="007060EB" w:rsidRPr="007060EB" w:rsidRDefault="007060EB" w:rsidP="007060EB">
      <w:pPr>
        <w:pStyle w:val="ListParagraph"/>
        <w:numPr>
          <w:ilvl w:val="0"/>
          <w:numId w:val="34"/>
        </w:numPr>
        <w:spacing w:after="0"/>
        <w:ind w:left="426" w:hanging="426"/>
        <w:contextualSpacing w:val="0"/>
        <w:rPr>
          <w:rFonts w:asciiTheme="minorHAnsi" w:hAnsiTheme="minorHAnsi" w:cstheme="minorHAnsi"/>
          <w:sz w:val="22"/>
          <w:szCs w:val="22"/>
          <w:lang w:val="fr-CA"/>
        </w:rPr>
      </w:pPr>
      <w:r w:rsidRPr="007060EB">
        <w:rPr>
          <w:rFonts w:asciiTheme="minorHAnsi" w:eastAsiaTheme="minorHAnsi" w:hAnsiTheme="minorHAnsi" w:cstheme="minorHAnsi"/>
          <w:bCs/>
          <w:sz w:val="22"/>
          <w:szCs w:val="22"/>
          <w:lang w:val="fr-CA"/>
        </w:rPr>
        <w:t xml:space="preserve">Le temps nécessaire à la dotation - Nominations internes (TND-NI) est le nombre médian de jours civils entre la date d'ouverture d'une annonce interne et la date du premier avis de nomination ou de proposition de nomination (PANA) du Système de ressourcement de la fonction publique (SRFP) pour les postes internes de durée déterminée et ceux pour une période indéterminée. </w:t>
      </w:r>
      <w:r w:rsidRPr="007060EB">
        <w:rPr>
          <w:rFonts w:asciiTheme="minorHAnsi" w:hAnsiTheme="minorHAnsi" w:cstheme="minorHAnsi"/>
          <w:sz w:val="22"/>
          <w:szCs w:val="22"/>
          <w:lang w:val="fr-CA"/>
        </w:rPr>
        <w:t xml:space="preserve">Les PANA ne sont pas requis pour toutes les activités de dotation interne. Par conséquent, cette mesure se limite aux rapports sur </w:t>
      </w:r>
      <w:r w:rsidR="00921219" w:rsidRPr="007060EB">
        <w:rPr>
          <w:rFonts w:asciiTheme="minorHAnsi" w:hAnsiTheme="minorHAnsi" w:cstheme="minorHAnsi"/>
          <w:sz w:val="22"/>
          <w:szCs w:val="22"/>
          <w:lang w:val="fr-CA"/>
        </w:rPr>
        <w:t>les nominations promotionnelles</w:t>
      </w:r>
      <w:r w:rsidRPr="007060EB">
        <w:rPr>
          <w:rFonts w:asciiTheme="minorHAnsi" w:hAnsiTheme="minorHAnsi" w:cstheme="minorHAnsi"/>
          <w:sz w:val="22"/>
          <w:szCs w:val="22"/>
          <w:lang w:val="fr-CA"/>
        </w:rPr>
        <w:t xml:space="preserve"> internes.</w:t>
      </w:r>
    </w:p>
    <w:p w14:paraId="6432F65C" w14:textId="77777777" w:rsidR="007060EB" w:rsidRPr="007060EB" w:rsidRDefault="007060EB" w:rsidP="007060EB">
      <w:pPr>
        <w:pStyle w:val="ListParagraph"/>
        <w:numPr>
          <w:ilvl w:val="0"/>
          <w:numId w:val="9"/>
        </w:numPr>
        <w:tabs>
          <w:tab w:val="clear" w:pos="360"/>
          <w:tab w:val="num" w:pos="720"/>
        </w:tabs>
        <w:spacing w:after="0"/>
        <w:rPr>
          <w:rFonts w:asciiTheme="minorHAnsi" w:eastAsiaTheme="minorHAnsi" w:hAnsiTheme="minorHAnsi" w:cstheme="minorHAnsi"/>
          <w:bCs/>
          <w:sz w:val="22"/>
          <w:szCs w:val="22"/>
          <w:lang w:val="fr-CA"/>
        </w:rPr>
      </w:pPr>
      <w:r w:rsidRPr="007060EB">
        <w:rPr>
          <w:rFonts w:asciiTheme="minorHAnsi" w:eastAsiaTheme="minorHAnsi" w:hAnsiTheme="minorHAnsi" w:cstheme="minorHAnsi"/>
          <w:bCs/>
          <w:sz w:val="22"/>
          <w:szCs w:val="22"/>
          <w:lang w:val="fr-CA"/>
        </w:rPr>
        <w:t xml:space="preserve">Le temps nécessaire à la dotation - Nominations externes (TND-NE) est le nombre médian de jours civils entre la date d'ouverture d'une annonce externe et la date de la première nomination estimative d'une personne de l'extérieur d'une organisation assujettie à la </w:t>
      </w:r>
      <w:r w:rsidRPr="007060EB">
        <w:rPr>
          <w:rStyle w:val="Emphasis"/>
          <w:rFonts w:asciiTheme="minorHAnsi" w:eastAsiaTheme="minorHAnsi" w:hAnsiTheme="minorHAnsi" w:cstheme="minorHAnsi"/>
          <w:sz w:val="22"/>
        </w:rPr>
        <w:t>Loi sur l'emploi dans la fonction publique</w:t>
      </w:r>
      <w:r w:rsidRPr="007060EB">
        <w:rPr>
          <w:rFonts w:asciiTheme="minorHAnsi" w:eastAsiaTheme="minorHAnsi" w:hAnsiTheme="minorHAnsi" w:cstheme="minorHAnsi"/>
          <w:bCs/>
          <w:i/>
          <w:sz w:val="22"/>
          <w:szCs w:val="22"/>
          <w:lang w:val="fr-CA"/>
        </w:rPr>
        <w:t xml:space="preserve"> </w:t>
      </w:r>
      <w:r w:rsidRPr="007060EB">
        <w:rPr>
          <w:rFonts w:asciiTheme="minorHAnsi" w:eastAsiaTheme="minorHAnsi" w:hAnsiTheme="minorHAnsi" w:cstheme="minorHAnsi"/>
          <w:bCs/>
          <w:sz w:val="22"/>
          <w:szCs w:val="22"/>
          <w:lang w:val="fr-CA"/>
        </w:rPr>
        <w:t>pour les postes de durée déterminée et ceux pour une période indéterminée. Parce que le lien des données entre les systèmes utilise un jumelage probabiliste, des erreurs de mesure sont donc possibles.</w:t>
      </w:r>
    </w:p>
    <w:p w14:paraId="122209F5" w14:textId="77777777" w:rsidR="007060EB" w:rsidRPr="007060EB" w:rsidRDefault="007060EB" w:rsidP="007060EB">
      <w:pPr>
        <w:pStyle w:val="ListParagraph"/>
        <w:numPr>
          <w:ilvl w:val="0"/>
          <w:numId w:val="9"/>
        </w:numPr>
        <w:tabs>
          <w:tab w:val="num" w:pos="720"/>
        </w:tabs>
        <w:spacing w:after="120"/>
        <w:rPr>
          <w:rFonts w:asciiTheme="minorHAnsi" w:hAnsiTheme="minorHAnsi" w:cstheme="minorHAnsi"/>
          <w:sz w:val="22"/>
          <w:szCs w:val="22"/>
          <w:lang w:val="fr-CA"/>
        </w:rPr>
      </w:pPr>
      <w:r w:rsidRPr="007060EB">
        <w:rPr>
          <w:rFonts w:asciiTheme="minorHAnsi" w:eastAsiaTheme="minorHAnsi" w:hAnsiTheme="minorHAnsi" w:cstheme="minorHAnsi"/>
          <w:bCs/>
          <w:sz w:val="22"/>
          <w:szCs w:val="22"/>
          <w:lang w:val="fr-CA"/>
        </w:rPr>
        <w:t>Seules les nominations d'une durée déterminée et les nominations pour une période indéterminée sont incluses (les mutations, les nominations d’employés occasionnels et les nominations intérimaires sont exclues).</w:t>
      </w:r>
    </w:p>
    <w:p w14:paraId="3EE4AA03" w14:textId="77777777" w:rsidR="00591DC8" w:rsidRPr="007060EB" w:rsidRDefault="00BE5FFE" w:rsidP="007060EB">
      <w:pPr>
        <w:pStyle w:val="Heading1"/>
        <w:spacing w:after="120"/>
        <w:rPr>
          <w:sz w:val="40"/>
        </w:rPr>
      </w:pPr>
      <w:r w:rsidRPr="007060EB">
        <w:rPr>
          <w:sz w:val="40"/>
        </w:rPr>
        <w:t>Sources</w:t>
      </w:r>
    </w:p>
    <w:p w14:paraId="655AFCCB" w14:textId="77777777" w:rsidR="007060EB" w:rsidRPr="007060EB" w:rsidRDefault="007060EB" w:rsidP="007060EB">
      <w:pPr>
        <w:pStyle w:val="ListParagraph"/>
        <w:numPr>
          <w:ilvl w:val="0"/>
          <w:numId w:val="9"/>
        </w:numPr>
        <w:tabs>
          <w:tab w:val="clear" w:pos="360"/>
          <w:tab w:val="num" w:pos="720"/>
        </w:tabs>
        <w:spacing w:after="0"/>
        <w:rPr>
          <w:rFonts w:asciiTheme="minorHAnsi" w:eastAsiaTheme="minorHAnsi" w:hAnsiTheme="minorHAnsi" w:cstheme="minorHAnsi"/>
          <w:bCs/>
          <w:sz w:val="22"/>
          <w:szCs w:val="22"/>
          <w:lang w:val="fr-CA"/>
        </w:rPr>
      </w:pPr>
      <w:r w:rsidRPr="007060EB">
        <w:rPr>
          <w:rFonts w:asciiTheme="minorHAnsi" w:eastAsiaTheme="minorHAnsi" w:hAnsiTheme="minorHAnsi" w:cstheme="minorHAnsi"/>
          <w:bCs/>
          <w:sz w:val="22"/>
          <w:szCs w:val="22"/>
          <w:lang w:val="fr-CA"/>
        </w:rPr>
        <w:t>Les données sur les activités d’embauche et de dotation sont tirées des renseignements du Fichier des titulaires du Secrétariat du Conseil du Trésor du Canada.  Le Fichier des titulaires est extrait du système de rémunération de Services publics et Approvisionnement Canada.  Les données constituent une estimation des activités d’embauche et de dotation des organisations.</w:t>
      </w:r>
    </w:p>
    <w:p w14:paraId="6EA0F16D" w14:textId="77777777" w:rsidR="007060EB" w:rsidRPr="007060EB" w:rsidRDefault="007060EB" w:rsidP="007060EB">
      <w:pPr>
        <w:pStyle w:val="ListParagraph"/>
        <w:numPr>
          <w:ilvl w:val="0"/>
          <w:numId w:val="9"/>
        </w:numPr>
        <w:tabs>
          <w:tab w:val="clear" w:pos="360"/>
          <w:tab w:val="num" w:pos="720"/>
        </w:tabs>
        <w:spacing w:after="0"/>
        <w:rPr>
          <w:rFonts w:asciiTheme="minorHAnsi" w:eastAsiaTheme="minorHAnsi" w:hAnsiTheme="minorHAnsi" w:cstheme="minorHAnsi"/>
          <w:bCs/>
          <w:sz w:val="22"/>
          <w:szCs w:val="22"/>
          <w:lang w:val="fr-CA"/>
        </w:rPr>
      </w:pPr>
      <w:r w:rsidRPr="007060EB">
        <w:rPr>
          <w:rFonts w:asciiTheme="minorHAnsi" w:eastAsiaTheme="minorHAnsi" w:hAnsiTheme="minorHAnsi" w:cstheme="minorHAnsi"/>
          <w:bCs/>
          <w:sz w:val="22"/>
          <w:szCs w:val="22"/>
          <w:lang w:val="fr-CA"/>
        </w:rPr>
        <w:t>L’information du Système de gestion de l’information sur les priorités et du Système de ressourcement de la fonction publique est également utilisée pour déterminer si les processus de dotation sont annoncés ou non annoncés, et pour calculer la durée du processus de dotation.</w:t>
      </w:r>
    </w:p>
    <w:p w14:paraId="2F5AE234" w14:textId="77777777" w:rsidR="007060EB" w:rsidRPr="007060EB" w:rsidRDefault="007060EB" w:rsidP="007060EB">
      <w:pPr>
        <w:pStyle w:val="ListParagraph"/>
        <w:numPr>
          <w:ilvl w:val="0"/>
          <w:numId w:val="9"/>
        </w:numPr>
        <w:tabs>
          <w:tab w:val="clear" w:pos="360"/>
          <w:tab w:val="num" w:pos="720"/>
        </w:tabs>
        <w:spacing w:after="0"/>
        <w:rPr>
          <w:rFonts w:asciiTheme="minorHAnsi" w:eastAsiaTheme="minorHAnsi" w:hAnsiTheme="minorHAnsi" w:cstheme="minorHAnsi"/>
          <w:bCs/>
          <w:sz w:val="22"/>
          <w:szCs w:val="22"/>
          <w:lang w:val="fr-CA"/>
        </w:rPr>
      </w:pPr>
      <w:r w:rsidRPr="007060EB">
        <w:rPr>
          <w:rFonts w:asciiTheme="minorHAnsi" w:eastAsiaTheme="minorHAnsi" w:hAnsiTheme="minorHAnsi" w:cstheme="minorHAnsi"/>
          <w:bCs/>
          <w:sz w:val="22"/>
          <w:szCs w:val="22"/>
          <w:lang w:val="fr-CA"/>
        </w:rPr>
        <w:t>Ces données ne correspondent pas nécessairement aux donnés sur les ressources humaines de chaque organisation en raison des différences de méthodologie et des périodes visées par l’analyse.</w:t>
      </w:r>
    </w:p>
    <w:p w14:paraId="4CA4A541" w14:textId="457CF8EB" w:rsidR="007060EB" w:rsidRPr="007060EB" w:rsidRDefault="007060EB" w:rsidP="007060EB">
      <w:pPr>
        <w:pStyle w:val="ListParagraph"/>
        <w:numPr>
          <w:ilvl w:val="0"/>
          <w:numId w:val="9"/>
        </w:numPr>
        <w:spacing w:after="0"/>
        <w:rPr>
          <w:rFonts w:asciiTheme="minorHAnsi" w:hAnsiTheme="minorHAnsi" w:cstheme="minorHAnsi"/>
          <w:sz w:val="22"/>
          <w:szCs w:val="22"/>
          <w:lang w:val="fr-CA"/>
        </w:rPr>
      </w:pPr>
      <w:r w:rsidRPr="007060EB">
        <w:rPr>
          <w:rFonts w:asciiTheme="minorHAnsi" w:hAnsiTheme="minorHAnsi" w:cstheme="minorHAnsi"/>
          <w:sz w:val="22"/>
          <w:szCs w:val="22"/>
          <w:lang w:val="fr-CA"/>
        </w:rPr>
        <w:t xml:space="preserve">Le temps nécessaire à la dotation – Nominations internes (TND-NI) est le nombre médian de jours civils entre la date d’ouverture d’une annonce interne et la date du premier avis de nomination ou de proposition de nomination (PANA) du Système de ressourcement de la fonction publique pour les postes internes de durée déterminée et indéterminée. Les PANA ne sont pas requis pour toutes les activités de dotation interne. Par conséquent, cette mesure se limite aux rapports sur </w:t>
      </w:r>
      <w:r w:rsidR="006C2E0A" w:rsidRPr="007060EB">
        <w:rPr>
          <w:rFonts w:asciiTheme="minorHAnsi" w:hAnsiTheme="minorHAnsi" w:cstheme="minorHAnsi"/>
          <w:sz w:val="22"/>
          <w:szCs w:val="22"/>
          <w:lang w:val="fr-CA"/>
        </w:rPr>
        <w:t>les nominations promotionnelles</w:t>
      </w:r>
      <w:r w:rsidRPr="007060EB">
        <w:rPr>
          <w:rFonts w:asciiTheme="minorHAnsi" w:hAnsiTheme="minorHAnsi" w:cstheme="minorHAnsi"/>
          <w:sz w:val="22"/>
          <w:szCs w:val="22"/>
          <w:lang w:val="fr-CA"/>
        </w:rPr>
        <w:t xml:space="preserve"> internes</w:t>
      </w:r>
    </w:p>
    <w:p w14:paraId="63648993" w14:textId="77777777" w:rsidR="007060EB" w:rsidRPr="007060EB" w:rsidRDefault="007060EB" w:rsidP="007060EB">
      <w:pPr>
        <w:pStyle w:val="ListParagraph"/>
        <w:numPr>
          <w:ilvl w:val="0"/>
          <w:numId w:val="9"/>
        </w:numPr>
        <w:spacing w:after="0"/>
        <w:rPr>
          <w:rFonts w:asciiTheme="minorHAnsi" w:hAnsiTheme="minorHAnsi" w:cstheme="minorHAnsi"/>
          <w:sz w:val="22"/>
          <w:szCs w:val="22"/>
          <w:lang w:val="fr-CA"/>
        </w:rPr>
      </w:pPr>
      <w:r w:rsidRPr="007060EB">
        <w:rPr>
          <w:rFonts w:asciiTheme="minorHAnsi" w:hAnsiTheme="minorHAnsi" w:cstheme="minorHAnsi"/>
          <w:sz w:val="22"/>
          <w:szCs w:val="22"/>
          <w:lang w:val="fr-CA"/>
        </w:rPr>
        <w:t>Seules les nominations à des postes de durée déterminée et les nominations à des postes pour une période indéterminée sont incluses (les mutations, les nominations occasionnelles et les nominations intérimaires sont exclues)</w:t>
      </w:r>
    </w:p>
    <w:p w14:paraId="22FEB9E0" w14:textId="77777777" w:rsidR="007060EB" w:rsidRPr="007060EB" w:rsidRDefault="007060EB" w:rsidP="007060EB">
      <w:pPr>
        <w:pStyle w:val="ListParagraph"/>
        <w:numPr>
          <w:ilvl w:val="0"/>
          <w:numId w:val="9"/>
        </w:numPr>
        <w:spacing w:after="0"/>
        <w:rPr>
          <w:rFonts w:asciiTheme="minorHAnsi" w:hAnsiTheme="minorHAnsi" w:cstheme="minorHAnsi"/>
          <w:sz w:val="22"/>
          <w:szCs w:val="22"/>
          <w:lang w:val="fr-CA"/>
        </w:rPr>
      </w:pPr>
      <w:r w:rsidRPr="007060EB">
        <w:rPr>
          <w:rFonts w:asciiTheme="minorHAnsi" w:hAnsiTheme="minorHAnsi" w:cstheme="minorHAnsi"/>
          <w:sz w:val="22"/>
          <w:szCs w:val="22"/>
          <w:lang w:val="fr-CA"/>
        </w:rPr>
        <w:t xml:space="preserve">Le temps nécessaire à la dotation - Nominations externes (TND-NE) est le nombre médian de jours civils entre la date d'ouverture d'une annonce externe et la date de la première </w:t>
      </w:r>
      <w:r w:rsidRPr="007060EB">
        <w:rPr>
          <w:rFonts w:asciiTheme="minorHAnsi" w:hAnsiTheme="minorHAnsi" w:cstheme="minorHAnsi"/>
          <w:sz w:val="22"/>
          <w:szCs w:val="22"/>
          <w:lang w:val="fr-CA"/>
        </w:rPr>
        <w:lastRenderedPageBreak/>
        <w:t xml:space="preserve">nomination estimative d'une personne de l'extérieur d'une organisation assujettie à la </w:t>
      </w:r>
      <w:r w:rsidRPr="007060EB">
        <w:rPr>
          <w:rStyle w:val="Emphasis"/>
          <w:rFonts w:asciiTheme="minorHAnsi" w:hAnsiTheme="minorHAnsi" w:cstheme="minorHAnsi"/>
          <w:sz w:val="22"/>
        </w:rPr>
        <w:t>Loi sur l'emploi dans la fonction publique</w:t>
      </w:r>
      <w:r w:rsidRPr="007060EB">
        <w:rPr>
          <w:rFonts w:asciiTheme="minorHAnsi" w:hAnsiTheme="minorHAnsi" w:cstheme="minorHAnsi"/>
          <w:sz w:val="20"/>
          <w:szCs w:val="22"/>
          <w:lang w:val="fr-CA"/>
        </w:rPr>
        <w:t xml:space="preserve"> </w:t>
      </w:r>
      <w:r w:rsidRPr="007060EB">
        <w:rPr>
          <w:rFonts w:asciiTheme="minorHAnsi" w:hAnsiTheme="minorHAnsi" w:cstheme="minorHAnsi"/>
          <w:sz w:val="22"/>
          <w:szCs w:val="22"/>
          <w:lang w:val="fr-CA"/>
        </w:rPr>
        <w:t>pour les postes de durée déterminée et pour les postes pour une période indéterminée. Seules les nominations d’une durée déterminée et les nominations pour une période indéterminée sont incluses (les mutations, les nominations occasionnelles et les nominations intérimaires sont exclues)</w:t>
      </w:r>
    </w:p>
    <w:p w14:paraId="212D8850" w14:textId="77777777" w:rsidR="007060EB" w:rsidRPr="007060EB" w:rsidRDefault="007060EB" w:rsidP="007060EB">
      <w:pPr>
        <w:pStyle w:val="ListParagraph"/>
        <w:numPr>
          <w:ilvl w:val="0"/>
          <w:numId w:val="9"/>
        </w:numPr>
        <w:spacing w:after="0"/>
        <w:rPr>
          <w:rFonts w:asciiTheme="minorHAnsi" w:hAnsiTheme="minorHAnsi" w:cstheme="minorHAnsi"/>
          <w:sz w:val="22"/>
          <w:szCs w:val="22"/>
          <w:lang w:val="fr-CA"/>
        </w:rPr>
      </w:pPr>
      <w:r w:rsidRPr="007060EB">
        <w:rPr>
          <w:rFonts w:asciiTheme="minorHAnsi" w:hAnsiTheme="minorHAnsi" w:cstheme="minorHAnsi"/>
          <w:sz w:val="22"/>
          <w:szCs w:val="22"/>
          <w:lang w:val="fr-CA"/>
        </w:rPr>
        <w:t>Parce que le lien des données entre les systèmes utilise un jumelage probabiliste, des erreurs de mesure sont donc possibles</w:t>
      </w:r>
    </w:p>
    <w:p w14:paraId="6AD338E8" w14:textId="77777777" w:rsidR="007060EB" w:rsidRPr="007060EB" w:rsidRDefault="007060EB" w:rsidP="007060EB">
      <w:pPr>
        <w:pStyle w:val="ListParagraph"/>
        <w:numPr>
          <w:ilvl w:val="0"/>
          <w:numId w:val="9"/>
        </w:numPr>
        <w:spacing w:after="0"/>
        <w:rPr>
          <w:rFonts w:asciiTheme="minorHAnsi" w:hAnsiTheme="minorHAnsi" w:cstheme="minorHAnsi"/>
          <w:sz w:val="22"/>
          <w:szCs w:val="22"/>
          <w:lang w:val="fr-CA"/>
        </w:rPr>
      </w:pPr>
      <w:r w:rsidRPr="007060EB">
        <w:rPr>
          <w:rFonts w:asciiTheme="minorHAnsi" w:hAnsiTheme="minorHAnsi" w:cstheme="minorHAnsi"/>
          <w:sz w:val="22"/>
          <w:szCs w:val="22"/>
          <w:lang w:val="fr-CA"/>
        </w:rPr>
        <w:t>Les données sur les activités d’embauche et de dotation sont tirées des renseignements du Fichier des titulaires du Secrétariat du Conseil du Trésor du Canada.  Le Fichier des titulaires est extrait du système de rémunération de Services publics et Approvisionnement Canada.  Les données constituent une estimation des activités d’embauche et de dotation des organisations.</w:t>
      </w:r>
    </w:p>
    <w:p w14:paraId="443AFFF0" w14:textId="77777777" w:rsidR="007060EB" w:rsidRPr="007060EB" w:rsidRDefault="007060EB" w:rsidP="007060EB">
      <w:pPr>
        <w:pStyle w:val="ListParagraph"/>
        <w:numPr>
          <w:ilvl w:val="0"/>
          <w:numId w:val="9"/>
        </w:numPr>
        <w:spacing w:after="0"/>
        <w:rPr>
          <w:rFonts w:asciiTheme="minorHAnsi" w:hAnsiTheme="minorHAnsi" w:cstheme="minorHAnsi"/>
          <w:sz w:val="22"/>
          <w:szCs w:val="22"/>
          <w:lang w:val="fr-CA"/>
        </w:rPr>
      </w:pPr>
      <w:r w:rsidRPr="007060EB">
        <w:rPr>
          <w:rFonts w:asciiTheme="minorHAnsi" w:hAnsiTheme="minorHAnsi" w:cstheme="minorHAnsi"/>
          <w:sz w:val="22"/>
          <w:szCs w:val="22"/>
          <w:lang w:val="fr-CA"/>
        </w:rPr>
        <w:t>L’information du Système de gestion de l’information sur les priorités et du Système de ressourcement de la fonction publique est également utilisée pour déterminer si les processus de dotation sont annoncés ou non annoncés, et pour calculer la durée du processus de dotation.</w:t>
      </w:r>
    </w:p>
    <w:p w14:paraId="26796425" w14:textId="77777777" w:rsidR="007060EB" w:rsidRPr="007060EB" w:rsidRDefault="007060EB" w:rsidP="007060EB">
      <w:pPr>
        <w:pStyle w:val="ListParagraph"/>
        <w:numPr>
          <w:ilvl w:val="0"/>
          <w:numId w:val="9"/>
        </w:numPr>
        <w:spacing w:after="0"/>
        <w:rPr>
          <w:rFonts w:asciiTheme="minorHAnsi" w:hAnsiTheme="minorHAnsi" w:cstheme="minorHAnsi"/>
          <w:sz w:val="22"/>
          <w:szCs w:val="22"/>
          <w:lang w:val="fr-CA"/>
        </w:rPr>
      </w:pPr>
      <w:r w:rsidRPr="007060EB">
        <w:rPr>
          <w:rFonts w:asciiTheme="minorHAnsi" w:hAnsiTheme="minorHAnsi" w:cstheme="minorHAnsi"/>
          <w:sz w:val="22"/>
          <w:szCs w:val="22"/>
          <w:lang w:val="fr-CA"/>
        </w:rPr>
        <w:t>Ces données ne correspondent pas nécessairement aux donnés sur les ressources humaines de chaque organisation en raison des différences de méthodologie et des périodes visées par l’analyse.</w:t>
      </w:r>
    </w:p>
    <w:sectPr w:rsidR="007060EB" w:rsidRPr="007060EB" w:rsidSect="00707DA2">
      <w:headerReference w:type="default" r:id="rId30"/>
      <w:footerReference w:type="default" r:id="rId31"/>
      <w:pgSz w:w="12240" w:h="15840"/>
      <w:pgMar w:top="1440" w:right="1440" w:bottom="1440" w:left="1440"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9679E" w14:textId="77777777" w:rsidR="002045DD" w:rsidRDefault="002045DD" w:rsidP="0051557E">
      <w:r>
        <w:separator/>
      </w:r>
    </w:p>
  </w:endnote>
  <w:endnote w:type="continuationSeparator" w:id="0">
    <w:p w14:paraId="2632B33C" w14:textId="77777777" w:rsidR="002045DD" w:rsidRDefault="002045DD" w:rsidP="0051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7269601"/>
      <w:docPartObj>
        <w:docPartGallery w:val="Page Numbers (Bottom of Page)"/>
        <w:docPartUnique/>
      </w:docPartObj>
    </w:sdtPr>
    <w:sdtEndPr/>
    <w:sdtContent>
      <w:p w14:paraId="5DC11C1B" w14:textId="77777777" w:rsidR="005824BE" w:rsidRDefault="005824BE">
        <w:pPr>
          <w:pStyle w:val="Footer"/>
        </w:pPr>
        <w:r>
          <w:fldChar w:fldCharType="begin"/>
        </w:r>
        <w:r>
          <w:instrText>PAGE   \* MERGEFORMAT</w:instrText>
        </w:r>
        <w:r>
          <w:fldChar w:fldCharType="separate"/>
        </w:r>
        <w:r>
          <w:rPr>
            <w:noProof/>
          </w:rPr>
          <w:t>8</w:t>
        </w:r>
        <w:r>
          <w:fldChar w:fldCharType="end"/>
        </w:r>
      </w:p>
    </w:sdtContent>
  </w:sdt>
  <w:p w14:paraId="54602906" w14:textId="77777777" w:rsidR="005824BE" w:rsidRDefault="00582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2FC59" w14:textId="77777777" w:rsidR="005824BE" w:rsidRPr="00AE55B7" w:rsidRDefault="005824BE" w:rsidP="00BF469C">
    <w:pPr>
      <w:pStyle w:val="Footer"/>
      <w:jc w:val="center"/>
      <w:rPr>
        <w:lang w:val="en-CA"/>
      </w:rPr>
    </w:pPr>
    <w:r w:rsidRPr="00AE55B7">
      <w:rPr>
        <w:lang w:val="en-CA"/>
      </w:rPr>
      <w:t xml:space="preserve"> Produced by Data Services and Analysis Directorate (PSC) – Updated on July 15,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2826127"/>
      <w:docPartObj>
        <w:docPartGallery w:val="Page Numbers (Bottom of Page)"/>
        <w:docPartUnique/>
      </w:docPartObj>
    </w:sdtPr>
    <w:sdtEndPr/>
    <w:sdtContent>
      <w:p w14:paraId="7B47FEBE" w14:textId="77777777" w:rsidR="005824BE" w:rsidRDefault="005824BE">
        <w:pPr>
          <w:pStyle w:val="Footer"/>
        </w:pPr>
        <w:r>
          <w:fldChar w:fldCharType="begin"/>
        </w:r>
        <w:r>
          <w:instrText>PAGE   \* MERGEFORMAT</w:instrText>
        </w:r>
        <w:r>
          <w:fldChar w:fldCharType="separate"/>
        </w:r>
        <w:r>
          <w:rPr>
            <w:noProof/>
          </w:rPr>
          <w:t>9</w:t>
        </w:r>
        <w:r>
          <w:fldChar w:fldCharType="end"/>
        </w:r>
      </w:p>
    </w:sdtContent>
  </w:sdt>
  <w:p w14:paraId="1404B710" w14:textId="77777777" w:rsidR="005824BE" w:rsidRPr="00072033" w:rsidRDefault="005824BE" w:rsidP="00BF469C">
    <w:pPr>
      <w:keepLines/>
      <w:tabs>
        <w:tab w:val="center" w:pos="4680"/>
        <w:tab w:val="right" w:pos="9360"/>
      </w:tabs>
      <w:rPr>
        <w:rFonts w:asciiTheme="minorHAnsi" w:eastAsiaTheme="minorHAnsi" w:hAnsiTheme="minorHAnsi" w:cstheme="minorBidi"/>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963134"/>
      <w:docPartObj>
        <w:docPartGallery w:val="Page Numbers (Bottom of Page)"/>
        <w:docPartUnique/>
      </w:docPartObj>
    </w:sdtPr>
    <w:sdtEndPr/>
    <w:sdtContent>
      <w:p w14:paraId="690D2D12" w14:textId="77777777" w:rsidR="005824BE" w:rsidRDefault="005824BE">
        <w:pPr>
          <w:pStyle w:val="Footer"/>
        </w:pPr>
        <w:r>
          <w:fldChar w:fldCharType="begin"/>
        </w:r>
        <w:r>
          <w:instrText>PAGE   \* MERGEFORMAT</w:instrText>
        </w:r>
        <w:r>
          <w:fldChar w:fldCharType="separate"/>
        </w:r>
        <w:r>
          <w:rPr>
            <w:noProof/>
          </w:rPr>
          <w:t>12</w:t>
        </w:r>
        <w:r>
          <w:fldChar w:fldCharType="end"/>
        </w:r>
      </w:p>
    </w:sdtContent>
  </w:sdt>
  <w:p w14:paraId="3986F56A" w14:textId="77777777" w:rsidR="005824BE" w:rsidRPr="000A5B54" w:rsidRDefault="005824BE" w:rsidP="00766F9D">
    <w:pPr>
      <w:pBdr>
        <w:top w:val="single" w:sz="4" w:space="0" w:color="D9D9D9"/>
      </w:pBdr>
      <w:tabs>
        <w:tab w:val="center" w:pos="4680"/>
        <w:tab w:val="center" w:pos="6804"/>
        <w:tab w:val="right" w:pos="9360"/>
        <w:tab w:val="center" w:pos="10773"/>
      </w:tabs>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39141"/>
      <w:docPartObj>
        <w:docPartGallery w:val="Page Numbers (Bottom of Page)"/>
        <w:docPartUnique/>
      </w:docPartObj>
    </w:sdtPr>
    <w:sdtEndPr/>
    <w:sdtContent>
      <w:p w14:paraId="4F52C7A3" w14:textId="77777777" w:rsidR="005824BE" w:rsidRDefault="005824BE">
        <w:pPr>
          <w:pStyle w:val="Footer"/>
        </w:pPr>
        <w:r>
          <w:fldChar w:fldCharType="begin"/>
        </w:r>
        <w:r>
          <w:instrText>PAGE   \* MERGEFORMAT</w:instrText>
        </w:r>
        <w:r>
          <w:fldChar w:fldCharType="separate"/>
        </w:r>
        <w:r>
          <w:rPr>
            <w:noProof/>
          </w:rPr>
          <w:t>27</w:t>
        </w:r>
        <w:r>
          <w:fldChar w:fldCharType="end"/>
        </w:r>
      </w:p>
    </w:sdtContent>
  </w:sdt>
  <w:p w14:paraId="35C189E3" w14:textId="77777777" w:rsidR="005824BE" w:rsidRPr="000A5B54" w:rsidRDefault="005824BE" w:rsidP="00A87442">
    <w:pPr>
      <w:pBdr>
        <w:top w:val="single" w:sz="4" w:space="1" w:color="D9D9D9"/>
      </w:pBdr>
      <w:tabs>
        <w:tab w:val="center" w:pos="4680"/>
        <w:tab w:val="center" w:pos="6804"/>
        <w:tab w:val="right" w:pos="9360"/>
        <w:tab w:val="center" w:pos="10773"/>
      </w:tabs>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014500"/>
      <w:docPartObj>
        <w:docPartGallery w:val="Page Numbers (Bottom of Page)"/>
        <w:docPartUnique/>
      </w:docPartObj>
    </w:sdtPr>
    <w:sdtEndPr/>
    <w:sdtContent>
      <w:p w14:paraId="2B647AE9" w14:textId="77777777" w:rsidR="005824BE" w:rsidRDefault="005824BE">
        <w:pPr>
          <w:pStyle w:val="Footer"/>
        </w:pPr>
        <w:r>
          <w:fldChar w:fldCharType="begin"/>
        </w:r>
        <w:r>
          <w:instrText>PAGE   \* MERGEFORMAT</w:instrText>
        </w:r>
        <w:r>
          <w:fldChar w:fldCharType="separate"/>
        </w:r>
        <w:r>
          <w:rPr>
            <w:noProof/>
          </w:rPr>
          <w:t>28</w:t>
        </w:r>
        <w:r>
          <w:fldChar w:fldCharType="end"/>
        </w:r>
      </w:p>
    </w:sdtContent>
  </w:sdt>
  <w:p w14:paraId="48CBF72A" w14:textId="77777777" w:rsidR="005824BE" w:rsidRDefault="005824BE" w:rsidP="00A87442">
    <w:pPr>
      <w:pBdr>
        <w:top w:val="single" w:sz="4" w:space="1" w:color="D9D9D9"/>
      </w:pBdr>
      <w:tabs>
        <w:tab w:val="center" w:pos="4680"/>
        <w:tab w:val="center" w:pos="6804"/>
        <w:tab w:val="right" w:pos="9360"/>
        <w:tab w:val="center" w:pos="10773"/>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E585E" w14:textId="77777777" w:rsidR="002045DD" w:rsidRDefault="002045DD" w:rsidP="0051557E">
      <w:r>
        <w:separator/>
      </w:r>
    </w:p>
  </w:footnote>
  <w:footnote w:type="continuationSeparator" w:id="0">
    <w:p w14:paraId="0D8CC1A8" w14:textId="77777777" w:rsidR="002045DD" w:rsidRDefault="002045DD" w:rsidP="00515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50419" w14:textId="77777777" w:rsidR="005824BE" w:rsidRPr="007C2C61" w:rsidRDefault="005824BE" w:rsidP="00BF46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3D1A5" w14:textId="77777777" w:rsidR="005824BE" w:rsidRPr="00832412" w:rsidRDefault="005824BE" w:rsidP="008324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79C9" w14:textId="77777777" w:rsidR="005824BE" w:rsidRDefault="005824BE" w:rsidP="0051557E">
    <w:pPr>
      <w:pStyle w:val="Header"/>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1DDF"/>
    <w:multiLevelType w:val="hybridMultilevel"/>
    <w:tmpl w:val="D29ADE6E"/>
    <w:lvl w:ilvl="0" w:tplc="10090001">
      <w:start w:val="1"/>
      <w:numFmt w:val="bullet"/>
      <w:lvlText w:val=""/>
      <w:lvlJc w:val="left"/>
      <w:pPr>
        <w:ind w:left="720" w:hanging="360"/>
      </w:pPr>
      <w:rPr>
        <w:rFonts w:ascii="Symbol" w:hAnsi="Symbol" w:hint="default"/>
      </w:rPr>
    </w:lvl>
    <w:lvl w:ilvl="1" w:tplc="E084BEB6">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663C21"/>
    <w:multiLevelType w:val="hybridMultilevel"/>
    <w:tmpl w:val="0256ED0E"/>
    <w:lvl w:ilvl="0" w:tplc="CE5C5B68">
      <w:start w:val="1"/>
      <w:numFmt w:val="bullet"/>
      <w:lvlText w:val="•"/>
      <w:lvlJc w:val="left"/>
      <w:pPr>
        <w:ind w:left="1004" w:hanging="360"/>
      </w:pPr>
      <w:rPr>
        <w:rFonts w:ascii="Arial" w:hAnsi="Aria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 w15:restartNumberingAfterBreak="0">
    <w:nsid w:val="14745A0D"/>
    <w:multiLevelType w:val="hybridMultilevel"/>
    <w:tmpl w:val="CFE4E61A"/>
    <w:lvl w:ilvl="0" w:tplc="4D7CDC26">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9EF11D7"/>
    <w:multiLevelType w:val="hybridMultilevel"/>
    <w:tmpl w:val="2A66FE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BB64CBB"/>
    <w:multiLevelType w:val="hybridMultilevel"/>
    <w:tmpl w:val="F43C42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BE710FF"/>
    <w:multiLevelType w:val="hybridMultilevel"/>
    <w:tmpl w:val="6F5211AC"/>
    <w:lvl w:ilvl="0" w:tplc="309E786C">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C2C6BF6"/>
    <w:multiLevelType w:val="hybridMultilevel"/>
    <w:tmpl w:val="56FA14D2"/>
    <w:lvl w:ilvl="0" w:tplc="3FAE77F8">
      <w:numFmt w:val="bullet"/>
      <w:lvlText w:val="•"/>
      <w:lvlJc w:val="left"/>
      <w:pPr>
        <w:ind w:left="720" w:hanging="360"/>
      </w:pPr>
      <w:rPr>
        <w:rFonts w:ascii="Segoe UI Semilight" w:eastAsiaTheme="minorHAnsi" w:hAnsi="Segoe UI Semilight" w:cs="Segoe UI Semi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47966E7"/>
    <w:multiLevelType w:val="hybridMultilevel"/>
    <w:tmpl w:val="C40C9A56"/>
    <w:lvl w:ilvl="0" w:tplc="CE5C5B68">
      <w:start w:val="1"/>
      <w:numFmt w:val="bullet"/>
      <w:lvlText w:val="•"/>
      <w:lvlJc w:val="left"/>
      <w:pPr>
        <w:tabs>
          <w:tab w:val="num" w:pos="360"/>
        </w:tabs>
        <w:ind w:left="360" w:hanging="360"/>
      </w:pPr>
      <w:rPr>
        <w:rFonts w:ascii="Arial" w:hAnsi="Arial" w:hint="default"/>
      </w:rPr>
    </w:lvl>
    <w:lvl w:ilvl="1" w:tplc="F7F66436">
      <w:start w:val="76"/>
      <w:numFmt w:val="bullet"/>
      <w:lvlText w:val="•"/>
      <w:lvlJc w:val="left"/>
      <w:pPr>
        <w:tabs>
          <w:tab w:val="num" w:pos="1080"/>
        </w:tabs>
        <w:ind w:left="1080" w:hanging="360"/>
      </w:pPr>
      <w:rPr>
        <w:rFonts w:ascii="Arial" w:hAnsi="Arial" w:hint="default"/>
      </w:rPr>
    </w:lvl>
    <w:lvl w:ilvl="2" w:tplc="CEF41514" w:tentative="1">
      <w:start w:val="1"/>
      <w:numFmt w:val="bullet"/>
      <w:lvlText w:val="•"/>
      <w:lvlJc w:val="left"/>
      <w:pPr>
        <w:tabs>
          <w:tab w:val="num" w:pos="1800"/>
        </w:tabs>
        <w:ind w:left="1800" w:hanging="360"/>
      </w:pPr>
      <w:rPr>
        <w:rFonts w:ascii="Arial" w:hAnsi="Arial" w:hint="default"/>
      </w:rPr>
    </w:lvl>
    <w:lvl w:ilvl="3" w:tplc="F482A62E" w:tentative="1">
      <w:start w:val="1"/>
      <w:numFmt w:val="bullet"/>
      <w:lvlText w:val="•"/>
      <w:lvlJc w:val="left"/>
      <w:pPr>
        <w:tabs>
          <w:tab w:val="num" w:pos="2520"/>
        </w:tabs>
        <w:ind w:left="2520" w:hanging="360"/>
      </w:pPr>
      <w:rPr>
        <w:rFonts w:ascii="Arial" w:hAnsi="Arial" w:hint="default"/>
      </w:rPr>
    </w:lvl>
    <w:lvl w:ilvl="4" w:tplc="9AFC614C" w:tentative="1">
      <w:start w:val="1"/>
      <w:numFmt w:val="bullet"/>
      <w:lvlText w:val="•"/>
      <w:lvlJc w:val="left"/>
      <w:pPr>
        <w:tabs>
          <w:tab w:val="num" w:pos="3240"/>
        </w:tabs>
        <w:ind w:left="3240" w:hanging="360"/>
      </w:pPr>
      <w:rPr>
        <w:rFonts w:ascii="Arial" w:hAnsi="Arial" w:hint="default"/>
      </w:rPr>
    </w:lvl>
    <w:lvl w:ilvl="5" w:tplc="2CF65ECC" w:tentative="1">
      <w:start w:val="1"/>
      <w:numFmt w:val="bullet"/>
      <w:lvlText w:val="•"/>
      <w:lvlJc w:val="left"/>
      <w:pPr>
        <w:tabs>
          <w:tab w:val="num" w:pos="3960"/>
        </w:tabs>
        <w:ind w:left="3960" w:hanging="360"/>
      </w:pPr>
      <w:rPr>
        <w:rFonts w:ascii="Arial" w:hAnsi="Arial" w:hint="default"/>
      </w:rPr>
    </w:lvl>
    <w:lvl w:ilvl="6" w:tplc="41D4D958" w:tentative="1">
      <w:start w:val="1"/>
      <w:numFmt w:val="bullet"/>
      <w:lvlText w:val="•"/>
      <w:lvlJc w:val="left"/>
      <w:pPr>
        <w:tabs>
          <w:tab w:val="num" w:pos="4680"/>
        </w:tabs>
        <w:ind w:left="4680" w:hanging="360"/>
      </w:pPr>
      <w:rPr>
        <w:rFonts w:ascii="Arial" w:hAnsi="Arial" w:hint="default"/>
      </w:rPr>
    </w:lvl>
    <w:lvl w:ilvl="7" w:tplc="C680DA1A" w:tentative="1">
      <w:start w:val="1"/>
      <w:numFmt w:val="bullet"/>
      <w:lvlText w:val="•"/>
      <w:lvlJc w:val="left"/>
      <w:pPr>
        <w:tabs>
          <w:tab w:val="num" w:pos="5400"/>
        </w:tabs>
        <w:ind w:left="5400" w:hanging="360"/>
      </w:pPr>
      <w:rPr>
        <w:rFonts w:ascii="Arial" w:hAnsi="Arial" w:hint="default"/>
      </w:rPr>
    </w:lvl>
    <w:lvl w:ilvl="8" w:tplc="BED0E666"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298E5A3D"/>
    <w:multiLevelType w:val="hybridMultilevel"/>
    <w:tmpl w:val="70D89B88"/>
    <w:lvl w:ilvl="0" w:tplc="10090001">
      <w:start w:val="1"/>
      <w:numFmt w:val="bullet"/>
      <w:lvlText w:val=""/>
      <w:lvlJc w:val="left"/>
      <w:pPr>
        <w:ind w:left="360" w:hanging="360"/>
      </w:pPr>
      <w:rPr>
        <w:rFonts w:ascii="Symbol" w:hAnsi="Symbol" w:hint="default"/>
      </w:rPr>
    </w:lvl>
    <w:lvl w:ilvl="1" w:tplc="363019FC">
      <w:numFmt w:val="bullet"/>
      <w:lvlText w:val="-"/>
      <w:lvlJc w:val="left"/>
      <w:pPr>
        <w:ind w:left="1080" w:hanging="360"/>
      </w:pPr>
      <w:rPr>
        <w:rFonts w:ascii="Arial" w:eastAsia="Times New Roman" w:hAnsi="Arial"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BC84B0D"/>
    <w:multiLevelType w:val="hybridMultilevel"/>
    <w:tmpl w:val="EEFE1F2C"/>
    <w:lvl w:ilvl="0" w:tplc="4D7CDC26">
      <w:start w:val="1"/>
      <w:numFmt w:val="bullet"/>
      <w:lvlText w:val=""/>
      <w:lvlJc w:val="left"/>
      <w:pPr>
        <w:ind w:left="1083" w:hanging="360"/>
      </w:pPr>
      <w:rPr>
        <w:rFonts w:ascii="Symbol" w:hAnsi="Symbol" w:hint="default"/>
        <w:color w:val="auto"/>
      </w:rPr>
    </w:lvl>
    <w:lvl w:ilvl="1" w:tplc="10090003" w:tentative="1">
      <w:start w:val="1"/>
      <w:numFmt w:val="bullet"/>
      <w:lvlText w:val="o"/>
      <w:lvlJc w:val="left"/>
      <w:pPr>
        <w:ind w:left="1803" w:hanging="360"/>
      </w:pPr>
      <w:rPr>
        <w:rFonts w:ascii="Courier New" w:hAnsi="Courier New" w:cs="Courier New" w:hint="default"/>
      </w:rPr>
    </w:lvl>
    <w:lvl w:ilvl="2" w:tplc="10090005" w:tentative="1">
      <w:start w:val="1"/>
      <w:numFmt w:val="bullet"/>
      <w:lvlText w:val=""/>
      <w:lvlJc w:val="left"/>
      <w:pPr>
        <w:ind w:left="2523" w:hanging="360"/>
      </w:pPr>
      <w:rPr>
        <w:rFonts w:ascii="Wingdings" w:hAnsi="Wingdings" w:hint="default"/>
      </w:rPr>
    </w:lvl>
    <w:lvl w:ilvl="3" w:tplc="10090001" w:tentative="1">
      <w:start w:val="1"/>
      <w:numFmt w:val="bullet"/>
      <w:lvlText w:val=""/>
      <w:lvlJc w:val="left"/>
      <w:pPr>
        <w:ind w:left="3243" w:hanging="360"/>
      </w:pPr>
      <w:rPr>
        <w:rFonts w:ascii="Symbol" w:hAnsi="Symbol" w:hint="default"/>
      </w:rPr>
    </w:lvl>
    <w:lvl w:ilvl="4" w:tplc="10090003" w:tentative="1">
      <w:start w:val="1"/>
      <w:numFmt w:val="bullet"/>
      <w:lvlText w:val="o"/>
      <w:lvlJc w:val="left"/>
      <w:pPr>
        <w:ind w:left="3963" w:hanging="360"/>
      </w:pPr>
      <w:rPr>
        <w:rFonts w:ascii="Courier New" w:hAnsi="Courier New" w:cs="Courier New" w:hint="default"/>
      </w:rPr>
    </w:lvl>
    <w:lvl w:ilvl="5" w:tplc="10090005" w:tentative="1">
      <w:start w:val="1"/>
      <w:numFmt w:val="bullet"/>
      <w:lvlText w:val=""/>
      <w:lvlJc w:val="left"/>
      <w:pPr>
        <w:ind w:left="4683" w:hanging="360"/>
      </w:pPr>
      <w:rPr>
        <w:rFonts w:ascii="Wingdings" w:hAnsi="Wingdings" w:hint="default"/>
      </w:rPr>
    </w:lvl>
    <w:lvl w:ilvl="6" w:tplc="10090001" w:tentative="1">
      <w:start w:val="1"/>
      <w:numFmt w:val="bullet"/>
      <w:lvlText w:val=""/>
      <w:lvlJc w:val="left"/>
      <w:pPr>
        <w:ind w:left="5403" w:hanging="360"/>
      </w:pPr>
      <w:rPr>
        <w:rFonts w:ascii="Symbol" w:hAnsi="Symbol" w:hint="default"/>
      </w:rPr>
    </w:lvl>
    <w:lvl w:ilvl="7" w:tplc="10090003" w:tentative="1">
      <w:start w:val="1"/>
      <w:numFmt w:val="bullet"/>
      <w:lvlText w:val="o"/>
      <w:lvlJc w:val="left"/>
      <w:pPr>
        <w:ind w:left="6123" w:hanging="360"/>
      </w:pPr>
      <w:rPr>
        <w:rFonts w:ascii="Courier New" w:hAnsi="Courier New" w:cs="Courier New" w:hint="default"/>
      </w:rPr>
    </w:lvl>
    <w:lvl w:ilvl="8" w:tplc="10090005" w:tentative="1">
      <w:start w:val="1"/>
      <w:numFmt w:val="bullet"/>
      <w:lvlText w:val=""/>
      <w:lvlJc w:val="left"/>
      <w:pPr>
        <w:ind w:left="6843" w:hanging="360"/>
      </w:pPr>
      <w:rPr>
        <w:rFonts w:ascii="Wingdings" w:hAnsi="Wingdings" w:hint="default"/>
      </w:rPr>
    </w:lvl>
  </w:abstractNum>
  <w:abstractNum w:abstractNumId="10" w15:restartNumberingAfterBreak="0">
    <w:nsid w:val="2E040480"/>
    <w:multiLevelType w:val="hybridMultilevel"/>
    <w:tmpl w:val="878682A0"/>
    <w:lvl w:ilvl="0" w:tplc="4D7CDC2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F422E71"/>
    <w:multiLevelType w:val="hybridMultilevel"/>
    <w:tmpl w:val="ABF46188"/>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12" w15:restartNumberingAfterBreak="0">
    <w:nsid w:val="305B4CB3"/>
    <w:multiLevelType w:val="hybridMultilevel"/>
    <w:tmpl w:val="4B3837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07A6417"/>
    <w:multiLevelType w:val="hybridMultilevel"/>
    <w:tmpl w:val="39FABF78"/>
    <w:lvl w:ilvl="0" w:tplc="2AA66DAA">
      <w:numFmt w:val="bullet"/>
      <w:lvlText w:val="-"/>
      <w:lvlJc w:val="left"/>
      <w:pPr>
        <w:ind w:left="1080" w:hanging="360"/>
      </w:pPr>
      <w:rPr>
        <w:rFonts w:ascii="Arial" w:eastAsiaTheme="minorHAnsi" w:hAnsi="Arial" w:cs="Arial" w:hint="default"/>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3112405F"/>
    <w:multiLevelType w:val="hybridMultilevel"/>
    <w:tmpl w:val="68A28780"/>
    <w:lvl w:ilvl="0" w:tplc="7C82211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495783A"/>
    <w:multiLevelType w:val="hybridMultilevel"/>
    <w:tmpl w:val="3AAA19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6ED6957"/>
    <w:multiLevelType w:val="hybridMultilevel"/>
    <w:tmpl w:val="EDBCE650"/>
    <w:lvl w:ilvl="0" w:tplc="4D7CDC26">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DBD2DBF"/>
    <w:multiLevelType w:val="hybridMultilevel"/>
    <w:tmpl w:val="657CDC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E44718C"/>
    <w:multiLevelType w:val="hybridMultilevel"/>
    <w:tmpl w:val="DF1E189A"/>
    <w:lvl w:ilvl="0" w:tplc="E084BEB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8576C7"/>
    <w:multiLevelType w:val="hybridMultilevel"/>
    <w:tmpl w:val="A0EAA5EE"/>
    <w:lvl w:ilvl="0" w:tplc="10090001">
      <w:start w:val="1"/>
      <w:numFmt w:val="bullet"/>
      <w:lvlText w:val=""/>
      <w:lvlJc w:val="left"/>
      <w:pPr>
        <w:ind w:left="720" w:hanging="360"/>
      </w:pPr>
      <w:rPr>
        <w:rFonts w:ascii="Symbol" w:hAnsi="Symbol" w:hint="default"/>
      </w:rPr>
    </w:lvl>
    <w:lvl w:ilvl="1" w:tplc="E084BEB6">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7DC19D5"/>
    <w:multiLevelType w:val="hybridMultilevel"/>
    <w:tmpl w:val="0D12BF12"/>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8F242B8"/>
    <w:multiLevelType w:val="hybridMultilevel"/>
    <w:tmpl w:val="884AF698"/>
    <w:lvl w:ilvl="0" w:tplc="10090001">
      <w:start w:val="1"/>
      <w:numFmt w:val="bullet"/>
      <w:lvlText w:val=""/>
      <w:lvlJc w:val="left"/>
      <w:pPr>
        <w:ind w:left="720" w:hanging="360"/>
      </w:pPr>
      <w:rPr>
        <w:rFonts w:ascii="Symbol" w:hAnsi="Symbol" w:hint="default"/>
      </w:rPr>
    </w:lvl>
    <w:lvl w:ilvl="1" w:tplc="E084BEB6">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39B18DE"/>
    <w:multiLevelType w:val="hybridMultilevel"/>
    <w:tmpl w:val="30408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5392DC6"/>
    <w:multiLevelType w:val="hybridMultilevel"/>
    <w:tmpl w:val="2090ADEA"/>
    <w:lvl w:ilvl="0" w:tplc="4D7CDC2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2603743"/>
    <w:multiLevelType w:val="hybridMultilevel"/>
    <w:tmpl w:val="80F83EE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63656CB2"/>
    <w:multiLevelType w:val="hybridMultilevel"/>
    <w:tmpl w:val="6DFE1124"/>
    <w:lvl w:ilvl="0" w:tplc="4D7CDC2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80F636F"/>
    <w:multiLevelType w:val="hybridMultilevel"/>
    <w:tmpl w:val="D0EC74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CBA6217"/>
    <w:multiLevelType w:val="hybridMultilevel"/>
    <w:tmpl w:val="EAC4FDE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28" w15:restartNumberingAfterBreak="0">
    <w:nsid w:val="7276730E"/>
    <w:multiLevelType w:val="hybridMultilevel"/>
    <w:tmpl w:val="97562B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3333A32"/>
    <w:multiLevelType w:val="hybridMultilevel"/>
    <w:tmpl w:val="8776397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75731865"/>
    <w:multiLevelType w:val="hybridMultilevel"/>
    <w:tmpl w:val="3E0A944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78E94D26"/>
    <w:multiLevelType w:val="hybridMultilevel"/>
    <w:tmpl w:val="C4C2CE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F857333"/>
    <w:multiLevelType w:val="hybridMultilevel"/>
    <w:tmpl w:val="564E671E"/>
    <w:lvl w:ilvl="0" w:tplc="2AA66DAA">
      <w:numFmt w:val="bullet"/>
      <w:lvlText w:val="-"/>
      <w:lvlJc w:val="left"/>
      <w:pPr>
        <w:ind w:left="1080" w:hanging="360"/>
      </w:pPr>
      <w:rPr>
        <w:rFonts w:ascii="Arial" w:eastAsiaTheme="minorHAns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6"/>
  </w:num>
  <w:num w:numId="2">
    <w:abstractNumId w:val="5"/>
  </w:num>
  <w:num w:numId="3">
    <w:abstractNumId w:val="18"/>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4"/>
  </w:num>
  <w:num w:numId="7">
    <w:abstractNumId w:val="3"/>
  </w:num>
  <w:num w:numId="8">
    <w:abstractNumId w:val="28"/>
  </w:num>
  <w:num w:numId="9">
    <w:abstractNumId w:val="7"/>
  </w:num>
  <w:num w:numId="10">
    <w:abstractNumId w:val="11"/>
  </w:num>
  <w:num w:numId="11">
    <w:abstractNumId w:val="0"/>
  </w:num>
  <w:num w:numId="12">
    <w:abstractNumId w:val="26"/>
  </w:num>
  <w:num w:numId="13">
    <w:abstractNumId w:val="22"/>
  </w:num>
  <w:num w:numId="14">
    <w:abstractNumId w:val="31"/>
  </w:num>
  <w:num w:numId="15">
    <w:abstractNumId w:val="21"/>
  </w:num>
  <w:num w:numId="16">
    <w:abstractNumId w:val="19"/>
  </w:num>
  <w:num w:numId="17">
    <w:abstractNumId w:val="15"/>
  </w:num>
  <w:num w:numId="18">
    <w:abstractNumId w:val="8"/>
  </w:num>
  <w:num w:numId="19">
    <w:abstractNumId w:val="24"/>
  </w:num>
  <w:num w:numId="20">
    <w:abstractNumId w:val="29"/>
  </w:num>
  <w:num w:numId="21">
    <w:abstractNumId w:val="12"/>
  </w:num>
  <w:num w:numId="22">
    <w:abstractNumId w:val="14"/>
  </w:num>
  <w:num w:numId="23">
    <w:abstractNumId w:val="20"/>
  </w:num>
  <w:num w:numId="24">
    <w:abstractNumId w:val="32"/>
  </w:num>
  <w:num w:numId="25">
    <w:abstractNumId w:val="23"/>
  </w:num>
  <w:num w:numId="26">
    <w:abstractNumId w:val="13"/>
  </w:num>
  <w:num w:numId="27">
    <w:abstractNumId w:val="16"/>
  </w:num>
  <w:num w:numId="28">
    <w:abstractNumId w:val="2"/>
  </w:num>
  <w:num w:numId="29">
    <w:abstractNumId w:val="25"/>
  </w:num>
  <w:num w:numId="30">
    <w:abstractNumId w:val="10"/>
  </w:num>
  <w:num w:numId="31">
    <w:abstractNumId w:val="9"/>
  </w:num>
  <w:num w:numId="32">
    <w:abstractNumId w:val="27"/>
  </w:num>
  <w:num w:numId="33">
    <w:abstractNumId w:val="30"/>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hyphenationZone w:val="425"/>
  <w:characterSpacingControl w:val="doNotCompress"/>
  <w:hdrShapeDefaults>
    <o:shapedefaults v:ext="edit" spidmax="4097"/>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DC8"/>
    <w:rsid w:val="00017392"/>
    <w:rsid w:val="00036953"/>
    <w:rsid w:val="000923A7"/>
    <w:rsid w:val="00094204"/>
    <w:rsid w:val="00100960"/>
    <w:rsid w:val="00140B1F"/>
    <w:rsid w:val="001639B2"/>
    <w:rsid w:val="001C0F40"/>
    <w:rsid w:val="001D3A1C"/>
    <w:rsid w:val="002045DD"/>
    <w:rsid w:val="00210749"/>
    <w:rsid w:val="0022496C"/>
    <w:rsid w:val="002300F0"/>
    <w:rsid w:val="00244CD0"/>
    <w:rsid w:val="003173CD"/>
    <w:rsid w:val="003308DA"/>
    <w:rsid w:val="0035288E"/>
    <w:rsid w:val="00353602"/>
    <w:rsid w:val="0036525C"/>
    <w:rsid w:val="0037297E"/>
    <w:rsid w:val="003A4E58"/>
    <w:rsid w:val="003C46D1"/>
    <w:rsid w:val="003E715F"/>
    <w:rsid w:val="003F1018"/>
    <w:rsid w:val="00413E58"/>
    <w:rsid w:val="004B6811"/>
    <w:rsid w:val="004D1706"/>
    <w:rsid w:val="004F458A"/>
    <w:rsid w:val="0051557E"/>
    <w:rsid w:val="00515C19"/>
    <w:rsid w:val="00516D5B"/>
    <w:rsid w:val="00552436"/>
    <w:rsid w:val="005733C7"/>
    <w:rsid w:val="00581367"/>
    <w:rsid w:val="005824BE"/>
    <w:rsid w:val="00591DC8"/>
    <w:rsid w:val="005A224F"/>
    <w:rsid w:val="005C3A96"/>
    <w:rsid w:val="005C7AB2"/>
    <w:rsid w:val="005D0989"/>
    <w:rsid w:val="005E1999"/>
    <w:rsid w:val="005F0C32"/>
    <w:rsid w:val="006171C0"/>
    <w:rsid w:val="00667478"/>
    <w:rsid w:val="00673F3E"/>
    <w:rsid w:val="006A0388"/>
    <w:rsid w:val="006A2C90"/>
    <w:rsid w:val="006B127D"/>
    <w:rsid w:val="006B168B"/>
    <w:rsid w:val="006B1C2B"/>
    <w:rsid w:val="006C2E0A"/>
    <w:rsid w:val="006D1AFD"/>
    <w:rsid w:val="006D7FE7"/>
    <w:rsid w:val="007060EB"/>
    <w:rsid w:val="00707DA2"/>
    <w:rsid w:val="00714081"/>
    <w:rsid w:val="00763F3D"/>
    <w:rsid w:val="00766F9D"/>
    <w:rsid w:val="00780292"/>
    <w:rsid w:val="00782019"/>
    <w:rsid w:val="007C06AF"/>
    <w:rsid w:val="007E17D1"/>
    <w:rsid w:val="007E3AA8"/>
    <w:rsid w:val="00832412"/>
    <w:rsid w:val="00860668"/>
    <w:rsid w:val="00874C70"/>
    <w:rsid w:val="008F25C0"/>
    <w:rsid w:val="008F610A"/>
    <w:rsid w:val="00921219"/>
    <w:rsid w:val="00922AC1"/>
    <w:rsid w:val="00953691"/>
    <w:rsid w:val="00984B2D"/>
    <w:rsid w:val="00997D3F"/>
    <w:rsid w:val="009A116B"/>
    <w:rsid w:val="009E38A8"/>
    <w:rsid w:val="00A1067C"/>
    <w:rsid w:val="00A3677B"/>
    <w:rsid w:val="00A7023F"/>
    <w:rsid w:val="00A76F15"/>
    <w:rsid w:val="00A77330"/>
    <w:rsid w:val="00A87442"/>
    <w:rsid w:val="00AA6E5A"/>
    <w:rsid w:val="00B0798A"/>
    <w:rsid w:val="00B3330F"/>
    <w:rsid w:val="00B50592"/>
    <w:rsid w:val="00BB51DE"/>
    <w:rsid w:val="00BE5280"/>
    <w:rsid w:val="00BE5FFE"/>
    <w:rsid w:val="00BF469C"/>
    <w:rsid w:val="00C12001"/>
    <w:rsid w:val="00C163E0"/>
    <w:rsid w:val="00C17143"/>
    <w:rsid w:val="00C23A4E"/>
    <w:rsid w:val="00C24A0E"/>
    <w:rsid w:val="00C43345"/>
    <w:rsid w:val="00C562F1"/>
    <w:rsid w:val="00C67F41"/>
    <w:rsid w:val="00C922AC"/>
    <w:rsid w:val="00C96E7F"/>
    <w:rsid w:val="00CA06AA"/>
    <w:rsid w:val="00D057D1"/>
    <w:rsid w:val="00D17F66"/>
    <w:rsid w:val="00D34FCA"/>
    <w:rsid w:val="00D612DD"/>
    <w:rsid w:val="00E346A8"/>
    <w:rsid w:val="00E76E17"/>
    <w:rsid w:val="00EA029D"/>
    <w:rsid w:val="00ED7F0A"/>
    <w:rsid w:val="00F24318"/>
    <w:rsid w:val="00F35AFA"/>
    <w:rsid w:val="00F5315B"/>
    <w:rsid w:val="00F617C6"/>
    <w:rsid w:val="00F861D1"/>
    <w:rsid w:val="00FB155C"/>
    <w:rsid w:val="00FB4912"/>
    <w:rsid w:val="00FC2046"/>
    <w:rsid w:val="00FE3FD0"/>
    <w:rsid w:val="00FF4B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CD4D7A"/>
  <w15:chartTrackingRefBased/>
  <w15:docId w15:val="{B430A05F-8FAA-4A23-9F4E-5CF369F5B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DC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210749"/>
    <w:pPr>
      <w:keepNext/>
      <w:spacing w:before="240"/>
      <w:outlineLvl w:val="0"/>
    </w:pPr>
    <w:rPr>
      <w:rFonts w:asciiTheme="majorHAnsi" w:eastAsiaTheme="majorEastAsia" w:hAnsiTheme="majorHAnsi" w:cstheme="majorBidi"/>
      <w:sz w:val="48"/>
      <w:szCs w:val="48"/>
    </w:rPr>
  </w:style>
  <w:style w:type="paragraph" w:styleId="Heading2">
    <w:name w:val="heading 2"/>
    <w:basedOn w:val="Normal"/>
    <w:next w:val="Normal"/>
    <w:link w:val="Heading2Char"/>
    <w:uiPriority w:val="9"/>
    <w:unhideWhenUsed/>
    <w:qFormat/>
    <w:rsid w:val="00210749"/>
    <w:pPr>
      <w:keepNext/>
      <w:spacing w:before="40"/>
      <w:outlineLvl w:val="1"/>
    </w:pPr>
    <w:rPr>
      <w:rFonts w:ascii="Segoe UI" w:eastAsiaTheme="majorEastAsia" w:hAnsi="Segoe UI" w:cs="Segoe UI"/>
      <w:b/>
      <w:color w:val="5B315E" w:themeColor="accent2"/>
      <w:sz w:val="32"/>
      <w:szCs w:val="32"/>
    </w:rPr>
  </w:style>
  <w:style w:type="paragraph" w:styleId="Heading3">
    <w:name w:val="heading 3"/>
    <w:basedOn w:val="Normal"/>
    <w:next w:val="Normal"/>
    <w:link w:val="Heading3Char"/>
    <w:uiPriority w:val="9"/>
    <w:unhideWhenUsed/>
    <w:qFormat/>
    <w:rsid w:val="00210749"/>
    <w:pPr>
      <w:keepNext/>
      <w:spacing w:before="40"/>
      <w:outlineLvl w:val="2"/>
    </w:pPr>
    <w:rPr>
      <w:rFonts w:ascii="Segoe UI Semibold" w:eastAsiaTheme="majorEastAsia" w:hAnsi="Segoe UI Semibold" w:cs="Segoe UI Semibold"/>
      <w:szCs w:val="24"/>
    </w:rPr>
  </w:style>
  <w:style w:type="paragraph" w:styleId="Heading4">
    <w:name w:val="heading 4"/>
    <w:basedOn w:val="Normal"/>
    <w:next w:val="Normal"/>
    <w:link w:val="Heading4Char"/>
    <w:uiPriority w:val="9"/>
    <w:unhideWhenUsed/>
    <w:qFormat/>
    <w:rsid w:val="00210749"/>
    <w:pPr>
      <w:keepNext/>
      <w:spacing w:before="40"/>
      <w:outlineLvl w:val="3"/>
    </w:pPr>
    <w:rPr>
      <w:rFonts w:asciiTheme="majorHAnsi" w:eastAsiaTheme="majorEastAsia" w:hAnsiTheme="majorHAnsi" w:cstheme="majorBidi"/>
      <w:iCs/>
      <w:color w:val="54575A" w:themeColor="text2"/>
    </w:rPr>
  </w:style>
  <w:style w:type="paragraph" w:styleId="Heading5">
    <w:name w:val="heading 5"/>
    <w:basedOn w:val="Normal"/>
    <w:next w:val="Normal"/>
    <w:link w:val="Heading5Char"/>
    <w:uiPriority w:val="9"/>
    <w:unhideWhenUsed/>
    <w:qFormat/>
    <w:rsid w:val="00210749"/>
    <w:pPr>
      <w:keepNext/>
      <w:spacing w:before="40"/>
      <w:outlineLvl w:val="4"/>
    </w:pPr>
    <w:rPr>
      <w:rFonts w:asciiTheme="majorHAnsi" w:eastAsiaTheme="majorEastAsia" w:hAnsiTheme="majorHAnsi" w:cstheme="majorBidi"/>
      <w:color w:val="9F004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749"/>
    <w:pPr>
      <w:tabs>
        <w:tab w:val="center" w:pos="4680"/>
        <w:tab w:val="right" w:pos="9360"/>
      </w:tabs>
    </w:pPr>
  </w:style>
  <w:style w:type="character" w:customStyle="1" w:styleId="HeaderChar">
    <w:name w:val="Header Char"/>
    <w:basedOn w:val="DefaultParagraphFont"/>
    <w:link w:val="Header"/>
    <w:uiPriority w:val="99"/>
    <w:rsid w:val="00210749"/>
    <w:rPr>
      <w:color w:val="54575A" w:themeColor="text1"/>
      <w:lang w:val="fr-FR"/>
    </w:rPr>
  </w:style>
  <w:style w:type="paragraph" w:styleId="Footer">
    <w:name w:val="footer"/>
    <w:basedOn w:val="Normal"/>
    <w:link w:val="FooterChar"/>
    <w:uiPriority w:val="99"/>
    <w:unhideWhenUsed/>
    <w:rsid w:val="00210749"/>
    <w:pPr>
      <w:tabs>
        <w:tab w:val="center" w:pos="4680"/>
        <w:tab w:val="right" w:pos="9360"/>
      </w:tabs>
    </w:pPr>
  </w:style>
  <w:style w:type="character" w:customStyle="1" w:styleId="FooterChar">
    <w:name w:val="Footer Char"/>
    <w:basedOn w:val="DefaultParagraphFont"/>
    <w:link w:val="Footer"/>
    <w:uiPriority w:val="99"/>
    <w:rsid w:val="00210749"/>
    <w:rPr>
      <w:color w:val="54575A" w:themeColor="text1"/>
      <w:lang w:val="fr-FR"/>
    </w:rPr>
  </w:style>
  <w:style w:type="paragraph" w:styleId="BalloonText">
    <w:name w:val="Balloon Text"/>
    <w:basedOn w:val="Normal"/>
    <w:link w:val="BalloonTextChar"/>
    <w:uiPriority w:val="99"/>
    <w:semiHidden/>
    <w:unhideWhenUsed/>
    <w:rsid w:val="002107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749"/>
    <w:rPr>
      <w:rFonts w:ascii="Segoe UI" w:hAnsi="Segoe UI" w:cs="Segoe UI"/>
      <w:color w:val="54575A" w:themeColor="text1"/>
      <w:sz w:val="18"/>
      <w:szCs w:val="18"/>
      <w:lang w:val="fr-FR"/>
    </w:rPr>
  </w:style>
  <w:style w:type="paragraph" w:customStyle="1" w:styleId="ColumnTitle">
    <w:name w:val="Column Title"/>
    <w:basedOn w:val="Normal"/>
    <w:qFormat/>
    <w:rsid w:val="00210749"/>
    <w:rPr>
      <w:rFonts w:ascii="Segoe UI Semibold" w:hAnsi="Segoe UI Semibold" w:cs="Segoe UI Semibold"/>
      <w:color w:val="F2F2F2" w:themeColor="background2"/>
      <w:szCs w:val="24"/>
    </w:rPr>
  </w:style>
  <w:style w:type="paragraph" w:customStyle="1" w:styleId="DataText">
    <w:name w:val="Data Text"/>
    <w:basedOn w:val="Normal"/>
    <w:qFormat/>
    <w:rsid w:val="00210749"/>
  </w:style>
  <w:style w:type="character" w:styleId="FootnoteReference">
    <w:name w:val="footnote reference"/>
    <w:basedOn w:val="DefaultParagraphFont"/>
    <w:uiPriority w:val="99"/>
    <w:semiHidden/>
    <w:unhideWhenUsed/>
    <w:rsid w:val="00210749"/>
    <w:rPr>
      <w:vertAlign w:val="superscript"/>
    </w:rPr>
  </w:style>
  <w:style w:type="paragraph" w:styleId="FootnoteText">
    <w:name w:val="footnote text"/>
    <w:basedOn w:val="Normal"/>
    <w:link w:val="FootnoteTextChar"/>
    <w:uiPriority w:val="99"/>
    <w:unhideWhenUsed/>
    <w:rsid w:val="00210749"/>
    <w:rPr>
      <w:sz w:val="20"/>
    </w:rPr>
  </w:style>
  <w:style w:type="character" w:customStyle="1" w:styleId="FootnoteTextChar">
    <w:name w:val="Footnote Text Char"/>
    <w:basedOn w:val="DefaultParagraphFont"/>
    <w:link w:val="FootnoteText"/>
    <w:uiPriority w:val="99"/>
    <w:rsid w:val="00210749"/>
    <w:rPr>
      <w:color w:val="54575A" w:themeColor="text1"/>
      <w:sz w:val="20"/>
      <w:szCs w:val="20"/>
      <w:lang w:val="fr-FR"/>
    </w:rPr>
  </w:style>
  <w:style w:type="character" w:customStyle="1" w:styleId="Heading1Char">
    <w:name w:val="Heading 1 Char"/>
    <w:basedOn w:val="DefaultParagraphFont"/>
    <w:link w:val="Heading1"/>
    <w:uiPriority w:val="9"/>
    <w:rsid w:val="00210749"/>
    <w:rPr>
      <w:rFonts w:asciiTheme="majorHAnsi" w:eastAsiaTheme="majorEastAsia" w:hAnsiTheme="majorHAnsi" w:cstheme="majorBidi"/>
      <w:color w:val="54575A" w:themeColor="text1"/>
      <w:sz w:val="48"/>
      <w:szCs w:val="48"/>
      <w:lang w:val="fr-FR"/>
    </w:rPr>
  </w:style>
  <w:style w:type="character" w:customStyle="1" w:styleId="Heading2Char">
    <w:name w:val="Heading 2 Char"/>
    <w:basedOn w:val="DefaultParagraphFont"/>
    <w:link w:val="Heading2"/>
    <w:uiPriority w:val="9"/>
    <w:rsid w:val="00210749"/>
    <w:rPr>
      <w:rFonts w:ascii="Segoe UI" w:eastAsiaTheme="majorEastAsia" w:hAnsi="Segoe UI" w:cs="Segoe UI"/>
      <w:b/>
      <w:color w:val="5B315E" w:themeColor="accent2"/>
      <w:sz w:val="32"/>
      <w:szCs w:val="32"/>
      <w:lang w:val="fr-FR"/>
    </w:rPr>
  </w:style>
  <w:style w:type="character" w:customStyle="1" w:styleId="Heading3Char">
    <w:name w:val="Heading 3 Char"/>
    <w:basedOn w:val="DefaultParagraphFont"/>
    <w:link w:val="Heading3"/>
    <w:uiPriority w:val="9"/>
    <w:rsid w:val="00210749"/>
    <w:rPr>
      <w:rFonts w:ascii="Segoe UI Semibold" w:eastAsiaTheme="majorEastAsia" w:hAnsi="Segoe UI Semibold" w:cs="Segoe UI Semibold"/>
      <w:color w:val="54575A" w:themeColor="text1"/>
      <w:sz w:val="24"/>
      <w:szCs w:val="24"/>
      <w:lang w:val="fr-FR"/>
    </w:rPr>
  </w:style>
  <w:style w:type="paragraph" w:customStyle="1" w:styleId="Heading3forBox">
    <w:name w:val="Heading 3 for Box"/>
    <w:basedOn w:val="Normal"/>
    <w:qFormat/>
    <w:rsid w:val="00210749"/>
    <w:rPr>
      <w:rFonts w:ascii="Segoe UI Semibold" w:eastAsiaTheme="majorEastAsia" w:hAnsi="Segoe UI Semibold" w:cs="Segoe UI Semibold"/>
      <w:color w:val="FFFFFF" w:themeColor="background1"/>
      <w:szCs w:val="24"/>
    </w:rPr>
  </w:style>
  <w:style w:type="character" w:customStyle="1" w:styleId="Heading4Char">
    <w:name w:val="Heading 4 Char"/>
    <w:basedOn w:val="DefaultParagraphFont"/>
    <w:link w:val="Heading4"/>
    <w:uiPriority w:val="9"/>
    <w:rsid w:val="00210749"/>
    <w:rPr>
      <w:rFonts w:asciiTheme="majorHAnsi" w:eastAsiaTheme="majorEastAsia" w:hAnsiTheme="majorHAnsi" w:cstheme="majorBidi"/>
      <w:iCs/>
      <w:color w:val="54575A" w:themeColor="text2"/>
      <w:lang w:val="fr-FR"/>
    </w:rPr>
  </w:style>
  <w:style w:type="character" w:customStyle="1" w:styleId="Heading5Char">
    <w:name w:val="Heading 5 Char"/>
    <w:basedOn w:val="DefaultParagraphFont"/>
    <w:link w:val="Heading5"/>
    <w:uiPriority w:val="9"/>
    <w:rsid w:val="00210749"/>
    <w:rPr>
      <w:rFonts w:asciiTheme="majorHAnsi" w:eastAsiaTheme="majorEastAsia" w:hAnsiTheme="majorHAnsi" w:cstheme="majorBidi"/>
      <w:color w:val="9F0040" w:themeColor="accent1" w:themeShade="BF"/>
      <w:lang w:val="fr-FR"/>
    </w:rPr>
  </w:style>
  <w:style w:type="paragraph" w:styleId="ListParagraph">
    <w:name w:val="List Paragraph"/>
    <w:aliases w:val="TBS PB List Paragraph,Table Paragraph,Dot pt,Liste 1,List Paragraph1,Recommendation,List Paragraph11,L,List Paragraph2,CV text,Table text,F5 List Paragraph,List Paragraph111,Medium Grid 1 - Accent 21,Bullet text,Bullet,table bullets"/>
    <w:basedOn w:val="Normal"/>
    <w:link w:val="ListParagraphChar"/>
    <w:uiPriority w:val="34"/>
    <w:qFormat/>
    <w:rsid w:val="00210749"/>
    <w:pPr>
      <w:spacing w:after="320"/>
      <w:contextualSpacing/>
    </w:pPr>
  </w:style>
  <w:style w:type="paragraph" w:customStyle="1" w:styleId="NormalWhiteforBox">
    <w:name w:val="Normal White for Box"/>
    <w:basedOn w:val="Normal"/>
    <w:qFormat/>
    <w:rsid w:val="00210749"/>
  </w:style>
  <w:style w:type="paragraph" w:customStyle="1" w:styleId="Numberedlist">
    <w:name w:val="Numbered list"/>
    <w:basedOn w:val="ListParagraph"/>
    <w:qFormat/>
    <w:rsid w:val="00210749"/>
  </w:style>
  <w:style w:type="paragraph" w:styleId="Subtitle">
    <w:name w:val="Subtitle"/>
    <w:basedOn w:val="Normal"/>
    <w:next w:val="Normal"/>
    <w:link w:val="SubtitleChar"/>
    <w:uiPriority w:val="11"/>
    <w:qFormat/>
    <w:rsid w:val="00210749"/>
    <w:rPr>
      <w:rFonts w:ascii="Segoe UI Light" w:hAnsi="Segoe UI Light" w:cs="Segoe UI Light"/>
      <w:sz w:val="36"/>
      <w:szCs w:val="36"/>
    </w:rPr>
  </w:style>
  <w:style w:type="character" w:customStyle="1" w:styleId="SubtitleChar">
    <w:name w:val="Subtitle Char"/>
    <w:basedOn w:val="DefaultParagraphFont"/>
    <w:link w:val="Subtitle"/>
    <w:uiPriority w:val="11"/>
    <w:rsid w:val="00210749"/>
    <w:rPr>
      <w:rFonts w:ascii="Segoe UI Light" w:hAnsi="Segoe UI Light" w:cs="Segoe UI Light"/>
      <w:color w:val="54575A" w:themeColor="text1"/>
      <w:sz w:val="36"/>
      <w:szCs w:val="36"/>
      <w:lang w:val="fr-FR"/>
    </w:rPr>
  </w:style>
  <w:style w:type="table" w:styleId="TableGrid">
    <w:name w:val="Table Grid"/>
    <w:basedOn w:val="TableNormal"/>
    <w:uiPriority w:val="39"/>
    <w:rsid w:val="00210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Heading2"/>
    <w:qFormat/>
    <w:rsid w:val="00210749"/>
    <w:rPr>
      <w:rFonts w:ascii="Segoe UI Semibold" w:hAnsi="Segoe UI Semibold"/>
      <w:b w:val="0"/>
      <w:color w:val="54575A" w:themeColor="text1"/>
    </w:rPr>
  </w:style>
  <w:style w:type="paragraph" w:styleId="Title">
    <w:name w:val="Title"/>
    <w:basedOn w:val="Normal"/>
    <w:next w:val="Normal"/>
    <w:link w:val="TitleChar"/>
    <w:autoRedefine/>
    <w:uiPriority w:val="10"/>
    <w:qFormat/>
    <w:rsid w:val="00591DC8"/>
    <w:pPr>
      <w:contextualSpacing/>
      <w:jc w:val="center"/>
    </w:pPr>
    <w:rPr>
      <w:rFonts w:ascii="Segoe UI Light" w:eastAsiaTheme="majorEastAsia" w:hAnsi="Segoe UI Light" w:cs="Segoe UI Light"/>
      <w:spacing w:val="-10"/>
      <w:kern w:val="28"/>
      <w:sz w:val="52"/>
      <w:szCs w:val="52"/>
    </w:rPr>
  </w:style>
  <w:style w:type="character" w:customStyle="1" w:styleId="TitleChar">
    <w:name w:val="Title Char"/>
    <w:basedOn w:val="DefaultParagraphFont"/>
    <w:link w:val="Title"/>
    <w:uiPriority w:val="10"/>
    <w:rsid w:val="00591DC8"/>
    <w:rPr>
      <w:rFonts w:ascii="Segoe UI Light" w:eastAsiaTheme="majorEastAsia" w:hAnsi="Segoe UI Light" w:cs="Segoe UI Light"/>
      <w:spacing w:val="-10"/>
      <w:kern w:val="28"/>
      <w:sz w:val="52"/>
      <w:szCs w:val="52"/>
      <w:lang w:val="fr-FR"/>
    </w:rPr>
  </w:style>
  <w:style w:type="paragraph" w:styleId="NormalWeb">
    <w:name w:val="Normal (Web)"/>
    <w:basedOn w:val="Normal"/>
    <w:uiPriority w:val="99"/>
    <w:unhideWhenUsed/>
    <w:rsid w:val="00591DC8"/>
    <w:pPr>
      <w:spacing w:before="100" w:beforeAutospacing="1" w:after="100" w:afterAutospacing="1"/>
    </w:pPr>
    <w:rPr>
      <w:rFonts w:ascii="Verdana" w:hAnsi="Verdana"/>
      <w:szCs w:val="24"/>
    </w:rPr>
  </w:style>
  <w:style w:type="paragraph" w:customStyle="1" w:styleId="Level1">
    <w:name w:val="Level 1"/>
    <w:basedOn w:val="Normal"/>
    <w:uiPriority w:val="99"/>
    <w:rsid w:val="00591DC8"/>
    <w:pPr>
      <w:widowControl w:val="0"/>
    </w:pPr>
  </w:style>
  <w:style w:type="character" w:styleId="Hyperlink">
    <w:name w:val="Hyperlink"/>
    <w:uiPriority w:val="99"/>
    <w:unhideWhenUsed/>
    <w:rsid w:val="00591DC8"/>
    <w:rPr>
      <w:color w:val="0563C1"/>
      <w:u w:val="single"/>
    </w:rPr>
  </w:style>
  <w:style w:type="paragraph" w:styleId="NoSpacing">
    <w:name w:val="No Spacing"/>
    <w:uiPriority w:val="1"/>
    <w:qFormat/>
    <w:rsid w:val="00591DC8"/>
    <w:pPr>
      <w:spacing w:after="0" w:line="240" w:lineRule="auto"/>
    </w:pPr>
    <w:rPr>
      <w:rFonts w:ascii="Times New Roman" w:eastAsia="Times New Roman" w:hAnsi="Times New Roman" w:cs="Times New Roman"/>
      <w:sz w:val="24"/>
      <w:szCs w:val="20"/>
    </w:rPr>
  </w:style>
  <w:style w:type="paragraph" w:customStyle="1" w:styleId="Style1">
    <w:name w:val="Style1"/>
    <w:basedOn w:val="Normal"/>
    <w:link w:val="Style1Char"/>
    <w:qFormat/>
    <w:rsid w:val="00591DC8"/>
    <w:pPr>
      <w:pBdr>
        <w:bottom w:val="single" w:sz="4" w:space="1" w:color="92D050"/>
      </w:pBdr>
      <w:autoSpaceDE w:val="0"/>
      <w:autoSpaceDN w:val="0"/>
      <w:adjustRightInd w:val="0"/>
      <w:ind w:right="50"/>
    </w:pPr>
    <w:rPr>
      <w:rFonts w:ascii="Arial" w:hAnsi="Arial" w:cs="Arial"/>
      <w:b/>
      <w:caps/>
      <w:color w:val="92D050"/>
      <w:sz w:val="22"/>
      <w:szCs w:val="22"/>
    </w:rPr>
  </w:style>
  <w:style w:type="paragraph" w:customStyle="1" w:styleId="Style2">
    <w:name w:val="Style2"/>
    <w:basedOn w:val="Normal"/>
    <w:link w:val="Style2Char"/>
    <w:qFormat/>
    <w:rsid w:val="00591DC8"/>
    <w:pPr>
      <w:shd w:val="clear" w:color="auto" w:fill="F2F2F2"/>
    </w:pPr>
    <w:rPr>
      <w:rFonts w:ascii="Arial" w:hAnsi="Arial" w:cs="Arial"/>
      <w:b/>
      <w:color w:val="009999"/>
      <w:spacing w:val="-10"/>
      <w:sz w:val="22"/>
      <w:szCs w:val="22"/>
    </w:rPr>
  </w:style>
  <w:style w:type="character" w:customStyle="1" w:styleId="Style1Char">
    <w:name w:val="Style1 Char"/>
    <w:basedOn w:val="DefaultParagraphFont"/>
    <w:link w:val="Style1"/>
    <w:rsid w:val="00591DC8"/>
    <w:rPr>
      <w:rFonts w:ascii="Arial" w:eastAsia="Times New Roman" w:hAnsi="Arial" w:cs="Arial"/>
      <w:b/>
      <w:caps/>
      <w:color w:val="92D050"/>
    </w:rPr>
  </w:style>
  <w:style w:type="character" w:customStyle="1" w:styleId="Style2Char">
    <w:name w:val="Style2 Char"/>
    <w:basedOn w:val="DefaultParagraphFont"/>
    <w:link w:val="Style2"/>
    <w:rsid w:val="00591DC8"/>
    <w:rPr>
      <w:rFonts w:ascii="Arial" w:eastAsia="Times New Roman" w:hAnsi="Arial" w:cs="Arial"/>
      <w:b/>
      <w:color w:val="009999"/>
      <w:spacing w:val="-10"/>
      <w:shd w:val="clear" w:color="auto" w:fill="F2F2F2"/>
    </w:rPr>
  </w:style>
  <w:style w:type="paragraph" w:customStyle="1" w:styleId="Style6">
    <w:name w:val="Style6"/>
    <w:basedOn w:val="Normal"/>
    <w:link w:val="Style6Char"/>
    <w:qFormat/>
    <w:rsid w:val="00591DC8"/>
    <w:pPr>
      <w:jc w:val="center"/>
    </w:pPr>
    <w:rPr>
      <w:rFonts w:ascii="Arial" w:hAnsi="Arial" w:cs="Arial"/>
      <w:b/>
      <w:color w:val="009999"/>
      <w:szCs w:val="24"/>
    </w:rPr>
  </w:style>
  <w:style w:type="paragraph" w:customStyle="1" w:styleId="Style7">
    <w:name w:val="Style7"/>
    <w:basedOn w:val="Normal"/>
    <w:link w:val="Style7Char"/>
    <w:qFormat/>
    <w:rsid w:val="00591DC8"/>
    <w:pPr>
      <w:jc w:val="center"/>
    </w:pPr>
    <w:rPr>
      <w:rFonts w:ascii="Arial" w:hAnsi="Arial" w:cs="Arial"/>
      <w:color w:val="009999"/>
      <w:sz w:val="22"/>
      <w:szCs w:val="32"/>
    </w:rPr>
  </w:style>
  <w:style w:type="character" w:customStyle="1" w:styleId="Style6Char">
    <w:name w:val="Style6 Char"/>
    <w:basedOn w:val="DefaultParagraphFont"/>
    <w:link w:val="Style6"/>
    <w:rsid w:val="00591DC8"/>
    <w:rPr>
      <w:rFonts w:ascii="Arial" w:eastAsia="Times New Roman" w:hAnsi="Arial" w:cs="Arial"/>
      <w:b/>
      <w:color w:val="009999"/>
      <w:sz w:val="24"/>
      <w:szCs w:val="24"/>
      <w:lang w:val="fr-FR"/>
    </w:rPr>
  </w:style>
  <w:style w:type="paragraph" w:customStyle="1" w:styleId="Style8">
    <w:name w:val="Style8"/>
    <w:basedOn w:val="Normal"/>
    <w:link w:val="Style8Char"/>
    <w:qFormat/>
    <w:rsid w:val="00591DC8"/>
    <w:rPr>
      <w:rFonts w:ascii="Arial" w:hAnsi="Arial" w:cs="Arial"/>
      <w:color w:val="767171"/>
      <w:sz w:val="16"/>
      <w:szCs w:val="22"/>
    </w:rPr>
  </w:style>
  <w:style w:type="character" w:customStyle="1" w:styleId="Style7Char">
    <w:name w:val="Style7 Char"/>
    <w:basedOn w:val="DefaultParagraphFont"/>
    <w:link w:val="Style7"/>
    <w:rsid w:val="00591DC8"/>
    <w:rPr>
      <w:rFonts w:ascii="Arial" w:eastAsia="Times New Roman" w:hAnsi="Arial" w:cs="Arial"/>
      <w:color w:val="009999"/>
      <w:szCs w:val="32"/>
      <w:lang w:val="fr-FR"/>
    </w:rPr>
  </w:style>
  <w:style w:type="character" w:customStyle="1" w:styleId="Style8Char">
    <w:name w:val="Style8 Char"/>
    <w:basedOn w:val="DefaultParagraphFont"/>
    <w:link w:val="Style8"/>
    <w:rsid w:val="00591DC8"/>
    <w:rPr>
      <w:rFonts w:ascii="Arial" w:eastAsia="Times New Roman" w:hAnsi="Arial" w:cs="Arial"/>
      <w:color w:val="767171"/>
      <w:sz w:val="16"/>
    </w:rPr>
  </w:style>
  <w:style w:type="character" w:styleId="Strong">
    <w:name w:val="Strong"/>
    <w:basedOn w:val="DefaultParagraphFont"/>
    <w:uiPriority w:val="22"/>
    <w:qFormat/>
    <w:rsid w:val="00591DC8"/>
    <w:rPr>
      <w:b/>
      <w:bCs/>
    </w:rPr>
  </w:style>
  <w:style w:type="character" w:styleId="FollowedHyperlink">
    <w:name w:val="FollowedHyperlink"/>
    <w:basedOn w:val="DefaultParagraphFont"/>
    <w:uiPriority w:val="99"/>
    <w:semiHidden/>
    <w:unhideWhenUsed/>
    <w:rsid w:val="00D057D1"/>
    <w:rPr>
      <w:color w:val="A5A5A5" w:themeColor="followedHyperlink"/>
      <w:u w:val="single"/>
    </w:rPr>
  </w:style>
  <w:style w:type="character" w:styleId="Emphasis">
    <w:name w:val="Emphasis"/>
    <w:basedOn w:val="DefaultParagraphFont"/>
    <w:uiPriority w:val="20"/>
    <w:qFormat/>
    <w:rsid w:val="008F610A"/>
    <w:rPr>
      <w:i/>
      <w:iCs/>
    </w:rPr>
  </w:style>
  <w:style w:type="paragraph" w:styleId="Caption">
    <w:name w:val="caption"/>
    <w:basedOn w:val="Normal"/>
    <w:next w:val="Normal"/>
    <w:uiPriority w:val="35"/>
    <w:unhideWhenUsed/>
    <w:qFormat/>
    <w:rsid w:val="001639B2"/>
    <w:pPr>
      <w:spacing w:after="200"/>
    </w:pPr>
    <w:rPr>
      <w:i/>
      <w:iCs/>
      <w:color w:val="54575A" w:themeColor="text2"/>
      <w:sz w:val="18"/>
      <w:szCs w:val="18"/>
    </w:rPr>
  </w:style>
  <w:style w:type="character" w:customStyle="1" w:styleId="ListParagraphChar">
    <w:name w:val="List Paragraph Char"/>
    <w:aliases w:val="TBS PB List Paragraph Char,Table Paragraph Char,Dot pt Char,Liste 1 Char,List Paragraph1 Char,Recommendation Char,List Paragraph11 Char,L Char,List Paragraph2 Char,CV text Char,Table text Char,F5 List Paragraph Char,Bullet text Char"/>
    <w:basedOn w:val="DefaultParagraphFont"/>
    <w:link w:val="ListParagraph"/>
    <w:uiPriority w:val="34"/>
    <w:locked/>
    <w:rsid w:val="00B3330F"/>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6D7FE7"/>
    <w:rPr>
      <w:sz w:val="16"/>
      <w:szCs w:val="16"/>
    </w:rPr>
  </w:style>
  <w:style w:type="paragraph" w:styleId="CommentText">
    <w:name w:val="annotation text"/>
    <w:basedOn w:val="Normal"/>
    <w:link w:val="CommentTextChar"/>
    <w:uiPriority w:val="99"/>
    <w:semiHidden/>
    <w:unhideWhenUsed/>
    <w:rsid w:val="006D7FE7"/>
    <w:rPr>
      <w:sz w:val="20"/>
    </w:rPr>
  </w:style>
  <w:style w:type="character" w:customStyle="1" w:styleId="CommentTextChar">
    <w:name w:val="Comment Text Char"/>
    <w:basedOn w:val="DefaultParagraphFont"/>
    <w:link w:val="CommentText"/>
    <w:uiPriority w:val="99"/>
    <w:semiHidden/>
    <w:rsid w:val="006D7F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7FE7"/>
    <w:rPr>
      <w:b/>
      <w:bCs/>
    </w:rPr>
  </w:style>
  <w:style w:type="character" w:customStyle="1" w:styleId="CommentSubjectChar">
    <w:name w:val="Comment Subject Char"/>
    <w:basedOn w:val="CommentTextChar"/>
    <w:link w:val="CommentSubject"/>
    <w:uiPriority w:val="99"/>
    <w:semiHidden/>
    <w:rsid w:val="006D7FE7"/>
    <w:rPr>
      <w:rFonts w:ascii="Times New Roman" w:eastAsia="Times New Roman" w:hAnsi="Times New Roman" w:cs="Times New Roman"/>
      <w:b/>
      <w:bCs/>
      <w:sz w:val="20"/>
      <w:szCs w:val="20"/>
    </w:rPr>
  </w:style>
  <w:style w:type="paragraph" w:styleId="Revision">
    <w:name w:val="Revision"/>
    <w:hidden/>
    <w:uiPriority w:val="99"/>
    <w:semiHidden/>
    <w:rsid w:val="006D7FE7"/>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3517">
      <w:bodyDiv w:val="1"/>
      <w:marLeft w:val="0"/>
      <w:marRight w:val="0"/>
      <w:marTop w:val="0"/>
      <w:marBottom w:val="0"/>
      <w:divBdr>
        <w:top w:val="none" w:sz="0" w:space="0" w:color="auto"/>
        <w:left w:val="none" w:sz="0" w:space="0" w:color="auto"/>
        <w:bottom w:val="none" w:sz="0" w:space="0" w:color="auto"/>
        <w:right w:val="none" w:sz="0" w:space="0" w:color="auto"/>
      </w:divBdr>
    </w:div>
    <w:div w:id="322395050">
      <w:bodyDiv w:val="1"/>
      <w:marLeft w:val="0"/>
      <w:marRight w:val="0"/>
      <w:marTop w:val="0"/>
      <w:marBottom w:val="0"/>
      <w:divBdr>
        <w:top w:val="none" w:sz="0" w:space="0" w:color="auto"/>
        <w:left w:val="none" w:sz="0" w:space="0" w:color="auto"/>
        <w:bottom w:val="none" w:sz="0" w:space="0" w:color="auto"/>
        <w:right w:val="none" w:sz="0" w:space="0" w:color="auto"/>
      </w:divBdr>
    </w:div>
    <w:div w:id="449516722">
      <w:bodyDiv w:val="1"/>
      <w:marLeft w:val="0"/>
      <w:marRight w:val="0"/>
      <w:marTop w:val="0"/>
      <w:marBottom w:val="0"/>
      <w:divBdr>
        <w:top w:val="none" w:sz="0" w:space="0" w:color="auto"/>
        <w:left w:val="none" w:sz="0" w:space="0" w:color="auto"/>
        <w:bottom w:val="none" w:sz="0" w:space="0" w:color="auto"/>
        <w:right w:val="none" w:sz="0" w:space="0" w:color="auto"/>
      </w:divBdr>
    </w:div>
    <w:div w:id="627206842">
      <w:bodyDiv w:val="1"/>
      <w:marLeft w:val="0"/>
      <w:marRight w:val="0"/>
      <w:marTop w:val="0"/>
      <w:marBottom w:val="0"/>
      <w:divBdr>
        <w:top w:val="none" w:sz="0" w:space="0" w:color="auto"/>
        <w:left w:val="none" w:sz="0" w:space="0" w:color="auto"/>
        <w:bottom w:val="none" w:sz="0" w:space="0" w:color="auto"/>
        <w:right w:val="none" w:sz="0" w:space="0" w:color="auto"/>
      </w:divBdr>
    </w:div>
    <w:div w:id="1079403745">
      <w:bodyDiv w:val="1"/>
      <w:marLeft w:val="0"/>
      <w:marRight w:val="0"/>
      <w:marTop w:val="0"/>
      <w:marBottom w:val="0"/>
      <w:divBdr>
        <w:top w:val="none" w:sz="0" w:space="0" w:color="auto"/>
        <w:left w:val="none" w:sz="0" w:space="0" w:color="auto"/>
        <w:bottom w:val="none" w:sz="0" w:space="0" w:color="auto"/>
        <w:right w:val="none" w:sz="0" w:space="0" w:color="auto"/>
      </w:divBdr>
    </w:div>
    <w:div w:id="1127120021">
      <w:bodyDiv w:val="1"/>
      <w:marLeft w:val="0"/>
      <w:marRight w:val="0"/>
      <w:marTop w:val="0"/>
      <w:marBottom w:val="0"/>
      <w:divBdr>
        <w:top w:val="none" w:sz="0" w:space="0" w:color="auto"/>
        <w:left w:val="none" w:sz="0" w:space="0" w:color="auto"/>
        <w:bottom w:val="none" w:sz="0" w:space="0" w:color="auto"/>
        <w:right w:val="none" w:sz="0" w:space="0" w:color="auto"/>
      </w:divBdr>
    </w:div>
    <w:div w:id="1452556270">
      <w:bodyDiv w:val="1"/>
      <w:marLeft w:val="0"/>
      <w:marRight w:val="0"/>
      <w:marTop w:val="0"/>
      <w:marBottom w:val="0"/>
      <w:divBdr>
        <w:top w:val="none" w:sz="0" w:space="0" w:color="auto"/>
        <w:left w:val="none" w:sz="0" w:space="0" w:color="auto"/>
        <w:bottom w:val="none" w:sz="0" w:space="0" w:color="auto"/>
        <w:right w:val="none" w:sz="0" w:space="0" w:color="auto"/>
      </w:divBdr>
    </w:div>
    <w:div w:id="1690986228">
      <w:bodyDiv w:val="1"/>
      <w:marLeft w:val="0"/>
      <w:marRight w:val="0"/>
      <w:marTop w:val="0"/>
      <w:marBottom w:val="0"/>
      <w:divBdr>
        <w:top w:val="none" w:sz="0" w:space="0" w:color="auto"/>
        <w:left w:val="none" w:sz="0" w:space="0" w:color="auto"/>
        <w:bottom w:val="none" w:sz="0" w:space="0" w:color="auto"/>
        <w:right w:val="none" w:sz="0" w:space="0" w:color="auto"/>
      </w:divBdr>
    </w:div>
    <w:div w:id="1946495774">
      <w:bodyDiv w:val="1"/>
      <w:marLeft w:val="0"/>
      <w:marRight w:val="0"/>
      <w:marTop w:val="0"/>
      <w:marBottom w:val="0"/>
      <w:divBdr>
        <w:top w:val="none" w:sz="0" w:space="0" w:color="auto"/>
        <w:left w:val="none" w:sz="0" w:space="0" w:color="auto"/>
        <w:bottom w:val="none" w:sz="0" w:space="0" w:color="auto"/>
        <w:right w:val="none" w:sz="0" w:space="0" w:color="auto"/>
      </w:divBdr>
    </w:div>
    <w:div w:id="214199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3.xml"/><Relationship Id="rId26"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2.xml"/><Relationship Id="rId25" Type="http://schemas.openxmlformats.org/officeDocument/2006/relationships/chart" Target="charts/chart10.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chart" Target="charts/chart5.xml"/><Relationship Id="rId29"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hart" Target="charts/chart8.xml"/><Relationship Id="rId28" Type="http://schemas.openxmlformats.org/officeDocument/2006/relationships/chart" Target="charts/chart13.xml"/><Relationship Id="rId10" Type="http://schemas.openxmlformats.org/officeDocument/2006/relationships/header" Target="header1.xml"/><Relationship Id="rId19" Type="http://schemas.openxmlformats.org/officeDocument/2006/relationships/chart" Target="charts/chart4.xm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1.xml"/><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header" Target="header3.xml"/><Relationship Id="rId8" Type="http://schemas.openxmlformats.org/officeDocument/2006/relationships/hyperlink" Target="https://www.canada.ca/fr/gouvernement/fonctionpublique/mieux-etre-inclusion-diversite-fonction-publique/diversite-equite-matiere-emploi/equite-emploi-rapports-annuel/equite-emploi-fonction-publique-canada-2017-201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SC-CFP\Templates\CFP-Entete-Corpo2019.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5.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chartUserShapes" Target="../drawings/drawing6.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chartUserShapes" Target="../drawings/drawing7.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chartUserShapes" Target="../drawings/drawing8.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2.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3.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4.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fr-FR" sz="1200" b="1"/>
              <a:t>Effectif selon la durée d’emploi </a:t>
            </a:r>
          </a:p>
          <a:p>
            <a:pPr>
              <a:defRPr sz="1200" b="1"/>
            </a:pPr>
            <a:r>
              <a:rPr lang="fr-FR" sz="1200" b="1"/>
              <a:t>en date du 31 mars</a:t>
            </a:r>
          </a:p>
        </c:rich>
      </c:tx>
      <c:overlay val="1"/>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820755769669271"/>
          <c:y val="0.11428571428571428"/>
          <c:w val="0.85790458031932704"/>
          <c:h val="0.63086532365272519"/>
        </c:manualLayout>
      </c:layout>
      <c:barChart>
        <c:barDir val="col"/>
        <c:grouping val="stacked"/>
        <c:varyColors val="0"/>
        <c:ser>
          <c:idx val="0"/>
          <c:order val="0"/>
          <c:tx>
            <c:strRef>
              <c:f>Sheet1!$B$1</c:f>
              <c:strCache>
                <c:ptCount val="1"/>
                <c:pt idx="0">
                  <c:v> Nommés pour une période indéterminée</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(N=1 054)</c:v>
                </c:pt>
                <c:pt idx="1">
                  <c:v> 2015 
(N=976) </c:v>
                </c:pt>
                <c:pt idx="2">
                  <c:v> 2016 
(N=1 119)</c:v>
                </c:pt>
                <c:pt idx="3">
                  <c:v> 2017 
(N=1 170) </c:v>
                </c:pt>
                <c:pt idx="4">
                  <c:v> 2018 
(N=1 218) </c:v>
                </c:pt>
                <c:pt idx="5">
                  <c:v> 2019
(N=1 334) </c:v>
                </c:pt>
              </c:strCache>
            </c:strRef>
          </c:cat>
          <c:val>
            <c:numRef>
              <c:f>Sheet1!$B$2:$B$7</c:f>
              <c:numCache>
                <c:formatCode>#\ ###</c:formatCode>
                <c:ptCount val="6"/>
                <c:pt idx="0">
                  <c:v>936</c:v>
                </c:pt>
                <c:pt idx="1">
                  <c:v>844</c:v>
                </c:pt>
                <c:pt idx="2">
                  <c:v>910</c:v>
                </c:pt>
                <c:pt idx="3">
                  <c:v>953</c:v>
                </c:pt>
                <c:pt idx="4">
                  <c:v>999</c:v>
                </c:pt>
                <c:pt idx="5">
                  <c:v>1087</c:v>
                </c:pt>
              </c:numCache>
            </c:numRef>
          </c:val>
          <c:extLst>
            <c:ext xmlns:c16="http://schemas.microsoft.com/office/drawing/2014/chart" uri="{C3380CC4-5D6E-409C-BE32-E72D297353CC}">
              <c16:uniqueId val="{00000000-5001-41ED-9FF6-BCEB0FACE1FC}"/>
            </c:ext>
          </c:extLst>
        </c:ser>
        <c:ser>
          <c:idx val="1"/>
          <c:order val="1"/>
          <c:tx>
            <c:strRef>
              <c:f>Sheet1!$C$1</c:f>
              <c:strCache>
                <c:ptCount val="1"/>
                <c:pt idx="0">
                  <c:v> Nommés pour une durée déterminée </c:v>
                </c:pt>
              </c:strCache>
            </c:strRef>
          </c:tx>
          <c:spPr>
            <a:solidFill>
              <a:schemeClr val="accent2"/>
            </a:solidFill>
            <a:ln>
              <a:noFill/>
            </a:ln>
            <a:effectLst/>
          </c:spPr>
          <c:invertIfNegative val="0"/>
          <c:dLbls>
            <c:dLbl>
              <c:idx val="0"/>
              <c:layout>
                <c:manualLayout>
                  <c:x val="0"/>
                  <c:y val="3.116883116883116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001-41ED-9FF6-BCEB0FACE1FC}"/>
                </c:ext>
              </c:extLst>
            </c:dLbl>
            <c:dLbl>
              <c:idx val="1"/>
              <c:layout>
                <c:manualLayout>
                  <c:x val="0"/>
                  <c:y val="2.077922077922077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001-41ED-9FF6-BCEB0FACE1FC}"/>
                </c:ext>
              </c:extLst>
            </c:dLbl>
            <c:dLbl>
              <c:idx val="2"/>
              <c:layout>
                <c:manualLayout>
                  <c:x val="0"/>
                  <c:y val="1.03896103896103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001-41ED-9FF6-BCEB0FACE1FC}"/>
                </c:ext>
              </c:extLst>
            </c:dLbl>
            <c:dLbl>
              <c:idx val="3"/>
              <c:layout>
                <c:manualLayout>
                  <c:x val="0"/>
                  <c:y val="1.558441558441553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001-41ED-9FF6-BCEB0FACE1FC}"/>
                </c:ext>
              </c:extLst>
            </c:dLbl>
            <c:dLbl>
              <c:idx val="4"/>
              <c:layout>
                <c:manualLayout>
                  <c:x val="3.0807147258163892E-3"/>
                  <c:y val="2.597402597402597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001-41ED-9FF6-BCEB0FACE1FC}"/>
                </c:ext>
              </c:extLst>
            </c:dLbl>
            <c:dLbl>
              <c:idx val="5"/>
              <c:layout>
                <c:manualLayout>
                  <c:x val="-1.1295823504343063E-16"/>
                  <c:y val="1.558441558441553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001-41ED-9FF6-BCEB0FACE1FC}"/>
                </c:ext>
              </c:extLst>
            </c:dLbl>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(N=1 054)</c:v>
                </c:pt>
                <c:pt idx="1">
                  <c:v> 2015 
(N=976) </c:v>
                </c:pt>
                <c:pt idx="2">
                  <c:v> 2016 
(N=1 119)</c:v>
                </c:pt>
                <c:pt idx="3">
                  <c:v> 2017 
(N=1 170) </c:v>
                </c:pt>
                <c:pt idx="4">
                  <c:v> 2018 
(N=1 218) </c:v>
                </c:pt>
                <c:pt idx="5">
                  <c:v> 2019
(N=1 334) </c:v>
                </c:pt>
              </c:strCache>
            </c:strRef>
          </c:cat>
          <c:val>
            <c:numRef>
              <c:f>Sheet1!$C$2:$C$7</c:f>
              <c:numCache>
                <c:formatCode>#\ ###</c:formatCode>
                <c:ptCount val="6"/>
                <c:pt idx="0">
                  <c:v>25</c:v>
                </c:pt>
                <c:pt idx="1">
                  <c:v>17</c:v>
                </c:pt>
                <c:pt idx="2">
                  <c:v>30</c:v>
                </c:pt>
                <c:pt idx="3">
                  <c:v>46</c:v>
                </c:pt>
                <c:pt idx="4">
                  <c:v>45</c:v>
                </c:pt>
                <c:pt idx="5">
                  <c:v>69</c:v>
                </c:pt>
              </c:numCache>
            </c:numRef>
          </c:val>
          <c:extLst>
            <c:ext xmlns:c16="http://schemas.microsoft.com/office/drawing/2014/chart" uri="{C3380CC4-5D6E-409C-BE32-E72D297353CC}">
              <c16:uniqueId val="{00000007-5001-41ED-9FF6-BCEB0FACE1FC}"/>
            </c:ext>
          </c:extLst>
        </c:ser>
        <c:ser>
          <c:idx val="2"/>
          <c:order val="2"/>
          <c:tx>
            <c:strRef>
              <c:f>Sheet1!$D$1</c:f>
              <c:strCache>
                <c:ptCount val="1"/>
                <c:pt idx="0">
                  <c:v> Employés occasionnels </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(N=1 054)</c:v>
                </c:pt>
                <c:pt idx="1">
                  <c:v> 2015 
(N=976) </c:v>
                </c:pt>
                <c:pt idx="2">
                  <c:v> 2016 
(N=1 119)</c:v>
                </c:pt>
                <c:pt idx="3">
                  <c:v> 2017 
(N=1 170) </c:v>
                </c:pt>
                <c:pt idx="4">
                  <c:v> 2018 
(N=1 218) </c:v>
                </c:pt>
                <c:pt idx="5">
                  <c:v> 2019
(N=1 334) </c:v>
                </c:pt>
              </c:strCache>
            </c:strRef>
          </c:cat>
          <c:val>
            <c:numRef>
              <c:f>Sheet1!$D$2:$D$7</c:f>
              <c:numCache>
                <c:formatCode>#\ ###</c:formatCode>
                <c:ptCount val="6"/>
                <c:pt idx="0">
                  <c:v>61</c:v>
                </c:pt>
                <c:pt idx="1">
                  <c:v>74</c:v>
                </c:pt>
                <c:pt idx="2">
                  <c:v>111</c:v>
                </c:pt>
                <c:pt idx="3">
                  <c:v>109</c:v>
                </c:pt>
                <c:pt idx="4">
                  <c:v>109</c:v>
                </c:pt>
                <c:pt idx="5">
                  <c:v>122</c:v>
                </c:pt>
              </c:numCache>
            </c:numRef>
          </c:val>
          <c:extLst>
            <c:ext xmlns:c16="http://schemas.microsoft.com/office/drawing/2014/chart" uri="{C3380CC4-5D6E-409C-BE32-E72D297353CC}">
              <c16:uniqueId val="{00000008-5001-41ED-9FF6-BCEB0FACE1FC}"/>
            </c:ext>
          </c:extLst>
        </c:ser>
        <c:ser>
          <c:idx val="3"/>
          <c:order val="3"/>
          <c:tx>
            <c:strRef>
              <c:f>Sheet1!$E$1</c:f>
              <c:strCache>
                <c:ptCount val="1"/>
                <c:pt idx="0">
                  <c:v> Étudiants </c:v>
                </c:pt>
              </c:strCache>
            </c:strRef>
          </c:tx>
          <c:spPr>
            <a:solidFill>
              <a:schemeClr val="accent4"/>
            </a:solidFill>
            <a:ln>
              <a:noFill/>
            </a:ln>
            <a:effectLst/>
          </c:spPr>
          <c:invertIfNegative val="0"/>
          <c:dLbls>
            <c:dLbl>
              <c:idx val="0"/>
              <c:layout>
                <c:manualLayout>
                  <c:x val="2.8239558760857657E-17"/>
                  <c:y val="-3.636363636363636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001-41ED-9FF6-BCEB0FACE1FC}"/>
                </c:ext>
              </c:extLst>
            </c:dLbl>
            <c:dLbl>
              <c:idx val="1"/>
              <c:layout>
                <c:manualLayout>
                  <c:x val="0"/>
                  <c:y val="-3.116883116883116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001-41ED-9FF6-BCEB0FACE1FC}"/>
                </c:ext>
              </c:extLst>
            </c:dLbl>
            <c:dLbl>
              <c:idx val="2"/>
              <c:layout>
                <c:manualLayout>
                  <c:x val="-5.6479117521715313E-17"/>
                  <c:y val="-4.155844155844157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001-41ED-9FF6-BCEB0FACE1FC}"/>
                </c:ext>
              </c:extLst>
            </c:dLbl>
            <c:dLbl>
              <c:idx val="3"/>
              <c:layout>
                <c:manualLayout>
                  <c:x val="0"/>
                  <c:y val="-3.63636363636364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001-41ED-9FF6-BCEB0FACE1FC}"/>
                </c:ext>
              </c:extLst>
            </c:dLbl>
            <c:dLbl>
              <c:idx val="4"/>
              <c:layout>
                <c:manualLayout>
                  <c:x val="0"/>
                  <c:y val="-3.636363636363636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001-41ED-9FF6-BCEB0FACE1FC}"/>
                </c:ext>
              </c:extLst>
            </c:dLbl>
            <c:dLbl>
              <c:idx val="5"/>
              <c:layout>
                <c:manualLayout>
                  <c:x val="-1.1295823504343063E-16"/>
                  <c:y val="-3.116883116883116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001-41ED-9FF6-BCEB0FACE1F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(N=1 054)</c:v>
                </c:pt>
                <c:pt idx="1">
                  <c:v> 2015 
(N=976) </c:v>
                </c:pt>
                <c:pt idx="2">
                  <c:v> 2016 
(N=1 119)</c:v>
                </c:pt>
                <c:pt idx="3">
                  <c:v> 2017 
(N=1 170) </c:v>
                </c:pt>
                <c:pt idx="4">
                  <c:v> 2018 
(N=1 218) </c:v>
                </c:pt>
                <c:pt idx="5">
                  <c:v> 2019
(N=1 334) </c:v>
                </c:pt>
              </c:strCache>
            </c:strRef>
          </c:cat>
          <c:val>
            <c:numRef>
              <c:f>Sheet1!$E$2:$E$7</c:f>
              <c:numCache>
                <c:formatCode>#\ ###</c:formatCode>
                <c:ptCount val="6"/>
                <c:pt idx="0">
                  <c:v>32</c:v>
                </c:pt>
                <c:pt idx="1">
                  <c:v>41</c:v>
                </c:pt>
                <c:pt idx="2">
                  <c:v>68</c:v>
                </c:pt>
                <c:pt idx="3">
                  <c:v>62</c:v>
                </c:pt>
                <c:pt idx="4">
                  <c:v>65</c:v>
                </c:pt>
                <c:pt idx="5">
                  <c:v>56</c:v>
                </c:pt>
              </c:numCache>
            </c:numRef>
          </c:val>
          <c:extLst>
            <c:ext xmlns:c16="http://schemas.microsoft.com/office/drawing/2014/chart" uri="{C3380CC4-5D6E-409C-BE32-E72D297353CC}">
              <c16:uniqueId val="{0000000F-5001-41ED-9FF6-BCEB0FACE1FC}"/>
            </c:ext>
          </c:extLst>
        </c:ser>
        <c:dLbls>
          <c:dLblPos val="ctr"/>
          <c:showLegendKey val="0"/>
          <c:showVal val="1"/>
          <c:showCatName val="0"/>
          <c:showSerName val="0"/>
          <c:showPercent val="0"/>
          <c:showBubbleSize val="0"/>
        </c:dLbls>
        <c:gapWidth val="150"/>
        <c:overlap val="100"/>
        <c:axId val="770085264"/>
        <c:axId val="770088400"/>
      </c:barChart>
      <c:catAx>
        <c:axId val="770085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70088400"/>
        <c:crosses val="autoZero"/>
        <c:auto val="1"/>
        <c:lblAlgn val="ctr"/>
        <c:lblOffset val="100"/>
        <c:noMultiLvlLbl val="0"/>
      </c:catAx>
      <c:valAx>
        <c:axId val="770088400"/>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70085264"/>
        <c:crosses val="autoZero"/>
        <c:crossBetween val="between"/>
      </c:valAx>
      <c:spPr>
        <a:noFill/>
        <a:ln>
          <a:noFill/>
        </a:ln>
        <a:effectLst/>
      </c:spPr>
    </c:plotArea>
    <c:legend>
      <c:legendPos val="b"/>
      <c:layout>
        <c:manualLayout>
          <c:xMode val="edge"/>
          <c:yMode val="edge"/>
          <c:x val="8.476318200528481E-3"/>
          <c:y val="0.882660272548206"/>
          <c:w val="0.9899400264680237"/>
          <c:h val="0.11733972745179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fr-FR" sz="1200" b="1"/>
              <a:t>Embauches dans le cadre de programmes pour étudiants</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3588966676906661"/>
          <c:y val="0.12358035061426992"/>
          <c:w val="0.81893579524325377"/>
          <c:h val="0.59127513128395404"/>
        </c:manualLayout>
      </c:layout>
      <c:barChart>
        <c:barDir val="col"/>
        <c:grouping val="stacked"/>
        <c:varyColors val="0"/>
        <c:ser>
          <c:idx val="0"/>
          <c:order val="0"/>
          <c:tx>
            <c:strRef>
              <c:f>Sheet1!$B$1</c:f>
              <c:strCache>
                <c:ptCount val="1"/>
                <c:pt idx="0">
                  <c:v>Programme fédéral d'expérience de travail étudiant (PFETE)</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(N=82)</c:v>
                </c:pt>
                <c:pt idx="1">
                  <c:v>2015-2016
 (N=142)</c:v>
                </c:pt>
                <c:pt idx="2">
                  <c:v>2016-2017 
(N=115)</c:v>
                </c:pt>
                <c:pt idx="3">
                  <c:v>2017-2018
(N=107)</c:v>
                </c:pt>
                <c:pt idx="4">
                  <c:v>2018-2019
(N=109)</c:v>
                </c:pt>
              </c:strCache>
            </c:strRef>
          </c:cat>
          <c:val>
            <c:numRef>
              <c:f>Sheet1!$B$2:$B$6</c:f>
              <c:numCache>
                <c:formatCode>General</c:formatCode>
                <c:ptCount val="5"/>
                <c:pt idx="0">
                  <c:v>47</c:v>
                </c:pt>
                <c:pt idx="1">
                  <c:v>106</c:v>
                </c:pt>
                <c:pt idx="2">
                  <c:v>70</c:v>
                </c:pt>
                <c:pt idx="3">
                  <c:v>55</c:v>
                </c:pt>
                <c:pt idx="4">
                  <c:v>69</c:v>
                </c:pt>
              </c:numCache>
            </c:numRef>
          </c:val>
          <c:extLst>
            <c:ext xmlns:c16="http://schemas.microsoft.com/office/drawing/2014/chart" uri="{C3380CC4-5D6E-409C-BE32-E72D297353CC}">
              <c16:uniqueId val="{00000000-ABB4-4859-811A-E8E2351E9051}"/>
            </c:ext>
          </c:extLst>
        </c:ser>
        <c:ser>
          <c:idx val="1"/>
          <c:order val="1"/>
          <c:tx>
            <c:strRef>
              <c:f>Sheet1!$C$1</c:f>
              <c:strCache>
                <c:ptCount val="1"/>
                <c:pt idx="0">
                  <c:v>Programme postsecondaire d'enseignement coopératif/de stages (COOP)</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(N=82)</c:v>
                </c:pt>
                <c:pt idx="1">
                  <c:v>2015-2016
 (N=142)</c:v>
                </c:pt>
                <c:pt idx="2">
                  <c:v>2016-2017 
(N=115)</c:v>
                </c:pt>
                <c:pt idx="3">
                  <c:v>2017-2018
(N=107)</c:v>
                </c:pt>
                <c:pt idx="4">
                  <c:v>2018-2019
(N=109)</c:v>
                </c:pt>
              </c:strCache>
            </c:strRef>
          </c:cat>
          <c:val>
            <c:numRef>
              <c:f>Sheet1!$C$2:$C$6</c:f>
              <c:numCache>
                <c:formatCode>General</c:formatCode>
                <c:ptCount val="5"/>
                <c:pt idx="0">
                  <c:v>32</c:v>
                </c:pt>
                <c:pt idx="1">
                  <c:v>36</c:v>
                </c:pt>
                <c:pt idx="2">
                  <c:v>45</c:v>
                </c:pt>
                <c:pt idx="3">
                  <c:v>52</c:v>
                </c:pt>
                <c:pt idx="4">
                  <c:v>40</c:v>
                </c:pt>
              </c:numCache>
            </c:numRef>
          </c:val>
          <c:extLst>
            <c:ext xmlns:c16="http://schemas.microsoft.com/office/drawing/2014/chart" uri="{C3380CC4-5D6E-409C-BE32-E72D297353CC}">
              <c16:uniqueId val="{00000001-ABB4-4859-811A-E8E2351E9051}"/>
            </c:ext>
          </c:extLst>
        </c:ser>
        <c:ser>
          <c:idx val="2"/>
          <c:order val="2"/>
          <c:tx>
            <c:strRef>
              <c:f>Sheet1!$D$1</c:f>
              <c:strCache>
                <c:ptCount val="1"/>
                <c:pt idx="0">
                  <c:v>Programme des adjoints de recherche (PAR)</c:v>
                </c:pt>
              </c:strCache>
            </c:strRef>
          </c:tx>
          <c:spPr>
            <a:solidFill>
              <a:schemeClr val="accent3"/>
            </a:solidFill>
            <a:ln>
              <a:noFill/>
            </a:ln>
            <a:effectLst/>
          </c:spPr>
          <c:invertIfNegative val="0"/>
          <c:dLbls>
            <c:dLbl>
              <c:idx val="0"/>
              <c:layout>
                <c:manualLayout>
                  <c:x val="-4.1067761806981521E-3"/>
                  <c:y val="-3.837298541826553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BB4-4859-811A-E8E2351E9051}"/>
                </c:ext>
              </c:extLst>
            </c:dLbl>
            <c:dLbl>
              <c:idx val="1"/>
              <c:delete val="1"/>
              <c:extLst>
                <c:ext xmlns:c15="http://schemas.microsoft.com/office/drawing/2012/chart" uri="{CE6537A1-D6FC-4f65-9D91-7224C49458BB}"/>
                <c:ext xmlns:c16="http://schemas.microsoft.com/office/drawing/2014/chart" uri="{C3380CC4-5D6E-409C-BE32-E72D297353CC}">
                  <c16:uniqueId val="{00000003-ABB4-4859-811A-E8E2351E9051}"/>
                </c:ext>
              </c:extLst>
            </c:dLbl>
            <c:dLbl>
              <c:idx val="2"/>
              <c:delete val="1"/>
              <c:extLst>
                <c:ext xmlns:c15="http://schemas.microsoft.com/office/drawing/2012/chart" uri="{CE6537A1-D6FC-4f65-9D91-7224C49458BB}"/>
                <c:ext xmlns:c16="http://schemas.microsoft.com/office/drawing/2014/chart" uri="{C3380CC4-5D6E-409C-BE32-E72D297353CC}">
                  <c16:uniqueId val="{00000004-ABB4-4859-811A-E8E2351E9051}"/>
                </c:ext>
              </c:extLst>
            </c:dLbl>
            <c:dLbl>
              <c:idx val="3"/>
              <c:delete val="1"/>
              <c:extLst>
                <c:ext xmlns:c15="http://schemas.microsoft.com/office/drawing/2012/chart" uri="{CE6537A1-D6FC-4f65-9D91-7224C49458BB}"/>
                <c:ext xmlns:c16="http://schemas.microsoft.com/office/drawing/2014/chart" uri="{C3380CC4-5D6E-409C-BE32-E72D297353CC}">
                  <c16:uniqueId val="{00000005-ABB4-4859-811A-E8E2351E9051}"/>
                </c:ext>
              </c:extLst>
            </c:dLbl>
            <c:dLbl>
              <c:idx val="4"/>
              <c:delete val="1"/>
              <c:extLst>
                <c:ext xmlns:c15="http://schemas.microsoft.com/office/drawing/2012/chart" uri="{CE6537A1-D6FC-4f65-9D91-7224C49458BB}"/>
                <c:ext xmlns:c16="http://schemas.microsoft.com/office/drawing/2014/chart" uri="{C3380CC4-5D6E-409C-BE32-E72D297353CC}">
                  <c16:uniqueId val="{00000006-ABB4-4859-811A-E8E2351E905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(N=82)</c:v>
                </c:pt>
                <c:pt idx="1">
                  <c:v>2015-2016
 (N=142)</c:v>
                </c:pt>
                <c:pt idx="2">
                  <c:v>2016-2017 
(N=115)</c:v>
                </c:pt>
                <c:pt idx="3">
                  <c:v>2017-2018
(N=107)</c:v>
                </c:pt>
                <c:pt idx="4">
                  <c:v>2018-2019
(N=109)</c:v>
                </c:pt>
              </c:strCache>
            </c:strRef>
          </c:cat>
          <c:val>
            <c:numRef>
              <c:f>Sheet1!$D$2:$D$6</c:f>
              <c:numCache>
                <c:formatCode>General</c:formatCode>
                <c:ptCount val="5"/>
                <c:pt idx="0">
                  <c:v>3</c:v>
                </c:pt>
                <c:pt idx="1">
                  <c:v>0</c:v>
                </c:pt>
                <c:pt idx="2">
                  <c:v>0</c:v>
                </c:pt>
                <c:pt idx="3">
                  <c:v>0</c:v>
                </c:pt>
                <c:pt idx="4">
                  <c:v>0</c:v>
                </c:pt>
              </c:numCache>
            </c:numRef>
          </c:val>
          <c:extLst>
            <c:ext xmlns:c16="http://schemas.microsoft.com/office/drawing/2014/chart" uri="{C3380CC4-5D6E-409C-BE32-E72D297353CC}">
              <c16:uniqueId val="{00000007-ABB4-4859-811A-E8E2351E9051}"/>
            </c:ext>
          </c:extLst>
        </c:ser>
        <c:dLbls>
          <c:dLblPos val="ctr"/>
          <c:showLegendKey val="0"/>
          <c:showVal val="1"/>
          <c:showCatName val="0"/>
          <c:showSerName val="0"/>
          <c:showPercent val="0"/>
          <c:showBubbleSize val="0"/>
        </c:dLbls>
        <c:gapWidth val="150"/>
        <c:overlap val="100"/>
        <c:axId val="741280888"/>
        <c:axId val="741281280"/>
      </c:barChart>
      <c:catAx>
        <c:axId val="741280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41281280"/>
        <c:crosses val="autoZero"/>
        <c:auto val="1"/>
        <c:lblAlgn val="ctr"/>
        <c:lblOffset val="100"/>
        <c:noMultiLvlLbl val="0"/>
      </c:catAx>
      <c:valAx>
        <c:axId val="74128128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41280888"/>
        <c:crosses val="autoZero"/>
        <c:crossBetween val="between"/>
      </c:valAx>
      <c:spPr>
        <a:noFill/>
        <a:ln>
          <a:noFill/>
        </a:ln>
        <a:effectLst/>
      </c:spPr>
    </c:plotArea>
    <c:legend>
      <c:legendPos val="b"/>
      <c:layout>
        <c:manualLayout>
          <c:xMode val="edge"/>
          <c:yMode val="edge"/>
          <c:x val="4.2890265000242525E-2"/>
          <c:y val="0.83451514071101818"/>
          <c:w val="0.86904460864363209"/>
          <c:h val="0.1386237694961959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fr-FR" sz="1200"/>
              <a:t>Activités d’embauche à l’externe - employés nommés pour une période déterminée/indéterminée : programme de recrutement post-secondaire et embauche d’anciens étudiants</a:t>
            </a:r>
          </a:p>
        </c:rich>
      </c:tx>
      <c:layout>
        <c:manualLayout>
          <c:xMode val="edge"/>
          <c:yMode val="edge"/>
          <c:x val="0.10631368850481433"/>
          <c:y val="8.5415332052103353E-3"/>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7963032789915352E-2"/>
          <c:y val="0.19540249333760371"/>
          <c:w val="0.90621744112971792"/>
          <c:h val="0.52825822904140041"/>
        </c:manualLayout>
      </c:layout>
      <c:bar3DChart>
        <c:barDir val="col"/>
        <c:grouping val="clustered"/>
        <c:varyColors val="0"/>
        <c:ser>
          <c:idx val="0"/>
          <c:order val="0"/>
          <c:tx>
            <c:strRef>
              <c:f>Sheet1!$B$1</c:f>
              <c:strCache>
                <c:ptCount val="1"/>
                <c:pt idx="0">
                  <c:v>Recrutement postsecondaire (RP)</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1.1142061281337047E-2"/>
                  <c:y val="1.15118956254795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F7C-4D57-8D7A-5CA952D71E62}"/>
                </c:ext>
              </c:extLst>
            </c:dLbl>
            <c:dLbl>
              <c:idx val="1"/>
              <c:layout>
                <c:manualLayout>
                  <c:x val="-1.1142061281337047E-2"/>
                  <c:y val="1.15118956254795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F7C-4D57-8D7A-5CA952D71E62}"/>
                </c:ext>
              </c:extLst>
            </c:dLbl>
            <c:dLbl>
              <c:idx val="2"/>
              <c:layout>
                <c:manualLayout>
                  <c:x val="-1.1142061281337047E-2"/>
                  <c:y val="7.674597083653037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F7C-4D57-8D7A-5CA952D71E62}"/>
                </c:ext>
              </c:extLst>
            </c:dLbl>
            <c:dLbl>
              <c:idx val="3"/>
              <c:layout>
                <c:manualLayout>
                  <c:x val="-7.4280408542248344E-3"/>
                  <c:y val="7.674597083653178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F7C-4D57-8D7A-5CA952D71E62}"/>
                </c:ext>
              </c:extLst>
            </c:dLbl>
            <c:dLbl>
              <c:idx val="4"/>
              <c:layout>
                <c:manualLayout>
                  <c:x val="-7.4280408542248344E-3"/>
                  <c:y val="1.15118956254795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F7C-4D57-8D7A-5CA952D71E6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c:v>
                </c:pt>
                <c:pt idx="1">
                  <c:v>2015-2016</c:v>
                </c:pt>
                <c:pt idx="2">
                  <c:v>2016-2017</c:v>
                </c:pt>
                <c:pt idx="3">
                  <c:v>2017-2018</c:v>
                </c:pt>
                <c:pt idx="4">
                  <c:v>2018-2019</c:v>
                </c:pt>
              </c:strCache>
            </c:strRef>
          </c:cat>
          <c:val>
            <c:numRef>
              <c:f>Sheet1!$B$2:$B$6</c:f>
              <c:numCache>
                <c:formatCode>_-* #\ ##0_-;\-* #\ ##0_-;_-* "-"??_-;_-@_-</c:formatCode>
                <c:ptCount val="5"/>
                <c:pt idx="0">
                  <c:v>2</c:v>
                </c:pt>
                <c:pt idx="1">
                  <c:v>12</c:v>
                </c:pt>
                <c:pt idx="2">
                  <c:v>5</c:v>
                </c:pt>
                <c:pt idx="3">
                  <c:v>2</c:v>
                </c:pt>
                <c:pt idx="4">
                  <c:v>7</c:v>
                </c:pt>
              </c:numCache>
            </c:numRef>
          </c:val>
          <c:extLst>
            <c:ext xmlns:c16="http://schemas.microsoft.com/office/drawing/2014/chart" uri="{C3380CC4-5D6E-409C-BE32-E72D297353CC}">
              <c16:uniqueId val="{00000005-2F7C-4D57-8D7A-5CA952D71E62}"/>
            </c:ext>
          </c:extLst>
        </c:ser>
        <c:ser>
          <c:idx val="1"/>
          <c:order val="1"/>
          <c:tx>
            <c:strRef>
              <c:f>Sheet1!$C$1</c:f>
              <c:strCache>
                <c:ptCount val="1"/>
                <c:pt idx="0">
                  <c:v>Embauche d'anciens étudiants*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c:v>
                </c:pt>
                <c:pt idx="1">
                  <c:v>2015-2016</c:v>
                </c:pt>
                <c:pt idx="2">
                  <c:v>2016-2017</c:v>
                </c:pt>
                <c:pt idx="3">
                  <c:v>2017-2018</c:v>
                </c:pt>
                <c:pt idx="4">
                  <c:v>2018-2019</c:v>
                </c:pt>
              </c:strCache>
            </c:strRef>
          </c:cat>
          <c:val>
            <c:numRef>
              <c:f>Sheet1!$C$2:$C$6</c:f>
              <c:numCache>
                <c:formatCode>_-* #\ ##0_-;\-* #\ ##0_-;_-* "-"??_-;_-@_-</c:formatCode>
                <c:ptCount val="5"/>
                <c:pt idx="0">
                  <c:v>15</c:v>
                </c:pt>
                <c:pt idx="1">
                  <c:v>36</c:v>
                </c:pt>
                <c:pt idx="2">
                  <c:v>53</c:v>
                </c:pt>
                <c:pt idx="3">
                  <c:v>42</c:v>
                </c:pt>
                <c:pt idx="4">
                  <c:v>52</c:v>
                </c:pt>
              </c:numCache>
            </c:numRef>
          </c:val>
          <c:extLst>
            <c:ext xmlns:c16="http://schemas.microsoft.com/office/drawing/2014/chart" uri="{C3380CC4-5D6E-409C-BE32-E72D297353CC}">
              <c16:uniqueId val="{00000006-2F7C-4D57-8D7A-5CA952D71E62}"/>
            </c:ext>
          </c:extLst>
        </c:ser>
        <c:dLbls>
          <c:showLegendKey val="0"/>
          <c:showVal val="1"/>
          <c:showCatName val="0"/>
          <c:showSerName val="0"/>
          <c:showPercent val="0"/>
          <c:showBubbleSize val="0"/>
        </c:dLbls>
        <c:gapWidth val="150"/>
        <c:shape val="box"/>
        <c:axId val="741243720"/>
        <c:axId val="741242936"/>
        <c:axId val="0"/>
      </c:bar3DChart>
      <c:catAx>
        <c:axId val="74124372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741242936"/>
        <c:crosses val="autoZero"/>
        <c:auto val="1"/>
        <c:lblAlgn val="ctr"/>
        <c:lblOffset val="100"/>
        <c:noMultiLvlLbl val="0"/>
      </c:catAx>
      <c:valAx>
        <c:axId val="741242936"/>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41243720"/>
        <c:crosses val="autoZero"/>
        <c:crossBetween val="between"/>
        <c:minorUnit val="1"/>
      </c:valAx>
      <c:spPr>
        <a:noFill/>
        <a:ln>
          <a:noFill/>
        </a:ln>
        <a:effectLst/>
      </c:spPr>
    </c:plotArea>
    <c:legend>
      <c:legendPos val="r"/>
      <c:layout>
        <c:manualLayout>
          <c:xMode val="edge"/>
          <c:yMode val="edge"/>
          <c:x val="2.8456707535513492E-2"/>
          <c:y val="0.7903145980505315"/>
          <c:w val="0.94572119989179626"/>
          <c:h val="9.03746253592075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fr-FR" sz="1200"/>
              <a:t>Durée de processus de dotation interne</a:t>
            </a:r>
          </a:p>
          <a:p>
            <a:pPr>
              <a:defRPr sz="1200"/>
            </a:pPr>
            <a:r>
              <a:rPr lang="fr-FR" sz="1200"/>
              <a:t>Médiane dans la fonction publique = 176 jours</a:t>
            </a:r>
          </a:p>
          <a:p>
            <a:pPr>
              <a:defRPr sz="1200"/>
            </a:pPr>
            <a:r>
              <a:rPr lang="fr-FR" sz="1200"/>
              <a:t> 2018-2019</a:t>
            </a:r>
          </a:p>
        </c:rich>
      </c:tx>
      <c:layout>
        <c:manualLayout>
          <c:xMode val="edge"/>
          <c:yMode val="edge"/>
          <c:x val="0.23001721749368176"/>
          <c:y val="3.6183406672166394E-3"/>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60475395121065"/>
          <c:y val="0.21433521840697753"/>
          <c:w val="0.85778504959607327"/>
          <c:h val="0.53656772284907683"/>
        </c:manualLayout>
      </c:layout>
      <c:barChart>
        <c:barDir val="col"/>
        <c:grouping val="stacked"/>
        <c:varyColors val="0"/>
        <c:ser>
          <c:idx val="0"/>
          <c:order val="0"/>
          <c:tx>
            <c:strRef>
              <c:f>Sheet1!$B$1</c:f>
              <c:strCache>
                <c:ptCount val="1"/>
                <c:pt idx="0">
                  <c:v>Duration in Calendar Days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Sheet1!$A$2:$A$35</c:f>
              <c:strCache>
                <c:ptCount val="34"/>
                <c:pt idx="0">
                  <c:v>0-29</c:v>
                </c:pt>
                <c:pt idx="1">
                  <c:v>30-59</c:v>
                </c:pt>
                <c:pt idx="2">
                  <c:v>60-89</c:v>
                </c:pt>
                <c:pt idx="3">
                  <c:v>90-119</c:v>
                </c:pt>
                <c:pt idx="4">
                  <c:v>120-149</c:v>
                </c:pt>
                <c:pt idx="5">
                  <c:v>150-179</c:v>
                </c:pt>
                <c:pt idx="6">
                  <c:v>180-209</c:v>
                </c:pt>
                <c:pt idx="7">
                  <c:v>210-239</c:v>
                </c:pt>
                <c:pt idx="8">
                  <c:v>240-269</c:v>
                </c:pt>
                <c:pt idx="9">
                  <c:v>270-299</c:v>
                </c:pt>
                <c:pt idx="10">
                  <c:v>300-329</c:v>
                </c:pt>
                <c:pt idx="11">
                  <c:v>330-359</c:v>
                </c:pt>
                <c:pt idx="12">
                  <c:v>360-389</c:v>
                </c:pt>
                <c:pt idx="13">
                  <c:v>390-419</c:v>
                </c:pt>
                <c:pt idx="14">
                  <c:v>420-449</c:v>
                </c:pt>
                <c:pt idx="15">
                  <c:v>450-479</c:v>
                </c:pt>
                <c:pt idx="16">
                  <c:v>480-509</c:v>
                </c:pt>
                <c:pt idx="17">
                  <c:v>510-539</c:v>
                </c:pt>
                <c:pt idx="18">
                  <c:v>540-569</c:v>
                </c:pt>
                <c:pt idx="19">
                  <c:v>570-599</c:v>
                </c:pt>
                <c:pt idx="20">
                  <c:v>600-629</c:v>
                </c:pt>
                <c:pt idx="21">
                  <c:v>630-659</c:v>
                </c:pt>
                <c:pt idx="22">
                  <c:v>660-689</c:v>
                </c:pt>
                <c:pt idx="23">
                  <c:v>690-719</c:v>
                </c:pt>
                <c:pt idx="24">
                  <c:v>720-749</c:v>
                </c:pt>
                <c:pt idx="25">
                  <c:v>750-779</c:v>
                </c:pt>
                <c:pt idx="26">
                  <c:v>780-809</c:v>
                </c:pt>
                <c:pt idx="27">
                  <c:v>810-839</c:v>
                </c:pt>
                <c:pt idx="28">
                  <c:v>840-869</c:v>
                </c:pt>
                <c:pt idx="29">
                  <c:v>870-899</c:v>
                </c:pt>
                <c:pt idx="30">
                  <c:v>900-929</c:v>
                </c:pt>
                <c:pt idx="31">
                  <c:v>930-959</c:v>
                </c:pt>
                <c:pt idx="32">
                  <c:v>960-989</c:v>
                </c:pt>
                <c:pt idx="33">
                  <c:v>&gt;990</c:v>
                </c:pt>
              </c:strCache>
            </c:strRef>
          </c:cat>
          <c:val>
            <c:numRef>
              <c:f>Sheet1!$B$2:$B$35</c:f>
              <c:numCache>
                <c:formatCode>General</c:formatCode>
                <c:ptCount val="34"/>
                <c:pt idx="0">
                  <c:v>15</c:v>
                </c:pt>
                <c:pt idx="1">
                  <c:v>130</c:v>
                </c:pt>
                <c:pt idx="2">
                  <c:v>277</c:v>
                </c:pt>
                <c:pt idx="3">
                  <c:v>391</c:v>
                </c:pt>
                <c:pt idx="4">
                  <c:v>367</c:v>
                </c:pt>
                <c:pt idx="5">
                  <c:v>322</c:v>
                </c:pt>
                <c:pt idx="6">
                  <c:v>278</c:v>
                </c:pt>
                <c:pt idx="7">
                  <c:v>241</c:v>
                </c:pt>
                <c:pt idx="8">
                  <c:v>165</c:v>
                </c:pt>
                <c:pt idx="9">
                  <c:v>134</c:v>
                </c:pt>
                <c:pt idx="10">
                  <c:v>107</c:v>
                </c:pt>
                <c:pt idx="11">
                  <c:v>77</c:v>
                </c:pt>
                <c:pt idx="12">
                  <c:v>61</c:v>
                </c:pt>
                <c:pt idx="13">
                  <c:v>53</c:v>
                </c:pt>
                <c:pt idx="14">
                  <c:v>51</c:v>
                </c:pt>
                <c:pt idx="15">
                  <c:v>42</c:v>
                </c:pt>
                <c:pt idx="16">
                  <c:v>40</c:v>
                </c:pt>
                <c:pt idx="17">
                  <c:v>32</c:v>
                </c:pt>
                <c:pt idx="18">
                  <c:v>24</c:v>
                </c:pt>
                <c:pt idx="19">
                  <c:v>21</c:v>
                </c:pt>
                <c:pt idx="20">
                  <c:v>11</c:v>
                </c:pt>
                <c:pt idx="21">
                  <c:v>19</c:v>
                </c:pt>
                <c:pt idx="22">
                  <c:v>3</c:v>
                </c:pt>
                <c:pt idx="23">
                  <c:v>13</c:v>
                </c:pt>
                <c:pt idx="24">
                  <c:v>6</c:v>
                </c:pt>
                <c:pt idx="25">
                  <c:v>5</c:v>
                </c:pt>
                <c:pt idx="26">
                  <c:v>8</c:v>
                </c:pt>
                <c:pt idx="27">
                  <c:v>4</c:v>
                </c:pt>
                <c:pt idx="28">
                  <c:v>10</c:v>
                </c:pt>
                <c:pt idx="29">
                  <c:v>4</c:v>
                </c:pt>
                <c:pt idx="30">
                  <c:v>5</c:v>
                </c:pt>
                <c:pt idx="31">
                  <c:v>5</c:v>
                </c:pt>
                <c:pt idx="32">
                  <c:v>3</c:v>
                </c:pt>
                <c:pt idx="33">
                  <c:v>23</c:v>
                </c:pt>
              </c:numCache>
            </c:numRef>
          </c:val>
          <c:extLst>
            <c:ext xmlns:c16="http://schemas.microsoft.com/office/drawing/2014/chart" uri="{C3380CC4-5D6E-409C-BE32-E72D297353CC}">
              <c16:uniqueId val="{00000000-1BBB-4398-94D9-334D3F7B2B37}"/>
            </c:ext>
          </c:extLst>
        </c:ser>
        <c:dLbls>
          <c:showLegendKey val="0"/>
          <c:showVal val="0"/>
          <c:showCatName val="0"/>
          <c:showSerName val="0"/>
          <c:showPercent val="0"/>
          <c:showBubbleSize val="0"/>
        </c:dLbls>
        <c:gapWidth val="150"/>
        <c:overlap val="100"/>
        <c:axId val="741240584"/>
        <c:axId val="418453744"/>
      </c:barChart>
      <c:catAx>
        <c:axId val="741240584"/>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fr-FR"/>
                  <a:t>Jours civils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18453744"/>
        <c:crosses val="autoZero"/>
        <c:auto val="1"/>
        <c:lblAlgn val="ctr"/>
        <c:lblOffset val="100"/>
        <c:noMultiLvlLbl val="0"/>
      </c:catAx>
      <c:valAx>
        <c:axId val="418453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fr-FR"/>
                  <a:t>Fréquence</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41240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fr-FR" sz="1200"/>
              <a:t>Durée de processus de dotation à interne</a:t>
            </a:r>
          </a:p>
          <a:p>
            <a:pPr>
              <a:defRPr sz="1200"/>
            </a:pPr>
            <a:r>
              <a:rPr lang="fr-FR" sz="1200"/>
              <a:t>Sécurité publique Canada = 170 jours</a:t>
            </a:r>
          </a:p>
          <a:p>
            <a:pPr>
              <a:defRPr sz="1200"/>
            </a:pPr>
            <a:r>
              <a:rPr lang="fr-FR" sz="1200"/>
              <a:t> 2018-2019</a:t>
            </a:r>
          </a:p>
        </c:rich>
      </c:tx>
      <c:layout>
        <c:manualLayout>
          <c:xMode val="edge"/>
          <c:yMode val="edge"/>
          <c:x val="0.28914862914862915"/>
          <c:y val="3.6182590578239574E-3"/>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60475395121065"/>
          <c:y val="0.21433521840697753"/>
          <c:w val="0.85778504959607327"/>
          <c:h val="0.53656772284907683"/>
        </c:manualLayout>
      </c:layout>
      <c:barChart>
        <c:barDir val="col"/>
        <c:grouping val="stacked"/>
        <c:varyColors val="0"/>
        <c:ser>
          <c:idx val="0"/>
          <c:order val="0"/>
          <c:tx>
            <c:strRef>
              <c:f>Sheet1!$B$1</c:f>
              <c:strCache>
                <c:ptCount val="1"/>
                <c:pt idx="0">
                  <c:v>Duration in Calendar Days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Sheet1!$A$2:$A$35</c:f>
              <c:strCache>
                <c:ptCount val="34"/>
                <c:pt idx="0">
                  <c:v>0-29</c:v>
                </c:pt>
                <c:pt idx="1">
                  <c:v>30-59</c:v>
                </c:pt>
                <c:pt idx="2">
                  <c:v>60-89</c:v>
                </c:pt>
                <c:pt idx="3">
                  <c:v>90-119</c:v>
                </c:pt>
                <c:pt idx="4">
                  <c:v>120-149</c:v>
                </c:pt>
                <c:pt idx="5">
                  <c:v>150-179</c:v>
                </c:pt>
                <c:pt idx="6">
                  <c:v>180-209</c:v>
                </c:pt>
                <c:pt idx="7">
                  <c:v>210-239</c:v>
                </c:pt>
                <c:pt idx="8">
                  <c:v>240-269</c:v>
                </c:pt>
                <c:pt idx="9">
                  <c:v>270-299</c:v>
                </c:pt>
                <c:pt idx="10">
                  <c:v>300-329</c:v>
                </c:pt>
                <c:pt idx="11">
                  <c:v>330-359</c:v>
                </c:pt>
                <c:pt idx="12">
                  <c:v>360-389</c:v>
                </c:pt>
                <c:pt idx="13">
                  <c:v>390-419</c:v>
                </c:pt>
                <c:pt idx="14">
                  <c:v>420-449</c:v>
                </c:pt>
                <c:pt idx="15">
                  <c:v>450-479</c:v>
                </c:pt>
                <c:pt idx="16">
                  <c:v>480-509</c:v>
                </c:pt>
                <c:pt idx="17">
                  <c:v>510-539</c:v>
                </c:pt>
                <c:pt idx="18">
                  <c:v>540-569</c:v>
                </c:pt>
                <c:pt idx="19">
                  <c:v>570-599</c:v>
                </c:pt>
                <c:pt idx="20">
                  <c:v>600-629</c:v>
                </c:pt>
                <c:pt idx="21">
                  <c:v>630-659</c:v>
                </c:pt>
                <c:pt idx="22">
                  <c:v>660-689</c:v>
                </c:pt>
                <c:pt idx="23">
                  <c:v>690-719</c:v>
                </c:pt>
                <c:pt idx="24">
                  <c:v>720-749</c:v>
                </c:pt>
                <c:pt idx="25">
                  <c:v>750-779</c:v>
                </c:pt>
                <c:pt idx="26">
                  <c:v>780-809</c:v>
                </c:pt>
                <c:pt idx="27">
                  <c:v>810-839</c:v>
                </c:pt>
                <c:pt idx="28">
                  <c:v>840-869</c:v>
                </c:pt>
                <c:pt idx="29">
                  <c:v>870-899</c:v>
                </c:pt>
                <c:pt idx="30">
                  <c:v>900-929</c:v>
                </c:pt>
                <c:pt idx="31">
                  <c:v>930-959</c:v>
                </c:pt>
                <c:pt idx="32">
                  <c:v>960-989</c:v>
                </c:pt>
                <c:pt idx="33">
                  <c:v>&gt;990</c:v>
                </c:pt>
              </c:strCache>
            </c:strRef>
          </c:cat>
          <c:val>
            <c:numRef>
              <c:f>Sheet1!$B$2:$B$35</c:f>
              <c:numCache>
                <c:formatCode>General</c:formatCode>
                <c:ptCount val="34"/>
                <c:pt idx="2">
                  <c:v>1</c:v>
                </c:pt>
                <c:pt idx="3" formatCode="_-* #,##0_-;\-* #,##0_-;_-* &quot;-&quot;??_-;_-@_-">
                  <c:v>4</c:v>
                </c:pt>
                <c:pt idx="4" formatCode="_-* #,##0_-;\-* #,##0_-;_-* &quot;-&quot;??_-;_-@_-">
                  <c:v>5</c:v>
                </c:pt>
                <c:pt idx="5" formatCode="_-* #,##0_-;\-* #,##0_-;_-* &quot;-&quot;??_-;_-@_-">
                  <c:v>3</c:v>
                </c:pt>
                <c:pt idx="6" formatCode="_-* #,##0_-;\-* #,##0_-;_-* &quot;-&quot;??_-;_-@_-">
                  <c:v>1</c:v>
                </c:pt>
                <c:pt idx="7" formatCode="_-* #,##0_-;\-* #,##0_-;_-* &quot;-&quot;??_-;_-@_-">
                  <c:v>2</c:v>
                </c:pt>
                <c:pt idx="8" formatCode="_-* #,##0_-;\-* #,##0_-;_-* &quot;-&quot;??_-;_-@_-">
                  <c:v>3</c:v>
                </c:pt>
                <c:pt idx="9" formatCode="_-* #,##0_-;\-* #,##0_-;_-* &quot;-&quot;??_-;_-@_-">
                  <c:v>1</c:v>
                </c:pt>
                <c:pt idx="10" formatCode="_-* #,##0_-;\-* #,##0_-;_-* &quot;-&quot;??_-;_-@_-">
                  <c:v>1</c:v>
                </c:pt>
                <c:pt idx="13" formatCode="_-* #,##0_-;\-* #,##0_-;_-* &quot;-&quot;??_-;_-@_-">
                  <c:v>1</c:v>
                </c:pt>
                <c:pt idx="17" formatCode="_-* #,##0_-;\-* #,##0_-;_-* &quot;-&quot;??_-;_-@_-">
                  <c:v>1</c:v>
                </c:pt>
              </c:numCache>
            </c:numRef>
          </c:val>
          <c:extLst>
            <c:ext xmlns:c16="http://schemas.microsoft.com/office/drawing/2014/chart" uri="{C3380CC4-5D6E-409C-BE32-E72D297353CC}">
              <c16:uniqueId val="{00000000-A229-4732-8DFB-380DABFFFF36}"/>
            </c:ext>
          </c:extLst>
        </c:ser>
        <c:dLbls>
          <c:showLegendKey val="0"/>
          <c:showVal val="0"/>
          <c:showCatName val="0"/>
          <c:showSerName val="0"/>
          <c:showPercent val="0"/>
          <c:showBubbleSize val="0"/>
        </c:dLbls>
        <c:gapWidth val="150"/>
        <c:overlap val="100"/>
        <c:axId val="418455312"/>
        <c:axId val="418456488"/>
      </c:barChart>
      <c:catAx>
        <c:axId val="418455312"/>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fr-FR"/>
                  <a:t>Jours civils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18456488"/>
        <c:crosses val="autoZero"/>
        <c:auto val="1"/>
        <c:lblAlgn val="ctr"/>
        <c:lblOffset val="100"/>
        <c:noMultiLvlLbl val="0"/>
      </c:catAx>
      <c:valAx>
        <c:axId val="4184564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fr-FR"/>
                  <a:t>Fréquence</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18455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t>Durée de dotation externe</a:t>
            </a:r>
          </a:p>
          <a:p>
            <a:pPr>
              <a:defRPr sz="1200"/>
            </a:pPr>
            <a:r>
              <a:rPr lang="en-CA" sz="1200"/>
              <a:t>Médiane pour la fonction publique = 186 jours</a:t>
            </a:r>
          </a:p>
          <a:p>
            <a:pPr>
              <a:defRPr sz="1200"/>
            </a:pPr>
            <a:r>
              <a:rPr lang="en-CA" sz="1200"/>
              <a:t> 2018-2019</a:t>
            </a:r>
          </a:p>
        </c:rich>
      </c:tx>
      <c:layout>
        <c:manualLayout>
          <c:xMode val="edge"/>
          <c:yMode val="edge"/>
          <c:x val="0.25163059163059165"/>
          <c:y val="1.2782062036059926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60475395121065"/>
          <c:y val="0.21433521840697753"/>
          <c:w val="0.85778504959607327"/>
          <c:h val="0.53656772284907683"/>
        </c:manualLayout>
      </c:layout>
      <c:barChart>
        <c:barDir val="col"/>
        <c:grouping val="stacked"/>
        <c:varyColors val="0"/>
        <c:ser>
          <c:idx val="0"/>
          <c:order val="0"/>
          <c:tx>
            <c:strRef>
              <c:f>Sheet1!$B$1</c:f>
              <c:strCache>
                <c:ptCount val="1"/>
                <c:pt idx="0">
                  <c:v>Duration in Calendar Days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Sheet1!$A$2:$A$35</c:f>
              <c:strCache>
                <c:ptCount val="34"/>
                <c:pt idx="0">
                  <c:v>0-29</c:v>
                </c:pt>
                <c:pt idx="1">
                  <c:v>30-59</c:v>
                </c:pt>
                <c:pt idx="2">
                  <c:v>60-89</c:v>
                </c:pt>
                <c:pt idx="3">
                  <c:v>90-119</c:v>
                </c:pt>
                <c:pt idx="4">
                  <c:v>120-149</c:v>
                </c:pt>
                <c:pt idx="5">
                  <c:v>150-179</c:v>
                </c:pt>
                <c:pt idx="6">
                  <c:v>180-209</c:v>
                </c:pt>
                <c:pt idx="7">
                  <c:v>210-239</c:v>
                </c:pt>
                <c:pt idx="8">
                  <c:v>240-269</c:v>
                </c:pt>
                <c:pt idx="9">
                  <c:v>270-299</c:v>
                </c:pt>
                <c:pt idx="10">
                  <c:v>300-329</c:v>
                </c:pt>
                <c:pt idx="11">
                  <c:v>330-359</c:v>
                </c:pt>
                <c:pt idx="12">
                  <c:v>360-389</c:v>
                </c:pt>
                <c:pt idx="13">
                  <c:v>390-419</c:v>
                </c:pt>
                <c:pt idx="14">
                  <c:v>420-449</c:v>
                </c:pt>
                <c:pt idx="15">
                  <c:v>450-479</c:v>
                </c:pt>
                <c:pt idx="16">
                  <c:v>480-509</c:v>
                </c:pt>
                <c:pt idx="17">
                  <c:v>510-539</c:v>
                </c:pt>
                <c:pt idx="18">
                  <c:v>540-569</c:v>
                </c:pt>
                <c:pt idx="19">
                  <c:v>570-599</c:v>
                </c:pt>
                <c:pt idx="20">
                  <c:v>600-629</c:v>
                </c:pt>
                <c:pt idx="21">
                  <c:v>630-659</c:v>
                </c:pt>
                <c:pt idx="22">
                  <c:v>660-689</c:v>
                </c:pt>
                <c:pt idx="23">
                  <c:v>690-719</c:v>
                </c:pt>
                <c:pt idx="24">
                  <c:v>720-749</c:v>
                </c:pt>
                <c:pt idx="25">
                  <c:v>750-779</c:v>
                </c:pt>
                <c:pt idx="26">
                  <c:v>780-809</c:v>
                </c:pt>
                <c:pt idx="27">
                  <c:v>810-839</c:v>
                </c:pt>
                <c:pt idx="28">
                  <c:v>840-869</c:v>
                </c:pt>
                <c:pt idx="29">
                  <c:v>870-899</c:v>
                </c:pt>
                <c:pt idx="30">
                  <c:v>900-929</c:v>
                </c:pt>
                <c:pt idx="31">
                  <c:v>930-959</c:v>
                </c:pt>
                <c:pt idx="32">
                  <c:v>960-989</c:v>
                </c:pt>
                <c:pt idx="33">
                  <c:v>&gt;990</c:v>
                </c:pt>
              </c:strCache>
            </c:strRef>
          </c:cat>
          <c:val>
            <c:numRef>
              <c:f>Sheet1!$B$2:$B$35</c:f>
              <c:numCache>
                <c:formatCode>General</c:formatCode>
                <c:ptCount val="34"/>
                <c:pt idx="0">
                  <c:v>49</c:v>
                </c:pt>
                <c:pt idx="1">
                  <c:v>82</c:v>
                </c:pt>
                <c:pt idx="2">
                  <c:v>124</c:v>
                </c:pt>
                <c:pt idx="3">
                  <c:v>160</c:v>
                </c:pt>
                <c:pt idx="4">
                  <c:v>181</c:v>
                </c:pt>
                <c:pt idx="5">
                  <c:v>179</c:v>
                </c:pt>
                <c:pt idx="6">
                  <c:v>160</c:v>
                </c:pt>
                <c:pt idx="7">
                  <c:v>139</c:v>
                </c:pt>
                <c:pt idx="8">
                  <c:v>84</c:v>
                </c:pt>
                <c:pt idx="9">
                  <c:v>73</c:v>
                </c:pt>
                <c:pt idx="10">
                  <c:v>61</c:v>
                </c:pt>
                <c:pt idx="11">
                  <c:v>41</c:v>
                </c:pt>
                <c:pt idx="12">
                  <c:v>43</c:v>
                </c:pt>
                <c:pt idx="13">
                  <c:v>49</c:v>
                </c:pt>
                <c:pt idx="14">
                  <c:v>35</c:v>
                </c:pt>
                <c:pt idx="15">
                  <c:v>22</c:v>
                </c:pt>
                <c:pt idx="16">
                  <c:v>27</c:v>
                </c:pt>
                <c:pt idx="17">
                  <c:v>17</c:v>
                </c:pt>
                <c:pt idx="18">
                  <c:v>15</c:v>
                </c:pt>
                <c:pt idx="19">
                  <c:v>14</c:v>
                </c:pt>
                <c:pt idx="20">
                  <c:v>12</c:v>
                </c:pt>
                <c:pt idx="21">
                  <c:v>7</c:v>
                </c:pt>
                <c:pt idx="22">
                  <c:v>5</c:v>
                </c:pt>
                <c:pt idx="23">
                  <c:v>7</c:v>
                </c:pt>
                <c:pt idx="24">
                  <c:v>11</c:v>
                </c:pt>
                <c:pt idx="25">
                  <c:v>3</c:v>
                </c:pt>
                <c:pt idx="26">
                  <c:v>7</c:v>
                </c:pt>
                <c:pt idx="27">
                  <c:v>2</c:v>
                </c:pt>
                <c:pt idx="28">
                  <c:v>2</c:v>
                </c:pt>
                <c:pt idx="29">
                  <c:v>0</c:v>
                </c:pt>
                <c:pt idx="30">
                  <c:v>3</c:v>
                </c:pt>
                <c:pt idx="31">
                  <c:v>1</c:v>
                </c:pt>
                <c:pt idx="32">
                  <c:v>0</c:v>
                </c:pt>
                <c:pt idx="33">
                  <c:v>0</c:v>
                </c:pt>
              </c:numCache>
            </c:numRef>
          </c:val>
          <c:extLst>
            <c:ext xmlns:c16="http://schemas.microsoft.com/office/drawing/2014/chart" uri="{C3380CC4-5D6E-409C-BE32-E72D297353CC}">
              <c16:uniqueId val="{00000000-690F-4CD0-B47E-CD32F416A699}"/>
            </c:ext>
          </c:extLst>
        </c:ser>
        <c:dLbls>
          <c:showLegendKey val="0"/>
          <c:showVal val="0"/>
          <c:showCatName val="0"/>
          <c:showSerName val="0"/>
          <c:showPercent val="0"/>
          <c:showBubbleSize val="0"/>
        </c:dLbls>
        <c:gapWidth val="150"/>
        <c:overlap val="100"/>
        <c:axId val="532770728"/>
        <c:axId val="532771120"/>
      </c:barChart>
      <c:catAx>
        <c:axId val="532770728"/>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Jours civils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32771120"/>
        <c:crosses val="autoZero"/>
        <c:auto val="1"/>
        <c:lblAlgn val="ctr"/>
        <c:lblOffset val="100"/>
        <c:noMultiLvlLbl val="0"/>
      </c:catAx>
      <c:valAx>
        <c:axId val="5327711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Fréquence</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327707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fr-FR" sz="1200"/>
              <a:t>Effectif selon les exigences linguistiques au 31 mars 2019 (N=1 334)</a:t>
            </a:r>
          </a:p>
        </c:rich>
      </c:tx>
      <c:layout>
        <c:manualLayout>
          <c:xMode val="edge"/>
          <c:yMode val="edge"/>
          <c:x val="0.13994491885697385"/>
          <c:y val="0"/>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7.1758597526175166E-2"/>
          <c:y val="0.31538280696410009"/>
          <c:w val="0.8981066627234976"/>
          <c:h val="0.59516739173483535"/>
        </c:manualLayout>
      </c:layout>
      <c:pieChart>
        <c:varyColors val="1"/>
        <c:ser>
          <c:idx val="0"/>
          <c:order val="0"/>
          <c:tx>
            <c:strRef>
              <c:f>Sheet1!$B$1</c:f>
              <c:strCache>
                <c:ptCount val="1"/>
                <c:pt idx="0">
                  <c:v>Population by Language Requirements as of March 31, 2016</c:v>
                </c:pt>
              </c:strCache>
            </c:strRef>
          </c:tx>
          <c:dPt>
            <c:idx val="0"/>
            <c:bubble3D val="0"/>
            <c:spPr>
              <a:solidFill>
                <a:schemeClr val="accent2"/>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6648-4985-ADF0-2B8880C3BA8A}"/>
              </c:ext>
            </c:extLst>
          </c:dPt>
          <c:dPt>
            <c:idx val="1"/>
            <c:bubble3D val="0"/>
            <c:spPr>
              <a:solidFill>
                <a:schemeClr val="accent1"/>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6648-4985-ADF0-2B8880C3BA8A}"/>
              </c:ext>
            </c:extLst>
          </c:dPt>
          <c:dLbls>
            <c:dLbl>
              <c:idx val="0"/>
              <c:layout>
                <c:manualLayout>
                  <c:x val="0.19254656293590053"/>
                  <c:y val="-7.2627409832370336E-3"/>
                </c:manualLayout>
              </c:layout>
              <c:tx>
                <c:rich>
                  <a:bodyPr/>
                  <a:lstStyle/>
                  <a:p>
                    <a:r>
                      <a:rPr lang="en-US" b="1"/>
                      <a:t>Postes bilingues</a:t>
                    </a:r>
                    <a:fld id="{38ECDFC8-5629-40E2-B943-618568E370D7}" type="PERCENTAGE">
                      <a:rPr lang="en-US" b="1"/>
                      <a:pPr/>
                      <a:t>[PERCENTAGE]</a:t>
                    </a:fld>
                    <a:endParaRPr lang="en-US" b="1"/>
                  </a:p>
                </c:rich>
              </c:tx>
              <c:showLegendKey val="0"/>
              <c:showVal val="0"/>
              <c:showCatName val="1"/>
              <c:showSerName val="0"/>
              <c:showPercent val="1"/>
              <c:showBubbleSize val="0"/>
              <c:extLst>
                <c:ext xmlns:c15="http://schemas.microsoft.com/office/drawing/2012/chart" uri="{CE6537A1-D6FC-4f65-9D91-7224C49458BB}">
                  <c15:layout>
                    <c:manualLayout>
                      <c:w val="0.47511629199012079"/>
                      <c:h val="0.23310894485540024"/>
                    </c:manualLayout>
                  </c15:layout>
                  <c15:dlblFieldTable/>
                  <c15:showDataLabelsRange val="0"/>
                </c:ext>
                <c:ext xmlns:c16="http://schemas.microsoft.com/office/drawing/2014/chart" uri="{C3380CC4-5D6E-409C-BE32-E72D297353CC}">
                  <c16:uniqueId val="{00000001-6648-4985-ADF0-2B8880C3BA8A}"/>
                </c:ext>
              </c:extLst>
            </c:dLbl>
            <c:dLbl>
              <c:idx val="1"/>
              <c:layout>
                <c:manualLayout>
                  <c:x val="-6.2597809076682387E-2"/>
                  <c:y val="8.5481352036077166E-2"/>
                </c:manualLayout>
              </c:layout>
              <c:tx>
                <c:rich>
                  <a:bodyPr/>
                  <a:lstStyle/>
                  <a:p>
                    <a:r>
                      <a:rPr lang="en-US" b="1"/>
                      <a:t>Postes unilingues </a:t>
                    </a:r>
                    <a:fld id="{A5BC48B3-F2C5-46F9-B576-3CA633E5F696}" type="PERCENTAGE">
                      <a:rPr lang="en-US" b="1"/>
                      <a:pPr/>
                      <a:t>[PERCENTAGE]</a:t>
                    </a:fld>
                    <a:endParaRPr lang="en-US" b="1"/>
                  </a:p>
                </c:rich>
              </c:tx>
              <c:showLegendKey val="0"/>
              <c:showVal val="0"/>
              <c:showCatName val="1"/>
              <c:showSerName val="0"/>
              <c:showPercent val="1"/>
              <c:showBubbleSize val="0"/>
              <c:extLst>
                <c:ext xmlns:c15="http://schemas.microsoft.com/office/drawing/2012/chart" uri="{CE6537A1-D6FC-4f65-9D91-7224C49458BB}">
                  <c15:layout>
                    <c:manualLayout>
                      <c:w val="0.41275430359937404"/>
                      <c:h val="0.23334197562872699"/>
                    </c:manualLayout>
                  </c15:layout>
                  <c15:dlblFieldTable/>
                  <c15:showDataLabelsRange val="0"/>
                </c:ext>
                <c:ext xmlns:c16="http://schemas.microsoft.com/office/drawing/2014/chart" uri="{C3380CC4-5D6E-409C-BE32-E72D297353CC}">
                  <c16:uniqueId val="{00000003-6648-4985-ADF0-2B8880C3BA8A}"/>
                </c:ext>
              </c:extLst>
            </c:dLbl>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Bilingual </c:v>
                </c:pt>
                <c:pt idx="1">
                  <c:v>Unilingual</c:v>
                </c:pt>
              </c:strCache>
            </c:strRef>
          </c:cat>
          <c:val>
            <c:numRef>
              <c:f>Sheet1!$B$2:$B$3</c:f>
              <c:numCache>
                <c:formatCode>0</c:formatCode>
                <c:ptCount val="2"/>
                <c:pt idx="0">
                  <c:v>681</c:v>
                </c:pt>
                <c:pt idx="1">
                  <c:v>269</c:v>
                </c:pt>
              </c:numCache>
            </c:numRef>
          </c:val>
          <c:extLst>
            <c:ext xmlns:c16="http://schemas.microsoft.com/office/drawing/2014/chart" uri="{C3380CC4-5D6E-409C-BE32-E72D297353CC}">
              <c16:uniqueId val="{00000004-6648-4985-ADF0-2B8880C3BA8A}"/>
            </c:ext>
          </c:extLst>
        </c:ser>
        <c:dLbls>
          <c:showLegendKey val="0"/>
          <c:showVal val="0"/>
          <c:showCatName val="0"/>
          <c:showSerName val="0"/>
          <c:showPercent val="0"/>
          <c:showBubbleSize val="0"/>
          <c:showLeaderLines val="1"/>
        </c:dLbls>
        <c:firstSliceAng val="128"/>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fr-FR" sz="1200" b="1"/>
              <a:t>Effectif selon le groupe professionnel au 31 mars 2019</a:t>
            </a:r>
          </a:p>
        </c:rich>
      </c:tx>
      <c:layout>
        <c:manualLayout>
          <c:xMode val="edge"/>
          <c:yMode val="edge"/>
          <c:x val="0.14952447813811601"/>
          <c:y val="3.4544346801056933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3.2974677048050557E-2"/>
          <c:y val="0.30179943484886967"/>
          <c:w val="0.93955862026122472"/>
          <c:h val="0.62025549540682412"/>
        </c:manualLayout>
      </c:layout>
      <c:pieChart>
        <c:varyColors val="1"/>
        <c:ser>
          <c:idx val="0"/>
          <c:order val="0"/>
          <c:tx>
            <c:strRef>
              <c:f>Sheet1!$B$1</c:f>
              <c:strCache>
                <c:ptCount val="1"/>
                <c:pt idx="0">
                  <c:v>Population by Occupational Group as of March 31, 2016</c:v>
                </c:pt>
              </c:strCache>
            </c:strRef>
          </c:tx>
          <c:spPr>
            <a:ln w="3175"/>
          </c:spPr>
          <c:dPt>
            <c:idx val="0"/>
            <c:bubble3D val="0"/>
            <c:spPr>
              <a:solidFill>
                <a:schemeClr val="accent2"/>
              </a:solidFill>
              <a:ln w="3175">
                <a:solidFill>
                  <a:schemeClr val="lt1"/>
                </a:solidFill>
              </a:ln>
              <a:effectLst/>
            </c:spPr>
            <c:extLst>
              <c:ext xmlns:c16="http://schemas.microsoft.com/office/drawing/2014/chart" uri="{C3380CC4-5D6E-409C-BE32-E72D297353CC}">
                <c16:uniqueId val="{00000001-4979-4C19-AC92-D19077AFF904}"/>
              </c:ext>
            </c:extLst>
          </c:dPt>
          <c:dPt>
            <c:idx val="1"/>
            <c:bubble3D val="0"/>
            <c:spPr>
              <a:solidFill>
                <a:schemeClr val="accent1"/>
              </a:solidFill>
              <a:ln w="3175">
                <a:solidFill>
                  <a:schemeClr val="lt1"/>
                </a:solidFill>
              </a:ln>
              <a:effectLst/>
            </c:spPr>
            <c:extLst>
              <c:ext xmlns:c16="http://schemas.microsoft.com/office/drawing/2014/chart" uri="{C3380CC4-5D6E-409C-BE32-E72D297353CC}">
                <c16:uniqueId val="{00000003-4979-4C19-AC92-D19077AFF904}"/>
              </c:ext>
            </c:extLst>
          </c:dPt>
          <c:dPt>
            <c:idx val="2"/>
            <c:bubble3D val="0"/>
            <c:spPr>
              <a:solidFill>
                <a:schemeClr val="accent3"/>
              </a:solidFill>
              <a:ln w="3175">
                <a:solidFill>
                  <a:schemeClr val="lt1"/>
                </a:solidFill>
              </a:ln>
              <a:effectLst/>
            </c:spPr>
            <c:extLst>
              <c:ext xmlns:c16="http://schemas.microsoft.com/office/drawing/2014/chart" uri="{C3380CC4-5D6E-409C-BE32-E72D297353CC}">
                <c16:uniqueId val="{00000005-4979-4C19-AC92-D19077AFF904}"/>
              </c:ext>
            </c:extLst>
          </c:dPt>
          <c:dPt>
            <c:idx val="3"/>
            <c:bubble3D val="0"/>
            <c:spPr>
              <a:solidFill>
                <a:schemeClr val="accent6"/>
              </a:solidFill>
              <a:ln w="3175">
                <a:solidFill>
                  <a:schemeClr val="lt1"/>
                </a:solidFill>
              </a:ln>
              <a:effectLst/>
            </c:spPr>
            <c:extLst>
              <c:ext xmlns:c16="http://schemas.microsoft.com/office/drawing/2014/chart" uri="{C3380CC4-5D6E-409C-BE32-E72D297353CC}">
                <c16:uniqueId val="{00000007-4979-4C19-AC92-D19077AFF904}"/>
              </c:ext>
            </c:extLst>
          </c:dPt>
          <c:dLbls>
            <c:dLbl>
              <c:idx val="0"/>
              <c:layout>
                <c:manualLayout>
                  <c:x val="0.13996929629079383"/>
                  <c:y val="-0.12077821011673143"/>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4979-4C19-AC92-D19077AFF904}"/>
                </c:ext>
              </c:extLst>
            </c:dLbl>
            <c:dLbl>
              <c:idx val="1"/>
              <c:layout>
                <c:manualLayout>
                  <c:x val="7.9928688159263114E-2"/>
                  <c:y val="4.2000469785634771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4979-4C19-AC92-D19077AFF904}"/>
                </c:ext>
              </c:extLst>
            </c:dLbl>
            <c:dLbl>
              <c:idx val="2"/>
              <c:layout>
                <c:manualLayout>
                  <c:x val="-3.0951319764274747E-7"/>
                  <c:y val="0.1800692423174729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1705897135198526"/>
                      <c:h val="0.18653716923516855"/>
                    </c:manualLayout>
                  </c15:layout>
                </c:ext>
                <c:ext xmlns:c16="http://schemas.microsoft.com/office/drawing/2014/chart" uri="{C3380CC4-5D6E-409C-BE32-E72D297353CC}">
                  <c16:uniqueId val="{00000005-4979-4C19-AC92-D19077AFF904}"/>
                </c:ext>
              </c:extLst>
            </c:dLbl>
            <c:dLbl>
              <c:idx val="3"/>
              <c:layout>
                <c:manualLayout>
                  <c:x val="-2.751583239971362E-2"/>
                  <c:y val="-9.8287324979319177E-4"/>
                </c:manualLayout>
              </c:layout>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solidFill>
                          <a:sysClr val="windowText" lastClr="000000"/>
                        </a:solidFill>
                      </a:rPr>
                      <a:t>Autres
</a:t>
                    </a:r>
                    <a:fld id="{C7C9D72B-2234-4C9E-86AA-26A29B8018F3}" type="PERCENTAGE">
                      <a:rPr lang="en-US">
                        <a:solidFill>
                          <a:sysClr val="windowText" lastClr="000000"/>
                        </a:solidFill>
                      </a:rPr>
                      <a:pPr>
                        <a:defRPr b="1"/>
                      </a:pPr>
                      <a:t>[PERCENTAGE]</a:t>
                    </a:fld>
                    <a:endParaRPr lang="en-US">
                      <a:solidFill>
                        <a:sysClr val="windowText" lastClr="000000"/>
                      </a:solidFill>
                    </a:endParaRPr>
                  </a:p>
                </c:rich>
              </c:tx>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0991308869410189"/>
                      <c:h val="0.14915693904020752"/>
                    </c:manualLayout>
                  </c15:layout>
                  <c15:dlblFieldTable/>
                  <c15:showDataLabelsRange val="0"/>
                </c:ext>
                <c:ext xmlns:c16="http://schemas.microsoft.com/office/drawing/2014/chart" uri="{C3380CC4-5D6E-409C-BE32-E72D297353CC}">
                  <c16:uniqueId val="{00000007-4979-4C19-AC92-D19077AFF904}"/>
                </c:ext>
              </c:extLst>
            </c:dLbl>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bestFit"/>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EC</c:v>
                </c:pt>
                <c:pt idx="1">
                  <c:v>AS</c:v>
                </c:pt>
                <c:pt idx="2">
                  <c:v>PM</c:v>
                </c:pt>
                <c:pt idx="3">
                  <c:v>Other</c:v>
                </c:pt>
              </c:strCache>
            </c:strRef>
          </c:cat>
          <c:val>
            <c:numRef>
              <c:f>Sheet1!$B$2:$B$5</c:f>
              <c:numCache>
                <c:formatCode>General</c:formatCode>
                <c:ptCount val="4"/>
                <c:pt idx="0">
                  <c:v>371</c:v>
                </c:pt>
                <c:pt idx="1">
                  <c:v>279</c:v>
                </c:pt>
                <c:pt idx="2">
                  <c:v>255</c:v>
                </c:pt>
                <c:pt idx="3">
                  <c:v>373</c:v>
                </c:pt>
              </c:numCache>
            </c:numRef>
          </c:val>
          <c:extLst>
            <c:ext xmlns:c16="http://schemas.microsoft.com/office/drawing/2014/chart" uri="{C3380CC4-5D6E-409C-BE32-E72D297353CC}">
              <c16:uniqueId val="{00000008-4979-4C19-AC92-D19077AFF904}"/>
            </c:ext>
          </c:extLst>
        </c:ser>
        <c:dLbls>
          <c:dLblPos val="bestFit"/>
          <c:showLegendKey val="0"/>
          <c:showVal val="1"/>
          <c:showCatName val="0"/>
          <c:showSerName val="0"/>
          <c:showPercent val="0"/>
          <c:showBubbleSize val="0"/>
          <c:showLeaderLines val="1"/>
        </c:dLbls>
        <c:firstSliceAng val="141"/>
      </c:pieChart>
      <c:spPr>
        <a:noFill/>
        <a:ln>
          <a:noFill/>
        </a:ln>
        <a:effectLst/>
      </c:spPr>
    </c:plotArea>
    <c:plotVisOnly val="1"/>
    <c:dispBlanksAs val="gap"/>
    <c:showDLblsOverMax val="0"/>
  </c:chart>
  <c:spPr>
    <a:solidFill>
      <a:schemeClr val="bg1"/>
    </a:solidFill>
    <a:ln w="9525" cap="flat" cmpd="sng" algn="ctr">
      <a:solidFill>
        <a:sysClr val="windowText" lastClr="000000">
          <a:lumMod val="25000"/>
          <a:lumOff val="75000"/>
        </a:sysClr>
      </a:solidFill>
      <a:round/>
    </a:ln>
    <a:effectLst/>
  </c:spPr>
  <c:txPr>
    <a:bodyPr/>
    <a:lstStyle/>
    <a:p>
      <a:pPr>
        <a:defRPr>
          <a:solidFill>
            <a:sysClr val="windowText" lastClr="000000"/>
          </a:solidFill>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fr-FR" sz="1200"/>
              <a:t>Population par région au 31 mars 2019 (N=1 334)</a:t>
            </a:r>
          </a:p>
        </c:rich>
      </c:tx>
      <c:layout>
        <c:manualLayout>
          <c:xMode val="edge"/>
          <c:yMode val="edge"/>
          <c:x val="0.10058592386934292"/>
          <c:y val="0"/>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4.3280593446945889E-2"/>
          <c:y val="0.29300321125920964"/>
          <c:w val="0.8981066627234976"/>
          <c:h val="0.59516739173483535"/>
        </c:manualLayout>
      </c:layout>
      <c:pieChart>
        <c:varyColors val="1"/>
        <c:ser>
          <c:idx val="0"/>
          <c:order val="0"/>
          <c:tx>
            <c:strRef>
              <c:f>Sheet1!$B$1</c:f>
              <c:strCache>
                <c:ptCount val="1"/>
                <c:pt idx="0">
                  <c:v>Population by Language Requirements as of March 31, 2016</c:v>
                </c:pt>
              </c:strCache>
            </c:strRef>
          </c:tx>
          <c:dPt>
            <c:idx val="0"/>
            <c:bubble3D val="0"/>
            <c:spPr>
              <a:solidFill>
                <a:schemeClr val="accent2"/>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5359-4628-B851-454335603278}"/>
              </c:ext>
            </c:extLst>
          </c:dPt>
          <c:dPt>
            <c:idx val="1"/>
            <c:bubble3D val="0"/>
            <c:spPr>
              <a:solidFill>
                <a:schemeClr val="accent1"/>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5359-4628-B851-454335603278}"/>
              </c:ext>
            </c:extLst>
          </c:dPt>
          <c:dLbls>
            <c:dLbl>
              <c:idx val="0"/>
              <c:layout>
                <c:manualLayout>
                  <c:x val="0.20344696797293402"/>
                  <c:y val="-0.11407829919626652"/>
                </c:manualLayout>
              </c:layout>
              <c:tx>
                <c:rich>
                  <a:bodyPr/>
                  <a:lstStyle/>
                  <a:p>
                    <a:r>
                      <a:rPr lang="en-US"/>
                      <a:t>RCN
</a:t>
                    </a:r>
                    <a:fld id="{7C2ED2C0-B8F5-4577-B0B3-4FDE8F7D035A}" type="PERCENTAGE">
                      <a:rPr lang="en-US"/>
                      <a:pPr/>
                      <a:t>[PERCENTAGE]</a:t>
                    </a:fld>
                    <a:endParaRPr lang="en-US"/>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359-4628-B851-454335603278}"/>
                </c:ext>
              </c:extLst>
            </c:dLbl>
            <c:dLbl>
              <c:idx val="1"/>
              <c:layout>
                <c:manualLayout>
                  <c:x val="-3.1701120746693068E-2"/>
                  <c:y val="4.0388767110587129E-2"/>
                </c:manualLayout>
              </c:layout>
              <c:tx>
                <c:rich>
                  <a:bodyPr/>
                  <a:lstStyle/>
                  <a:p>
                    <a:r>
                      <a:rPr lang="en-US"/>
                      <a:t>Ailleurs
</a:t>
                    </a:r>
                    <a:fld id="{7A7385D9-E21F-4A10-BBA9-A88589283970}" type="PERCENTAGE">
                      <a:rPr lang="en-US"/>
                      <a:pPr/>
                      <a:t>[PERCENTAGE]</a:t>
                    </a:fld>
                    <a:endParaRPr lang="en-US"/>
                  </a:p>
                </c:rich>
              </c:tx>
              <c:showLegendKey val="0"/>
              <c:showVal val="0"/>
              <c:showCatName val="1"/>
              <c:showSerName val="0"/>
              <c:showPercent val="1"/>
              <c:showBubbleSize val="0"/>
              <c:extLst>
                <c:ext xmlns:c15="http://schemas.microsoft.com/office/drawing/2012/chart" uri="{CE6537A1-D6FC-4f65-9D91-7224C49458BB}">
                  <c15:layout>
                    <c:manualLayout>
                      <c:w val="0.39828076403744322"/>
                      <c:h val="0.19315530204822404"/>
                    </c:manualLayout>
                  </c15:layout>
                  <c15:dlblFieldTable/>
                  <c15:showDataLabelsRange val="0"/>
                </c:ext>
                <c:ext xmlns:c16="http://schemas.microsoft.com/office/drawing/2014/chart" uri="{C3380CC4-5D6E-409C-BE32-E72D297353CC}">
                  <c16:uniqueId val="{00000003-5359-4628-B851-454335603278}"/>
                </c:ext>
              </c:extLst>
            </c:dLbl>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NCR</c:v>
                </c:pt>
                <c:pt idx="1">
                  <c:v>Non-NCR</c:v>
                </c:pt>
              </c:strCache>
            </c:strRef>
          </c:cat>
          <c:val>
            <c:numRef>
              <c:f>Sheet1!$B$2:$B$3</c:f>
              <c:numCache>
                <c:formatCode>0</c:formatCode>
                <c:ptCount val="2"/>
                <c:pt idx="0">
                  <c:v>1217</c:v>
                </c:pt>
                <c:pt idx="1">
                  <c:v>114</c:v>
                </c:pt>
              </c:numCache>
            </c:numRef>
          </c:val>
          <c:extLst>
            <c:ext xmlns:c16="http://schemas.microsoft.com/office/drawing/2014/chart" uri="{C3380CC4-5D6E-409C-BE32-E72D297353CC}">
              <c16:uniqueId val="{00000004-5359-4628-B851-454335603278}"/>
            </c:ext>
          </c:extLst>
        </c:ser>
        <c:dLbls>
          <c:showLegendKey val="0"/>
          <c:showVal val="0"/>
          <c:showCatName val="0"/>
          <c:showSerName val="0"/>
          <c:showPercent val="0"/>
          <c:showBubbleSize val="0"/>
          <c:showLeaderLines val="1"/>
        </c:dLbls>
        <c:firstSliceAng val="91"/>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fr-FR" sz="1200" b="1"/>
              <a:t>Employés embauchés à l’externe pour une période indéterminée selon le groupe professionnel</a:t>
            </a:r>
          </a:p>
          <a:p>
            <a:pPr>
              <a:defRPr sz="1200" b="1"/>
            </a:pPr>
            <a:r>
              <a:rPr lang="fr-FR" sz="1200" b="1"/>
              <a:t> 2018-2019 (N=80)</a:t>
            </a:r>
          </a:p>
        </c:rich>
      </c:tx>
      <c:layout>
        <c:manualLayout>
          <c:xMode val="edge"/>
          <c:yMode val="edge"/>
          <c:x val="0.14968643412327082"/>
          <c:y val="2.5746584826502987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1394291717383948"/>
          <c:y val="0.46863506023059154"/>
          <c:w val="0.8966533531134695"/>
          <c:h val="0.48715812098290862"/>
        </c:manualLayout>
      </c:layout>
      <c:doughnutChart>
        <c:varyColors val="1"/>
        <c:ser>
          <c:idx val="0"/>
          <c:order val="0"/>
          <c:tx>
            <c:strRef>
              <c:f>Sheet1!$B$1</c:f>
              <c:strCache>
                <c:ptCount val="1"/>
                <c:pt idx="0">
                  <c:v>Population by Language Requirements as of March 31, 2016</c:v>
                </c:pt>
              </c:strCache>
            </c:strRef>
          </c:tx>
          <c:spPr>
            <a:solidFill>
              <a:schemeClr val="accent1"/>
            </a:solidFill>
            <a:ln w="6350"/>
          </c:spPr>
          <c:dPt>
            <c:idx val="0"/>
            <c:bubble3D val="0"/>
            <c:spPr>
              <a:solidFill>
                <a:schemeClr val="accent2"/>
              </a:solidFill>
              <a:ln w="6350">
                <a:solidFill>
                  <a:schemeClr val="lt1"/>
                </a:solidFill>
              </a:ln>
              <a:effectLst/>
            </c:spPr>
            <c:extLst>
              <c:ext xmlns:c16="http://schemas.microsoft.com/office/drawing/2014/chart" uri="{C3380CC4-5D6E-409C-BE32-E72D297353CC}">
                <c16:uniqueId val="{00000001-9601-42D0-8DE4-4F4C34696182}"/>
              </c:ext>
            </c:extLst>
          </c:dPt>
          <c:dPt>
            <c:idx val="1"/>
            <c:bubble3D val="0"/>
            <c:spPr>
              <a:solidFill>
                <a:schemeClr val="accent1"/>
              </a:solidFill>
              <a:ln w="6350">
                <a:solidFill>
                  <a:schemeClr val="lt1"/>
                </a:solidFill>
              </a:ln>
              <a:effectLst/>
            </c:spPr>
            <c:extLst>
              <c:ext xmlns:c16="http://schemas.microsoft.com/office/drawing/2014/chart" uri="{C3380CC4-5D6E-409C-BE32-E72D297353CC}">
                <c16:uniqueId val="{00000003-9601-42D0-8DE4-4F4C34696182}"/>
              </c:ext>
            </c:extLst>
          </c:dPt>
          <c:dPt>
            <c:idx val="2"/>
            <c:bubble3D val="0"/>
            <c:spPr>
              <a:solidFill>
                <a:schemeClr val="accent3"/>
              </a:solidFill>
              <a:ln w="6350">
                <a:solidFill>
                  <a:schemeClr val="lt1"/>
                </a:solidFill>
              </a:ln>
              <a:effectLst/>
            </c:spPr>
            <c:extLst>
              <c:ext xmlns:c16="http://schemas.microsoft.com/office/drawing/2014/chart" uri="{C3380CC4-5D6E-409C-BE32-E72D297353CC}">
                <c16:uniqueId val="{00000005-9601-42D0-8DE4-4F4C34696182}"/>
              </c:ext>
            </c:extLst>
          </c:dPt>
          <c:dPt>
            <c:idx val="3"/>
            <c:bubble3D val="0"/>
            <c:spPr>
              <a:solidFill>
                <a:schemeClr val="accent6"/>
              </a:solidFill>
              <a:ln w="6350">
                <a:solidFill>
                  <a:schemeClr val="lt1"/>
                </a:solidFill>
              </a:ln>
              <a:effectLst/>
            </c:spPr>
            <c:extLst>
              <c:ext xmlns:c16="http://schemas.microsoft.com/office/drawing/2014/chart" uri="{C3380CC4-5D6E-409C-BE32-E72D297353CC}">
                <c16:uniqueId val="{00000007-9601-42D0-8DE4-4F4C34696182}"/>
              </c:ext>
            </c:extLst>
          </c:dPt>
          <c:dLbls>
            <c:dLbl>
              <c:idx val="3"/>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solidFill>
                          <a:sysClr val="windowText" lastClr="000000"/>
                        </a:solidFill>
                      </a:rPr>
                      <a:t>Autres</a:t>
                    </a:r>
                    <a:fld id="{97A52BCB-4108-47D7-A9A0-E3A81AD7AE50}" type="PERCENTAGE">
                      <a:rPr lang="en-US" baseline="0">
                        <a:solidFill>
                          <a:sysClr val="windowText" lastClr="000000"/>
                        </a:solidFill>
                      </a:rPr>
                      <a:pPr>
                        <a:defRPr b="1"/>
                      </a:pPr>
                      <a:t>[PERCENTAGE]</a:t>
                    </a:fld>
                    <a:endParaRPr lang="en-US">
                      <a:solidFill>
                        <a:sysClr val="windowText" lastClr="000000"/>
                      </a:solidFill>
                    </a:endParaRPr>
                  </a:p>
                </c:rich>
              </c:tx>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9601-42D0-8DE4-4F4C34696182}"/>
                </c:ext>
              </c:extLst>
            </c:dLbl>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EC</c:v>
                </c:pt>
                <c:pt idx="1">
                  <c:v>AS</c:v>
                </c:pt>
                <c:pt idx="2">
                  <c:v>PM</c:v>
                </c:pt>
                <c:pt idx="3">
                  <c:v>Other</c:v>
                </c:pt>
              </c:strCache>
            </c:strRef>
          </c:cat>
          <c:val>
            <c:numRef>
              <c:f>Sheet1!$B$2:$B$5</c:f>
              <c:numCache>
                <c:formatCode>General</c:formatCode>
                <c:ptCount val="4"/>
                <c:pt idx="0">
                  <c:v>29</c:v>
                </c:pt>
                <c:pt idx="1">
                  <c:v>21</c:v>
                </c:pt>
                <c:pt idx="2">
                  <c:v>13</c:v>
                </c:pt>
                <c:pt idx="3">
                  <c:v>17</c:v>
                </c:pt>
              </c:numCache>
            </c:numRef>
          </c:val>
          <c:extLst>
            <c:ext xmlns:c16="http://schemas.microsoft.com/office/drawing/2014/chart" uri="{C3380CC4-5D6E-409C-BE32-E72D297353CC}">
              <c16:uniqueId val="{00000008-9601-42D0-8DE4-4F4C34696182}"/>
            </c:ext>
          </c:extLst>
        </c:ser>
        <c:dLbls>
          <c:showLegendKey val="0"/>
          <c:showVal val="1"/>
          <c:showCatName val="0"/>
          <c:showSerName val="0"/>
          <c:showPercent val="0"/>
          <c:showBubbleSize val="0"/>
          <c:showLeaderLines val="1"/>
        </c:dLbls>
        <c:firstSliceAng val="120"/>
        <c:holeSize val="50"/>
      </c:doughnutChart>
      <c:spPr>
        <a:noFill/>
        <a:ln>
          <a:noFill/>
        </a:ln>
        <a:effectLst/>
      </c:spPr>
    </c:plotArea>
    <c:plotVisOnly val="1"/>
    <c:dispBlanksAs val="gap"/>
    <c:showDLblsOverMax val="0"/>
  </c:chart>
  <c:spPr>
    <a:solidFill>
      <a:schemeClr val="bg1"/>
    </a:solidFill>
    <a:ln w="9525" cap="flat" cmpd="sng" algn="ctr">
      <a:solidFill>
        <a:sysClr val="windowText" lastClr="000000">
          <a:lumMod val="25000"/>
          <a:lumOff val="75000"/>
        </a:sysClr>
      </a:solidFill>
      <a:round/>
    </a:ln>
    <a:effectLst/>
  </c:spPr>
  <c:txPr>
    <a:bodyPr/>
    <a:lstStyle/>
    <a:p>
      <a:pPr>
        <a:defRPr>
          <a:solidFill>
            <a:sysClr val="windowText" lastClr="000000"/>
          </a:solidFill>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fr-FR" sz="1200"/>
              <a:t>Dotation par région</a:t>
            </a:r>
          </a:p>
        </c:rich>
      </c:tx>
      <c:layout>
        <c:manualLayout>
          <c:xMode val="edge"/>
          <c:yMode val="edge"/>
          <c:x val="0.38163490946431022"/>
          <c:y val="0"/>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87844058759671"/>
          <c:y val="9.4894492045412282E-2"/>
          <c:w val="0.84333349635643373"/>
          <c:h val="0.55474858103818014"/>
        </c:manualLayout>
      </c:layout>
      <c:barChart>
        <c:barDir val="col"/>
        <c:grouping val="clustered"/>
        <c:varyColors val="0"/>
        <c:ser>
          <c:idx val="0"/>
          <c:order val="0"/>
          <c:tx>
            <c:strRef>
              <c:f>Sheet1!$B$1</c:f>
              <c:strCache>
                <c:ptCount val="1"/>
                <c:pt idx="0">
                  <c:v>Région de la capitale nationale (RCN)</c:v>
                </c:pt>
              </c:strCache>
            </c:strRef>
          </c:tx>
          <c:spPr>
            <a:solidFill>
              <a:schemeClr val="accent2"/>
            </a:solidFill>
            <a:ln>
              <a:noFill/>
            </a:ln>
            <a:effectLst>
              <a:outerShdw blurRad="57150" dist="19050" dir="5400000" algn="ctr" rotWithShape="0">
                <a:srgbClr val="000000">
                  <a:alpha val="63000"/>
                </a:srgbClr>
              </a:outerShdw>
            </a:effectLst>
          </c:spPr>
          <c:invertIfNegative val="0"/>
          <c:dLbls>
            <c:dLbl>
              <c:idx val="0"/>
              <c:layout>
                <c:manualLayout>
                  <c:x val="-8.3332646246444333E-3"/>
                  <c:y val="1.04950148679377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2F3-4D3B-90A1-2678B055376D}"/>
                </c:ext>
              </c:extLst>
            </c:dLbl>
            <c:dLbl>
              <c:idx val="1"/>
              <c:layout>
                <c:manualLayout>
                  <c:x val="-3.3957784101821655E-3"/>
                  <c:y val="6.99667657862515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2F3-4D3B-90A1-2678B055376D}"/>
                </c:ext>
              </c:extLst>
            </c:dLbl>
            <c:dLbl>
              <c:idx val="2"/>
              <c:layout>
                <c:manualLayout>
                  <c:x val="-4.8428632284838744E-3"/>
                  <c:y val="1.39933531572502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2F3-4D3B-90A1-2678B055376D}"/>
                </c:ext>
              </c:extLst>
            </c:dLbl>
            <c:dLbl>
              <c:idx val="3"/>
              <c:layout>
                <c:manualLayout>
                  <c:x val="-9.0458066355896209E-3"/>
                  <c:y val="1.04950148679377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2F3-4D3B-90A1-2678B055376D}"/>
                </c:ext>
              </c:extLst>
            </c:dLbl>
            <c:dLbl>
              <c:idx val="4"/>
              <c:layout>
                <c:manualLayout>
                  <c:x val="-4.0225570473313892E-3"/>
                  <c:y val="1.44150819699225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2F3-4D3B-90A1-2678B055376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c:v>
                </c:pt>
                <c:pt idx="1">
                  <c:v>2015-2016</c:v>
                </c:pt>
                <c:pt idx="2">
                  <c:v>2016-2017</c:v>
                </c:pt>
                <c:pt idx="3">
                  <c:v>2017-2018</c:v>
                </c:pt>
                <c:pt idx="4">
                  <c:v>2018-2019</c:v>
                </c:pt>
              </c:strCache>
            </c:strRef>
          </c:cat>
          <c:val>
            <c:numRef>
              <c:f>Sheet1!$B$2:$B$6</c:f>
              <c:numCache>
                <c:formatCode>0%</c:formatCode>
                <c:ptCount val="5"/>
                <c:pt idx="0">
                  <c:v>0.93</c:v>
                </c:pt>
                <c:pt idx="1">
                  <c:v>0.92</c:v>
                </c:pt>
                <c:pt idx="2">
                  <c:v>0.92</c:v>
                </c:pt>
                <c:pt idx="3">
                  <c:v>0.94</c:v>
                </c:pt>
                <c:pt idx="4">
                  <c:v>0.95</c:v>
                </c:pt>
              </c:numCache>
            </c:numRef>
          </c:val>
          <c:extLst>
            <c:ext xmlns:c16="http://schemas.microsoft.com/office/drawing/2014/chart" uri="{C3380CC4-5D6E-409C-BE32-E72D297353CC}">
              <c16:uniqueId val="{00000005-A2F3-4D3B-90A1-2678B055376D}"/>
            </c:ext>
          </c:extLst>
        </c:ser>
        <c:ser>
          <c:idx val="1"/>
          <c:order val="1"/>
          <c:tx>
            <c:strRef>
              <c:f>Sheet1!$C$1</c:f>
              <c:strCache>
                <c:ptCount val="1"/>
                <c:pt idx="0">
                  <c:v>À l'extérieur de la région de la capitale nationale (ailleurs)</c:v>
                </c:pt>
              </c:strCache>
            </c:strRef>
          </c:tx>
          <c:spPr>
            <a:solidFill>
              <a:schemeClr val="accent1"/>
            </a:solidFill>
            <a:ln>
              <a:noFill/>
            </a:ln>
            <a:effectLst>
              <a:outerShdw blurRad="57150" dist="19050" dir="5400000" algn="ctr" rotWithShape="0">
                <a:srgbClr val="000000">
                  <a:alpha val="63000"/>
                </a:srgbClr>
              </a:outerShdw>
            </a:effectLst>
          </c:spPr>
          <c:invertIfNegative val="0"/>
          <c:dLbls>
            <c:dLbl>
              <c:idx val="0"/>
              <c:layout>
                <c:manualLayout>
                  <c:x val="1.1496761352724479E-2"/>
                  <c:y val="9.99588187736809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2F3-4D3B-90A1-2678B055376D}"/>
                </c:ext>
              </c:extLst>
            </c:dLbl>
            <c:dLbl>
              <c:idx val="1"/>
              <c:layout>
                <c:manualLayout>
                  <c:x val="1.0881331075300664E-2"/>
                  <c:y val="1.13384724932822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2F3-4D3B-90A1-2678B055376D}"/>
                </c:ext>
              </c:extLst>
            </c:dLbl>
            <c:dLbl>
              <c:idx val="2"/>
              <c:layout>
                <c:manualLayout>
                  <c:x val="1.2004236720964203E-2"/>
                  <c:y val="1.52585395952670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2F3-4D3B-90A1-2678B055376D}"/>
                </c:ext>
              </c:extLst>
            </c:dLbl>
            <c:dLbl>
              <c:idx val="3"/>
              <c:layout>
                <c:manualLayout>
                  <c:x val="1.1086474501108648E-2"/>
                  <c:y val="1.52585395952670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2F3-4D3B-90A1-2678B055376D}"/>
                </c:ext>
              </c:extLst>
            </c:dLbl>
            <c:dLbl>
              <c:idx val="4"/>
              <c:layout>
                <c:manualLayout>
                  <c:x val="1.4987109427286113E-2"/>
                  <c:y val="1.39933531572503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2F3-4D3B-90A1-2678B055376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c:v>
                </c:pt>
                <c:pt idx="1">
                  <c:v>2015-2016</c:v>
                </c:pt>
                <c:pt idx="2">
                  <c:v>2016-2017</c:v>
                </c:pt>
                <c:pt idx="3">
                  <c:v>2017-2018</c:v>
                </c:pt>
                <c:pt idx="4">
                  <c:v>2018-2019</c:v>
                </c:pt>
              </c:strCache>
            </c:strRef>
          </c:cat>
          <c:val>
            <c:numRef>
              <c:f>Sheet1!$C$2:$C$6</c:f>
              <c:numCache>
                <c:formatCode>0%</c:formatCode>
                <c:ptCount val="5"/>
                <c:pt idx="0">
                  <c:v>7.0000000000000007E-2</c:v>
                </c:pt>
                <c:pt idx="1">
                  <c:v>0.08</c:v>
                </c:pt>
                <c:pt idx="2">
                  <c:v>0.08</c:v>
                </c:pt>
                <c:pt idx="3">
                  <c:v>0.06</c:v>
                </c:pt>
                <c:pt idx="4">
                  <c:v>0.05</c:v>
                </c:pt>
              </c:numCache>
            </c:numRef>
          </c:val>
          <c:extLst>
            <c:ext xmlns:c16="http://schemas.microsoft.com/office/drawing/2014/chart" uri="{C3380CC4-5D6E-409C-BE32-E72D297353CC}">
              <c16:uniqueId val="{0000000B-A2F3-4D3B-90A1-2678B055376D}"/>
            </c:ext>
          </c:extLst>
        </c:ser>
        <c:dLbls>
          <c:showLegendKey val="0"/>
          <c:showVal val="0"/>
          <c:showCatName val="0"/>
          <c:showSerName val="0"/>
          <c:showPercent val="0"/>
          <c:showBubbleSize val="0"/>
        </c:dLbls>
        <c:gapWidth val="150"/>
        <c:axId val="770082520"/>
        <c:axId val="537049456"/>
      </c:barChart>
      <c:catAx>
        <c:axId val="77008252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186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537049456"/>
        <c:crosses val="autoZero"/>
        <c:auto val="1"/>
        <c:lblAlgn val="ctr"/>
        <c:lblOffset val="100"/>
        <c:noMultiLvlLbl val="0"/>
      </c:catAx>
      <c:valAx>
        <c:axId val="537049456"/>
        <c:scaling>
          <c:orientation val="minMax"/>
          <c:max val="1"/>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70082520"/>
        <c:crosses val="autoZero"/>
        <c:crossBetween val="between"/>
      </c:valAx>
      <c:spPr>
        <a:noFill/>
        <a:ln>
          <a:noFill/>
        </a:ln>
        <a:effectLst/>
      </c:spPr>
    </c:plotArea>
    <c:legend>
      <c:legendPos val="b"/>
      <c:layout>
        <c:manualLayout>
          <c:xMode val="edge"/>
          <c:yMode val="edge"/>
          <c:x val="0.15583735001084392"/>
          <c:y val="0.80378136444671144"/>
          <c:w val="0.71052254831782391"/>
          <c:h val="0.1163205744987666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fr-FR" sz="1200"/>
              <a:t>Dotation par type de processus</a:t>
            </a:r>
          </a:p>
        </c:rich>
      </c:tx>
      <c:layout>
        <c:manualLayout>
          <c:xMode val="edge"/>
          <c:yMode val="edge"/>
          <c:x val="0.30759154262546867"/>
          <c:y val="0"/>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87844058759671"/>
          <c:y val="5.2914432573661359E-2"/>
          <c:w val="0.84333349635643373"/>
          <c:h val="0.59672864050993113"/>
        </c:manualLayout>
      </c:layout>
      <c:barChart>
        <c:barDir val="col"/>
        <c:grouping val="clustered"/>
        <c:varyColors val="0"/>
        <c:ser>
          <c:idx val="0"/>
          <c:order val="0"/>
          <c:tx>
            <c:strRef>
              <c:f>Sheet1!$B$1</c:f>
              <c:strCache>
                <c:ptCount val="1"/>
                <c:pt idx="0">
                  <c:v>Processus non annoncés (sauf les données inconnues)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1.1805555555555555E-2"/>
                  <c:y val="1.39933531572502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2B8-49A4-80FA-BC4FD1A3E546}"/>
                </c:ext>
              </c:extLst>
            </c:dLbl>
            <c:dLbl>
              <c:idx val="1"/>
              <c:layout>
                <c:manualLayout>
                  <c:x val="-1.7507928696412947E-2"/>
                  <c:y val="1.04950148679376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2B8-49A4-80FA-BC4FD1A3E546}"/>
                </c:ext>
              </c:extLst>
            </c:dLbl>
            <c:dLbl>
              <c:idx val="2"/>
              <c:layout>
                <c:manualLayout>
                  <c:x val="-1.5259459755030621E-2"/>
                  <c:y val="1.39933531572502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2B8-49A4-80FA-BC4FD1A3E546}"/>
                </c:ext>
              </c:extLst>
            </c:dLbl>
            <c:dLbl>
              <c:idx val="3"/>
              <c:layout>
                <c:manualLayout>
                  <c:x val="-2.1013779527559056E-3"/>
                  <c:y val="1.39933531572503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2B8-49A4-80FA-BC4FD1A3E546}"/>
                </c:ext>
              </c:extLst>
            </c:dLbl>
            <c:dLbl>
              <c:idx val="4"/>
              <c:layout>
                <c:manualLayout>
                  <c:x val="-4.9155183727034122E-3"/>
                  <c:y val="1.79134202592351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2B8-49A4-80FA-BC4FD1A3E54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c:v>
                </c:pt>
                <c:pt idx="1">
                  <c:v>2015-2016 </c:v>
                </c:pt>
                <c:pt idx="2">
                  <c:v>2016-2017</c:v>
                </c:pt>
                <c:pt idx="3">
                  <c:v>2017-2018</c:v>
                </c:pt>
                <c:pt idx="4">
                  <c:v>2018-2019</c:v>
                </c:pt>
              </c:strCache>
            </c:strRef>
          </c:cat>
          <c:val>
            <c:numRef>
              <c:f>Sheet1!$B$2:$B$6</c:f>
              <c:numCache>
                <c:formatCode>#\ ###</c:formatCode>
                <c:ptCount val="5"/>
                <c:pt idx="0">
                  <c:v>50</c:v>
                </c:pt>
                <c:pt idx="1">
                  <c:v>87</c:v>
                </c:pt>
                <c:pt idx="2">
                  <c:v>106</c:v>
                </c:pt>
                <c:pt idx="3">
                  <c:v>163</c:v>
                </c:pt>
                <c:pt idx="4">
                  <c:v>179</c:v>
                </c:pt>
              </c:numCache>
            </c:numRef>
          </c:val>
          <c:extLst>
            <c:ext xmlns:c16="http://schemas.microsoft.com/office/drawing/2014/chart" uri="{C3380CC4-5D6E-409C-BE32-E72D297353CC}">
              <c16:uniqueId val="{00000005-62B8-49A4-80FA-BC4FD1A3E546}"/>
            </c:ext>
          </c:extLst>
        </c:ser>
        <c:ser>
          <c:idx val="1"/>
          <c:order val="1"/>
          <c:tx>
            <c:strRef>
              <c:f>Sheet1!$C$1</c:f>
              <c:strCache>
                <c:ptCount val="1"/>
                <c:pt idx="0">
                  <c:v>Processus annoncés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3.6362642169760613E-5"/>
                  <c:y val="1.34942201666807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2B8-49A4-80FA-BC4FD1A3E546}"/>
                </c:ext>
              </c:extLst>
            </c:dLbl>
            <c:dLbl>
              <c:idx val="1"/>
              <c:layout>
                <c:manualLayout>
                  <c:x val="3.4902668416447943E-3"/>
                  <c:y val="1.48368107825948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2B8-49A4-80FA-BC4FD1A3E546}"/>
                </c:ext>
              </c:extLst>
            </c:dLbl>
            <c:dLbl>
              <c:idx val="2"/>
              <c:layout>
                <c:manualLayout>
                  <c:x val="-2.7777548748815417E-3"/>
                  <c:y val="1.52585395952670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2B8-49A4-80FA-BC4FD1A3E546}"/>
                </c:ext>
              </c:extLst>
            </c:dLbl>
            <c:dLbl>
              <c:idx val="3"/>
              <c:layout>
                <c:manualLayout>
                  <c:x val="0"/>
                  <c:y val="1.525853959526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2B8-49A4-80FA-BC4FD1A3E546}"/>
                </c:ext>
              </c:extLst>
            </c:dLbl>
            <c:dLbl>
              <c:idx val="4"/>
              <c:layout>
                <c:manualLayout>
                  <c:x val="1.0398622047244094E-2"/>
                  <c:y val="2.09900297358754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2B8-49A4-80FA-BC4FD1A3E54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c:v>
                </c:pt>
                <c:pt idx="1">
                  <c:v>2015-2016 </c:v>
                </c:pt>
                <c:pt idx="2">
                  <c:v>2016-2017</c:v>
                </c:pt>
                <c:pt idx="3">
                  <c:v>2017-2018</c:v>
                </c:pt>
                <c:pt idx="4">
                  <c:v>2018-2019</c:v>
                </c:pt>
              </c:strCache>
            </c:strRef>
          </c:cat>
          <c:val>
            <c:numRef>
              <c:f>Sheet1!$C$2:$C$6</c:f>
              <c:numCache>
                <c:formatCode>#\ ###</c:formatCode>
                <c:ptCount val="5"/>
                <c:pt idx="0">
                  <c:v>62</c:v>
                </c:pt>
                <c:pt idx="1">
                  <c:v>118</c:v>
                </c:pt>
                <c:pt idx="2">
                  <c:v>113</c:v>
                </c:pt>
                <c:pt idx="3">
                  <c:v>134</c:v>
                </c:pt>
                <c:pt idx="4">
                  <c:v>164</c:v>
                </c:pt>
              </c:numCache>
            </c:numRef>
          </c:val>
          <c:extLst>
            <c:ext xmlns:c16="http://schemas.microsoft.com/office/drawing/2014/chart" uri="{C3380CC4-5D6E-409C-BE32-E72D297353CC}">
              <c16:uniqueId val="{0000000B-62B8-49A4-80FA-BC4FD1A3E546}"/>
            </c:ext>
          </c:extLst>
        </c:ser>
        <c:dLbls>
          <c:showLegendKey val="0"/>
          <c:showVal val="0"/>
          <c:showCatName val="0"/>
          <c:showSerName val="0"/>
          <c:showPercent val="0"/>
          <c:showBubbleSize val="0"/>
        </c:dLbls>
        <c:gapWidth val="150"/>
        <c:axId val="537050632"/>
        <c:axId val="537049064"/>
      </c:barChart>
      <c:lineChart>
        <c:grouping val="standard"/>
        <c:varyColors val="0"/>
        <c:ser>
          <c:idx val="2"/>
          <c:order val="2"/>
          <c:tx>
            <c:strRef>
              <c:f>Sheet1!$D$1</c:f>
              <c:strCache>
                <c:ptCount val="1"/>
                <c:pt idx="0">
                  <c:v>% de processus non annoncés</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dLbls>
            <c:dLbl>
              <c:idx val="0"/>
              <c:layout>
                <c:manualLayout>
                  <c:x val="-8.5434711286089232E-2"/>
                  <c:y val="-1.91783312375440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2B8-49A4-80FA-BC4FD1A3E546}"/>
                </c:ext>
              </c:extLst>
            </c:dLbl>
            <c:dLbl>
              <c:idx val="1"/>
              <c:layout>
                <c:manualLayout>
                  <c:x val="-4.4835411198600177E-2"/>
                  <c:y val="-3.09385325434985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2B8-49A4-80FA-BC4FD1A3E546}"/>
                </c:ext>
              </c:extLst>
            </c:dLbl>
            <c:dLbl>
              <c:idx val="2"/>
              <c:layout>
                <c:manualLayout>
                  <c:x val="-7.8052274715660605E-2"/>
                  <c:y val="-3.23331850441906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62B8-49A4-80FA-BC4FD1A3E546}"/>
                </c:ext>
              </c:extLst>
            </c:dLbl>
            <c:dLbl>
              <c:idx val="3"/>
              <c:layout>
                <c:manualLayout>
                  <c:x val="-8.4703904199475072E-2"/>
                  <c:y val="-3.46864373280959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2B8-49A4-80FA-BC4FD1A3E546}"/>
                </c:ext>
              </c:extLst>
            </c:dLbl>
            <c:dLbl>
              <c:idx val="4"/>
              <c:layout>
                <c:manualLayout>
                  <c:x val="-2.2050524934383201E-2"/>
                  <c:y val="-3.34686299598241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62B8-49A4-80FA-BC4FD1A3E54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c:v>
                </c:pt>
                <c:pt idx="1">
                  <c:v>2015-2016 </c:v>
                </c:pt>
                <c:pt idx="2">
                  <c:v>2016-2017</c:v>
                </c:pt>
                <c:pt idx="3">
                  <c:v>2017-2018</c:v>
                </c:pt>
                <c:pt idx="4">
                  <c:v>2018-2019</c:v>
                </c:pt>
              </c:strCache>
            </c:strRef>
          </c:cat>
          <c:val>
            <c:numRef>
              <c:f>Sheet1!$D$2:$D$6</c:f>
              <c:numCache>
                <c:formatCode>0%</c:formatCode>
                <c:ptCount val="5"/>
                <c:pt idx="0">
                  <c:v>0.45</c:v>
                </c:pt>
                <c:pt idx="1">
                  <c:v>0.42</c:v>
                </c:pt>
                <c:pt idx="2">
                  <c:v>0.48</c:v>
                </c:pt>
                <c:pt idx="3">
                  <c:v>0.55000000000000004</c:v>
                </c:pt>
                <c:pt idx="4">
                  <c:v>0.52</c:v>
                </c:pt>
              </c:numCache>
            </c:numRef>
          </c:val>
          <c:smooth val="0"/>
          <c:extLst>
            <c:ext xmlns:c16="http://schemas.microsoft.com/office/drawing/2014/chart" uri="{C3380CC4-5D6E-409C-BE32-E72D297353CC}">
              <c16:uniqueId val="{00000011-62B8-49A4-80FA-BC4FD1A3E546}"/>
            </c:ext>
          </c:extLst>
        </c:ser>
        <c:dLbls>
          <c:showLegendKey val="0"/>
          <c:showVal val="0"/>
          <c:showCatName val="0"/>
          <c:showSerName val="0"/>
          <c:showPercent val="0"/>
          <c:showBubbleSize val="0"/>
        </c:dLbls>
        <c:marker val="1"/>
        <c:smooth val="0"/>
        <c:axId val="537049848"/>
        <c:axId val="537051416"/>
      </c:lineChart>
      <c:catAx>
        <c:axId val="53705063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37049064"/>
        <c:crosses val="autoZero"/>
        <c:auto val="1"/>
        <c:lblAlgn val="ctr"/>
        <c:lblOffset val="100"/>
        <c:noMultiLvlLbl val="0"/>
      </c:catAx>
      <c:valAx>
        <c:axId val="537049064"/>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37050632"/>
        <c:crosses val="autoZero"/>
        <c:crossBetween val="between"/>
      </c:valAx>
      <c:valAx>
        <c:axId val="537051416"/>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37049848"/>
        <c:crosses val="max"/>
        <c:crossBetween val="between"/>
      </c:valAx>
      <c:catAx>
        <c:axId val="537049848"/>
        <c:scaling>
          <c:orientation val="minMax"/>
        </c:scaling>
        <c:delete val="1"/>
        <c:axPos val="b"/>
        <c:numFmt formatCode="General" sourceLinked="1"/>
        <c:majorTickMark val="out"/>
        <c:minorTickMark val="none"/>
        <c:tickLblPos val="nextTo"/>
        <c:crossAx val="537051416"/>
        <c:crosses val="autoZero"/>
        <c:auto val="1"/>
        <c:lblAlgn val="ctr"/>
        <c:lblOffset val="100"/>
        <c:noMultiLvlLbl val="0"/>
      </c:catAx>
      <c:spPr>
        <a:noFill/>
        <a:ln>
          <a:noFill/>
        </a:ln>
        <a:effectLst/>
      </c:spPr>
    </c:plotArea>
    <c:legend>
      <c:legendPos val="b"/>
      <c:layout>
        <c:manualLayout>
          <c:xMode val="edge"/>
          <c:yMode val="edge"/>
          <c:x val="1.3961605584642234E-2"/>
          <c:y val="0.70815236778278368"/>
          <c:w val="0.98603839441535779"/>
          <c:h val="0.15745341767709156"/>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fr-FR" sz="1200"/>
              <a:t>Dotation par type de nomination</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40835520559928"/>
          <c:y val="0.1339700040434969"/>
          <c:w val="0.84333349635643373"/>
          <c:h val="0.5659525943872401"/>
        </c:manualLayout>
      </c:layout>
      <c:bar3DChart>
        <c:barDir val="col"/>
        <c:grouping val="clustered"/>
        <c:varyColors val="0"/>
        <c:ser>
          <c:idx val="0"/>
          <c:order val="0"/>
          <c:tx>
            <c:strRef>
              <c:f>Sheet1!$B$1</c:f>
              <c:strCache>
                <c:ptCount val="1"/>
                <c:pt idx="0">
                  <c:v>Promotions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1.2939632545931759E-3"/>
                  <c:y val="2.17852614577023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E5A-4844-B7A8-6CE17CD7AF1A}"/>
                </c:ext>
              </c:extLst>
            </c:dLbl>
            <c:dLbl>
              <c:idx val="1"/>
              <c:layout>
                <c:manualLayout>
                  <c:x val="-1.1111111111111112E-2"/>
                  <c:y val="2.37028063799716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E5A-4844-B7A8-6CE17CD7AF1A}"/>
                </c:ext>
              </c:extLst>
            </c:dLbl>
            <c:dLbl>
              <c:idx val="2"/>
              <c:layout>
                <c:manualLayout>
                  <c:x val="-1.1111111111111162E-2"/>
                  <c:y val="2.38853220270542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E5A-4844-B7A8-6CE17CD7AF1A}"/>
                </c:ext>
              </c:extLst>
            </c:dLbl>
            <c:dLbl>
              <c:idx val="3"/>
              <c:layout>
                <c:manualLayout>
                  <c:x val="-5.5555555555555558E-3"/>
                  <c:y val="2.3520290732889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E5A-4844-B7A8-6CE17CD7AF1A}"/>
                </c:ext>
              </c:extLst>
            </c:dLbl>
            <c:dLbl>
              <c:idx val="4"/>
              <c:layout>
                <c:manualLayout>
                  <c:x val="-1.388888888888899E-2"/>
                  <c:y val="2.79878861296183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E5A-4844-B7A8-6CE17CD7AF1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2014-2015 
(N=511)</c:v>
                </c:pt>
                <c:pt idx="1">
                  <c:v>2015-2016
(N=1 026)</c:v>
                </c:pt>
                <c:pt idx="2">
                  <c:v>2016-2017 
(N=861)</c:v>
                </c:pt>
                <c:pt idx="3">
                  <c:v>2017-2018
(N=821)</c:v>
                </c:pt>
                <c:pt idx="4">
                  <c:v>2018-2019
(N=993)</c:v>
                </c:pt>
              </c:strCache>
            </c:strRef>
          </c:cat>
          <c:val>
            <c:numRef>
              <c:f>Sheet1!$B$3:$B$7</c:f>
              <c:numCache>
                <c:formatCode>#\ ###</c:formatCode>
                <c:ptCount val="5"/>
                <c:pt idx="0">
                  <c:v>59</c:v>
                </c:pt>
                <c:pt idx="1">
                  <c:v>114</c:v>
                </c:pt>
                <c:pt idx="2">
                  <c:v>139</c:v>
                </c:pt>
                <c:pt idx="3">
                  <c:v>150</c:v>
                </c:pt>
                <c:pt idx="4">
                  <c:v>194</c:v>
                </c:pt>
              </c:numCache>
            </c:numRef>
          </c:val>
          <c:extLst>
            <c:ext xmlns:c16="http://schemas.microsoft.com/office/drawing/2014/chart" uri="{C3380CC4-5D6E-409C-BE32-E72D297353CC}">
              <c16:uniqueId val="{00000005-2E5A-4844-B7A8-6CE17CD7AF1A}"/>
            </c:ext>
          </c:extLst>
        </c:ser>
        <c:ser>
          <c:idx val="1"/>
          <c:order val="1"/>
          <c:tx>
            <c:strRef>
              <c:f>Sheet1!$C$1</c:f>
              <c:strCache>
                <c:ptCount val="1"/>
                <c:pt idx="0">
                  <c:v>Mutations latérales et rétrogradations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8.3333333333333332E-3"/>
                  <c:y val="1.56801938219261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E5A-4844-B7A8-6CE17CD7AF1A}"/>
                </c:ext>
              </c:extLst>
            </c:dLbl>
            <c:dLbl>
              <c:idx val="1"/>
              <c:layout>
                <c:manualLayout>
                  <c:x val="-1.1111111111111112E-2"/>
                  <c:y val="1.94177266303250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E5A-4844-B7A8-6CE17CD7AF1A}"/>
                </c:ext>
              </c:extLst>
            </c:dLbl>
            <c:dLbl>
              <c:idx val="2"/>
              <c:layout>
                <c:manualLayout>
                  <c:x val="-8.3333333333333332E-3"/>
                  <c:y val="1.99652735715727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E5A-4844-B7A8-6CE17CD7AF1A}"/>
                </c:ext>
              </c:extLst>
            </c:dLbl>
            <c:dLbl>
              <c:idx val="3"/>
              <c:layout>
                <c:manualLayout>
                  <c:x val="-5.5555555555555558E-3"/>
                  <c:y val="1.58627094690086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E5A-4844-B7A8-6CE17CD7AF1A}"/>
                </c:ext>
              </c:extLst>
            </c:dLbl>
            <c:dLbl>
              <c:idx val="4"/>
              <c:layout>
                <c:manualLayout>
                  <c:x val="-8.3333333333334356E-3"/>
                  <c:y val="1.96002422774076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E5A-4844-B7A8-6CE17CD7AF1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2014-2015 
(N=511)</c:v>
                </c:pt>
                <c:pt idx="1">
                  <c:v>2015-2016
(N=1 026)</c:v>
                </c:pt>
                <c:pt idx="2">
                  <c:v>2016-2017 
(N=861)</c:v>
                </c:pt>
                <c:pt idx="3">
                  <c:v>2017-2018
(N=821)</c:v>
                </c:pt>
                <c:pt idx="4">
                  <c:v>2018-2019
(N=993)</c:v>
                </c:pt>
              </c:strCache>
            </c:strRef>
          </c:cat>
          <c:val>
            <c:numRef>
              <c:f>Sheet1!$C$3:$C$7</c:f>
              <c:numCache>
                <c:formatCode>#\ ###</c:formatCode>
                <c:ptCount val="5"/>
                <c:pt idx="0">
                  <c:v>132</c:v>
                </c:pt>
                <c:pt idx="1">
                  <c:v>332</c:v>
                </c:pt>
                <c:pt idx="2">
                  <c:v>200</c:v>
                </c:pt>
                <c:pt idx="3">
                  <c:v>169</c:v>
                </c:pt>
                <c:pt idx="4">
                  <c:v>218</c:v>
                </c:pt>
              </c:numCache>
            </c:numRef>
          </c:val>
          <c:extLst>
            <c:ext xmlns:c16="http://schemas.microsoft.com/office/drawing/2014/chart" uri="{C3380CC4-5D6E-409C-BE32-E72D297353CC}">
              <c16:uniqueId val="{0000000B-2E5A-4844-B7A8-6CE17CD7AF1A}"/>
            </c:ext>
          </c:extLst>
        </c:ser>
        <c:ser>
          <c:idx val="2"/>
          <c:order val="2"/>
          <c:tx>
            <c:strRef>
              <c:f>Sheet1!$D$1</c:f>
              <c:strCache>
                <c:ptCount val="1"/>
                <c:pt idx="0">
                  <c:v>Nominations à la fonction publique (dont des travailleurs occasionnels et des étudiants)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2.0147789218655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E5A-4844-B7A8-6CE17CD7AF1A}"/>
                </c:ext>
              </c:extLst>
            </c:dLbl>
            <c:dLbl>
              <c:idx val="1"/>
              <c:layout>
                <c:manualLayout>
                  <c:x val="8.2852143482059644E-4"/>
                  <c:y val="1.2005007066424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E5A-4844-B7A8-6CE17CD7AF1A}"/>
                </c:ext>
              </c:extLst>
            </c:dLbl>
            <c:dLbl>
              <c:idx val="2"/>
              <c:layout>
                <c:manualLayout>
                  <c:x val="-2.7777777777777779E-3"/>
                  <c:y val="2.38853220270542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E5A-4844-B7A8-6CE17CD7AF1A}"/>
                </c:ext>
              </c:extLst>
            </c:dLbl>
            <c:dLbl>
              <c:idx val="3"/>
              <c:layout>
                <c:manualLayout>
                  <c:x val="2.7777777777777779E-3"/>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E5A-4844-B7A8-6CE17CD7AF1A}"/>
                </c:ext>
              </c:extLst>
            </c:dLbl>
            <c:dLbl>
              <c:idx val="4"/>
              <c:layout>
                <c:manualLayout>
                  <c:x val="3.6062992125984253E-3"/>
                  <c:y val="2.38853220270542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2E5A-4844-B7A8-6CE17CD7AF1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2014-2015 
(N=511)</c:v>
                </c:pt>
                <c:pt idx="1">
                  <c:v>2015-2016
(N=1 026)</c:v>
                </c:pt>
                <c:pt idx="2">
                  <c:v>2016-2017 
(N=861)</c:v>
                </c:pt>
                <c:pt idx="3">
                  <c:v>2017-2018
(N=821)</c:v>
                </c:pt>
                <c:pt idx="4">
                  <c:v>2018-2019
(N=993)</c:v>
                </c:pt>
              </c:strCache>
            </c:strRef>
          </c:cat>
          <c:val>
            <c:numRef>
              <c:f>Sheet1!$D$3:$D$7</c:f>
              <c:numCache>
                <c:formatCode>#\ ###</c:formatCode>
                <c:ptCount val="5"/>
                <c:pt idx="0">
                  <c:v>257</c:v>
                </c:pt>
                <c:pt idx="1">
                  <c:v>479</c:v>
                </c:pt>
                <c:pt idx="2">
                  <c:v>445</c:v>
                </c:pt>
                <c:pt idx="3">
                  <c:v>407</c:v>
                </c:pt>
                <c:pt idx="4">
                  <c:v>513</c:v>
                </c:pt>
              </c:numCache>
            </c:numRef>
          </c:val>
          <c:extLst>
            <c:ext xmlns:c16="http://schemas.microsoft.com/office/drawing/2014/chart" uri="{C3380CC4-5D6E-409C-BE32-E72D297353CC}">
              <c16:uniqueId val="{00000011-2E5A-4844-B7A8-6CE17CD7AF1A}"/>
            </c:ext>
          </c:extLst>
        </c:ser>
        <c:ser>
          <c:idx val="3"/>
          <c:order val="3"/>
          <c:tx>
            <c:strRef>
              <c:f>Sheet1!$E$1</c:f>
              <c:strCache>
                <c:ptCount val="1"/>
                <c:pt idx="0">
                  <c:v>Nominations intérimaires (à l’exception des nominations de moins de 4 mois)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5462668816039986E-17"/>
                  <c:y val="1.54976781748434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2E5A-4844-B7A8-6CE17CD7AF1A}"/>
                </c:ext>
              </c:extLst>
            </c:dLbl>
            <c:dLbl>
              <c:idx val="1"/>
              <c:layout>
                <c:manualLayout>
                  <c:x val="5.5555555555555558E-3"/>
                  <c:y val="2.03303048657379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2E5A-4844-B7A8-6CE17CD7AF1A}"/>
                </c:ext>
              </c:extLst>
            </c:dLbl>
            <c:dLbl>
              <c:idx val="2"/>
              <c:layout>
                <c:manualLayout>
                  <c:x val="0"/>
                  <c:y val="2.06953361599030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2E5A-4844-B7A8-6CE17CD7AF1A}"/>
                </c:ext>
              </c:extLst>
            </c:dLbl>
            <c:dLbl>
              <c:idx val="3"/>
              <c:layout>
                <c:manualLayout>
                  <c:x val="8.285214348206474E-4"/>
                  <c:y val="2.039265091863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2E5A-4844-B7A8-6CE17CD7AF1A}"/>
                </c:ext>
              </c:extLst>
            </c:dLbl>
            <c:dLbl>
              <c:idx val="4"/>
              <c:layout>
                <c:manualLayout>
                  <c:x val="8.285214348206474E-4"/>
                  <c:y val="2.38853220270543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2E5A-4844-B7A8-6CE17CD7AF1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2014-2015 
(N=511)</c:v>
                </c:pt>
                <c:pt idx="1">
                  <c:v>2015-2016
(N=1 026)</c:v>
                </c:pt>
                <c:pt idx="2">
                  <c:v>2016-2017 
(N=861)</c:v>
                </c:pt>
                <c:pt idx="3">
                  <c:v>2017-2018
(N=821)</c:v>
                </c:pt>
                <c:pt idx="4">
                  <c:v>2018-2019
(N=993)</c:v>
                </c:pt>
              </c:strCache>
            </c:strRef>
          </c:cat>
          <c:val>
            <c:numRef>
              <c:f>Sheet1!$E$3:$E$7</c:f>
              <c:numCache>
                <c:formatCode>#\ ###</c:formatCode>
                <c:ptCount val="5"/>
                <c:pt idx="0">
                  <c:v>63</c:v>
                </c:pt>
                <c:pt idx="1">
                  <c:v>101</c:v>
                </c:pt>
                <c:pt idx="2">
                  <c:v>77</c:v>
                </c:pt>
                <c:pt idx="3">
                  <c:v>95</c:v>
                </c:pt>
                <c:pt idx="4">
                  <c:v>68</c:v>
                </c:pt>
              </c:numCache>
            </c:numRef>
          </c:val>
          <c:extLst>
            <c:ext xmlns:c16="http://schemas.microsoft.com/office/drawing/2014/chart" uri="{C3380CC4-5D6E-409C-BE32-E72D297353CC}">
              <c16:uniqueId val="{00000017-2E5A-4844-B7A8-6CE17CD7AF1A}"/>
            </c:ext>
          </c:extLst>
        </c:ser>
        <c:dLbls>
          <c:showLegendKey val="0"/>
          <c:showVal val="0"/>
          <c:showCatName val="0"/>
          <c:showSerName val="0"/>
          <c:showPercent val="0"/>
          <c:showBubbleSize val="0"/>
        </c:dLbls>
        <c:gapWidth val="150"/>
        <c:shape val="box"/>
        <c:axId val="537051808"/>
        <c:axId val="537052200"/>
        <c:axId val="0"/>
      </c:bar3DChart>
      <c:catAx>
        <c:axId val="53705180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537052200"/>
        <c:crosses val="autoZero"/>
        <c:auto val="0"/>
        <c:lblAlgn val="ctr"/>
        <c:lblOffset val="100"/>
        <c:noMultiLvlLbl val="0"/>
      </c:catAx>
      <c:valAx>
        <c:axId val="537052200"/>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37051808"/>
        <c:crosses val="autoZero"/>
        <c:crossBetween val="between"/>
      </c:valAx>
      <c:spPr>
        <a:noFill/>
        <a:ln>
          <a:noFill/>
        </a:ln>
        <a:effectLst/>
      </c:spPr>
    </c:plotArea>
    <c:legend>
      <c:legendPos val="r"/>
      <c:layout>
        <c:manualLayout>
          <c:xMode val="edge"/>
          <c:yMode val="edge"/>
          <c:x val="0"/>
          <c:y val="0.80998182919442763"/>
          <c:w val="1"/>
          <c:h val="0.1900181708055723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fr-FR" sz="1200"/>
              <a:t>Dotation selon la durée d’emploi</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40835520559928"/>
          <c:y val="0.13132759943468605"/>
          <c:w val="0.86277799650043729"/>
          <c:h val="0.57944227740763177"/>
        </c:manualLayout>
      </c:layout>
      <c:bar3DChart>
        <c:barDir val="col"/>
        <c:grouping val="clustered"/>
        <c:varyColors val="0"/>
        <c:ser>
          <c:idx val="0"/>
          <c:order val="0"/>
          <c:tx>
            <c:strRef>
              <c:f>Sheet1!$B$1</c:f>
              <c:strCache>
                <c:ptCount val="1"/>
                <c:pt idx="0">
                  <c:v>Nommés pour une période indéterminée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08A-4ED2-BC8C-B66B2FA8F9CF}"/>
                </c:ext>
              </c:extLst>
            </c:dLbl>
            <c:dLbl>
              <c:idx val="1"/>
              <c:layout>
                <c:manualLayout>
                  <c:x val="0"/>
                  <c:y val="1.96001568012544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08A-4ED2-BC8C-B66B2FA8F9CF}"/>
                </c:ext>
              </c:extLst>
            </c:dLbl>
            <c:dLbl>
              <c:idx val="2"/>
              <c:layout>
                <c:manualLayout>
                  <c:x val="-2.7777777777778798E-3"/>
                  <c:y val="1.96001568012543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08A-4ED2-BC8C-B66B2FA8F9CF}"/>
                </c:ext>
              </c:extLst>
            </c:dLbl>
            <c:dLbl>
              <c:idx val="3"/>
              <c:layout>
                <c:manualLayout>
                  <c:x val="-2.7777777777778798E-3"/>
                  <c:y val="1.97827579244901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08A-4ED2-BC8C-B66B2FA8F9CF}"/>
                </c:ext>
              </c:extLst>
            </c:dLbl>
            <c:dLbl>
              <c:idx val="4"/>
              <c:layout>
                <c:manualLayout>
                  <c:x val="-2.7777777777778798E-3"/>
                  <c:y val="1.96002422774076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08A-4ED2-BC8C-B66B2FA8F9C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(N=511)</c:v>
                </c:pt>
                <c:pt idx="1">
                  <c:v>2015-2016
(N=1 026)</c:v>
                </c:pt>
                <c:pt idx="2">
                  <c:v>2016-2017 
(N=861)</c:v>
                </c:pt>
                <c:pt idx="3">
                  <c:v>2017-2018
(N=821)</c:v>
                </c:pt>
                <c:pt idx="4">
                  <c:v>2018-2019
(N=993)</c:v>
                </c:pt>
              </c:strCache>
            </c:strRef>
          </c:cat>
          <c:val>
            <c:numRef>
              <c:f>Sheet1!$B$2:$B$6</c:f>
              <c:numCache>
                <c:formatCode>#\ ###</c:formatCode>
                <c:ptCount val="5"/>
                <c:pt idx="0">
                  <c:v>268</c:v>
                </c:pt>
                <c:pt idx="1">
                  <c:v>580</c:v>
                </c:pt>
                <c:pt idx="2">
                  <c:v>468</c:v>
                </c:pt>
                <c:pt idx="3">
                  <c:v>461</c:v>
                </c:pt>
                <c:pt idx="4">
                  <c:v>549</c:v>
                </c:pt>
              </c:numCache>
            </c:numRef>
          </c:val>
          <c:extLst>
            <c:ext xmlns:c16="http://schemas.microsoft.com/office/drawing/2014/chart" uri="{C3380CC4-5D6E-409C-BE32-E72D297353CC}">
              <c16:uniqueId val="{00000005-408A-4ED2-BC8C-B66B2FA8F9CF}"/>
            </c:ext>
          </c:extLst>
        </c:ser>
        <c:ser>
          <c:idx val="1"/>
          <c:order val="1"/>
          <c:tx>
            <c:strRef>
              <c:f>Sheet1!$C$1</c:f>
              <c:strCache>
                <c:ptCount val="1"/>
                <c:pt idx="0">
                  <c:v>Nommés pour une durée déterminée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1.94177266303249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08A-4ED2-BC8C-B66B2FA8F9CF}"/>
                </c:ext>
              </c:extLst>
            </c:dLbl>
            <c:dLbl>
              <c:idx val="1"/>
              <c:layout>
                <c:manualLayout>
                  <c:x val="-2.7777777777777779E-3"/>
                  <c:y val="2.42503533212194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08A-4ED2-BC8C-B66B2FA8F9CF}"/>
                </c:ext>
              </c:extLst>
            </c:dLbl>
            <c:dLbl>
              <c:idx val="2"/>
              <c:layout>
                <c:manualLayout>
                  <c:x val="0"/>
                  <c:y val="2.37028063799716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08A-4ED2-BC8C-B66B2FA8F9CF}"/>
                </c:ext>
              </c:extLst>
            </c:dLbl>
            <c:dLbl>
              <c:idx val="3"/>
              <c:layout>
                <c:manualLayout>
                  <c:x val="0"/>
                  <c:y val="2.37028063799716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08A-4ED2-BC8C-B66B2FA8F9CF}"/>
                </c:ext>
              </c:extLst>
            </c:dLbl>
            <c:dLbl>
              <c:idx val="4"/>
              <c:layout>
                <c:manualLayout>
                  <c:x val="-1.0185067526415994E-16"/>
                  <c:y val="2.37028063799716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08A-4ED2-BC8C-B66B2FA8F9C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(N=511)</c:v>
                </c:pt>
                <c:pt idx="1">
                  <c:v>2015-2016
(N=1 026)</c:v>
                </c:pt>
                <c:pt idx="2">
                  <c:v>2016-2017 
(N=861)</c:v>
                </c:pt>
                <c:pt idx="3">
                  <c:v>2017-2018
(N=821)</c:v>
                </c:pt>
                <c:pt idx="4">
                  <c:v>2018-2019
(N=993)</c:v>
                </c:pt>
              </c:strCache>
            </c:strRef>
          </c:cat>
          <c:val>
            <c:numRef>
              <c:f>Sheet1!$C$2:$C$6</c:f>
              <c:numCache>
                <c:formatCode>#\ ###</c:formatCode>
                <c:ptCount val="5"/>
                <c:pt idx="0">
                  <c:v>21</c:v>
                </c:pt>
                <c:pt idx="1">
                  <c:v>79</c:v>
                </c:pt>
                <c:pt idx="2">
                  <c:v>61</c:v>
                </c:pt>
                <c:pt idx="3">
                  <c:v>68</c:v>
                </c:pt>
                <c:pt idx="4">
                  <c:v>94</c:v>
                </c:pt>
              </c:numCache>
            </c:numRef>
          </c:val>
          <c:extLst>
            <c:ext xmlns:c16="http://schemas.microsoft.com/office/drawing/2014/chart" uri="{C3380CC4-5D6E-409C-BE32-E72D297353CC}">
              <c16:uniqueId val="{0000000B-408A-4ED2-BC8C-B66B2FA8F9CF}"/>
            </c:ext>
          </c:extLst>
        </c:ser>
        <c:ser>
          <c:idx val="2"/>
          <c:order val="2"/>
          <c:tx>
            <c:strRef>
              <c:f>Sheet1!$D$1</c:f>
              <c:strCache>
                <c:ptCount val="1"/>
                <c:pt idx="0">
                  <c:v>Employés occasionnels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5.5555555555555558E-3"/>
                  <c:y val="2.44328689683020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08A-4ED2-BC8C-B66B2FA8F9CF}"/>
                </c:ext>
              </c:extLst>
            </c:dLbl>
            <c:dLbl>
              <c:idx val="1"/>
              <c:layout>
                <c:manualLayout>
                  <c:x val="2.7777777777777779E-3"/>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08A-4ED2-BC8C-B66B2FA8F9CF}"/>
                </c:ext>
              </c:extLst>
            </c:dLbl>
            <c:dLbl>
              <c:idx val="2"/>
              <c:layout>
                <c:manualLayout>
                  <c:x val="2.7777777777777779E-3"/>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08A-4ED2-BC8C-B66B2FA8F9CF}"/>
                </c:ext>
              </c:extLst>
            </c:dLbl>
            <c:dLbl>
              <c:idx val="3"/>
              <c:layout>
                <c:manualLayout>
                  <c:x val="0"/>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08A-4ED2-BC8C-B66B2FA8F9CF}"/>
                </c:ext>
              </c:extLst>
            </c:dLbl>
            <c:dLbl>
              <c:idx val="4"/>
              <c:layout>
                <c:manualLayout>
                  <c:x val="5.5555555555553519E-3"/>
                  <c:y val="2.38853220270542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08A-4ED2-BC8C-B66B2FA8F9C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(N=511)</c:v>
                </c:pt>
                <c:pt idx="1">
                  <c:v>2015-2016
(N=1 026)</c:v>
                </c:pt>
                <c:pt idx="2">
                  <c:v>2016-2017 
(N=861)</c:v>
                </c:pt>
                <c:pt idx="3">
                  <c:v>2017-2018
(N=821)</c:v>
                </c:pt>
                <c:pt idx="4">
                  <c:v>2018-2019
(N=993)</c:v>
                </c:pt>
              </c:strCache>
            </c:strRef>
          </c:cat>
          <c:val>
            <c:numRef>
              <c:f>Sheet1!$D$2:$D$6</c:f>
              <c:numCache>
                <c:formatCode>#\ ###</c:formatCode>
                <c:ptCount val="5"/>
                <c:pt idx="0">
                  <c:v>140</c:v>
                </c:pt>
                <c:pt idx="1">
                  <c:v>225</c:v>
                </c:pt>
                <c:pt idx="2">
                  <c:v>217</c:v>
                </c:pt>
                <c:pt idx="3">
                  <c:v>185</c:v>
                </c:pt>
                <c:pt idx="4">
                  <c:v>241</c:v>
                </c:pt>
              </c:numCache>
            </c:numRef>
          </c:val>
          <c:extLst>
            <c:ext xmlns:c16="http://schemas.microsoft.com/office/drawing/2014/chart" uri="{C3380CC4-5D6E-409C-BE32-E72D297353CC}">
              <c16:uniqueId val="{00000011-408A-4ED2-BC8C-B66B2FA8F9CF}"/>
            </c:ext>
          </c:extLst>
        </c:ser>
        <c:ser>
          <c:idx val="3"/>
          <c:order val="3"/>
          <c:tx>
            <c:strRef>
              <c:f>Sheet1!$E$1</c:f>
              <c:strCache>
                <c:ptCount val="1"/>
                <c:pt idx="0">
                  <c:v>Étudiants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2.42503533212194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408A-4ED2-BC8C-B66B2FA8F9CF}"/>
                </c:ext>
              </c:extLst>
            </c:dLbl>
            <c:dLbl>
              <c:idx val="1"/>
              <c:layout>
                <c:manualLayout>
                  <c:x val="5.5555555555555046E-3"/>
                  <c:y val="2.3520290732889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408A-4ED2-BC8C-B66B2FA8F9CF}"/>
                </c:ext>
              </c:extLst>
            </c:dLbl>
            <c:dLbl>
              <c:idx val="2"/>
              <c:layout>
                <c:manualLayout>
                  <c:x val="2.777777777777676E-3"/>
                  <c:y val="2.76228548354531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408A-4ED2-BC8C-B66B2FA8F9CF}"/>
                </c:ext>
              </c:extLst>
            </c:dLbl>
            <c:dLbl>
              <c:idx val="3"/>
              <c:layout>
                <c:manualLayout>
                  <c:x val="8.3333333333334356E-3"/>
                  <c:y val="2.40678376741368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408A-4ED2-BC8C-B66B2FA8F9CF}"/>
                </c:ext>
              </c:extLst>
            </c:dLbl>
            <c:dLbl>
              <c:idx val="4"/>
              <c:layout>
                <c:manualLayout>
                  <c:x val="2.7777777777778798E-3"/>
                  <c:y val="2.370280637997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408A-4ED2-BC8C-B66B2FA8F9C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(N=511)</c:v>
                </c:pt>
                <c:pt idx="1">
                  <c:v>2015-2016
(N=1 026)</c:v>
                </c:pt>
                <c:pt idx="2">
                  <c:v>2016-2017 
(N=861)</c:v>
                </c:pt>
                <c:pt idx="3">
                  <c:v>2017-2018
(N=821)</c:v>
                </c:pt>
                <c:pt idx="4">
                  <c:v>2018-2019
(N=993)</c:v>
                </c:pt>
              </c:strCache>
            </c:strRef>
          </c:cat>
          <c:val>
            <c:numRef>
              <c:f>Sheet1!$E$2:$E$6</c:f>
              <c:numCache>
                <c:formatCode>#\ ###</c:formatCode>
                <c:ptCount val="5"/>
                <c:pt idx="0">
                  <c:v>82</c:v>
                </c:pt>
                <c:pt idx="1">
                  <c:v>142</c:v>
                </c:pt>
                <c:pt idx="2">
                  <c:v>115</c:v>
                </c:pt>
                <c:pt idx="3">
                  <c:v>107</c:v>
                </c:pt>
                <c:pt idx="4">
                  <c:v>109</c:v>
                </c:pt>
              </c:numCache>
            </c:numRef>
          </c:val>
          <c:extLst>
            <c:ext xmlns:c16="http://schemas.microsoft.com/office/drawing/2014/chart" uri="{C3380CC4-5D6E-409C-BE32-E72D297353CC}">
              <c16:uniqueId val="{00000017-408A-4ED2-BC8C-B66B2FA8F9CF}"/>
            </c:ext>
          </c:extLst>
        </c:ser>
        <c:dLbls>
          <c:showLegendKey val="0"/>
          <c:showVal val="1"/>
          <c:showCatName val="0"/>
          <c:showSerName val="0"/>
          <c:showPercent val="0"/>
          <c:showBubbleSize val="0"/>
        </c:dLbls>
        <c:gapWidth val="150"/>
        <c:shape val="box"/>
        <c:axId val="741278536"/>
        <c:axId val="741278928"/>
        <c:axId val="0"/>
      </c:bar3DChart>
      <c:catAx>
        <c:axId val="74127853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41278928"/>
        <c:crosses val="autoZero"/>
        <c:auto val="1"/>
        <c:lblAlgn val="ctr"/>
        <c:lblOffset val="100"/>
        <c:noMultiLvlLbl val="0"/>
      </c:catAx>
      <c:valAx>
        <c:axId val="741278928"/>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41278536"/>
        <c:crosses val="autoZero"/>
        <c:crossBetween val="between"/>
      </c:valAx>
      <c:spPr>
        <a:noFill/>
        <a:ln>
          <a:noFill/>
        </a:ln>
        <a:effectLst/>
      </c:spPr>
    </c:plotArea>
    <c:legend>
      <c:legendPos val="r"/>
      <c:layout>
        <c:manualLayout>
          <c:xMode val="edge"/>
          <c:yMode val="edge"/>
          <c:x val="8.3333333333333329E-2"/>
          <c:y val="0.81526638400969109"/>
          <c:w val="0.84867125984251957"/>
          <c:h val="0.1724259236826165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rawings/drawing1.xml><?xml version="1.0" encoding="utf-8"?>
<c:userShapes xmlns:c="http://schemas.openxmlformats.org/drawingml/2006/chart">
  <cdr:relSizeAnchor xmlns:cdr="http://schemas.openxmlformats.org/drawingml/2006/chartDrawing">
    <cdr:from>
      <cdr:x>0.01772</cdr:x>
      <cdr:y>0.94455</cdr:y>
    </cdr:from>
    <cdr:to>
      <cdr:x>0.9823</cdr:x>
      <cdr:y>1</cdr:y>
    </cdr:to>
    <cdr:sp macro="" textlink="">
      <cdr:nvSpPr>
        <cdr:cNvPr id="2" name="Text Box 1"/>
        <cdr:cNvSpPr txBox="1"/>
      </cdr:nvSpPr>
      <cdr:spPr>
        <a:xfrm xmlns:a="http://schemas.openxmlformats.org/drawingml/2006/main">
          <a:off x="60897" y="3429000"/>
          <a:ext cx="3314895" cy="201295"/>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pPr algn="ctr">
            <a:lnSpc>
              <a:spcPts val="900"/>
            </a:lnSpc>
          </a:pPr>
          <a:r>
            <a:rPr lang="en-CA" sz="850"/>
            <a:t>Données inconnues = 384</a:t>
          </a:r>
        </a:p>
      </cdr:txBody>
    </cdr:sp>
  </cdr:relSizeAnchor>
</c:userShapes>
</file>

<file path=word/drawings/drawing2.xml><?xml version="1.0" encoding="utf-8"?>
<c:userShapes xmlns:c="http://schemas.openxmlformats.org/drawingml/2006/chart">
  <cdr:relSizeAnchor xmlns:cdr="http://schemas.openxmlformats.org/drawingml/2006/chartDrawing">
    <cdr:from>
      <cdr:x>0.01772</cdr:x>
      <cdr:y>0.94455</cdr:y>
    </cdr:from>
    <cdr:to>
      <cdr:x>0.9823</cdr:x>
      <cdr:y>1</cdr:y>
    </cdr:to>
    <cdr:sp macro="" textlink="">
      <cdr:nvSpPr>
        <cdr:cNvPr id="2" name="Text Box 1"/>
        <cdr:cNvSpPr txBox="1"/>
      </cdr:nvSpPr>
      <cdr:spPr>
        <a:xfrm xmlns:a="http://schemas.openxmlformats.org/drawingml/2006/main">
          <a:off x="60897" y="3429000"/>
          <a:ext cx="3314895" cy="201295"/>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pPr algn="ctr">
            <a:lnSpc>
              <a:spcPts val="900"/>
            </a:lnSpc>
          </a:pPr>
          <a:r>
            <a:rPr lang="en-CA" sz="850"/>
            <a:t>Données inconnues = 3</a:t>
          </a:r>
        </a:p>
      </cdr:txBody>
    </cdr:sp>
  </cdr:relSizeAnchor>
</c:userShapes>
</file>

<file path=word/drawings/drawing3.xml><?xml version="1.0" encoding="utf-8"?>
<c:userShapes xmlns:c="http://schemas.openxmlformats.org/drawingml/2006/chart">
  <cdr:relSizeAnchor xmlns:cdr="http://schemas.openxmlformats.org/drawingml/2006/chartDrawing">
    <cdr:from>
      <cdr:x>0.01791</cdr:x>
      <cdr:y>0.91895</cdr:y>
    </cdr:from>
    <cdr:to>
      <cdr:x>0.98249</cdr:x>
      <cdr:y>0.9744</cdr:y>
    </cdr:to>
    <cdr:sp macro="" textlink="">
      <cdr:nvSpPr>
        <cdr:cNvPr id="2" name="Text Box 1"/>
        <cdr:cNvSpPr txBox="1"/>
      </cdr:nvSpPr>
      <cdr:spPr>
        <a:xfrm xmlns:a="http://schemas.openxmlformats.org/drawingml/2006/main">
          <a:off x="101188" y="2801555"/>
          <a:ext cx="5448261" cy="169047"/>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pPr>
            <a:lnSpc>
              <a:spcPts val="900"/>
            </a:lnSpc>
          </a:pPr>
          <a:r>
            <a:rPr lang="en-CA" sz="850"/>
            <a:t>- La répartition régionale exclut les données inconnues.</a:t>
          </a:r>
        </a:p>
      </cdr:txBody>
    </cdr:sp>
  </cdr:relSizeAnchor>
</c:userShapes>
</file>

<file path=word/drawings/drawing4.xml><?xml version="1.0" encoding="utf-8"?>
<c:userShapes xmlns:c="http://schemas.openxmlformats.org/drawingml/2006/chart">
  <cdr:relSizeAnchor xmlns:cdr="http://schemas.openxmlformats.org/drawingml/2006/chartDrawing">
    <cdr:from>
      <cdr:x>0.01302</cdr:x>
      <cdr:y>0.86232</cdr:y>
    </cdr:from>
    <cdr:to>
      <cdr:x>0.9776</cdr:x>
      <cdr:y>1</cdr:y>
    </cdr:to>
    <cdr:sp macro="" textlink="">
      <cdr:nvSpPr>
        <cdr:cNvPr id="2" name="Text Box 1"/>
        <cdr:cNvSpPr txBox="1"/>
      </cdr:nvSpPr>
      <cdr:spPr>
        <a:xfrm xmlns:a="http://schemas.openxmlformats.org/drawingml/2006/main">
          <a:off x="73541" y="2628899"/>
          <a:ext cx="5448262" cy="419735"/>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pPr>
            <a:lnSpc>
              <a:spcPts val="900"/>
            </a:lnSpc>
          </a:pPr>
          <a:r>
            <a:rPr lang="en-CA" sz="800"/>
            <a:t>- Comprend les nominations pour une</a:t>
          </a:r>
          <a:r>
            <a:rPr lang="en-CA" sz="800" baseline="0"/>
            <a:t> période déterminée et indéterminée.</a:t>
          </a:r>
        </a:p>
        <a:p xmlns:a="http://schemas.openxmlformats.org/drawingml/2006/main">
          <a:pPr>
            <a:lnSpc>
              <a:spcPts val="900"/>
            </a:lnSpc>
          </a:pPr>
          <a:r>
            <a:rPr lang="en-CA" sz="800" baseline="0"/>
            <a:t>- Exclut les mutations latérales et les rétrogradations, les mutations et les nominations intérimaires de moins de 4 mois.</a:t>
          </a:r>
        </a:p>
        <a:p xmlns:a="http://schemas.openxmlformats.org/drawingml/2006/main">
          <a:pPr>
            <a:lnSpc>
              <a:spcPts val="900"/>
            </a:lnSpc>
          </a:pPr>
          <a:r>
            <a:rPr lang="en-CA" sz="800" baseline="0"/>
            <a:t>- Comprend seulement les nominations dont le type de processus de dotation est connu </a:t>
          </a:r>
          <a:r>
            <a:rPr lang="en-CA" sz="800" baseline="0">
              <a:solidFill>
                <a:sysClr val="windowText" lastClr="000000"/>
              </a:solidFill>
            </a:rPr>
            <a:t>(de 63 % à 83 </a:t>
          </a:r>
          <a:r>
            <a:rPr lang="en-CA" sz="800" baseline="0"/>
            <a:t>% des nominations).</a:t>
          </a:r>
          <a:endParaRPr lang="en-CA" sz="800"/>
        </a:p>
      </cdr:txBody>
    </cdr:sp>
  </cdr:relSizeAnchor>
</c:userShapes>
</file>

<file path=word/drawings/drawing5.xml><?xml version="1.0" encoding="utf-8"?>
<c:userShapes xmlns:c="http://schemas.openxmlformats.org/drawingml/2006/chart">
  <cdr:relSizeAnchor xmlns:cdr="http://schemas.openxmlformats.org/drawingml/2006/chartDrawing">
    <cdr:from>
      <cdr:x>0.00086</cdr:x>
      <cdr:y>0.85764</cdr:y>
    </cdr:from>
    <cdr:to>
      <cdr:x>1</cdr:x>
      <cdr:y>1</cdr:y>
    </cdr:to>
    <cdr:sp macro="" textlink="">
      <cdr:nvSpPr>
        <cdr:cNvPr id="2" name="Text Box 1" descr="* Indeterminate and term hires with experience in a federal student recruitment program within the last 10 years.&#10;"/>
        <cdr:cNvSpPr txBox="1"/>
      </cdr:nvSpPr>
      <cdr:spPr>
        <a:xfrm xmlns:a="http://schemas.openxmlformats.org/drawingml/2006/main">
          <a:off x="2941" y="2550368"/>
          <a:ext cx="3416534" cy="42333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n-CA" sz="900">
              <a:solidFill>
                <a:sysClr val="windowText" lastClr="000000"/>
              </a:solidFill>
            </a:rPr>
            <a:t>* Personnes</a:t>
          </a:r>
          <a:r>
            <a:rPr lang="en-CA" sz="900" baseline="0">
              <a:solidFill>
                <a:sysClr val="windowText" lastClr="000000"/>
              </a:solidFill>
            </a:rPr>
            <a:t> embauchées possédant une expérience acquise dans le cadre d</a:t>
          </a:r>
          <a:r>
            <a:rPr lang="en-CA" sz="900" baseline="0">
              <a:solidFill>
                <a:sysClr val="windowText" lastClr="000000"/>
              </a:solidFill>
              <a:latin typeface="+mn-lt"/>
              <a:ea typeface="+mn-ea"/>
              <a:cs typeface="+mn-cs"/>
            </a:rPr>
            <a:t>’</a:t>
          </a:r>
          <a:r>
            <a:rPr lang="en-CA" sz="900" baseline="0">
              <a:solidFill>
                <a:sysClr val="windowText" lastClr="000000"/>
              </a:solidFill>
            </a:rPr>
            <a:t>un programme fédéral de recrutement d</a:t>
          </a:r>
          <a:r>
            <a:rPr lang="en-CA" sz="900" baseline="0">
              <a:solidFill>
                <a:sysClr val="windowText" lastClr="000000"/>
              </a:solidFill>
              <a:latin typeface="+mn-lt"/>
              <a:ea typeface="+mn-ea"/>
              <a:cs typeface="+mn-cs"/>
            </a:rPr>
            <a:t>’</a:t>
          </a:r>
          <a:r>
            <a:rPr lang="en-CA" sz="900" baseline="0">
              <a:solidFill>
                <a:sysClr val="windowText" lastClr="000000"/>
              </a:solidFill>
            </a:rPr>
            <a:t>étudiants de niveau post-secondaire au cours des 10 dernières années.</a:t>
          </a:r>
          <a:endParaRPr lang="en-CA" sz="900">
            <a:solidFill>
              <a:sysClr val="windowText" lastClr="000000"/>
            </a:solidFill>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0.24797</cdr:x>
      <cdr:y>0.19651</cdr:y>
    </cdr:from>
    <cdr:to>
      <cdr:x>0.24936</cdr:x>
      <cdr:y>0.74653</cdr:y>
    </cdr:to>
    <cdr:cxnSp macro="">
      <cdr:nvCxnSpPr>
        <cdr:cNvPr id="5" name="Straight Connector 4" descr="Median line fof the specified organization's internal time to staff graphic"/>
        <cdr:cNvCxnSpPr/>
      </cdr:nvCxnSpPr>
      <cdr:spPr>
        <a:xfrm xmlns:a="http://schemas.openxmlformats.org/drawingml/2006/main" flipV="1">
          <a:off x="1091198" y="557780"/>
          <a:ext cx="6116" cy="1561204"/>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drawings/drawing7.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0.24895</cdr:x>
      <cdr:y>0.21675</cdr:y>
    </cdr:from>
    <cdr:to>
      <cdr:x>0.25034</cdr:x>
      <cdr:y>0.76677</cdr:y>
    </cdr:to>
    <cdr:cxnSp macro="">
      <cdr:nvCxnSpPr>
        <cdr:cNvPr id="5" name="Straight Connector 4" descr="Median line fof the specified organization's internal time to staff graphic"/>
        <cdr:cNvCxnSpPr/>
      </cdr:nvCxnSpPr>
      <cdr:spPr>
        <a:xfrm xmlns:a="http://schemas.openxmlformats.org/drawingml/2006/main" flipV="1">
          <a:off x="1095534" y="600780"/>
          <a:ext cx="6117" cy="1524532"/>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drawings/drawing8.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0.26524</cdr:x>
      <cdr:y>0.19986</cdr:y>
    </cdr:from>
    <cdr:to>
      <cdr:x>0.26663</cdr:x>
      <cdr:y>0.74988</cdr:y>
    </cdr:to>
    <cdr:cxnSp macro="">
      <cdr:nvCxnSpPr>
        <cdr:cNvPr id="5" name="Straight Connector 4" descr="Median line fof the specified organization's internal time to staff graphic"/>
        <cdr:cNvCxnSpPr/>
      </cdr:nvCxnSpPr>
      <cdr:spPr>
        <a:xfrm xmlns:a="http://schemas.openxmlformats.org/drawingml/2006/main" flipV="1">
          <a:off x="1164667" y="536326"/>
          <a:ext cx="6103" cy="1475984"/>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theme/theme1.xml><?xml version="1.0" encoding="utf-8"?>
<a:theme xmlns:a="http://schemas.openxmlformats.org/drawingml/2006/main" name="CFP-PSC-Theme2019-fromWord">
  <a:themeElements>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0099A8"/>
      </a:hlink>
      <a:folHlink>
        <a:srgbClr val="A5A5A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D45BC-C665-4CC2-B764-62C0E590E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CFP-Entete-Corpo2019.dotx</Template>
  <TotalTime>8</TotalTime>
  <Pages>28</Pages>
  <Words>5273</Words>
  <Characters>30058</Characters>
  <Application>Microsoft Office Word</Application>
  <DocSecurity>0</DocSecurity>
  <Lines>250</Lines>
  <Paragraphs>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CFP-PSC</Company>
  <LinksUpToDate>false</LinksUpToDate>
  <CharactersWithSpaces>35261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Lefebvre</dc:creator>
  <cp:keywords/>
  <dc:description/>
  <cp:lastModifiedBy>Nicolas Lacroix</cp:lastModifiedBy>
  <cp:revision>3</cp:revision>
  <dcterms:created xsi:type="dcterms:W3CDTF">2022-03-04T19:39:00Z</dcterms:created>
  <dcterms:modified xsi:type="dcterms:W3CDTF">2022-04-19T16:27:00Z</dcterms:modified>
</cp:coreProperties>
</file>