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5A06A" w14:textId="77777777" w:rsidR="0084204D" w:rsidRPr="00725F40" w:rsidRDefault="0084204D" w:rsidP="00725F40">
      <w:pPr>
        <w:pStyle w:val="Titre"/>
      </w:pPr>
      <w:r w:rsidRPr="00725F40">
        <w:t>R</w:t>
      </w:r>
      <w:r w:rsidR="00215FA4" w:rsidRPr="00725F40">
        <w:t xml:space="preserve">esults of </w:t>
      </w:r>
      <w:r w:rsidRPr="00725F40">
        <w:t xml:space="preserve">2018-2019 </w:t>
      </w:r>
      <w:r w:rsidR="00B71CAE" w:rsidRPr="00725F40">
        <w:t>O</w:t>
      </w:r>
      <w:r w:rsidR="0061491A" w:rsidRPr="00725F40">
        <w:t>rganizational R</w:t>
      </w:r>
      <w:r w:rsidR="00215FA4" w:rsidRPr="00725F40">
        <w:t>eporting</w:t>
      </w:r>
      <w:r w:rsidRPr="00725F40">
        <w:t xml:space="preserve"> </w:t>
      </w:r>
      <w:r w:rsidR="0061491A" w:rsidRPr="00725F40">
        <w:t xml:space="preserve">for the Appointment Delegation and Accountability Instrument </w:t>
      </w:r>
      <w:r w:rsidRPr="00725F40">
        <w:t>(ADAI</w:t>
      </w:r>
      <w:r w:rsidR="0061491A" w:rsidRPr="00725F40">
        <w:t>) –Annex D</w:t>
      </w:r>
    </w:p>
    <w:p w14:paraId="1157D66E" w14:textId="77777777" w:rsidR="00725F40" w:rsidRPr="00725F40" w:rsidRDefault="0061491A" w:rsidP="00725F40">
      <w:pPr>
        <w:pStyle w:val="Titre"/>
        <w:rPr>
          <w:sz w:val="36"/>
        </w:rPr>
      </w:pPr>
      <w:r w:rsidRPr="00725F40">
        <w:rPr>
          <w:sz w:val="36"/>
        </w:rPr>
        <w:t>Presentation to the Meeting of the Commission (MOC)</w:t>
      </w:r>
    </w:p>
    <w:p w14:paraId="71C9FE38" w14:textId="77777777" w:rsidR="0084204D" w:rsidRPr="00725F40" w:rsidRDefault="0084204D" w:rsidP="00725F40">
      <w:pPr>
        <w:pStyle w:val="Titre"/>
        <w:rPr>
          <w:sz w:val="36"/>
        </w:rPr>
      </w:pPr>
      <w:r w:rsidRPr="00725F40">
        <w:rPr>
          <w:sz w:val="36"/>
        </w:rPr>
        <w:t>December 17, 2019</w:t>
      </w:r>
    </w:p>
    <w:p w14:paraId="6D2A9663" w14:textId="77777777" w:rsidR="0084204D" w:rsidRPr="00725F40" w:rsidRDefault="00215FA4" w:rsidP="00215FA4">
      <w:pPr>
        <w:pStyle w:val="Titre1"/>
        <w:spacing w:after="120" w:line="240" w:lineRule="auto"/>
      </w:pPr>
      <w:r w:rsidRPr="00725F40">
        <w:t>Objectives</w:t>
      </w:r>
    </w:p>
    <w:p w14:paraId="15D85179" w14:textId="77777777" w:rsidR="0084204D" w:rsidRPr="00725F40" w:rsidRDefault="0084204D" w:rsidP="003018FB">
      <w:pPr>
        <w:autoSpaceDE w:val="0"/>
        <w:autoSpaceDN w:val="0"/>
        <w:adjustRightInd w:val="0"/>
        <w:spacing w:after="120" w:line="240" w:lineRule="auto"/>
        <w:contextualSpacing/>
        <w:rPr>
          <w:rFonts w:cstheme="minorHAnsi"/>
          <w:kern w:val="24"/>
        </w:rPr>
      </w:pPr>
      <w:r w:rsidRPr="00725F40">
        <w:rPr>
          <w:rFonts w:cstheme="minorHAnsi"/>
          <w:kern w:val="24"/>
        </w:rPr>
        <w:t xml:space="preserve">To provide an overview of the organizational reporting results stemming from Annex D of the </w:t>
      </w:r>
      <w:r w:rsidRPr="00725F40">
        <w:rPr>
          <w:rStyle w:val="Accentuation"/>
          <w:i w:val="0"/>
        </w:rPr>
        <w:t>Appointment Delegation and Accountability Instrument</w:t>
      </w:r>
      <w:r w:rsidRPr="00725F40">
        <w:rPr>
          <w:rFonts w:cstheme="minorHAnsi"/>
          <w:kern w:val="24"/>
        </w:rPr>
        <w:t xml:space="preserve"> (ADAI) for year 3 and convey early trend indicators. </w:t>
      </w:r>
    </w:p>
    <w:p w14:paraId="26BA4C07" w14:textId="77777777" w:rsidR="0084204D" w:rsidRPr="00725F40" w:rsidRDefault="0084204D" w:rsidP="003018FB">
      <w:pPr>
        <w:autoSpaceDE w:val="0"/>
        <w:autoSpaceDN w:val="0"/>
        <w:adjustRightInd w:val="0"/>
        <w:spacing w:after="0" w:line="240" w:lineRule="auto"/>
        <w:contextualSpacing/>
        <w:rPr>
          <w:rFonts w:cstheme="minorHAnsi"/>
          <w:kern w:val="24"/>
        </w:rPr>
      </w:pPr>
      <w:r w:rsidRPr="00725F40">
        <w:rPr>
          <w:rFonts w:cstheme="minorHAnsi"/>
          <w:kern w:val="24"/>
        </w:rPr>
        <w:t xml:space="preserve">To seek </w:t>
      </w:r>
      <w:r w:rsidRPr="00725F40">
        <w:rPr>
          <w:rFonts w:cstheme="minorHAnsi"/>
          <w:iCs/>
          <w:kern w:val="24"/>
        </w:rPr>
        <w:t>Meeting of Commission (MOC)</w:t>
      </w:r>
      <w:r w:rsidRPr="00725F40">
        <w:rPr>
          <w:rFonts w:cstheme="minorHAnsi"/>
          <w:i/>
          <w:iCs/>
          <w:kern w:val="24"/>
        </w:rPr>
        <w:t xml:space="preserve"> </w:t>
      </w:r>
      <w:r w:rsidRPr="00725F40">
        <w:rPr>
          <w:rFonts w:cstheme="minorHAnsi"/>
          <w:kern w:val="24"/>
        </w:rPr>
        <w:t>committee member views and direction on:</w:t>
      </w:r>
    </w:p>
    <w:p w14:paraId="54035D71" w14:textId="77777777" w:rsidR="0084204D" w:rsidRPr="00725F40" w:rsidRDefault="0084204D" w:rsidP="003018FB">
      <w:pPr>
        <w:numPr>
          <w:ilvl w:val="0"/>
          <w:numId w:val="5"/>
        </w:numPr>
        <w:autoSpaceDE w:val="0"/>
        <w:autoSpaceDN w:val="0"/>
        <w:adjustRightInd w:val="0"/>
        <w:spacing w:after="0" w:line="240" w:lineRule="auto"/>
        <w:ind w:left="714" w:hanging="357"/>
        <w:contextualSpacing/>
        <w:rPr>
          <w:rFonts w:cstheme="minorHAnsi"/>
          <w:kern w:val="24"/>
        </w:rPr>
      </w:pPr>
      <w:r w:rsidRPr="00725F40">
        <w:rPr>
          <w:rFonts w:cstheme="minorHAnsi"/>
          <w:kern w:val="24"/>
        </w:rPr>
        <w:t xml:space="preserve">Overall conclusion and observations for this cycle’s reporting. </w:t>
      </w:r>
    </w:p>
    <w:p w14:paraId="20249B09" w14:textId="77777777" w:rsidR="0084204D" w:rsidRPr="00725F40" w:rsidRDefault="0084204D" w:rsidP="003018FB">
      <w:pPr>
        <w:numPr>
          <w:ilvl w:val="0"/>
          <w:numId w:val="5"/>
        </w:numPr>
        <w:autoSpaceDE w:val="0"/>
        <w:autoSpaceDN w:val="0"/>
        <w:adjustRightInd w:val="0"/>
        <w:spacing w:after="120" w:line="240" w:lineRule="auto"/>
        <w:ind w:left="714" w:hanging="357"/>
        <w:contextualSpacing/>
        <w:rPr>
          <w:rFonts w:cstheme="minorHAnsi"/>
          <w:kern w:val="24"/>
        </w:rPr>
      </w:pPr>
      <w:r w:rsidRPr="00725F40">
        <w:rPr>
          <w:rFonts w:cstheme="minorHAnsi"/>
          <w:kern w:val="24"/>
        </w:rPr>
        <w:t>A review of the proposed changes and considerations to the reporting templates for cycle 2019-2020.</w:t>
      </w:r>
    </w:p>
    <w:p w14:paraId="375C59B9" w14:textId="1A68B5AC" w:rsidR="0084204D" w:rsidRPr="00725F40" w:rsidRDefault="0084204D" w:rsidP="00215FA4">
      <w:pPr>
        <w:pStyle w:val="Titre1"/>
        <w:spacing w:after="120" w:line="240" w:lineRule="auto"/>
      </w:pPr>
      <w:r w:rsidRPr="00725F40">
        <w:t>E</w:t>
      </w:r>
      <w:r w:rsidR="00215FA4" w:rsidRPr="00725F40">
        <w:t xml:space="preserve">xceptions to National Area of </w:t>
      </w:r>
      <w:r w:rsidR="00B401D8">
        <w:t>S</w:t>
      </w:r>
      <w:r w:rsidR="00215FA4" w:rsidRPr="00725F40">
        <w:t>election</w:t>
      </w:r>
      <w:r w:rsidR="00B4462E">
        <w:t xml:space="preserve"> (</w:t>
      </w:r>
      <w:proofErr w:type="spellStart"/>
      <w:r w:rsidR="00B4462E">
        <w:t>NAoS</w:t>
      </w:r>
      <w:proofErr w:type="spellEnd"/>
      <w:r w:rsidR="00B4462E">
        <w:t>)</w:t>
      </w:r>
      <w:r w:rsidRPr="00725F40">
        <w:t xml:space="preserve"> </w:t>
      </w:r>
    </w:p>
    <w:p w14:paraId="6CEAE38C" w14:textId="77777777" w:rsidR="0084204D" w:rsidRPr="00725F40" w:rsidRDefault="00215FA4" w:rsidP="00215FA4">
      <w:pPr>
        <w:pStyle w:val="Titre2"/>
        <w:spacing w:after="120" w:line="240" w:lineRule="auto"/>
      </w:pPr>
      <w:r w:rsidRPr="00725F40">
        <w:t>Context</w:t>
      </w:r>
    </w:p>
    <w:p w14:paraId="0A286DCB" w14:textId="77777777" w:rsidR="0084204D" w:rsidRPr="00725F40" w:rsidRDefault="0084204D" w:rsidP="003018FB">
      <w:pPr>
        <w:autoSpaceDE w:val="0"/>
        <w:autoSpaceDN w:val="0"/>
        <w:adjustRightInd w:val="0"/>
        <w:spacing w:after="120" w:line="240" w:lineRule="auto"/>
        <w:rPr>
          <w:rFonts w:cstheme="minorHAnsi"/>
          <w:kern w:val="24"/>
        </w:rPr>
      </w:pPr>
      <w:r w:rsidRPr="00725F40">
        <w:rPr>
          <w:rFonts w:cstheme="minorHAnsi"/>
          <w:kern w:val="24"/>
        </w:rPr>
        <w:t>In 2008, the P</w:t>
      </w:r>
      <w:r w:rsidR="004D178A" w:rsidRPr="00725F40">
        <w:rPr>
          <w:rFonts w:cstheme="minorHAnsi"/>
          <w:kern w:val="24"/>
        </w:rPr>
        <w:t xml:space="preserve">ublic </w:t>
      </w:r>
      <w:r w:rsidRPr="00725F40">
        <w:rPr>
          <w:rFonts w:cstheme="minorHAnsi"/>
          <w:kern w:val="24"/>
        </w:rPr>
        <w:t>S</w:t>
      </w:r>
      <w:r w:rsidR="004D178A" w:rsidRPr="00725F40">
        <w:rPr>
          <w:rFonts w:cstheme="minorHAnsi"/>
          <w:kern w:val="24"/>
        </w:rPr>
        <w:t xml:space="preserve">ervice </w:t>
      </w:r>
      <w:r w:rsidRPr="00725F40">
        <w:rPr>
          <w:rFonts w:cstheme="minorHAnsi"/>
          <w:kern w:val="24"/>
        </w:rPr>
        <w:t>C</w:t>
      </w:r>
      <w:r w:rsidR="004D178A" w:rsidRPr="00725F40">
        <w:rPr>
          <w:rFonts w:cstheme="minorHAnsi"/>
          <w:kern w:val="24"/>
        </w:rPr>
        <w:t>ommission (PSC)</w:t>
      </w:r>
      <w:r w:rsidRPr="00725F40">
        <w:rPr>
          <w:rFonts w:cstheme="minorHAnsi"/>
          <w:kern w:val="24"/>
        </w:rPr>
        <w:t xml:space="preserve"> </w:t>
      </w:r>
      <w:r w:rsidR="00500C50" w:rsidRPr="00725F40">
        <w:rPr>
          <w:rFonts w:cstheme="minorHAnsi"/>
          <w:kern w:val="24"/>
        </w:rPr>
        <w:t>implemented a n</w:t>
      </w:r>
      <w:r w:rsidRPr="00725F40">
        <w:rPr>
          <w:rFonts w:cstheme="minorHAnsi"/>
          <w:kern w:val="24"/>
        </w:rPr>
        <w:t>ational area of selection (</w:t>
      </w:r>
      <w:proofErr w:type="spellStart"/>
      <w:r w:rsidRPr="00725F40">
        <w:rPr>
          <w:rFonts w:cstheme="minorHAnsi"/>
          <w:kern w:val="24"/>
        </w:rPr>
        <w:t>NAoS</w:t>
      </w:r>
      <w:proofErr w:type="spellEnd"/>
      <w:r w:rsidRPr="00725F40">
        <w:rPr>
          <w:rFonts w:cstheme="minorHAnsi"/>
          <w:kern w:val="24"/>
        </w:rPr>
        <w:t>) for jobs open to the public, with a provision that D</w:t>
      </w:r>
      <w:r w:rsidR="004D5516" w:rsidRPr="00725F40">
        <w:rPr>
          <w:rFonts w:cstheme="minorHAnsi"/>
          <w:kern w:val="24"/>
        </w:rPr>
        <w:t xml:space="preserve">eputy </w:t>
      </w:r>
      <w:r w:rsidRPr="00725F40">
        <w:rPr>
          <w:rFonts w:cstheme="minorHAnsi"/>
          <w:kern w:val="24"/>
        </w:rPr>
        <w:t>H</w:t>
      </w:r>
      <w:r w:rsidR="004D5516" w:rsidRPr="00725F40">
        <w:rPr>
          <w:rFonts w:cstheme="minorHAnsi"/>
          <w:kern w:val="24"/>
        </w:rPr>
        <w:t>ead</w:t>
      </w:r>
      <w:r w:rsidRPr="00725F40">
        <w:rPr>
          <w:rFonts w:cstheme="minorHAnsi"/>
          <w:kern w:val="24"/>
        </w:rPr>
        <w:t>s</w:t>
      </w:r>
      <w:r w:rsidR="004D5516" w:rsidRPr="00725F40">
        <w:rPr>
          <w:rFonts w:cstheme="minorHAnsi"/>
          <w:kern w:val="24"/>
        </w:rPr>
        <w:t xml:space="preserve"> (DHs)</w:t>
      </w:r>
      <w:r w:rsidRPr="00725F40">
        <w:rPr>
          <w:rFonts w:cstheme="minorHAnsi"/>
          <w:kern w:val="24"/>
        </w:rPr>
        <w:t xml:space="preserve"> request an exception to this requirement from the PSC, on a case by case basis. Five requests were received from 2008 to March 2016, and all were approved. </w:t>
      </w:r>
    </w:p>
    <w:p w14:paraId="4C08C901" w14:textId="77777777" w:rsidR="00914083" w:rsidRPr="00725F40" w:rsidRDefault="0084204D" w:rsidP="003018FB">
      <w:pPr>
        <w:autoSpaceDE w:val="0"/>
        <w:autoSpaceDN w:val="0"/>
        <w:adjustRightInd w:val="0"/>
        <w:spacing w:after="120" w:line="240" w:lineRule="auto"/>
        <w:rPr>
          <w:rFonts w:cstheme="minorHAnsi"/>
          <w:kern w:val="24"/>
        </w:rPr>
      </w:pPr>
      <w:r w:rsidRPr="00725F40">
        <w:rPr>
          <w:rFonts w:cstheme="minorHAnsi"/>
          <w:kern w:val="24"/>
        </w:rPr>
        <w:t xml:space="preserve">In April 2016, the revised Appointment Policy maintained </w:t>
      </w:r>
      <w:proofErr w:type="spellStart"/>
      <w:r w:rsidRPr="00725F40">
        <w:rPr>
          <w:rFonts w:cstheme="minorHAnsi"/>
          <w:kern w:val="24"/>
        </w:rPr>
        <w:t>NAoS</w:t>
      </w:r>
      <w:proofErr w:type="spellEnd"/>
      <w:r w:rsidRPr="00725F40">
        <w:rPr>
          <w:rFonts w:cstheme="minorHAnsi"/>
          <w:kern w:val="24"/>
        </w:rPr>
        <w:t xml:space="preserve"> and gave DHs the authority to approve exceptions. The PSC therefore asked DHs to report annually on the use of this new discretion.</w:t>
      </w:r>
      <w:r w:rsidR="00914083" w:rsidRPr="00725F40">
        <w:rPr>
          <w:rFonts w:cstheme="minorHAnsi"/>
          <w:kern w:val="24"/>
        </w:rPr>
        <w:t xml:space="preserve"> </w:t>
      </w:r>
    </w:p>
    <w:p w14:paraId="0814176A" w14:textId="77777777" w:rsidR="00284BC2" w:rsidRPr="00725F40" w:rsidRDefault="00914083" w:rsidP="003018FB">
      <w:pPr>
        <w:autoSpaceDE w:val="0"/>
        <w:autoSpaceDN w:val="0"/>
        <w:adjustRightInd w:val="0"/>
        <w:spacing w:after="120" w:line="240" w:lineRule="auto"/>
        <w:rPr>
          <w:rFonts w:cstheme="minorHAnsi"/>
          <w:kern w:val="24"/>
        </w:rPr>
        <w:sectPr w:rsidR="00284BC2" w:rsidRPr="00725F40" w:rsidSect="0084204D">
          <w:footerReference w:type="default" r:id="rId8"/>
          <w:footerReference w:type="first" r:id="rId9"/>
          <w:pgSz w:w="12240" w:h="15840"/>
          <w:pgMar w:top="1985" w:right="1440" w:bottom="1440" w:left="1440" w:header="708" w:footer="283" w:gutter="0"/>
          <w:cols w:space="708"/>
          <w:titlePg/>
          <w:docGrid w:linePitch="360"/>
        </w:sectPr>
      </w:pPr>
      <w:r w:rsidRPr="00725F40">
        <w:rPr>
          <w:rFonts w:cstheme="minorHAnsi"/>
          <w:kern w:val="24"/>
        </w:rPr>
        <w:lastRenderedPageBreak/>
        <w:t xml:space="preserve">In 2018-19, DH exceptions to </w:t>
      </w:r>
      <w:proofErr w:type="spellStart"/>
      <w:r w:rsidRPr="00725F40">
        <w:rPr>
          <w:rFonts w:cstheme="minorHAnsi"/>
          <w:kern w:val="24"/>
        </w:rPr>
        <w:t>NAoS</w:t>
      </w:r>
      <w:proofErr w:type="spellEnd"/>
      <w:r w:rsidRPr="00725F40">
        <w:rPr>
          <w:rFonts w:cstheme="minorHAnsi"/>
          <w:kern w:val="24"/>
        </w:rPr>
        <w:t xml:space="preserve"> accounted for </w:t>
      </w:r>
      <w:r w:rsidRPr="00725F40">
        <w:rPr>
          <w:rStyle w:val="lev"/>
        </w:rPr>
        <w:t>2.05%</w:t>
      </w:r>
      <w:r w:rsidRPr="00725F40">
        <w:rPr>
          <w:rFonts w:cstheme="minorHAnsi"/>
          <w:bCs/>
          <w:kern w:val="24"/>
        </w:rPr>
        <w:t xml:space="preserve"> </w:t>
      </w:r>
      <w:r w:rsidRPr="00725F40">
        <w:rPr>
          <w:rFonts w:cstheme="minorHAnsi"/>
          <w:kern w:val="24"/>
        </w:rPr>
        <w:t>of all external advertised processes (67/3263).</w:t>
      </w:r>
    </w:p>
    <w:p w14:paraId="05D2EE24" w14:textId="77777777" w:rsidR="004602B9" w:rsidRPr="00725F40" w:rsidRDefault="004602B9" w:rsidP="00E80719">
      <w:pPr>
        <w:pStyle w:val="Lgende"/>
        <w:keepNext/>
        <w:spacing w:after="0"/>
        <w:rPr>
          <w:i w:val="0"/>
          <w:color w:val="auto"/>
        </w:rPr>
      </w:pPr>
      <w:r w:rsidRPr="00725F40">
        <w:rPr>
          <w:i w:val="0"/>
          <w:color w:val="auto"/>
        </w:rPr>
        <w:lastRenderedPageBreak/>
        <w:t xml:space="preserve">Table </w:t>
      </w:r>
      <w:r w:rsidRPr="00725F40">
        <w:rPr>
          <w:i w:val="0"/>
          <w:color w:val="auto"/>
        </w:rPr>
        <w:fldChar w:fldCharType="begin"/>
      </w:r>
      <w:r w:rsidRPr="00725F40">
        <w:rPr>
          <w:i w:val="0"/>
          <w:color w:val="auto"/>
        </w:rPr>
        <w:instrText xml:space="preserve"> SEQ Table \* ARABIC </w:instrText>
      </w:r>
      <w:r w:rsidRPr="00725F40">
        <w:rPr>
          <w:i w:val="0"/>
          <w:color w:val="auto"/>
        </w:rPr>
        <w:fldChar w:fldCharType="separate"/>
      </w:r>
      <w:r w:rsidR="007B56A5" w:rsidRPr="00725F40">
        <w:rPr>
          <w:i w:val="0"/>
          <w:noProof/>
          <w:color w:val="auto"/>
        </w:rPr>
        <w:t>1</w:t>
      </w:r>
      <w:r w:rsidRPr="00725F40">
        <w:rPr>
          <w:i w:val="0"/>
          <w:color w:val="auto"/>
        </w:rPr>
        <w:fldChar w:fldCharType="end"/>
      </w:r>
      <w:r w:rsidR="00E80719" w:rsidRPr="00725F40">
        <w:rPr>
          <w:i w:val="0"/>
          <w:color w:val="auto"/>
        </w:rPr>
        <w:t xml:space="preserve"> </w:t>
      </w:r>
      <w:r w:rsidRPr="00725F40">
        <w:rPr>
          <w:i w:val="0"/>
          <w:color w:val="auto"/>
        </w:rPr>
        <w:t>-</w:t>
      </w:r>
      <w:r w:rsidR="00E80719" w:rsidRPr="00725F40">
        <w:rPr>
          <w:i w:val="0"/>
          <w:color w:val="auto"/>
        </w:rPr>
        <w:t xml:space="preserve"> </w:t>
      </w:r>
      <w:r w:rsidRPr="00725F40">
        <w:rPr>
          <w:i w:val="0"/>
          <w:color w:val="auto"/>
        </w:rPr>
        <w:t xml:space="preserve">Exceptions to National Area of </w:t>
      </w:r>
      <w:r w:rsidR="00B401D8">
        <w:rPr>
          <w:i w:val="0"/>
          <w:color w:val="auto"/>
        </w:rPr>
        <w:t>S</w:t>
      </w:r>
      <w:r w:rsidRPr="00725F40">
        <w:rPr>
          <w:i w:val="0"/>
          <w:color w:val="auto"/>
        </w:rPr>
        <w:t>election</w:t>
      </w:r>
    </w:p>
    <w:tbl>
      <w:tblPr>
        <w:tblStyle w:val="Grilledutableau"/>
        <w:tblW w:w="5076" w:type="pct"/>
        <w:jc w:val="center"/>
        <w:tblLook w:val="04A0" w:firstRow="1" w:lastRow="0" w:firstColumn="1" w:lastColumn="0" w:noHBand="0" w:noVBand="1"/>
        <w:tblDescription w:val="Exceptions to National Area of Selection from 2016 to 2019"/>
      </w:tblPr>
      <w:tblGrid>
        <w:gridCol w:w="1285"/>
        <w:gridCol w:w="1599"/>
        <w:gridCol w:w="1362"/>
        <w:gridCol w:w="1754"/>
        <w:gridCol w:w="1764"/>
        <w:gridCol w:w="1728"/>
      </w:tblGrid>
      <w:tr w:rsidR="005E1AF9" w:rsidRPr="00725F40" w14:paraId="28E0C269" w14:textId="77777777" w:rsidTr="005E1AF9">
        <w:trPr>
          <w:cantSplit/>
          <w:tblHeader/>
          <w:jc w:val="center"/>
        </w:trPr>
        <w:tc>
          <w:tcPr>
            <w:tcW w:w="677" w:type="pct"/>
            <w:shd w:val="clear" w:color="auto" w:fill="54575A" w:themeFill="text1"/>
          </w:tcPr>
          <w:p w14:paraId="08068A23" w14:textId="77777777" w:rsidR="00E65ADE" w:rsidRPr="00B401D8" w:rsidRDefault="007B56A5" w:rsidP="00215FA4">
            <w:pPr>
              <w:pStyle w:val="TableTitle"/>
              <w:spacing w:before="120" w:after="120"/>
              <w:rPr>
                <w:rFonts w:cs="Segoe UI Semibold"/>
                <w:color w:val="FFFFFF" w:themeColor="background1"/>
              </w:rPr>
            </w:pPr>
            <w:r w:rsidRPr="00B401D8">
              <w:rPr>
                <w:rFonts w:cs="Segoe UI Semibold"/>
                <w:color w:val="FFFFFF" w:themeColor="background1"/>
              </w:rPr>
              <w:t>Exceptions Approved in Fiscal Y</w:t>
            </w:r>
            <w:r w:rsidR="00E65ADE" w:rsidRPr="00B401D8">
              <w:rPr>
                <w:rFonts w:cs="Segoe UI Semibold"/>
                <w:color w:val="FFFFFF" w:themeColor="background1"/>
              </w:rPr>
              <w:t>ear</w:t>
            </w:r>
          </w:p>
        </w:tc>
        <w:tc>
          <w:tcPr>
            <w:tcW w:w="842" w:type="pct"/>
            <w:shd w:val="clear" w:color="auto" w:fill="54575A" w:themeFill="text1"/>
          </w:tcPr>
          <w:p w14:paraId="7DEE16E2" w14:textId="77777777" w:rsidR="00E65ADE" w:rsidRPr="00B401D8" w:rsidRDefault="007B56A5" w:rsidP="00215FA4">
            <w:pPr>
              <w:pStyle w:val="TableTitle"/>
              <w:spacing w:before="120" w:after="120"/>
              <w:rPr>
                <w:rFonts w:cs="Segoe UI Semibold"/>
                <w:color w:val="FFFFFF" w:themeColor="background1"/>
              </w:rPr>
            </w:pPr>
            <w:r w:rsidRPr="00B401D8">
              <w:rPr>
                <w:rFonts w:cs="Segoe UI Semibold"/>
                <w:color w:val="FFFFFF" w:themeColor="background1"/>
              </w:rPr>
              <w:t>Number of O</w:t>
            </w:r>
            <w:r w:rsidR="00E65ADE" w:rsidRPr="00B401D8">
              <w:rPr>
                <w:rFonts w:cs="Segoe UI Semibold"/>
                <w:color w:val="FFFFFF" w:themeColor="background1"/>
              </w:rPr>
              <w:t>rganisations</w:t>
            </w:r>
          </w:p>
        </w:tc>
        <w:tc>
          <w:tcPr>
            <w:tcW w:w="718" w:type="pct"/>
            <w:shd w:val="clear" w:color="auto" w:fill="54575A" w:themeFill="text1"/>
          </w:tcPr>
          <w:p w14:paraId="31F0E8D1" w14:textId="77777777" w:rsidR="00E65ADE" w:rsidRPr="00B401D8" w:rsidRDefault="007B56A5" w:rsidP="00215FA4">
            <w:pPr>
              <w:pStyle w:val="TableTitle"/>
              <w:spacing w:before="120" w:after="120"/>
              <w:rPr>
                <w:rFonts w:cs="Segoe UI Semibold"/>
                <w:color w:val="FFFFFF" w:themeColor="background1"/>
              </w:rPr>
            </w:pPr>
            <w:r w:rsidRPr="00B401D8">
              <w:rPr>
                <w:rFonts w:cs="Segoe UI Semibold"/>
                <w:color w:val="FFFFFF" w:themeColor="background1"/>
              </w:rPr>
              <w:t>Number of E</w:t>
            </w:r>
            <w:r w:rsidR="00E65ADE" w:rsidRPr="00B401D8">
              <w:rPr>
                <w:rFonts w:cs="Segoe UI Semibold"/>
                <w:color w:val="FFFFFF" w:themeColor="background1"/>
              </w:rPr>
              <w:t>xceptions (Processes)</w:t>
            </w:r>
          </w:p>
        </w:tc>
        <w:tc>
          <w:tcPr>
            <w:tcW w:w="924" w:type="pct"/>
            <w:shd w:val="clear" w:color="auto" w:fill="54575A" w:themeFill="text1"/>
          </w:tcPr>
          <w:p w14:paraId="02207890" w14:textId="0296BE92" w:rsidR="00E65ADE" w:rsidRPr="00B401D8" w:rsidRDefault="007B56A5" w:rsidP="007B56A5">
            <w:pPr>
              <w:pStyle w:val="TableTitle"/>
              <w:spacing w:before="120" w:after="120"/>
              <w:rPr>
                <w:rFonts w:cs="Segoe UI Semibold"/>
                <w:color w:val="FFFFFF" w:themeColor="background1"/>
              </w:rPr>
            </w:pPr>
            <w:r w:rsidRPr="00B401D8">
              <w:rPr>
                <w:rFonts w:cs="Segoe UI Semibold"/>
                <w:color w:val="FFFFFF" w:themeColor="background1"/>
              </w:rPr>
              <w:t>Number of Appointments M</w:t>
            </w:r>
            <w:r w:rsidR="00E65ADE" w:rsidRPr="00B401D8">
              <w:rPr>
                <w:rFonts w:cs="Segoe UI Semibold"/>
                <w:color w:val="FFFFFF" w:themeColor="background1"/>
              </w:rPr>
              <w:t xml:space="preserve">ade in </w:t>
            </w:r>
            <w:r w:rsidRPr="00B401D8">
              <w:rPr>
                <w:rFonts w:cs="Segoe UI Semibold"/>
                <w:color w:val="FFFFFF" w:themeColor="background1"/>
              </w:rPr>
              <w:t>Fiscal Year</w:t>
            </w:r>
            <w:r w:rsidR="005E1AF9">
              <w:rPr>
                <w:rFonts w:cs="Segoe UI Semibold"/>
                <w:color w:val="FFFFFF" w:themeColor="background1"/>
              </w:rPr>
              <w:t xml:space="preserve"> 2016-2017</w:t>
            </w:r>
          </w:p>
        </w:tc>
        <w:tc>
          <w:tcPr>
            <w:tcW w:w="929" w:type="pct"/>
            <w:shd w:val="clear" w:color="auto" w:fill="54575A" w:themeFill="text1"/>
          </w:tcPr>
          <w:p w14:paraId="32BDEF99" w14:textId="3861324A" w:rsidR="00E65ADE" w:rsidRPr="00B401D8" w:rsidRDefault="007B56A5" w:rsidP="007B56A5">
            <w:pPr>
              <w:pStyle w:val="TableTitle"/>
              <w:spacing w:before="120" w:after="120"/>
              <w:rPr>
                <w:rFonts w:cs="Segoe UI Semibold"/>
                <w:color w:val="FFFFFF" w:themeColor="background1"/>
              </w:rPr>
            </w:pPr>
            <w:r w:rsidRPr="00B401D8">
              <w:rPr>
                <w:rFonts w:cs="Segoe UI Semibold"/>
                <w:color w:val="FFFFFF" w:themeColor="background1"/>
              </w:rPr>
              <w:t>Number of Appointments M</w:t>
            </w:r>
            <w:r w:rsidR="00E65ADE" w:rsidRPr="00B401D8">
              <w:rPr>
                <w:rFonts w:cs="Segoe UI Semibold"/>
                <w:color w:val="FFFFFF" w:themeColor="background1"/>
              </w:rPr>
              <w:t xml:space="preserve">ade in </w:t>
            </w:r>
            <w:r w:rsidRPr="00B401D8">
              <w:rPr>
                <w:rFonts w:cs="Segoe UI Semibold"/>
                <w:color w:val="FFFFFF" w:themeColor="background1"/>
              </w:rPr>
              <w:t>Fiscal Year</w:t>
            </w:r>
            <w:r w:rsidR="005E1AF9">
              <w:rPr>
                <w:rFonts w:cs="Segoe UI Semibold"/>
                <w:color w:val="FFFFFF" w:themeColor="background1"/>
              </w:rPr>
              <w:t xml:space="preserve"> 2017-2018</w:t>
            </w:r>
          </w:p>
        </w:tc>
        <w:tc>
          <w:tcPr>
            <w:tcW w:w="910" w:type="pct"/>
            <w:shd w:val="clear" w:color="auto" w:fill="54575A" w:themeFill="text1"/>
          </w:tcPr>
          <w:p w14:paraId="3B9D9EC5" w14:textId="56E1629C" w:rsidR="00E65ADE" w:rsidRPr="00B401D8" w:rsidRDefault="00E65ADE" w:rsidP="007B56A5">
            <w:pPr>
              <w:pStyle w:val="TableTitle"/>
              <w:spacing w:before="120" w:after="120"/>
              <w:rPr>
                <w:rFonts w:cs="Segoe UI Semibold"/>
                <w:color w:val="FFFFFF" w:themeColor="background1"/>
              </w:rPr>
            </w:pPr>
            <w:r w:rsidRPr="00B401D8">
              <w:rPr>
                <w:rFonts w:cs="Segoe UI Semibold"/>
                <w:color w:val="FFFFFF" w:themeColor="background1"/>
              </w:rPr>
              <w:t>N</w:t>
            </w:r>
            <w:r w:rsidR="007B56A5" w:rsidRPr="00B401D8">
              <w:rPr>
                <w:rFonts w:cs="Segoe UI Semibold"/>
                <w:color w:val="FFFFFF" w:themeColor="background1"/>
              </w:rPr>
              <w:t>umber of Appointments M</w:t>
            </w:r>
            <w:r w:rsidRPr="00B401D8">
              <w:rPr>
                <w:rFonts w:cs="Segoe UI Semibold"/>
                <w:color w:val="FFFFFF" w:themeColor="background1"/>
              </w:rPr>
              <w:t xml:space="preserve">ade in </w:t>
            </w:r>
            <w:r w:rsidR="007B56A5" w:rsidRPr="00B401D8">
              <w:rPr>
                <w:rFonts w:cs="Segoe UI Semibold"/>
                <w:color w:val="FFFFFF" w:themeColor="background1"/>
              </w:rPr>
              <w:t>Fiscal Year</w:t>
            </w:r>
            <w:r w:rsidR="005E1AF9">
              <w:rPr>
                <w:rFonts w:cs="Segoe UI Semibold"/>
                <w:color w:val="FFFFFF" w:themeColor="background1"/>
              </w:rPr>
              <w:t xml:space="preserve"> 2018-2019</w:t>
            </w:r>
          </w:p>
        </w:tc>
      </w:tr>
      <w:tr w:rsidR="005E1AF9" w:rsidRPr="00725F40" w14:paraId="32D87204" w14:textId="77777777" w:rsidTr="005E1AF9">
        <w:trPr>
          <w:cantSplit/>
          <w:tblHeader/>
          <w:jc w:val="center"/>
        </w:trPr>
        <w:tc>
          <w:tcPr>
            <w:tcW w:w="677" w:type="pct"/>
            <w:shd w:val="clear" w:color="auto" w:fill="54575A" w:themeFill="text1"/>
          </w:tcPr>
          <w:p w14:paraId="518EFDA0" w14:textId="77777777" w:rsidR="00E65ADE" w:rsidRPr="00725F40" w:rsidRDefault="00E65ADE" w:rsidP="00215FA4">
            <w:pPr>
              <w:autoSpaceDE w:val="0"/>
              <w:autoSpaceDN w:val="0"/>
              <w:adjustRightInd w:val="0"/>
              <w:spacing w:before="120" w:after="120"/>
              <w:rPr>
                <w:rFonts w:cstheme="minorHAnsi"/>
                <w:color w:val="FFFFFF" w:themeColor="background1"/>
                <w:kern w:val="24"/>
              </w:rPr>
            </w:pPr>
            <w:r w:rsidRPr="00725F40">
              <w:rPr>
                <w:rFonts w:cstheme="minorHAnsi"/>
                <w:color w:val="FFFFFF" w:themeColor="background1"/>
                <w:kern w:val="24"/>
              </w:rPr>
              <w:t>2016-2017</w:t>
            </w:r>
          </w:p>
        </w:tc>
        <w:tc>
          <w:tcPr>
            <w:tcW w:w="842" w:type="pct"/>
          </w:tcPr>
          <w:p w14:paraId="75A4C7E7" w14:textId="77777777" w:rsidR="00E65ADE" w:rsidRPr="00725F40" w:rsidRDefault="00E65ADE" w:rsidP="00E80719">
            <w:pPr>
              <w:autoSpaceDE w:val="0"/>
              <w:autoSpaceDN w:val="0"/>
              <w:adjustRightInd w:val="0"/>
              <w:spacing w:before="120" w:after="120"/>
              <w:jc w:val="center"/>
              <w:rPr>
                <w:rFonts w:cstheme="minorHAnsi"/>
                <w:kern w:val="24"/>
              </w:rPr>
            </w:pPr>
            <w:r w:rsidRPr="00725F40">
              <w:rPr>
                <w:rFonts w:cstheme="minorHAnsi"/>
                <w:kern w:val="24"/>
              </w:rPr>
              <w:t>8</w:t>
            </w:r>
          </w:p>
        </w:tc>
        <w:tc>
          <w:tcPr>
            <w:tcW w:w="718" w:type="pct"/>
          </w:tcPr>
          <w:p w14:paraId="4D95CE85" w14:textId="77777777" w:rsidR="00E65ADE" w:rsidRPr="00725F40" w:rsidRDefault="00E65ADE" w:rsidP="00E80719">
            <w:pPr>
              <w:autoSpaceDE w:val="0"/>
              <w:autoSpaceDN w:val="0"/>
              <w:adjustRightInd w:val="0"/>
              <w:spacing w:before="120" w:after="120"/>
              <w:jc w:val="center"/>
              <w:rPr>
                <w:rFonts w:cstheme="minorHAnsi"/>
                <w:kern w:val="24"/>
              </w:rPr>
            </w:pPr>
            <w:r w:rsidRPr="00725F40">
              <w:rPr>
                <w:rFonts w:cstheme="minorHAnsi"/>
                <w:kern w:val="24"/>
              </w:rPr>
              <w:t>17</w:t>
            </w:r>
          </w:p>
        </w:tc>
        <w:tc>
          <w:tcPr>
            <w:tcW w:w="924" w:type="pct"/>
          </w:tcPr>
          <w:p w14:paraId="0720A9D9" w14:textId="77777777" w:rsidR="00E65ADE" w:rsidRPr="00725F40" w:rsidRDefault="00E65ADE" w:rsidP="00E80719">
            <w:pPr>
              <w:autoSpaceDE w:val="0"/>
              <w:autoSpaceDN w:val="0"/>
              <w:adjustRightInd w:val="0"/>
              <w:spacing w:before="120" w:after="120"/>
              <w:jc w:val="center"/>
              <w:rPr>
                <w:rFonts w:cstheme="minorHAnsi"/>
                <w:kern w:val="24"/>
              </w:rPr>
            </w:pPr>
            <w:r w:rsidRPr="00725F40">
              <w:rPr>
                <w:rFonts w:cstheme="minorHAnsi"/>
                <w:kern w:val="24"/>
              </w:rPr>
              <w:t>18</w:t>
            </w:r>
          </w:p>
        </w:tc>
        <w:tc>
          <w:tcPr>
            <w:tcW w:w="929" w:type="pct"/>
          </w:tcPr>
          <w:p w14:paraId="0B20A208" w14:textId="77777777" w:rsidR="00E65ADE" w:rsidRPr="00725F40" w:rsidRDefault="00E65ADE" w:rsidP="00E80719">
            <w:pPr>
              <w:autoSpaceDE w:val="0"/>
              <w:autoSpaceDN w:val="0"/>
              <w:adjustRightInd w:val="0"/>
              <w:spacing w:before="120" w:after="120"/>
              <w:jc w:val="center"/>
              <w:rPr>
                <w:rFonts w:cstheme="minorHAnsi"/>
                <w:kern w:val="24"/>
              </w:rPr>
            </w:pPr>
            <w:r w:rsidRPr="00725F40">
              <w:rPr>
                <w:rFonts w:cstheme="minorHAnsi"/>
                <w:kern w:val="24"/>
              </w:rPr>
              <w:t>31</w:t>
            </w:r>
          </w:p>
        </w:tc>
        <w:tc>
          <w:tcPr>
            <w:tcW w:w="910" w:type="pct"/>
          </w:tcPr>
          <w:p w14:paraId="7DF4C938" w14:textId="77777777" w:rsidR="00E65ADE" w:rsidRPr="00725F40" w:rsidRDefault="00E65ADE" w:rsidP="00E80719">
            <w:pPr>
              <w:autoSpaceDE w:val="0"/>
              <w:autoSpaceDN w:val="0"/>
              <w:adjustRightInd w:val="0"/>
              <w:spacing w:before="120" w:after="120"/>
              <w:jc w:val="center"/>
              <w:rPr>
                <w:rFonts w:cstheme="minorHAnsi"/>
                <w:kern w:val="24"/>
              </w:rPr>
            </w:pPr>
            <w:r w:rsidRPr="00725F40">
              <w:rPr>
                <w:rFonts w:cstheme="minorHAnsi"/>
                <w:kern w:val="24"/>
              </w:rPr>
              <w:t>5</w:t>
            </w:r>
          </w:p>
        </w:tc>
      </w:tr>
      <w:tr w:rsidR="005E1AF9" w:rsidRPr="00725F40" w14:paraId="222E5E34" w14:textId="77777777" w:rsidTr="005E1AF9">
        <w:trPr>
          <w:cantSplit/>
          <w:tblHeader/>
          <w:jc w:val="center"/>
        </w:trPr>
        <w:tc>
          <w:tcPr>
            <w:tcW w:w="677" w:type="pct"/>
            <w:shd w:val="clear" w:color="auto" w:fill="54575A" w:themeFill="text1"/>
          </w:tcPr>
          <w:p w14:paraId="349AC2EB" w14:textId="77777777" w:rsidR="00E65ADE" w:rsidRPr="00725F40" w:rsidRDefault="00E65ADE" w:rsidP="00215FA4">
            <w:pPr>
              <w:autoSpaceDE w:val="0"/>
              <w:autoSpaceDN w:val="0"/>
              <w:adjustRightInd w:val="0"/>
              <w:spacing w:before="120" w:after="120"/>
              <w:rPr>
                <w:rFonts w:cstheme="minorHAnsi"/>
                <w:color w:val="FFFFFF" w:themeColor="background1"/>
                <w:kern w:val="24"/>
              </w:rPr>
            </w:pPr>
            <w:r w:rsidRPr="00725F40">
              <w:rPr>
                <w:rFonts w:cstheme="minorHAnsi"/>
                <w:color w:val="FFFFFF" w:themeColor="background1"/>
                <w:kern w:val="24"/>
              </w:rPr>
              <w:t>2017-2018</w:t>
            </w:r>
          </w:p>
        </w:tc>
        <w:tc>
          <w:tcPr>
            <w:tcW w:w="842" w:type="pct"/>
          </w:tcPr>
          <w:p w14:paraId="30348571" w14:textId="77777777" w:rsidR="00E65ADE" w:rsidRPr="00725F40" w:rsidRDefault="00E65ADE" w:rsidP="00E80719">
            <w:pPr>
              <w:autoSpaceDE w:val="0"/>
              <w:autoSpaceDN w:val="0"/>
              <w:adjustRightInd w:val="0"/>
              <w:spacing w:before="120" w:after="120"/>
              <w:jc w:val="center"/>
              <w:rPr>
                <w:rFonts w:cstheme="minorHAnsi"/>
                <w:kern w:val="24"/>
              </w:rPr>
            </w:pPr>
            <w:r w:rsidRPr="00725F40">
              <w:rPr>
                <w:rFonts w:cstheme="minorHAnsi"/>
                <w:kern w:val="24"/>
              </w:rPr>
              <w:t>6</w:t>
            </w:r>
          </w:p>
        </w:tc>
        <w:tc>
          <w:tcPr>
            <w:tcW w:w="718" w:type="pct"/>
          </w:tcPr>
          <w:p w14:paraId="69F0123F" w14:textId="77777777" w:rsidR="00E65ADE" w:rsidRPr="00725F40" w:rsidRDefault="00E65ADE" w:rsidP="00E80719">
            <w:pPr>
              <w:autoSpaceDE w:val="0"/>
              <w:autoSpaceDN w:val="0"/>
              <w:adjustRightInd w:val="0"/>
              <w:spacing w:before="120" w:after="120"/>
              <w:jc w:val="center"/>
              <w:rPr>
                <w:rFonts w:cstheme="minorHAnsi"/>
                <w:kern w:val="24"/>
              </w:rPr>
            </w:pPr>
            <w:r w:rsidRPr="00725F40">
              <w:rPr>
                <w:rFonts w:cstheme="minorHAnsi"/>
                <w:kern w:val="24"/>
              </w:rPr>
              <w:t>43</w:t>
            </w:r>
          </w:p>
        </w:tc>
        <w:tc>
          <w:tcPr>
            <w:tcW w:w="924" w:type="pct"/>
          </w:tcPr>
          <w:p w14:paraId="39F8DEB1" w14:textId="77777777" w:rsidR="00E65ADE" w:rsidRPr="00725F40" w:rsidRDefault="00E80719" w:rsidP="00E80719">
            <w:pPr>
              <w:autoSpaceDE w:val="0"/>
              <w:autoSpaceDN w:val="0"/>
              <w:adjustRightInd w:val="0"/>
              <w:spacing w:before="120" w:after="120"/>
              <w:jc w:val="center"/>
              <w:rPr>
                <w:rFonts w:cstheme="minorHAnsi"/>
                <w:kern w:val="24"/>
              </w:rPr>
            </w:pPr>
            <w:r w:rsidRPr="00725F40">
              <w:rPr>
                <w:rFonts w:cstheme="minorHAnsi"/>
                <w:kern w:val="24"/>
              </w:rPr>
              <w:t>0</w:t>
            </w:r>
          </w:p>
        </w:tc>
        <w:tc>
          <w:tcPr>
            <w:tcW w:w="929" w:type="pct"/>
          </w:tcPr>
          <w:p w14:paraId="1B84040B" w14:textId="77777777" w:rsidR="00E65ADE" w:rsidRPr="00725F40" w:rsidRDefault="00E65ADE" w:rsidP="00E80719">
            <w:pPr>
              <w:autoSpaceDE w:val="0"/>
              <w:autoSpaceDN w:val="0"/>
              <w:adjustRightInd w:val="0"/>
              <w:spacing w:before="120" w:after="120"/>
              <w:jc w:val="center"/>
              <w:rPr>
                <w:rFonts w:cstheme="minorHAnsi"/>
                <w:kern w:val="24"/>
              </w:rPr>
            </w:pPr>
            <w:r w:rsidRPr="00725F40">
              <w:rPr>
                <w:rFonts w:cstheme="minorHAnsi"/>
                <w:kern w:val="24"/>
              </w:rPr>
              <w:t>17</w:t>
            </w:r>
          </w:p>
        </w:tc>
        <w:tc>
          <w:tcPr>
            <w:tcW w:w="910" w:type="pct"/>
          </w:tcPr>
          <w:p w14:paraId="329BE85F" w14:textId="77777777" w:rsidR="00E65ADE" w:rsidRPr="00725F40" w:rsidRDefault="00E65ADE" w:rsidP="00E80719">
            <w:pPr>
              <w:autoSpaceDE w:val="0"/>
              <w:autoSpaceDN w:val="0"/>
              <w:adjustRightInd w:val="0"/>
              <w:spacing w:before="120" w:after="120"/>
              <w:jc w:val="center"/>
              <w:rPr>
                <w:rFonts w:cstheme="minorHAnsi"/>
                <w:kern w:val="24"/>
              </w:rPr>
            </w:pPr>
            <w:r w:rsidRPr="00725F40">
              <w:rPr>
                <w:rFonts w:cstheme="minorHAnsi"/>
                <w:kern w:val="24"/>
              </w:rPr>
              <w:t>13</w:t>
            </w:r>
          </w:p>
        </w:tc>
      </w:tr>
      <w:tr w:rsidR="005E1AF9" w:rsidRPr="00725F40" w14:paraId="77BC5704" w14:textId="77777777" w:rsidTr="005E1AF9">
        <w:trPr>
          <w:cantSplit/>
          <w:tblHeader/>
          <w:jc w:val="center"/>
        </w:trPr>
        <w:tc>
          <w:tcPr>
            <w:tcW w:w="677" w:type="pct"/>
            <w:shd w:val="clear" w:color="auto" w:fill="54575A" w:themeFill="text1"/>
          </w:tcPr>
          <w:p w14:paraId="67E0B4A0" w14:textId="77777777" w:rsidR="00E65ADE" w:rsidRPr="00725F40" w:rsidRDefault="00E65ADE" w:rsidP="00215FA4">
            <w:pPr>
              <w:autoSpaceDE w:val="0"/>
              <w:autoSpaceDN w:val="0"/>
              <w:adjustRightInd w:val="0"/>
              <w:spacing w:before="120" w:after="120"/>
              <w:rPr>
                <w:rFonts w:cstheme="minorHAnsi"/>
                <w:color w:val="FFFFFF" w:themeColor="background1"/>
                <w:kern w:val="24"/>
              </w:rPr>
            </w:pPr>
            <w:r w:rsidRPr="00725F40">
              <w:rPr>
                <w:rFonts w:cstheme="minorHAnsi"/>
                <w:color w:val="FFFFFF" w:themeColor="background1"/>
                <w:kern w:val="24"/>
              </w:rPr>
              <w:t>2018-2019</w:t>
            </w:r>
          </w:p>
        </w:tc>
        <w:tc>
          <w:tcPr>
            <w:tcW w:w="842" w:type="pct"/>
          </w:tcPr>
          <w:p w14:paraId="327E3FC2" w14:textId="77777777" w:rsidR="00E65ADE" w:rsidRPr="00725F40" w:rsidRDefault="00E65ADE" w:rsidP="00E80719">
            <w:pPr>
              <w:autoSpaceDE w:val="0"/>
              <w:autoSpaceDN w:val="0"/>
              <w:adjustRightInd w:val="0"/>
              <w:spacing w:before="120" w:after="120"/>
              <w:jc w:val="center"/>
              <w:rPr>
                <w:rFonts w:cstheme="minorHAnsi"/>
                <w:kern w:val="24"/>
              </w:rPr>
            </w:pPr>
            <w:r w:rsidRPr="00725F40">
              <w:rPr>
                <w:rFonts w:cstheme="minorHAnsi"/>
                <w:kern w:val="24"/>
              </w:rPr>
              <w:t>10</w:t>
            </w:r>
          </w:p>
        </w:tc>
        <w:tc>
          <w:tcPr>
            <w:tcW w:w="718" w:type="pct"/>
          </w:tcPr>
          <w:p w14:paraId="3060C2F4" w14:textId="77777777" w:rsidR="00E65ADE" w:rsidRPr="00725F40" w:rsidRDefault="00E65ADE" w:rsidP="00E80719">
            <w:pPr>
              <w:autoSpaceDE w:val="0"/>
              <w:autoSpaceDN w:val="0"/>
              <w:adjustRightInd w:val="0"/>
              <w:spacing w:before="120" w:after="120"/>
              <w:jc w:val="center"/>
              <w:rPr>
                <w:rFonts w:cstheme="minorHAnsi"/>
                <w:kern w:val="24"/>
              </w:rPr>
            </w:pPr>
            <w:r w:rsidRPr="00725F40">
              <w:rPr>
                <w:rFonts w:cstheme="minorHAnsi"/>
                <w:kern w:val="24"/>
              </w:rPr>
              <w:t>67</w:t>
            </w:r>
          </w:p>
        </w:tc>
        <w:tc>
          <w:tcPr>
            <w:tcW w:w="924" w:type="pct"/>
          </w:tcPr>
          <w:p w14:paraId="0B23DD71" w14:textId="77777777" w:rsidR="00E65ADE" w:rsidRPr="00725F40" w:rsidRDefault="00E80719" w:rsidP="00E80719">
            <w:pPr>
              <w:autoSpaceDE w:val="0"/>
              <w:autoSpaceDN w:val="0"/>
              <w:adjustRightInd w:val="0"/>
              <w:spacing w:before="120" w:after="120"/>
              <w:jc w:val="center"/>
              <w:rPr>
                <w:rFonts w:cstheme="minorHAnsi"/>
                <w:kern w:val="24"/>
              </w:rPr>
            </w:pPr>
            <w:r w:rsidRPr="00725F40">
              <w:rPr>
                <w:rFonts w:cstheme="minorHAnsi"/>
                <w:kern w:val="24"/>
              </w:rPr>
              <w:t>0</w:t>
            </w:r>
          </w:p>
        </w:tc>
        <w:tc>
          <w:tcPr>
            <w:tcW w:w="929" w:type="pct"/>
          </w:tcPr>
          <w:p w14:paraId="79F2E082" w14:textId="77777777" w:rsidR="00E65ADE" w:rsidRPr="00725F40" w:rsidRDefault="00E80719" w:rsidP="00E80719">
            <w:pPr>
              <w:autoSpaceDE w:val="0"/>
              <w:autoSpaceDN w:val="0"/>
              <w:adjustRightInd w:val="0"/>
              <w:spacing w:before="120" w:after="120"/>
              <w:jc w:val="center"/>
              <w:rPr>
                <w:rFonts w:cstheme="minorHAnsi"/>
                <w:kern w:val="24"/>
              </w:rPr>
            </w:pPr>
            <w:r w:rsidRPr="00725F40">
              <w:rPr>
                <w:rFonts w:cstheme="minorHAnsi"/>
                <w:kern w:val="24"/>
              </w:rPr>
              <w:t>0</w:t>
            </w:r>
          </w:p>
        </w:tc>
        <w:tc>
          <w:tcPr>
            <w:tcW w:w="910" w:type="pct"/>
          </w:tcPr>
          <w:p w14:paraId="759BDEB9" w14:textId="77777777" w:rsidR="00E65ADE" w:rsidRPr="00725F40" w:rsidRDefault="00E65ADE" w:rsidP="00E80719">
            <w:pPr>
              <w:autoSpaceDE w:val="0"/>
              <w:autoSpaceDN w:val="0"/>
              <w:adjustRightInd w:val="0"/>
              <w:spacing w:before="120" w:after="120"/>
              <w:jc w:val="center"/>
              <w:rPr>
                <w:rFonts w:cstheme="minorHAnsi"/>
                <w:kern w:val="24"/>
              </w:rPr>
            </w:pPr>
            <w:r w:rsidRPr="00725F40">
              <w:rPr>
                <w:rFonts w:cstheme="minorHAnsi"/>
                <w:kern w:val="24"/>
              </w:rPr>
              <w:t>89</w:t>
            </w:r>
          </w:p>
        </w:tc>
      </w:tr>
    </w:tbl>
    <w:p w14:paraId="0F631F61" w14:textId="77777777" w:rsidR="0084204D" w:rsidRPr="00725F40" w:rsidRDefault="00914083" w:rsidP="004014EB">
      <w:pPr>
        <w:pStyle w:val="Titre2"/>
        <w:spacing w:before="240" w:after="120" w:line="240" w:lineRule="auto"/>
        <w:rPr>
          <w:rFonts w:eastAsia="Times New Roman"/>
        </w:rPr>
      </w:pPr>
      <w:r w:rsidRPr="00725F40">
        <w:rPr>
          <w:rFonts w:eastAsia="Times New Roman"/>
        </w:rPr>
        <w:t>O</w:t>
      </w:r>
      <w:r w:rsidR="00840B4D" w:rsidRPr="00725F40">
        <w:rPr>
          <w:rFonts w:eastAsia="Times New Roman"/>
        </w:rPr>
        <w:t>bservations</w:t>
      </w:r>
    </w:p>
    <w:p w14:paraId="68B78781" w14:textId="77777777" w:rsidR="00E80719" w:rsidRPr="00725F40" w:rsidRDefault="00E80719" w:rsidP="00E80719">
      <w:pPr>
        <w:pStyle w:val="Lgende"/>
        <w:keepNext/>
        <w:spacing w:after="0"/>
        <w:rPr>
          <w:rFonts w:cstheme="minorHAnsi"/>
          <w:i w:val="0"/>
          <w:color w:val="auto"/>
        </w:rPr>
      </w:pPr>
      <w:r w:rsidRPr="00725F40">
        <w:rPr>
          <w:rFonts w:cstheme="minorHAnsi"/>
          <w:i w:val="0"/>
          <w:color w:val="auto"/>
        </w:rPr>
        <w:t xml:space="preserve">Table </w:t>
      </w:r>
      <w:r w:rsidRPr="00725F40">
        <w:rPr>
          <w:rFonts w:cstheme="minorHAnsi"/>
          <w:i w:val="0"/>
          <w:color w:val="auto"/>
        </w:rPr>
        <w:fldChar w:fldCharType="begin"/>
      </w:r>
      <w:r w:rsidRPr="00725F40">
        <w:rPr>
          <w:rFonts w:cstheme="minorHAnsi"/>
          <w:i w:val="0"/>
          <w:color w:val="auto"/>
        </w:rPr>
        <w:instrText xml:space="preserve"> SEQ Table \* ARABIC </w:instrText>
      </w:r>
      <w:r w:rsidRPr="00725F40">
        <w:rPr>
          <w:rFonts w:cstheme="minorHAnsi"/>
          <w:i w:val="0"/>
          <w:color w:val="auto"/>
        </w:rPr>
        <w:fldChar w:fldCharType="separate"/>
      </w:r>
      <w:r w:rsidR="007B56A5" w:rsidRPr="00725F40">
        <w:rPr>
          <w:rFonts w:cstheme="minorHAnsi"/>
          <w:i w:val="0"/>
          <w:noProof/>
          <w:color w:val="auto"/>
        </w:rPr>
        <w:t>2</w:t>
      </w:r>
      <w:r w:rsidRPr="00725F40">
        <w:rPr>
          <w:rFonts w:cstheme="minorHAnsi"/>
          <w:i w:val="0"/>
          <w:color w:val="auto"/>
        </w:rPr>
        <w:fldChar w:fldCharType="end"/>
      </w:r>
      <w:r w:rsidRPr="00725F40">
        <w:rPr>
          <w:rFonts w:cstheme="minorHAnsi"/>
          <w:i w:val="0"/>
          <w:color w:val="auto"/>
        </w:rPr>
        <w:t xml:space="preserve"> - Number of </w:t>
      </w:r>
      <w:r w:rsidR="00B401D8">
        <w:rPr>
          <w:rFonts w:cstheme="minorHAnsi"/>
          <w:i w:val="0"/>
          <w:color w:val="auto"/>
        </w:rPr>
        <w:t>National A</w:t>
      </w:r>
      <w:r w:rsidRPr="00725F40">
        <w:rPr>
          <w:rFonts w:cstheme="minorHAnsi"/>
          <w:i w:val="0"/>
          <w:color w:val="auto"/>
        </w:rPr>
        <w:t xml:space="preserve">rea of </w:t>
      </w:r>
      <w:r w:rsidR="00B401D8">
        <w:rPr>
          <w:rFonts w:cstheme="minorHAnsi"/>
          <w:i w:val="0"/>
          <w:color w:val="auto"/>
        </w:rPr>
        <w:t>S</w:t>
      </w:r>
      <w:r w:rsidRPr="00725F40">
        <w:rPr>
          <w:rFonts w:cstheme="minorHAnsi"/>
          <w:i w:val="0"/>
          <w:color w:val="auto"/>
        </w:rPr>
        <w:t>election exceptions by organization</w:t>
      </w:r>
    </w:p>
    <w:tbl>
      <w:tblPr>
        <w:tblStyle w:val="Grilledutableau"/>
        <w:tblW w:w="0" w:type="auto"/>
        <w:jc w:val="center"/>
        <w:tblLook w:val="04A0" w:firstRow="1" w:lastRow="0" w:firstColumn="1" w:lastColumn="0" w:noHBand="0" w:noVBand="1"/>
        <w:tblDescription w:val="Number of National Area of Selection exceptions by organization"/>
      </w:tblPr>
      <w:tblGrid>
        <w:gridCol w:w="4248"/>
        <w:gridCol w:w="5102"/>
      </w:tblGrid>
      <w:tr w:rsidR="00E80719" w:rsidRPr="00725F40" w14:paraId="6C5F4742" w14:textId="77777777" w:rsidTr="00A9539C">
        <w:trPr>
          <w:cantSplit/>
          <w:trHeight w:val="572"/>
          <w:tblHeader/>
          <w:jc w:val="center"/>
        </w:trPr>
        <w:tc>
          <w:tcPr>
            <w:tcW w:w="4248" w:type="dxa"/>
            <w:shd w:val="clear" w:color="auto" w:fill="54575A" w:themeFill="text1"/>
          </w:tcPr>
          <w:p w14:paraId="63D653B3" w14:textId="77777777" w:rsidR="00E80719" w:rsidRPr="00725F40" w:rsidRDefault="00E80719" w:rsidP="00E80719">
            <w:pPr>
              <w:pStyle w:val="TableTitle"/>
              <w:rPr>
                <w:noProof/>
                <w:color w:val="FFFFFF" w:themeColor="background1"/>
                <w:lang w:eastAsia="en-CA"/>
              </w:rPr>
            </w:pPr>
            <w:r w:rsidRPr="00725F40">
              <w:rPr>
                <w:noProof/>
                <w:color w:val="FFFFFF" w:themeColor="background1"/>
                <w:lang w:eastAsia="en-CA"/>
              </w:rPr>
              <w:t>Name of the Organizations</w:t>
            </w:r>
          </w:p>
        </w:tc>
        <w:tc>
          <w:tcPr>
            <w:tcW w:w="5102" w:type="dxa"/>
            <w:shd w:val="clear" w:color="auto" w:fill="54575A" w:themeFill="text1"/>
          </w:tcPr>
          <w:p w14:paraId="3055F330" w14:textId="77777777" w:rsidR="00E80719" w:rsidRPr="00725F40" w:rsidRDefault="00E80719" w:rsidP="00E80719">
            <w:pPr>
              <w:pStyle w:val="TableTitle"/>
              <w:rPr>
                <w:noProof/>
                <w:lang w:eastAsia="en-CA"/>
              </w:rPr>
            </w:pPr>
            <w:r w:rsidRPr="00725F40">
              <w:rPr>
                <w:noProof/>
                <w:color w:val="FFFFFF" w:themeColor="background1"/>
                <w:lang w:eastAsia="en-CA"/>
              </w:rPr>
              <w:t>Number of Exceptions</w:t>
            </w:r>
          </w:p>
        </w:tc>
      </w:tr>
      <w:tr w:rsidR="00E80719" w:rsidRPr="00725F40" w14:paraId="2C07210D" w14:textId="77777777" w:rsidTr="00A9539C">
        <w:trPr>
          <w:cantSplit/>
          <w:tblHeader/>
          <w:jc w:val="center"/>
        </w:trPr>
        <w:tc>
          <w:tcPr>
            <w:tcW w:w="4248" w:type="dxa"/>
            <w:shd w:val="clear" w:color="auto" w:fill="54575A" w:themeFill="text1"/>
          </w:tcPr>
          <w:p w14:paraId="1E3DB27A" w14:textId="77777777" w:rsidR="00E80719" w:rsidRPr="00725F40" w:rsidRDefault="00E80719" w:rsidP="00E80719">
            <w:pPr>
              <w:autoSpaceDE w:val="0"/>
              <w:autoSpaceDN w:val="0"/>
              <w:adjustRightInd w:val="0"/>
              <w:spacing w:before="120" w:after="120"/>
              <w:rPr>
                <w:noProof/>
                <w:color w:val="FFFFFF" w:themeColor="background1"/>
                <w:lang w:eastAsia="en-CA"/>
              </w:rPr>
            </w:pPr>
            <w:r w:rsidRPr="00725F40">
              <w:rPr>
                <w:noProof/>
                <w:color w:val="FFFFFF" w:themeColor="background1"/>
                <w:lang w:eastAsia="en-CA"/>
              </w:rPr>
              <w:t>Office of the Chief Electoral Officer</w:t>
            </w:r>
          </w:p>
        </w:tc>
        <w:tc>
          <w:tcPr>
            <w:tcW w:w="5102" w:type="dxa"/>
          </w:tcPr>
          <w:p w14:paraId="3FF4C3C5" w14:textId="77777777" w:rsidR="00E80719" w:rsidRPr="00725F40" w:rsidRDefault="00E80719" w:rsidP="00491D4E">
            <w:pPr>
              <w:autoSpaceDE w:val="0"/>
              <w:autoSpaceDN w:val="0"/>
              <w:adjustRightInd w:val="0"/>
              <w:spacing w:before="120" w:after="120"/>
              <w:jc w:val="center"/>
              <w:rPr>
                <w:noProof/>
                <w:lang w:eastAsia="en-CA"/>
              </w:rPr>
            </w:pPr>
            <w:r w:rsidRPr="00725F40">
              <w:rPr>
                <w:noProof/>
                <w:lang w:eastAsia="en-CA"/>
              </w:rPr>
              <w:t>26</w:t>
            </w:r>
          </w:p>
        </w:tc>
      </w:tr>
      <w:tr w:rsidR="00E80719" w:rsidRPr="00725F40" w14:paraId="609541D7" w14:textId="77777777" w:rsidTr="00A9539C">
        <w:trPr>
          <w:cantSplit/>
          <w:tblHeader/>
          <w:jc w:val="center"/>
        </w:trPr>
        <w:tc>
          <w:tcPr>
            <w:tcW w:w="4248" w:type="dxa"/>
            <w:shd w:val="clear" w:color="auto" w:fill="54575A" w:themeFill="text1"/>
          </w:tcPr>
          <w:p w14:paraId="288BCA50" w14:textId="77777777" w:rsidR="00E80719" w:rsidRPr="00725F40" w:rsidRDefault="00E80719" w:rsidP="00E80719">
            <w:pPr>
              <w:autoSpaceDE w:val="0"/>
              <w:autoSpaceDN w:val="0"/>
              <w:adjustRightInd w:val="0"/>
              <w:spacing w:before="120" w:after="120"/>
              <w:rPr>
                <w:noProof/>
                <w:color w:val="FFFFFF" w:themeColor="background1"/>
                <w:lang w:eastAsia="en-CA"/>
              </w:rPr>
            </w:pPr>
            <w:r w:rsidRPr="00725F40">
              <w:rPr>
                <w:noProof/>
                <w:color w:val="FFFFFF" w:themeColor="background1"/>
                <w:lang w:eastAsia="en-CA"/>
              </w:rPr>
              <w:t>Royal Canadian Mounted Police</w:t>
            </w:r>
          </w:p>
        </w:tc>
        <w:tc>
          <w:tcPr>
            <w:tcW w:w="5102" w:type="dxa"/>
          </w:tcPr>
          <w:p w14:paraId="15DD29B2" w14:textId="77777777" w:rsidR="00E80719" w:rsidRPr="00725F40" w:rsidRDefault="00E80719" w:rsidP="00491D4E">
            <w:pPr>
              <w:autoSpaceDE w:val="0"/>
              <w:autoSpaceDN w:val="0"/>
              <w:adjustRightInd w:val="0"/>
              <w:spacing w:before="120" w:after="120"/>
              <w:jc w:val="center"/>
              <w:rPr>
                <w:noProof/>
                <w:lang w:eastAsia="en-CA"/>
              </w:rPr>
            </w:pPr>
            <w:r w:rsidRPr="00725F40">
              <w:rPr>
                <w:noProof/>
                <w:lang w:eastAsia="en-CA"/>
              </w:rPr>
              <w:t>22</w:t>
            </w:r>
          </w:p>
        </w:tc>
      </w:tr>
      <w:tr w:rsidR="00E80719" w:rsidRPr="00725F40" w14:paraId="72A9EC61" w14:textId="77777777" w:rsidTr="00A9539C">
        <w:trPr>
          <w:cantSplit/>
          <w:tblHeader/>
          <w:jc w:val="center"/>
        </w:trPr>
        <w:tc>
          <w:tcPr>
            <w:tcW w:w="4248" w:type="dxa"/>
            <w:shd w:val="clear" w:color="auto" w:fill="54575A" w:themeFill="text1"/>
          </w:tcPr>
          <w:p w14:paraId="590BCD70" w14:textId="77777777" w:rsidR="00E80719" w:rsidRPr="00725F40" w:rsidRDefault="00E80719" w:rsidP="00E80719">
            <w:pPr>
              <w:autoSpaceDE w:val="0"/>
              <w:autoSpaceDN w:val="0"/>
              <w:adjustRightInd w:val="0"/>
              <w:spacing w:before="120" w:after="120"/>
              <w:rPr>
                <w:noProof/>
                <w:color w:val="FFFFFF" w:themeColor="background1"/>
                <w:lang w:eastAsia="en-CA"/>
              </w:rPr>
            </w:pPr>
            <w:r w:rsidRPr="00725F40">
              <w:rPr>
                <w:noProof/>
                <w:color w:val="FFFFFF" w:themeColor="background1"/>
                <w:lang w:eastAsia="en-CA"/>
              </w:rPr>
              <w:t>Othe Organizations</w:t>
            </w:r>
          </w:p>
        </w:tc>
        <w:tc>
          <w:tcPr>
            <w:tcW w:w="5102" w:type="dxa"/>
          </w:tcPr>
          <w:p w14:paraId="34D536F4" w14:textId="77777777" w:rsidR="00E80719" w:rsidRPr="00725F40" w:rsidRDefault="00E80719" w:rsidP="00491D4E">
            <w:pPr>
              <w:autoSpaceDE w:val="0"/>
              <w:autoSpaceDN w:val="0"/>
              <w:adjustRightInd w:val="0"/>
              <w:spacing w:before="120" w:after="120"/>
              <w:jc w:val="center"/>
              <w:rPr>
                <w:noProof/>
                <w:lang w:eastAsia="en-CA"/>
              </w:rPr>
            </w:pPr>
            <w:r w:rsidRPr="00725F40">
              <w:rPr>
                <w:noProof/>
                <w:lang w:eastAsia="en-CA"/>
              </w:rPr>
              <w:t>19</w:t>
            </w:r>
          </w:p>
        </w:tc>
      </w:tr>
    </w:tbl>
    <w:p w14:paraId="7BDE38D9" w14:textId="77777777" w:rsidR="00E80719" w:rsidRPr="00725F40" w:rsidRDefault="00E80719" w:rsidP="00E80719">
      <w:pPr>
        <w:pStyle w:val="NormalWeb"/>
        <w:spacing w:before="0" w:beforeAutospacing="0" w:after="0" w:afterAutospacing="0"/>
        <w:rPr>
          <w:rStyle w:val="lev"/>
          <w:rFonts w:asciiTheme="minorHAnsi" w:hAnsiTheme="minorHAnsi" w:cstheme="minorHAnsi"/>
          <w:sz w:val="22"/>
          <w:szCs w:val="22"/>
        </w:rPr>
      </w:pPr>
    </w:p>
    <w:p w14:paraId="1737E787" w14:textId="77777777" w:rsidR="00A9539C" w:rsidRPr="00725F40" w:rsidRDefault="00A9539C" w:rsidP="00A9539C">
      <w:pPr>
        <w:pStyle w:val="Lgende"/>
        <w:keepNext/>
        <w:spacing w:after="0"/>
        <w:rPr>
          <w:i w:val="0"/>
          <w:color w:val="auto"/>
        </w:rPr>
      </w:pPr>
      <w:r w:rsidRPr="00725F40">
        <w:rPr>
          <w:i w:val="0"/>
          <w:color w:val="auto"/>
        </w:rPr>
        <w:t xml:space="preserve">Table </w:t>
      </w:r>
      <w:r w:rsidRPr="00725F40">
        <w:rPr>
          <w:i w:val="0"/>
          <w:color w:val="auto"/>
        </w:rPr>
        <w:fldChar w:fldCharType="begin"/>
      </w:r>
      <w:r w:rsidRPr="00725F40">
        <w:rPr>
          <w:i w:val="0"/>
          <w:color w:val="auto"/>
        </w:rPr>
        <w:instrText xml:space="preserve"> SEQ Table \* ARABIC </w:instrText>
      </w:r>
      <w:r w:rsidRPr="00725F40">
        <w:rPr>
          <w:i w:val="0"/>
          <w:color w:val="auto"/>
        </w:rPr>
        <w:fldChar w:fldCharType="separate"/>
      </w:r>
      <w:r w:rsidR="007B56A5" w:rsidRPr="00725F40">
        <w:rPr>
          <w:i w:val="0"/>
          <w:noProof/>
          <w:color w:val="auto"/>
        </w:rPr>
        <w:t>3</w:t>
      </w:r>
      <w:r w:rsidRPr="00725F40">
        <w:rPr>
          <w:i w:val="0"/>
          <w:color w:val="auto"/>
        </w:rPr>
        <w:fldChar w:fldCharType="end"/>
      </w:r>
      <w:r w:rsidRPr="00725F40">
        <w:rPr>
          <w:i w:val="0"/>
          <w:color w:val="auto"/>
        </w:rPr>
        <w:t xml:space="preserve"> - Number of national area selection exceptions by location</w:t>
      </w:r>
    </w:p>
    <w:tbl>
      <w:tblPr>
        <w:tblStyle w:val="Grilledutableau"/>
        <w:tblW w:w="5000" w:type="pct"/>
        <w:jc w:val="center"/>
        <w:tblLook w:val="04A0" w:firstRow="1" w:lastRow="0" w:firstColumn="1" w:lastColumn="0" w:noHBand="0" w:noVBand="1"/>
        <w:tblDescription w:val="Number of National Area Selection exceptions by location"/>
      </w:tblPr>
      <w:tblGrid>
        <w:gridCol w:w="4249"/>
        <w:gridCol w:w="5101"/>
      </w:tblGrid>
      <w:tr w:rsidR="00A9539C" w:rsidRPr="00725F40" w14:paraId="4560DB0E" w14:textId="77777777" w:rsidTr="007B56A5">
        <w:trPr>
          <w:cantSplit/>
          <w:trHeight w:val="572"/>
          <w:tblHeader/>
          <w:jc w:val="center"/>
        </w:trPr>
        <w:tc>
          <w:tcPr>
            <w:tcW w:w="2272" w:type="pct"/>
            <w:shd w:val="clear" w:color="auto" w:fill="54575A" w:themeFill="text1"/>
          </w:tcPr>
          <w:p w14:paraId="56B9E1E9" w14:textId="77777777" w:rsidR="00E80719" w:rsidRPr="00725F40" w:rsidRDefault="00E80719" w:rsidP="00A9539C">
            <w:pPr>
              <w:pStyle w:val="TableTitle"/>
              <w:rPr>
                <w:color w:val="FFFFFF" w:themeColor="background1"/>
              </w:rPr>
            </w:pPr>
            <w:r w:rsidRPr="00725F40">
              <w:rPr>
                <w:color w:val="FFFFFF" w:themeColor="background1"/>
              </w:rPr>
              <w:t>Location</w:t>
            </w:r>
          </w:p>
        </w:tc>
        <w:tc>
          <w:tcPr>
            <w:tcW w:w="2728" w:type="pct"/>
            <w:shd w:val="clear" w:color="auto" w:fill="54575A" w:themeFill="text1"/>
          </w:tcPr>
          <w:p w14:paraId="341C8681" w14:textId="77777777" w:rsidR="00E80719" w:rsidRPr="00725F40" w:rsidRDefault="00E80719" w:rsidP="00A9539C">
            <w:pPr>
              <w:pStyle w:val="TableTitle"/>
              <w:rPr>
                <w:color w:val="FFFFFF" w:themeColor="background1"/>
              </w:rPr>
            </w:pPr>
            <w:r w:rsidRPr="00725F40">
              <w:rPr>
                <w:color w:val="FFFFFF" w:themeColor="background1"/>
              </w:rPr>
              <w:t>Number of Exceptions</w:t>
            </w:r>
          </w:p>
        </w:tc>
      </w:tr>
      <w:tr w:rsidR="00E80719" w:rsidRPr="00725F40" w14:paraId="6D4B46A7" w14:textId="77777777" w:rsidTr="00A9539C">
        <w:trPr>
          <w:cantSplit/>
          <w:trHeight w:val="832"/>
          <w:tblHeader/>
          <w:jc w:val="center"/>
        </w:trPr>
        <w:tc>
          <w:tcPr>
            <w:tcW w:w="2272" w:type="pct"/>
            <w:shd w:val="clear" w:color="auto" w:fill="54575A" w:themeFill="text1"/>
          </w:tcPr>
          <w:p w14:paraId="2FC079E9" w14:textId="77777777" w:rsidR="00E80719" w:rsidRPr="00725F40" w:rsidRDefault="004014EB" w:rsidP="00E80719">
            <w:pPr>
              <w:pStyle w:val="NormalWeb"/>
              <w:spacing w:before="0" w:beforeAutospacing="0" w:after="0" w:afterAutospacing="0"/>
              <w:rPr>
                <w:rStyle w:val="lev"/>
                <w:rFonts w:asciiTheme="minorHAnsi" w:hAnsiTheme="minorHAnsi" w:cstheme="minorHAnsi"/>
                <w:b w:val="0"/>
                <w:color w:val="FFFFFF" w:themeColor="background1"/>
                <w:sz w:val="22"/>
                <w:szCs w:val="22"/>
              </w:rPr>
            </w:pPr>
            <w:r>
              <w:rPr>
                <w:rStyle w:val="lev"/>
                <w:rFonts w:asciiTheme="minorHAnsi" w:hAnsiTheme="minorHAnsi" w:cstheme="minorHAnsi"/>
                <w:b w:val="0"/>
                <w:color w:val="FFFFFF" w:themeColor="background1"/>
                <w:sz w:val="22"/>
                <w:szCs w:val="22"/>
              </w:rPr>
              <w:t>National Capital Region (</w:t>
            </w:r>
            <w:r w:rsidR="00E80719" w:rsidRPr="00725F40">
              <w:rPr>
                <w:rStyle w:val="lev"/>
                <w:rFonts w:asciiTheme="minorHAnsi" w:hAnsiTheme="minorHAnsi" w:cstheme="minorHAnsi"/>
                <w:b w:val="0"/>
                <w:color w:val="FFFFFF" w:themeColor="background1"/>
                <w:sz w:val="22"/>
                <w:szCs w:val="22"/>
              </w:rPr>
              <w:t>NCR</w:t>
            </w:r>
            <w:r>
              <w:rPr>
                <w:rStyle w:val="lev"/>
                <w:rFonts w:asciiTheme="minorHAnsi" w:hAnsiTheme="minorHAnsi" w:cstheme="minorHAnsi"/>
                <w:b w:val="0"/>
                <w:color w:val="FFFFFF" w:themeColor="background1"/>
                <w:sz w:val="22"/>
                <w:szCs w:val="22"/>
              </w:rPr>
              <w:t>)</w:t>
            </w:r>
          </w:p>
        </w:tc>
        <w:tc>
          <w:tcPr>
            <w:tcW w:w="2728" w:type="pct"/>
          </w:tcPr>
          <w:p w14:paraId="0611A09C" w14:textId="77777777" w:rsidR="00E80719" w:rsidRPr="00725F40" w:rsidRDefault="00E80719" w:rsidP="00A9539C">
            <w:pPr>
              <w:pStyle w:val="NormalWeb"/>
              <w:rPr>
                <w:rStyle w:val="lev"/>
                <w:rFonts w:asciiTheme="minorHAnsi" w:hAnsiTheme="minorHAnsi" w:cstheme="minorHAnsi"/>
                <w:b w:val="0"/>
                <w:sz w:val="22"/>
                <w:szCs w:val="22"/>
              </w:rPr>
            </w:pPr>
            <w:r w:rsidRPr="00725F40">
              <w:rPr>
                <w:rFonts w:asciiTheme="minorHAnsi" w:hAnsiTheme="minorHAnsi" w:cstheme="minorHAnsi"/>
                <w:bCs/>
                <w:sz w:val="22"/>
                <w:szCs w:val="22"/>
              </w:rPr>
              <w:t>42</w:t>
            </w:r>
            <w:r w:rsidR="00A9539C" w:rsidRPr="00725F40">
              <w:rPr>
                <w:rFonts w:asciiTheme="minorHAnsi" w:hAnsiTheme="minorHAnsi" w:cstheme="minorHAnsi"/>
                <w:bCs/>
                <w:sz w:val="22"/>
                <w:szCs w:val="22"/>
              </w:rPr>
              <w:t xml:space="preserve"> </w:t>
            </w:r>
            <w:r w:rsidRPr="00725F40">
              <w:rPr>
                <w:rFonts w:asciiTheme="minorHAnsi" w:hAnsiTheme="minorHAnsi" w:cstheme="minorHAnsi"/>
                <w:bCs/>
                <w:sz w:val="22"/>
                <w:szCs w:val="22"/>
              </w:rPr>
              <w:t>(26 of these 42 exceptions belong to the Office of the Chief Electoral Officer)</w:t>
            </w:r>
          </w:p>
        </w:tc>
      </w:tr>
      <w:tr w:rsidR="00E80719" w:rsidRPr="00725F40" w14:paraId="2B59325F" w14:textId="77777777" w:rsidTr="00A9539C">
        <w:trPr>
          <w:cantSplit/>
          <w:trHeight w:val="663"/>
          <w:tblHeader/>
          <w:jc w:val="center"/>
        </w:trPr>
        <w:tc>
          <w:tcPr>
            <w:tcW w:w="2272" w:type="pct"/>
            <w:shd w:val="clear" w:color="auto" w:fill="54575A" w:themeFill="text1"/>
          </w:tcPr>
          <w:p w14:paraId="7BE26788" w14:textId="77777777" w:rsidR="00E80719" w:rsidRPr="00725F40" w:rsidRDefault="00E80719" w:rsidP="00E80719">
            <w:pPr>
              <w:pStyle w:val="NormalWeb"/>
              <w:spacing w:before="0" w:beforeAutospacing="0" w:after="0" w:afterAutospacing="0"/>
              <w:rPr>
                <w:rStyle w:val="lev"/>
                <w:rFonts w:asciiTheme="minorHAnsi" w:hAnsiTheme="minorHAnsi" w:cstheme="minorHAnsi"/>
                <w:b w:val="0"/>
                <w:color w:val="FFFFFF" w:themeColor="background1"/>
                <w:sz w:val="22"/>
                <w:szCs w:val="22"/>
              </w:rPr>
            </w:pPr>
            <w:r w:rsidRPr="00725F40">
              <w:rPr>
                <w:rStyle w:val="lev"/>
                <w:rFonts w:asciiTheme="minorHAnsi" w:hAnsiTheme="minorHAnsi" w:cstheme="minorHAnsi"/>
                <w:b w:val="0"/>
                <w:color w:val="FFFFFF" w:themeColor="background1"/>
                <w:sz w:val="22"/>
                <w:szCs w:val="22"/>
              </w:rPr>
              <w:t>Regions</w:t>
            </w:r>
          </w:p>
        </w:tc>
        <w:tc>
          <w:tcPr>
            <w:tcW w:w="2728" w:type="pct"/>
          </w:tcPr>
          <w:p w14:paraId="37AAB7C8" w14:textId="77777777" w:rsidR="00E80719" w:rsidRPr="00725F40" w:rsidRDefault="00E80719" w:rsidP="00A9539C">
            <w:pPr>
              <w:pStyle w:val="NormalWeb"/>
              <w:rPr>
                <w:rStyle w:val="lev"/>
                <w:rFonts w:asciiTheme="minorHAnsi" w:hAnsiTheme="minorHAnsi" w:cstheme="minorHAnsi"/>
                <w:b w:val="0"/>
                <w:sz w:val="22"/>
                <w:szCs w:val="22"/>
              </w:rPr>
            </w:pPr>
            <w:r w:rsidRPr="00725F40">
              <w:rPr>
                <w:rFonts w:asciiTheme="minorHAnsi" w:hAnsiTheme="minorHAnsi" w:cstheme="minorHAnsi"/>
                <w:bCs/>
                <w:sz w:val="22"/>
                <w:szCs w:val="22"/>
              </w:rPr>
              <w:t>25</w:t>
            </w:r>
            <w:r w:rsidR="00A9539C" w:rsidRPr="00725F40">
              <w:rPr>
                <w:rFonts w:asciiTheme="minorHAnsi" w:hAnsiTheme="minorHAnsi" w:cstheme="minorHAnsi"/>
                <w:bCs/>
                <w:sz w:val="22"/>
                <w:szCs w:val="22"/>
              </w:rPr>
              <w:t xml:space="preserve"> </w:t>
            </w:r>
            <w:r w:rsidRPr="00725F40">
              <w:rPr>
                <w:rFonts w:asciiTheme="minorHAnsi" w:hAnsiTheme="minorHAnsi" w:cstheme="minorHAnsi"/>
                <w:bCs/>
                <w:sz w:val="22"/>
                <w:szCs w:val="22"/>
              </w:rPr>
              <w:t>(20 of these 25 exceptions belong to the Royal Canadian Mounted Police)</w:t>
            </w:r>
          </w:p>
        </w:tc>
      </w:tr>
    </w:tbl>
    <w:p w14:paraId="17EE41A1" w14:textId="77777777" w:rsidR="00E80719" w:rsidRPr="00725F40" w:rsidRDefault="00E80719" w:rsidP="00DE4FAC">
      <w:pPr>
        <w:pStyle w:val="NormalWeb"/>
        <w:numPr>
          <w:ilvl w:val="0"/>
          <w:numId w:val="17"/>
        </w:numPr>
        <w:spacing w:before="0" w:beforeAutospacing="0" w:after="0" w:afterAutospacing="0"/>
        <w:ind w:left="714" w:hanging="357"/>
        <w:rPr>
          <w:sz w:val="22"/>
          <w:szCs w:val="22"/>
        </w:rPr>
      </w:pPr>
      <w:r w:rsidRPr="00725F40">
        <w:rPr>
          <w:rStyle w:val="lev"/>
          <w:rFonts w:asciiTheme="minorHAnsi" w:hAnsiTheme="minorHAnsi" w:cstheme="minorHAnsi"/>
          <w:sz w:val="22"/>
          <w:szCs w:val="22"/>
        </w:rPr>
        <w:t>50%</w:t>
      </w:r>
      <w:r w:rsidRPr="00725F40">
        <w:rPr>
          <w:rFonts w:asciiTheme="minorHAnsi" w:hAnsi="Segoe UI Semilight" w:cstheme="minorBidi"/>
          <w:bCs/>
          <w:iCs/>
          <w:color w:val="54575A" w:themeColor="text1"/>
          <w:kern w:val="24"/>
          <w:sz w:val="22"/>
          <w:szCs w:val="22"/>
        </w:rPr>
        <w:t xml:space="preserve"> </w:t>
      </w:r>
      <w:r w:rsidRPr="00725F40">
        <w:rPr>
          <w:rFonts w:asciiTheme="minorHAnsi" w:hAnsi="Segoe UI Semilight" w:cstheme="minorBidi"/>
          <w:iCs/>
          <w:color w:val="54575A" w:themeColor="text1"/>
          <w:kern w:val="24"/>
          <w:sz w:val="22"/>
          <w:szCs w:val="22"/>
        </w:rPr>
        <w:t>of D</w:t>
      </w:r>
      <w:r w:rsidR="007B56A5" w:rsidRPr="00725F40">
        <w:rPr>
          <w:rFonts w:asciiTheme="minorHAnsi" w:hAnsi="Segoe UI Semilight" w:cstheme="minorBidi"/>
          <w:iCs/>
          <w:color w:val="54575A" w:themeColor="text1"/>
          <w:kern w:val="24"/>
          <w:sz w:val="22"/>
          <w:szCs w:val="22"/>
        </w:rPr>
        <w:t xml:space="preserve">eputy </w:t>
      </w:r>
      <w:r w:rsidRPr="00725F40">
        <w:rPr>
          <w:rFonts w:asciiTheme="minorHAnsi" w:hAnsi="Segoe UI Semilight" w:cstheme="minorBidi"/>
          <w:iCs/>
          <w:color w:val="54575A" w:themeColor="text1"/>
          <w:kern w:val="24"/>
          <w:sz w:val="22"/>
          <w:szCs w:val="22"/>
        </w:rPr>
        <w:t>H</w:t>
      </w:r>
      <w:r w:rsidR="007B56A5" w:rsidRPr="00725F40">
        <w:rPr>
          <w:rFonts w:asciiTheme="minorHAnsi" w:hAnsi="Segoe UI Semilight" w:cstheme="minorBidi"/>
          <w:iCs/>
          <w:color w:val="54575A" w:themeColor="text1"/>
          <w:kern w:val="24"/>
          <w:sz w:val="22"/>
          <w:szCs w:val="22"/>
        </w:rPr>
        <w:t>ead</w:t>
      </w:r>
      <w:r w:rsidRPr="00725F40">
        <w:rPr>
          <w:rFonts w:asciiTheme="minorHAnsi" w:hAnsi="Segoe UI Semilight" w:cstheme="minorBidi"/>
          <w:iCs/>
          <w:color w:val="54575A" w:themeColor="text1"/>
          <w:kern w:val="24"/>
          <w:sz w:val="22"/>
          <w:szCs w:val="22"/>
        </w:rPr>
        <w:t xml:space="preserve"> exceptions were for </w:t>
      </w:r>
      <w:r w:rsidRPr="00DE4FAC">
        <w:rPr>
          <w:rStyle w:val="lev"/>
        </w:rPr>
        <w:t>entry level positions</w:t>
      </w:r>
      <w:r w:rsidRPr="00725F40">
        <w:rPr>
          <w:rStyle w:val="lev"/>
          <w:rFonts w:asciiTheme="minorHAnsi" w:hAnsiTheme="minorHAnsi" w:cstheme="minorHAnsi"/>
          <w:sz w:val="22"/>
          <w:szCs w:val="22"/>
        </w:rPr>
        <w:t>.</w:t>
      </w:r>
    </w:p>
    <w:p w14:paraId="2A586C2C" w14:textId="77777777" w:rsidR="00E80719" w:rsidRPr="00725F40" w:rsidRDefault="00E80719" w:rsidP="00E80719">
      <w:pPr>
        <w:pStyle w:val="NormalWeb"/>
        <w:numPr>
          <w:ilvl w:val="0"/>
          <w:numId w:val="17"/>
        </w:numPr>
        <w:spacing w:before="0" w:beforeAutospacing="0" w:after="0" w:afterAutospacing="0"/>
        <w:rPr>
          <w:rStyle w:val="lev"/>
          <w:rFonts w:asciiTheme="minorHAnsi" w:hAnsiTheme="minorHAnsi" w:cstheme="minorHAnsi"/>
          <w:sz w:val="22"/>
          <w:szCs w:val="22"/>
        </w:rPr>
      </w:pPr>
      <w:r w:rsidRPr="00725F40">
        <w:rPr>
          <w:rStyle w:val="lev"/>
          <w:rFonts w:asciiTheme="minorHAnsi" w:hAnsiTheme="minorHAnsi" w:cstheme="minorHAnsi"/>
          <w:sz w:val="22"/>
          <w:szCs w:val="22"/>
        </w:rPr>
        <w:t>54%</w:t>
      </w:r>
      <w:r w:rsidRPr="00725F40">
        <w:rPr>
          <w:rFonts w:asciiTheme="minorHAnsi" w:hAnsi="Segoe UI Semilight" w:cstheme="minorBidi"/>
          <w:bCs/>
          <w:iCs/>
          <w:color w:val="54575A" w:themeColor="text1"/>
          <w:kern w:val="24"/>
          <w:sz w:val="22"/>
          <w:szCs w:val="22"/>
        </w:rPr>
        <w:t xml:space="preserve"> </w:t>
      </w:r>
      <w:r w:rsidRPr="00725F40">
        <w:rPr>
          <w:rFonts w:asciiTheme="minorHAnsi" w:hAnsi="Segoe UI Semilight" w:cstheme="minorBidi"/>
          <w:iCs/>
          <w:color w:val="54575A" w:themeColor="text1"/>
          <w:kern w:val="24"/>
          <w:sz w:val="22"/>
          <w:szCs w:val="22"/>
        </w:rPr>
        <w:t xml:space="preserve">of appointments were made from processes intended to staff </w:t>
      </w:r>
      <w:r w:rsidRPr="00725F40">
        <w:rPr>
          <w:rStyle w:val="lev"/>
          <w:rFonts w:asciiTheme="minorHAnsi" w:hAnsiTheme="minorHAnsi" w:cstheme="minorHAnsi"/>
          <w:sz w:val="22"/>
          <w:szCs w:val="22"/>
        </w:rPr>
        <w:t>determinate positions.</w:t>
      </w:r>
    </w:p>
    <w:p w14:paraId="1D3A8DAE" w14:textId="77777777" w:rsidR="007B56A5" w:rsidRPr="00725F40" w:rsidRDefault="007B56A5" w:rsidP="00372B8C">
      <w:pPr>
        <w:autoSpaceDE w:val="0"/>
        <w:autoSpaceDN w:val="0"/>
        <w:adjustRightInd w:val="0"/>
        <w:spacing w:after="120" w:line="240" w:lineRule="auto"/>
        <w:jc w:val="right"/>
        <w:rPr>
          <w:rFonts w:ascii="Segoe UI Light" w:eastAsia="Times New Roman" w:hAnsi="Times New Roman" w:cs="Segoe UI Light"/>
          <w:b/>
          <w:bCs/>
          <w:kern w:val="24"/>
          <w:sz w:val="28"/>
          <w:szCs w:val="28"/>
        </w:rPr>
        <w:sectPr w:rsidR="007B56A5" w:rsidRPr="00725F40" w:rsidSect="0084204D">
          <w:pgSz w:w="12240" w:h="15840"/>
          <w:pgMar w:top="1985" w:right="1440" w:bottom="1440" w:left="1440" w:header="708" w:footer="283" w:gutter="0"/>
          <w:cols w:space="708"/>
          <w:titlePg/>
          <w:docGrid w:linePitch="360"/>
        </w:sectPr>
      </w:pPr>
    </w:p>
    <w:p w14:paraId="6A5A20CD" w14:textId="77777777" w:rsidR="007B56A5" w:rsidRPr="00725F40" w:rsidRDefault="007B56A5" w:rsidP="007B56A5">
      <w:pPr>
        <w:pStyle w:val="Lgende"/>
        <w:keepNext/>
        <w:spacing w:after="0"/>
        <w:rPr>
          <w:i w:val="0"/>
          <w:color w:val="auto"/>
        </w:rPr>
      </w:pPr>
      <w:r w:rsidRPr="00725F40">
        <w:rPr>
          <w:i w:val="0"/>
          <w:color w:val="auto"/>
        </w:rPr>
        <w:lastRenderedPageBreak/>
        <w:t xml:space="preserve">Table </w:t>
      </w:r>
      <w:r w:rsidRPr="00725F40">
        <w:rPr>
          <w:i w:val="0"/>
          <w:color w:val="auto"/>
        </w:rPr>
        <w:fldChar w:fldCharType="begin"/>
      </w:r>
      <w:r w:rsidRPr="00725F40">
        <w:rPr>
          <w:i w:val="0"/>
          <w:color w:val="auto"/>
        </w:rPr>
        <w:instrText xml:space="preserve"> SEQ Table \* ARABIC </w:instrText>
      </w:r>
      <w:r w:rsidRPr="00725F40">
        <w:rPr>
          <w:i w:val="0"/>
          <w:color w:val="auto"/>
        </w:rPr>
        <w:fldChar w:fldCharType="separate"/>
      </w:r>
      <w:r w:rsidRPr="00725F40">
        <w:rPr>
          <w:i w:val="0"/>
          <w:noProof/>
          <w:color w:val="auto"/>
        </w:rPr>
        <w:t>4</w:t>
      </w:r>
      <w:r w:rsidRPr="00725F40">
        <w:rPr>
          <w:i w:val="0"/>
          <w:color w:val="auto"/>
        </w:rPr>
        <w:fldChar w:fldCharType="end"/>
      </w:r>
      <w:r w:rsidRPr="00725F40">
        <w:rPr>
          <w:i w:val="0"/>
          <w:color w:val="auto"/>
        </w:rPr>
        <w:t xml:space="preserve"> - Reasons for exceptions to </w:t>
      </w:r>
      <w:r w:rsidR="00DE4FAC">
        <w:rPr>
          <w:i w:val="0"/>
          <w:color w:val="auto"/>
        </w:rPr>
        <w:t>N</w:t>
      </w:r>
      <w:r w:rsidRPr="00725F40">
        <w:rPr>
          <w:i w:val="0"/>
          <w:color w:val="auto"/>
        </w:rPr>
        <w:t xml:space="preserve">ational </w:t>
      </w:r>
      <w:r w:rsidR="00DE4FAC">
        <w:rPr>
          <w:i w:val="0"/>
          <w:color w:val="auto"/>
        </w:rPr>
        <w:t>A</w:t>
      </w:r>
      <w:r w:rsidRPr="00725F40">
        <w:rPr>
          <w:i w:val="0"/>
          <w:color w:val="auto"/>
        </w:rPr>
        <w:t xml:space="preserve">rea of </w:t>
      </w:r>
      <w:r w:rsidR="00DE4FAC">
        <w:rPr>
          <w:i w:val="0"/>
          <w:color w:val="auto"/>
        </w:rPr>
        <w:t>S</w:t>
      </w:r>
      <w:r w:rsidRPr="00725F40">
        <w:rPr>
          <w:i w:val="0"/>
          <w:color w:val="auto"/>
        </w:rPr>
        <w:t>election by organization</w:t>
      </w:r>
    </w:p>
    <w:tbl>
      <w:tblPr>
        <w:tblStyle w:val="Grilledutableau"/>
        <w:tblW w:w="5304" w:type="pct"/>
        <w:jc w:val="center"/>
        <w:tblLook w:val="04A0" w:firstRow="1" w:lastRow="0" w:firstColumn="1" w:lastColumn="0" w:noHBand="0" w:noVBand="1"/>
        <w:tblDescription w:val="Reasons for exceptions to National Area of Selection by organization"/>
      </w:tblPr>
      <w:tblGrid>
        <w:gridCol w:w="1981"/>
        <w:gridCol w:w="2692"/>
        <w:gridCol w:w="2551"/>
        <w:gridCol w:w="2694"/>
      </w:tblGrid>
      <w:tr w:rsidR="00DA26A5" w:rsidRPr="00725F40" w14:paraId="64A26F96" w14:textId="77777777" w:rsidTr="00587F44">
        <w:trPr>
          <w:cantSplit/>
          <w:tblHeader/>
          <w:jc w:val="center"/>
        </w:trPr>
        <w:tc>
          <w:tcPr>
            <w:tcW w:w="999" w:type="pct"/>
            <w:shd w:val="clear" w:color="auto" w:fill="54575A" w:themeFill="text1"/>
          </w:tcPr>
          <w:p w14:paraId="1EA95B73" w14:textId="77777777" w:rsidR="007B56A5" w:rsidRPr="00725F40" w:rsidRDefault="007B56A5" w:rsidP="007B56A5">
            <w:pPr>
              <w:pStyle w:val="TableTitle"/>
              <w:rPr>
                <w:color w:val="FFFFFF" w:themeColor="background1"/>
              </w:rPr>
            </w:pPr>
            <w:r w:rsidRPr="00725F40">
              <w:rPr>
                <w:color w:val="FFFFFF" w:themeColor="background1"/>
              </w:rPr>
              <w:t>Reasons for Exceptions</w:t>
            </w:r>
          </w:p>
        </w:tc>
        <w:tc>
          <w:tcPr>
            <w:tcW w:w="1357" w:type="pct"/>
            <w:shd w:val="clear" w:color="auto" w:fill="54575A" w:themeFill="text1"/>
          </w:tcPr>
          <w:p w14:paraId="622611BC" w14:textId="77777777" w:rsidR="007B56A5" w:rsidRPr="00725F40" w:rsidRDefault="007B56A5" w:rsidP="007B56A5">
            <w:pPr>
              <w:pStyle w:val="TableTitle"/>
              <w:rPr>
                <w:color w:val="FFFFFF" w:themeColor="background1"/>
              </w:rPr>
            </w:pPr>
            <w:r w:rsidRPr="00725F40">
              <w:rPr>
                <w:color w:val="FFFFFF" w:themeColor="background1"/>
              </w:rPr>
              <w:t>Royal Canadian Mounted Police (number of exceptions)</w:t>
            </w:r>
          </w:p>
        </w:tc>
        <w:tc>
          <w:tcPr>
            <w:tcW w:w="1286" w:type="pct"/>
            <w:shd w:val="clear" w:color="auto" w:fill="54575A" w:themeFill="text1"/>
          </w:tcPr>
          <w:p w14:paraId="698333A8" w14:textId="77777777" w:rsidR="007B56A5" w:rsidRPr="00725F40" w:rsidRDefault="007B56A5" w:rsidP="007B56A5">
            <w:pPr>
              <w:pStyle w:val="TableTitle"/>
              <w:rPr>
                <w:color w:val="FFFFFF" w:themeColor="background1"/>
              </w:rPr>
            </w:pPr>
            <w:r w:rsidRPr="00725F40">
              <w:rPr>
                <w:color w:val="FFFFFF" w:themeColor="background1"/>
              </w:rPr>
              <w:t>Office of the Chief Electoral Officer (number of exceptions)</w:t>
            </w:r>
          </w:p>
        </w:tc>
        <w:tc>
          <w:tcPr>
            <w:tcW w:w="1358" w:type="pct"/>
            <w:shd w:val="clear" w:color="auto" w:fill="54575A" w:themeFill="text1"/>
          </w:tcPr>
          <w:p w14:paraId="6961B67B" w14:textId="77777777" w:rsidR="007B56A5" w:rsidRPr="00725F40" w:rsidRDefault="007B56A5" w:rsidP="008D115E">
            <w:pPr>
              <w:pStyle w:val="TableTitle"/>
              <w:rPr>
                <w:color w:val="FFFFFF" w:themeColor="background1"/>
              </w:rPr>
            </w:pPr>
            <w:r w:rsidRPr="00725F40">
              <w:rPr>
                <w:color w:val="FFFFFF" w:themeColor="background1"/>
              </w:rPr>
              <w:t>Various Organizations</w:t>
            </w:r>
            <w:r w:rsidR="008D115E" w:rsidRPr="00725F40">
              <w:rPr>
                <w:color w:val="FFFFFF" w:themeColor="background1"/>
              </w:rPr>
              <w:t xml:space="preserve"> </w:t>
            </w:r>
            <w:r w:rsidRPr="00725F40">
              <w:rPr>
                <w:color w:val="FFFFFF" w:themeColor="background1"/>
              </w:rPr>
              <w:t>(number of exceptions)</w:t>
            </w:r>
          </w:p>
        </w:tc>
      </w:tr>
      <w:tr w:rsidR="008D115E" w:rsidRPr="00725F40" w14:paraId="386BC69C" w14:textId="77777777" w:rsidTr="00587F44">
        <w:trPr>
          <w:cantSplit/>
          <w:tblHeader/>
          <w:jc w:val="center"/>
        </w:trPr>
        <w:tc>
          <w:tcPr>
            <w:tcW w:w="999" w:type="pct"/>
            <w:shd w:val="clear" w:color="auto" w:fill="54575A" w:themeFill="text1"/>
          </w:tcPr>
          <w:p w14:paraId="469FC4B4" w14:textId="77777777" w:rsidR="007B56A5" w:rsidRPr="00725F40" w:rsidRDefault="007B56A5" w:rsidP="007B56A5">
            <w:pPr>
              <w:pStyle w:val="NormalWeb"/>
              <w:spacing w:before="0" w:beforeAutospacing="0" w:after="0" w:afterAutospacing="0"/>
              <w:rPr>
                <w:rFonts w:asciiTheme="minorHAnsi" w:hAnsiTheme="minorHAnsi" w:cstheme="minorHAnsi"/>
                <w:color w:val="FFFFFF" w:themeColor="background1"/>
                <w:sz w:val="22"/>
                <w:szCs w:val="36"/>
              </w:rPr>
            </w:pPr>
            <w:r w:rsidRPr="00725F40">
              <w:rPr>
                <w:rFonts w:asciiTheme="minorHAnsi" w:hAnsiTheme="minorHAnsi" w:cstheme="minorHAnsi"/>
                <w:bCs/>
                <w:color w:val="FFFFFF" w:themeColor="background1"/>
                <w:kern w:val="24"/>
                <w:sz w:val="22"/>
                <w:szCs w:val="36"/>
              </w:rPr>
              <w:t>Rural areas and remote location</w:t>
            </w:r>
          </w:p>
        </w:tc>
        <w:tc>
          <w:tcPr>
            <w:tcW w:w="1357" w:type="pct"/>
          </w:tcPr>
          <w:p w14:paraId="7A4A06DA" w14:textId="77777777" w:rsidR="007B56A5" w:rsidRPr="00725F40" w:rsidRDefault="007B56A5" w:rsidP="007B56A5">
            <w:pPr>
              <w:pStyle w:val="NormalWeb"/>
              <w:spacing w:before="0" w:beforeAutospacing="0" w:after="0" w:afterAutospacing="0"/>
              <w:jc w:val="center"/>
              <w:rPr>
                <w:rFonts w:asciiTheme="minorHAnsi" w:hAnsiTheme="minorHAnsi" w:cstheme="minorHAnsi"/>
                <w:sz w:val="22"/>
                <w:szCs w:val="36"/>
              </w:rPr>
            </w:pPr>
            <w:r w:rsidRPr="00725F40">
              <w:rPr>
                <w:rFonts w:asciiTheme="minorHAnsi" w:hAnsiTheme="minorHAnsi" w:cstheme="minorHAnsi"/>
                <w:bCs/>
                <w:kern w:val="24"/>
                <w:sz w:val="22"/>
                <w:szCs w:val="36"/>
              </w:rPr>
              <w:t>14</w:t>
            </w:r>
          </w:p>
        </w:tc>
        <w:tc>
          <w:tcPr>
            <w:tcW w:w="1286" w:type="pct"/>
          </w:tcPr>
          <w:p w14:paraId="04F5D4C2" w14:textId="77777777" w:rsidR="007B56A5" w:rsidRPr="00725F40" w:rsidRDefault="007B56A5" w:rsidP="007B56A5">
            <w:pPr>
              <w:pStyle w:val="NormalWeb"/>
              <w:spacing w:before="0" w:beforeAutospacing="0" w:after="0" w:afterAutospacing="0"/>
              <w:jc w:val="center"/>
              <w:rPr>
                <w:rFonts w:asciiTheme="minorHAnsi" w:hAnsiTheme="minorHAnsi" w:cstheme="minorHAnsi"/>
                <w:sz w:val="22"/>
                <w:szCs w:val="36"/>
              </w:rPr>
            </w:pPr>
            <w:r w:rsidRPr="00725F40">
              <w:rPr>
                <w:rFonts w:asciiTheme="minorHAnsi" w:hAnsiTheme="minorHAnsi" w:cstheme="minorHAnsi"/>
                <w:bCs/>
                <w:kern w:val="24"/>
                <w:sz w:val="22"/>
                <w:szCs w:val="36"/>
              </w:rPr>
              <w:t>0</w:t>
            </w:r>
          </w:p>
        </w:tc>
        <w:tc>
          <w:tcPr>
            <w:tcW w:w="1358" w:type="pct"/>
          </w:tcPr>
          <w:p w14:paraId="65EFB7D1" w14:textId="77777777" w:rsidR="007B56A5" w:rsidRPr="00725F40" w:rsidRDefault="007B56A5" w:rsidP="007B56A5">
            <w:pPr>
              <w:pStyle w:val="NormalWeb"/>
              <w:spacing w:before="0" w:beforeAutospacing="0" w:after="0" w:afterAutospacing="0"/>
              <w:jc w:val="center"/>
              <w:rPr>
                <w:rFonts w:asciiTheme="minorHAnsi" w:hAnsiTheme="minorHAnsi" w:cstheme="minorHAnsi"/>
                <w:sz w:val="22"/>
                <w:szCs w:val="36"/>
              </w:rPr>
            </w:pPr>
            <w:r w:rsidRPr="00725F40">
              <w:rPr>
                <w:rFonts w:asciiTheme="minorHAnsi" w:hAnsiTheme="minorHAnsi" w:cstheme="minorHAnsi"/>
                <w:bCs/>
                <w:kern w:val="24"/>
                <w:sz w:val="22"/>
                <w:szCs w:val="36"/>
              </w:rPr>
              <w:t>3</w:t>
            </w:r>
          </w:p>
        </w:tc>
      </w:tr>
      <w:tr w:rsidR="008D115E" w:rsidRPr="00725F40" w14:paraId="767D3B90" w14:textId="77777777" w:rsidTr="00587F44">
        <w:trPr>
          <w:cantSplit/>
          <w:trHeight w:val="487"/>
          <w:tblHeader/>
          <w:jc w:val="center"/>
        </w:trPr>
        <w:tc>
          <w:tcPr>
            <w:tcW w:w="999" w:type="pct"/>
            <w:shd w:val="clear" w:color="auto" w:fill="54575A" w:themeFill="text1"/>
          </w:tcPr>
          <w:p w14:paraId="19AF27EA" w14:textId="77777777" w:rsidR="007B56A5" w:rsidRPr="00725F40" w:rsidRDefault="007B56A5" w:rsidP="007B56A5">
            <w:pPr>
              <w:pStyle w:val="NormalWeb"/>
              <w:spacing w:before="0" w:beforeAutospacing="0" w:after="0" w:afterAutospacing="0"/>
              <w:rPr>
                <w:rFonts w:asciiTheme="minorHAnsi" w:hAnsiTheme="minorHAnsi" w:cstheme="minorHAnsi"/>
                <w:color w:val="FFFFFF" w:themeColor="background1"/>
                <w:sz w:val="22"/>
                <w:szCs w:val="36"/>
              </w:rPr>
            </w:pPr>
            <w:r w:rsidRPr="00725F40">
              <w:rPr>
                <w:rFonts w:asciiTheme="minorHAnsi" w:hAnsiTheme="minorHAnsi" w:cstheme="minorHAnsi"/>
                <w:color w:val="FFFFFF" w:themeColor="background1"/>
                <w:kern w:val="24"/>
                <w:sz w:val="22"/>
                <w:szCs w:val="36"/>
              </w:rPr>
              <w:t>Elections</w:t>
            </w:r>
          </w:p>
        </w:tc>
        <w:tc>
          <w:tcPr>
            <w:tcW w:w="1357" w:type="pct"/>
          </w:tcPr>
          <w:p w14:paraId="6F9AFC4B" w14:textId="77777777" w:rsidR="007B56A5" w:rsidRPr="00725F40" w:rsidRDefault="007B56A5" w:rsidP="007B56A5">
            <w:pPr>
              <w:pStyle w:val="NormalWeb"/>
              <w:spacing w:before="0" w:beforeAutospacing="0" w:after="0" w:afterAutospacing="0"/>
              <w:jc w:val="center"/>
              <w:rPr>
                <w:rFonts w:asciiTheme="minorHAnsi" w:hAnsiTheme="minorHAnsi" w:cstheme="minorHAnsi"/>
                <w:sz w:val="22"/>
                <w:szCs w:val="36"/>
              </w:rPr>
            </w:pPr>
            <w:r w:rsidRPr="00725F40">
              <w:rPr>
                <w:rFonts w:asciiTheme="minorHAnsi" w:hAnsiTheme="minorHAnsi" w:cstheme="minorHAnsi"/>
                <w:kern w:val="24"/>
                <w:sz w:val="22"/>
                <w:szCs w:val="36"/>
              </w:rPr>
              <w:t>0</w:t>
            </w:r>
          </w:p>
        </w:tc>
        <w:tc>
          <w:tcPr>
            <w:tcW w:w="1286" w:type="pct"/>
          </w:tcPr>
          <w:p w14:paraId="27CDC39B" w14:textId="77777777" w:rsidR="007B56A5" w:rsidRPr="00725F40" w:rsidRDefault="007B56A5" w:rsidP="007B56A5">
            <w:pPr>
              <w:pStyle w:val="NormalWeb"/>
              <w:spacing w:before="0" w:beforeAutospacing="0" w:after="0" w:afterAutospacing="0"/>
              <w:jc w:val="center"/>
              <w:rPr>
                <w:rFonts w:asciiTheme="minorHAnsi" w:hAnsiTheme="minorHAnsi" w:cstheme="minorHAnsi"/>
                <w:sz w:val="22"/>
                <w:szCs w:val="36"/>
              </w:rPr>
            </w:pPr>
            <w:r w:rsidRPr="00725F40">
              <w:rPr>
                <w:rFonts w:asciiTheme="minorHAnsi" w:hAnsiTheme="minorHAnsi" w:cstheme="minorHAnsi"/>
                <w:kern w:val="24"/>
                <w:sz w:val="22"/>
                <w:szCs w:val="36"/>
              </w:rPr>
              <w:t>25</w:t>
            </w:r>
          </w:p>
        </w:tc>
        <w:tc>
          <w:tcPr>
            <w:tcW w:w="1358" w:type="pct"/>
          </w:tcPr>
          <w:p w14:paraId="1BD5DC9D" w14:textId="77777777" w:rsidR="007B56A5" w:rsidRPr="00725F40" w:rsidRDefault="007B56A5" w:rsidP="007B56A5">
            <w:pPr>
              <w:pStyle w:val="NormalWeb"/>
              <w:spacing w:before="0" w:beforeAutospacing="0" w:after="0" w:afterAutospacing="0"/>
              <w:jc w:val="center"/>
              <w:rPr>
                <w:rFonts w:asciiTheme="minorHAnsi" w:hAnsiTheme="minorHAnsi" w:cstheme="minorHAnsi"/>
                <w:sz w:val="22"/>
                <w:szCs w:val="36"/>
              </w:rPr>
            </w:pPr>
            <w:r w:rsidRPr="00725F40">
              <w:rPr>
                <w:rFonts w:asciiTheme="minorHAnsi" w:hAnsiTheme="minorHAnsi" w:cstheme="minorHAnsi"/>
                <w:kern w:val="24"/>
                <w:sz w:val="22"/>
                <w:szCs w:val="36"/>
              </w:rPr>
              <w:t>0</w:t>
            </w:r>
          </w:p>
        </w:tc>
      </w:tr>
      <w:tr w:rsidR="008D115E" w:rsidRPr="00725F40" w14:paraId="63169145" w14:textId="77777777" w:rsidTr="00587F44">
        <w:trPr>
          <w:cantSplit/>
          <w:tblHeader/>
          <w:jc w:val="center"/>
        </w:trPr>
        <w:tc>
          <w:tcPr>
            <w:tcW w:w="999" w:type="pct"/>
            <w:shd w:val="clear" w:color="auto" w:fill="54575A" w:themeFill="text1"/>
          </w:tcPr>
          <w:p w14:paraId="3D62FCEC" w14:textId="77777777" w:rsidR="007B56A5" w:rsidRPr="00725F40" w:rsidRDefault="007B56A5" w:rsidP="007B56A5">
            <w:pPr>
              <w:pStyle w:val="NormalWeb"/>
              <w:spacing w:before="0" w:beforeAutospacing="0" w:after="0" w:afterAutospacing="0"/>
              <w:rPr>
                <w:rFonts w:asciiTheme="minorHAnsi" w:hAnsiTheme="minorHAnsi" w:cstheme="minorHAnsi"/>
                <w:color w:val="FFFFFF" w:themeColor="background1"/>
                <w:sz w:val="22"/>
                <w:szCs w:val="36"/>
              </w:rPr>
            </w:pPr>
            <w:r w:rsidRPr="00725F40">
              <w:rPr>
                <w:rFonts w:asciiTheme="minorHAnsi" w:hAnsiTheme="minorHAnsi" w:cstheme="minorHAnsi"/>
                <w:color w:val="FFFFFF" w:themeColor="background1"/>
                <w:kern w:val="24"/>
                <w:sz w:val="22"/>
                <w:szCs w:val="36"/>
              </w:rPr>
              <w:t xml:space="preserve">Sufficient pool of </w:t>
            </w:r>
            <w:proofErr w:type="spellStart"/>
            <w:r w:rsidRPr="00725F40">
              <w:rPr>
                <w:rFonts w:asciiTheme="minorHAnsi" w:hAnsiTheme="minorHAnsi" w:cstheme="minorHAnsi"/>
                <w:color w:val="FFFFFF" w:themeColor="background1"/>
                <w:kern w:val="24"/>
                <w:sz w:val="22"/>
                <w:szCs w:val="36"/>
              </w:rPr>
              <w:t>candidat</w:t>
            </w:r>
            <w:proofErr w:type="spellEnd"/>
            <w:r w:rsidRPr="00725F40">
              <w:rPr>
                <w:rFonts w:asciiTheme="minorHAnsi" w:hAnsiTheme="minorHAnsi" w:cstheme="minorHAnsi"/>
                <w:color w:val="FFFFFF" w:themeColor="background1"/>
                <w:kern w:val="24"/>
                <w:sz w:val="22"/>
                <w:szCs w:val="36"/>
              </w:rPr>
              <w:t xml:space="preserve"> and volume management</w:t>
            </w:r>
          </w:p>
        </w:tc>
        <w:tc>
          <w:tcPr>
            <w:tcW w:w="1357" w:type="pct"/>
          </w:tcPr>
          <w:p w14:paraId="198DBC15" w14:textId="77777777" w:rsidR="007B56A5" w:rsidRPr="00725F40" w:rsidRDefault="007B56A5" w:rsidP="007B56A5">
            <w:pPr>
              <w:pStyle w:val="NormalWeb"/>
              <w:spacing w:before="0" w:beforeAutospacing="0" w:after="0" w:afterAutospacing="0"/>
              <w:jc w:val="center"/>
              <w:rPr>
                <w:rFonts w:asciiTheme="minorHAnsi" w:hAnsiTheme="minorHAnsi" w:cstheme="minorHAnsi"/>
                <w:sz w:val="22"/>
                <w:szCs w:val="36"/>
              </w:rPr>
            </w:pPr>
            <w:r w:rsidRPr="00725F40">
              <w:rPr>
                <w:rFonts w:asciiTheme="minorHAnsi" w:hAnsiTheme="minorHAnsi" w:cstheme="minorHAnsi"/>
                <w:kern w:val="24"/>
                <w:sz w:val="22"/>
                <w:szCs w:val="36"/>
              </w:rPr>
              <w:t>Not applicable</w:t>
            </w:r>
          </w:p>
        </w:tc>
        <w:tc>
          <w:tcPr>
            <w:tcW w:w="1286" w:type="pct"/>
          </w:tcPr>
          <w:p w14:paraId="6D753D01" w14:textId="77777777" w:rsidR="007B56A5" w:rsidRPr="00725F40" w:rsidRDefault="007B56A5" w:rsidP="007B56A5">
            <w:pPr>
              <w:pStyle w:val="NormalWeb"/>
              <w:spacing w:before="0" w:beforeAutospacing="0" w:after="0" w:afterAutospacing="0"/>
              <w:jc w:val="center"/>
              <w:rPr>
                <w:rFonts w:asciiTheme="minorHAnsi" w:hAnsiTheme="minorHAnsi" w:cstheme="minorHAnsi"/>
                <w:sz w:val="22"/>
                <w:szCs w:val="36"/>
              </w:rPr>
            </w:pPr>
            <w:r w:rsidRPr="00725F40">
              <w:rPr>
                <w:rFonts w:asciiTheme="minorHAnsi" w:hAnsiTheme="minorHAnsi" w:cstheme="minorHAnsi"/>
                <w:kern w:val="24"/>
                <w:sz w:val="22"/>
                <w:szCs w:val="36"/>
              </w:rPr>
              <w:t>Not applicable</w:t>
            </w:r>
          </w:p>
        </w:tc>
        <w:tc>
          <w:tcPr>
            <w:tcW w:w="1358" w:type="pct"/>
          </w:tcPr>
          <w:p w14:paraId="45B2453A" w14:textId="77777777" w:rsidR="007B56A5" w:rsidRPr="00725F40" w:rsidRDefault="007B56A5" w:rsidP="007B56A5">
            <w:pPr>
              <w:pStyle w:val="NormalWeb"/>
              <w:spacing w:before="0" w:beforeAutospacing="0" w:after="0" w:afterAutospacing="0"/>
              <w:jc w:val="center"/>
              <w:rPr>
                <w:rFonts w:asciiTheme="minorHAnsi" w:hAnsiTheme="minorHAnsi" w:cstheme="minorHAnsi"/>
                <w:sz w:val="22"/>
                <w:szCs w:val="36"/>
              </w:rPr>
            </w:pPr>
            <w:r w:rsidRPr="00725F40">
              <w:rPr>
                <w:rFonts w:asciiTheme="minorHAnsi" w:hAnsiTheme="minorHAnsi" w:cstheme="minorHAnsi"/>
                <w:kern w:val="24"/>
                <w:sz w:val="22"/>
                <w:szCs w:val="36"/>
              </w:rPr>
              <w:t>15</w:t>
            </w:r>
          </w:p>
        </w:tc>
      </w:tr>
      <w:tr w:rsidR="008D115E" w:rsidRPr="00725F40" w14:paraId="1AB4B4E4" w14:textId="77777777" w:rsidTr="00587F44">
        <w:trPr>
          <w:cantSplit/>
          <w:tblHeader/>
          <w:jc w:val="center"/>
        </w:trPr>
        <w:tc>
          <w:tcPr>
            <w:tcW w:w="999" w:type="pct"/>
            <w:shd w:val="clear" w:color="auto" w:fill="54575A" w:themeFill="text1"/>
          </w:tcPr>
          <w:p w14:paraId="73CFDDAE" w14:textId="77777777" w:rsidR="007B56A5" w:rsidRPr="00725F40" w:rsidRDefault="007B56A5" w:rsidP="007B56A5">
            <w:pPr>
              <w:pStyle w:val="NormalWeb"/>
              <w:spacing w:before="0" w:beforeAutospacing="0" w:after="0" w:afterAutospacing="0"/>
              <w:rPr>
                <w:rFonts w:asciiTheme="minorHAnsi" w:hAnsiTheme="minorHAnsi" w:cstheme="minorHAnsi"/>
                <w:color w:val="FFFFFF" w:themeColor="background1"/>
                <w:sz w:val="22"/>
                <w:szCs w:val="36"/>
              </w:rPr>
            </w:pPr>
            <w:r w:rsidRPr="00725F40">
              <w:rPr>
                <w:rFonts w:asciiTheme="minorHAnsi" w:hAnsiTheme="minorHAnsi" w:cstheme="minorHAnsi"/>
                <w:color w:val="FFFFFF" w:themeColor="background1"/>
                <w:kern w:val="24"/>
                <w:sz w:val="22"/>
                <w:szCs w:val="36"/>
              </w:rPr>
              <w:t>Entry level positions</w:t>
            </w:r>
          </w:p>
        </w:tc>
        <w:tc>
          <w:tcPr>
            <w:tcW w:w="1357" w:type="pct"/>
          </w:tcPr>
          <w:p w14:paraId="08783F58" w14:textId="77777777" w:rsidR="007B56A5" w:rsidRPr="00725F40" w:rsidRDefault="007B56A5" w:rsidP="007B56A5">
            <w:pPr>
              <w:pStyle w:val="NormalWeb"/>
              <w:spacing w:before="0" w:beforeAutospacing="0" w:after="0" w:afterAutospacing="0"/>
              <w:jc w:val="center"/>
              <w:rPr>
                <w:rFonts w:asciiTheme="minorHAnsi" w:hAnsiTheme="minorHAnsi" w:cstheme="minorHAnsi"/>
                <w:sz w:val="22"/>
                <w:szCs w:val="36"/>
              </w:rPr>
            </w:pPr>
            <w:r w:rsidRPr="00725F40">
              <w:rPr>
                <w:rFonts w:asciiTheme="minorHAnsi" w:hAnsiTheme="minorHAnsi" w:cstheme="minorHAnsi"/>
                <w:kern w:val="24"/>
                <w:sz w:val="22"/>
                <w:szCs w:val="36"/>
              </w:rPr>
              <w:t>Not applicable</w:t>
            </w:r>
          </w:p>
        </w:tc>
        <w:tc>
          <w:tcPr>
            <w:tcW w:w="1286" w:type="pct"/>
          </w:tcPr>
          <w:p w14:paraId="0822D270" w14:textId="77777777" w:rsidR="007B56A5" w:rsidRPr="00725F40" w:rsidRDefault="007B56A5" w:rsidP="007B56A5">
            <w:pPr>
              <w:pStyle w:val="NormalWeb"/>
              <w:spacing w:before="0" w:beforeAutospacing="0" w:after="0" w:afterAutospacing="0"/>
              <w:jc w:val="center"/>
              <w:rPr>
                <w:rFonts w:asciiTheme="minorHAnsi" w:hAnsiTheme="minorHAnsi" w:cstheme="minorHAnsi"/>
                <w:sz w:val="22"/>
                <w:szCs w:val="36"/>
              </w:rPr>
            </w:pPr>
            <w:r w:rsidRPr="00725F40">
              <w:rPr>
                <w:rFonts w:asciiTheme="minorHAnsi" w:hAnsiTheme="minorHAnsi" w:cstheme="minorHAnsi"/>
                <w:kern w:val="24"/>
                <w:sz w:val="22"/>
                <w:szCs w:val="36"/>
              </w:rPr>
              <w:t>Not applicable</w:t>
            </w:r>
          </w:p>
        </w:tc>
        <w:tc>
          <w:tcPr>
            <w:tcW w:w="1358" w:type="pct"/>
          </w:tcPr>
          <w:p w14:paraId="3AEFC065" w14:textId="77777777" w:rsidR="007B56A5" w:rsidRPr="00725F40" w:rsidRDefault="007B56A5" w:rsidP="007B56A5">
            <w:pPr>
              <w:pStyle w:val="NormalWeb"/>
              <w:spacing w:before="0" w:beforeAutospacing="0" w:after="0" w:afterAutospacing="0"/>
              <w:jc w:val="center"/>
              <w:rPr>
                <w:rFonts w:asciiTheme="minorHAnsi" w:hAnsiTheme="minorHAnsi" w:cstheme="minorHAnsi"/>
                <w:sz w:val="22"/>
                <w:szCs w:val="36"/>
              </w:rPr>
            </w:pPr>
            <w:r w:rsidRPr="00725F40">
              <w:rPr>
                <w:rFonts w:asciiTheme="minorHAnsi" w:hAnsiTheme="minorHAnsi" w:cstheme="minorHAnsi"/>
                <w:kern w:val="24"/>
                <w:sz w:val="22"/>
                <w:szCs w:val="36"/>
              </w:rPr>
              <w:t>8</w:t>
            </w:r>
          </w:p>
        </w:tc>
      </w:tr>
      <w:tr w:rsidR="008D115E" w:rsidRPr="00725F40" w14:paraId="24D3B675" w14:textId="77777777" w:rsidTr="00587F44">
        <w:trPr>
          <w:cantSplit/>
          <w:trHeight w:val="408"/>
          <w:tblHeader/>
          <w:jc w:val="center"/>
        </w:trPr>
        <w:tc>
          <w:tcPr>
            <w:tcW w:w="999" w:type="pct"/>
            <w:shd w:val="clear" w:color="auto" w:fill="54575A" w:themeFill="text1"/>
          </w:tcPr>
          <w:p w14:paraId="218C4C46" w14:textId="77777777" w:rsidR="007B56A5" w:rsidRPr="00725F40" w:rsidRDefault="007B56A5" w:rsidP="007B56A5">
            <w:pPr>
              <w:pStyle w:val="NormalWeb"/>
              <w:spacing w:before="0" w:beforeAutospacing="0" w:after="0" w:afterAutospacing="0"/>
              <w:rPr>
                <w:rFonts w:asciiTheme="minorHAnsi" w:hAnsiTheme="minorHAnsi" w:cstheme="minorHAnsi"/>
                <w:color w:val="FFFFFF" w:themeColor="background1"/>
                <w:sz w:val="22"/>
                <w:szCs w:val="36"/>
              </w:rPr>
            </w:pPr>
            <w:r w:rsidRPr="00725F40">
              <w:rPr>
                <w:rFonts w:asciiTheme="minorHAnsi" w:hAnsiTheme="minorHAnsi" w:cstheme="minorHAnsi"/>
                <w:color w:val="FFFFFF" w:themeColor="background1"/>
                <w:kern w:val="24"/>
                <w:sz w:val="22"/>
                <w:szCs w:val="36"/>
              </w:rPr>
              <w:t xml:space="preserve">Temporary </w:t>
            </w:r>
          </w:p>
        </w:tc>
        <w:tc>
          <w:tcPr>
            <w:tcW w:w="1357" w:type="pct"/>
          </w:tcPr>
          <w:p w14:paraId="1E56CACF" w14:textId="77777777" w:rsidR="007B56A5" w:rsidRPr="00725F40" w:rsidRDefault="007B56A5" w:rsidP="007B56A5">
            <w:pPr>
              <w:pStyle w:val="NormalWeb"/>
              <w:spacing w:before="0" w:beforeAutospacing="0" w:after="0" w:afterAutospacing="0"/>
              <w:jc w:val="center"/>
              <w:rPr>
                <w:rFonts w:asciiTheme="minorHAnsi" w:hAnsiTheme="minorHAnsi" w:cstheme="minorHAnsi"/>
                <w:sz w:val="22"/>
                <w:szCs w:val="36"/>
              </w:rPr>
            </w:pPr>
            <w:r w:rsidRPr="00725F40">
              <w:rPr>
                <w:rFonts w:asciiTheme="minorHAnsi" w:hAnsiTheme="minorHAnsi" w:cstheme="minorHAnsi"/>
                <w:kern w:val="24"/>
                <w:sz w:val="22"/>
                <w:szCs w:val="36"/>
              </w:rPr>
              <w:t>Not applicable</w:t>
            </w:r>
          </w:p>
        </w:tc>
        <w:tc>
          <w:tcPr>
            <w:tcW w:w="1286" w:type="pct"/>
          </w:tcPr>
          <w:p w14:paraId="02AF3594" w14:textId="77777777" w:rsidR="007B56A5" w:rsidRPr="00725F40" w:rsidRDefault="007B56A5" w:rsidP="007B56A5">
            <w:pPr>
              <w:pStyle w:val="NormalWeb"/>
              <w:spacing w:before="0" w:beforeAutospacing="0" w:after="0" w:afterAutospacing="0"/>
              <w:jc w:val="center"/>
              <w:rPr>
                <w:rFonts w:asciiTheme="minorHAnsi" w:hAnsiTheme="minorHAnsi" w:cstheme="minorHAnsi"/>
                <w:sz w:val="22"/>
                <w:szCs w:val="36"/>
              </w:rPr>
            </w:pPr>
            <w:r w:rsidRPr="00725F40">
              <w:rPr>
                <w:rFonts w:asciiTheme="minorHAnsi" w:hAnsiTheme="minorHAnsi" w:cstheme="minorHAnsi"/>
                <w:kern w:val="24"/>
                <w:sz w:val="22"/>
                <w:szCs w:val="36"/>
              </w:rPr>
              <w:t>Not applicable</w:t>
            </w:r>
          </w:p>
        </w:tc>
        <w:tc>
          <w:tcPr>
            <w:tcW w:w="1358" w:type="pct"/>
          </w:tcPr>
          <w:p w14:paraId="16A72218" w14:textId="77777777" w:rsidR="007B56A5" w:rsidRPr="00725F40" w:rsidRDefault="007B56A5" w:rsidP="007B56A5">
            <w:pPr>
              <w:pStyle w:val="NormalWeb"/>
              <w:spacing w:before="0" w:beforeAutospacing="0" w:after="0" w:afterAutospacing="0"/>
              <w:jc w:val="center"/>
              <w:rPr>
                <w:rFonts w:asciiTheme="minorHAnsi" w:hAnsiTheme="minorHAnsi" w:cstheme="minorHAnsi"/>
                <w:sz w:val="22"/>
                <w:szCs w:val="36"/>
              </w:rPr>
            </w:pPr>
            <w:r w:rsidRPr="00725F40">
              <w:rPr>
                <w:rFonts w:asciiTheme="minorHAnsi" w:hAnsiTheme="minorHAnsi" w:cstheme="minorHAnsi"/>
                <w:kern w:val="24"/>
                <w:sz w:val="22"/>
                <w:szCs w:val="36"/>
              </w:rPr>
              <w:t>2</w:t>
            </w:r>
          </w:p>
        </w:tc>
      </w:tr>
    </w:tbl>
    <w:p w14:paraId="690B78C6" w14:textId="77777777" w:rsidR="0084204D" w:rsidRPr="00725F40" w:rsidRDefault="0084204D" w:rsidP="00DE4FAC">
      <w:pPr>
        <w:pStyle w:val="Titre2"/>
        <w:spacing w:before="240" w:after="120" w:line="240" w:lineRule="auto"/>
        <w:rPr>
          <w:rFonts w:eastAsia="Times New Roman"/>
        </w:rPr>
      </w:pPr>
      <w:r w:rsidRPr="00725F40">
        <w:rPr>
          <w:rFonts w:eastAsia="Times New Roman"/>
        </w:rPr>
        <w:t>C</w:t>
      </w:r>
      <w:r w:rsidR="00491D4E" w:rsidRPr="00725F40">
        <w:rPr>
          <w:rFonts w:eastAsia="Times New Roman"/>
        </w:rPr>
        <w:t>onsul</w:t>
      </w:r>
      <w:r w:rsidR="007B56A5" w:rsidRPr="00725F40">
        <w:rPr>
          <w:rFonts w:eastAsia="Times New Roman"/>
        </w:rPr>
        <w:t>t</w:t>
      </w:r>
      <w:r w:rsidR="00491D4E" w:rsidRPr="00725F40">
        <w:rPr>
          <w:rFonts w:eastAsia="Times New Roman"/>
        </w:rPr>
        <w:t xml:space="preserve">ation </w:t>
      </w:r>
      <w:r w:rsidR="00DF6324">
        <w:rPr>
          <w:rFonts w:eastAsia="Times New Roman"/>
        </w:rPr>
        <w:t>F</w:t>
      </w:r>
      <w:r w:rsidR="00491D4E" w:rsidRPr="00725F40">
        <w:rPr>
          <w:rFonts w:eastAsia="Times New Roman"/>
        </w:rPr>
        <w:t xml:space="preserve">indings </w:t>
      </w:r>
    </w:p>
    <w:p w14:paraId="78252EB3" w14:textId="77777777" w:rsidR="0084204D" w:rsidRPr="00725F40" w:rsidRDefault="0084204D" w:rsidP="00587F44">
      <w:pPr>
        <w:autoSpaceDE w:val="0"/>
        <w:autoSpaceDN w:val="0"/>
        <w:adjustRightInd w:val="0"/>
        <w:spacing w:after="120" w:line="240" w:lineRule="auto"/>
        <w:rPr>
          <w:rFonts w:cstheme="minorHAnsi"/>
          <w:kern w:val="24"/>
        </w:rPr>
      </w:pPr>
      <w:r w:rsidRPr="00725F40">
        <w:rPr>
          <w:rFonts w:cstheme="minorHAnsi"/>
          <w:kern w:val="24"/>
        </w:rPr>
        <w:t>Consultations were held with organizations th</w:t>
      </w:r>
      <w:r w:rsidR="008D115E" w:rsidRPr="00725F40">
        <w:rPr>
          <w:rFonts w:cstheme="minorHAnsi"/>
          <w:kern w:val="24"/>
        </w:rPr>
        <w:t>at have used 7* and not used 12</w:t>
      </w:r>
      <w:r w:rsidRPr="00725F40">
        <w:rPr>
          <w:rFonts w:cstheme="minorHAnsi"/>
          <w:kern w:val="24"/>
        </w:rPr>
        <w:t xml:space="preserve"> the exceptions to the </w:t>
      </w:r>
      <w:r w:rsidR="007F7F23" w:rsidRPr="00725F40">
        <w:rPr>
          <w:rFonts w:cstheme="minorHAnsi"/>
          <w:kern w:val="24"/>
        </w:rPr>
        <w:t>national area of selection (</w:t>
      </w:r>
      <w:proofErr w:type="spellStart"/>
      <w:r w:rsidRPr="00725F40">
        <w:rPr>
          <w:rFonts w:cstheme="minorHAnsi"/>
          <w:kern w:val="24"/>
        </w:rPr>
        <w:t>NAoS</w:t>
      </w:r>
      <w:proofErr w:type="spellEnd"/>
      <w:r w:rsidR="007F7F23" w:rsidRPr="00725F40">
        <w:rPr>
          <w:rFonts w:cstheme="minorHAnsi"/>
          <w:kern w:val="24"/>
        </w:rPr>
        <w:t>)</w:t>
      </w:r>
      <w:r w:rsidRPr="00725F40">
        <w:rPr>
          <w:rFonts w:cstheme="minorHAnsi"/>
          <w:kern w:val="24"/>
        </w:rPr>
        <w:t xml:space="preserve"> in 2017-2018. We have noted the following:</w:t>
      </w:r>
    </w:p>
    <w:p w14:paraId="457D8303" w14:textId="77777777" w:rsidR="0084204D" w:rsidRPr="00725F40" w:rsidRDefault="0084204D" w:rsidP="003018FB">
      <w:pPr>
        <w:autoSpaceDE w:val="0"/>
        <w:autoSpaceDN w:val="0"/>
        <w:adjustRightInd w:val="0"/>
        <w:spacing w:after="0" w:line="240" w:lineRule="auto"/>
        <w:rPr>
          <w:rFonts w:cstheme="minorHAnsi"/>
          <w:kern w:val="24"/>
        </w:rPr>
      </w:pPr>
      <w:r w:rsidRPr="00725F40">
        <w:rPr>
          <w:rFonts w:cstheme="minorHAnsi"/>
          <w:kern w:val="24"/>
        </w:rPr>
        <w:t xml:space="preserve">A majority of organizations have a formal approval process in place and requests for exception are examined on a case-by-case basis. </w:t>
      </w:r>
    </w:p>
    <w:p w14:paraId="7B17D8D6" w14:textId="77777777" w:rsidR="0084204D" w:rsidRPr="00725F40" w:rsidRDefault="0084204D" w:rsidP="007F7F23">
      <w:pPr>
        <w:numPr>
          <w:ilvl w:val="0"/>
          <w:numId w:val="22"/>
        </w:numPr>
        <w:autoSpaceDE w:val="0"/>
        <w:autoSpaceDN w:val="0"/>
        <w:adjustRightInd w:val="0"/>
        <w:spacing w:after="0" w:line="240" w:lineRule="auto"/>
        <w:ind w:left="1077" w:hanging="357"/>
        <w:contextualSpacing/>
        <w:rPr>
          <w:rFonts w:cstheme="minorHAnsi"/>
          <w:kern w:val="24"/>
        </w:rPr>
      </w:pPr>
      <w:r w:rsidRPr="00725F40">
        <w:rPr>
          <w:rFonts w:cstheme="minorHAnsi"/>
          <w:kern w:val="24"/>
        </w:rPr>
        <w:t>Very few have established guidelines regarding the use of the exceptions.</w:t>
      </w:r>
    </w:p>
    <w:p w14:paraId="5CE68646" w14:textId="77777777" w:rsidR="008D115E" w:rsidRPr="00725F40" w:rsidRDefault="0084204D" w:rsidP="007F7F23">
      <w:pPr>
        <w:pStyle w:val="Paragraphedeliste"/>
        <w:numPr>
          <w:ilvl w:val="0"/>
          <w:numId w:val="22"/>
        </w:numPr>
        <w:autoSpaceDE w:val="0"/>
        <w:autoSpaceDN w:val="0"/>
        <w:adjustRightInd w:val="0"/>
        <w:spacing w:after="120" w:line="240" w:lineRule="auto"/>
        <w:rPr>
          <w:rFonts w:eastAsia="Times New Roman" w:cstheme="minorHAnsi"/>
          <w:kern w:val="24"/>
        </w:rPr>
      </w:pPr>
      <w:r w:rsidRPr="00725F40">
        <w:rPr>
          <w:rFonts w:eastAsia="Times New Roman" w:cstheme="minorHAnsi"/>
          <w:kern w:val="24"/>
        </w:rPr>
        <w:t xml:space="preserve">Because of the administrative burden associated to the approval process, some organizations are reluctant to seek DH approvals. </w:t>
      </w:r>
    </w:p>
    <w:p w14:paraId="12BA0113" w14:textId="77777777" w:rsidR="008D115E" w:rsidRPr="00725F40" w:rsidRDefault="008D115E" w:rsidP="00587F44">
      <w:pPr>
        <w:autoSpaceDE w:val="0"/>
        <w:autoSpaceDN w:val="0"/>
        <w:adjustRightInd w:val="0"/>
        <w:spacing w:after="120" w:line="240" w:lineRule="auto"/>
        <w:rPr>
          <w:rFonts w:ascii="Segoe UI Semilight" w:hAnsi="Times New Roman" w:cs="Segoe UI Semilight"/>
          <w:i/>
          <w:iCs/>
          <w:kern w:val="24"/>
        </w:rPr>
      </w:pPr>
      <w:r w:rsidRPr="00725F40">
        <w:rPr>
          <w:rFonts w:ascii="Segoe UI Semilight" w:hAnsi="Times New Roman" w:cs="Segoe UI Semilight"/>
          <w:i/>
          <w:kern w:val="24"/>
        </w:rPr>
        <w:t>*</w:t>
      </w:r>
      <w:r w:rsidRPr="00725F40">
        <w:rPr>
          <w:rStyle w:val="Accentuation"/>
          <w:i w:val="0"/>
        </w:rPr>
        <w:t>6 org. approved an exception in 2017-2018 and 1 org. made appointments using an exception approved in 2016-17.</w:t>
      </w:r>
    </w:p>
    <w:p w14:paraId="04C800FC" w14:textId="77777777" w:rsidR="0084204D" w:rsidRPr="00725F40" w:rsidRDefault="0084204D" w:rsidP="00587F44">
      <w:pPr>
        <w:autoSpaceDE w:val="0"/>
        <w:autoSpaceDN w:val="0"/>
        <w:adjustRightInd w:val="0"/>
        <w:spacing w:after="120" w:line="240" w:lineRule="auto"/>
        <w:rPr>
          <w:rFonts w:cstheme="minorHAnsi"/>
          <w:kern w:val="24"/>
        </w:rPr>
      </w:pPr>
      <w:r w:rsidRPr="00725F40">
        <w:rPr>
          <w:rFonts w:cstheme="minorHAnsi"/>
          <w:kern w:val="24"/>
        </w:rPr>
        <w:t>Rather than reducing the area of selection, organizations that did not use the exception have indicated using other tools to manage high volume of candidates in the context of external processes.</w:t>
      </w:r>
    </w:p>
    <w:p w14:paraId="07DA772D" w14:textId="77777777" w:rsidR="0084204D" w:rsidRPr="00725F40" w:rsidRDefault="0084204D" w:rsidP="00DE4FAC">
      <w:pPr>
        <w:pStyle w:val="Titre2"/>
        <w:spacing w:after="120" w:line="240" w:lineRule="auto"/>
        <w:rPr>
          <w:rFonts w:eastAsia="Times New Roman"/>
        </w:rPr>
      </w:pPr>
      <w:r w:rsidRPr="00725F40">
        <w:rPr>
          <w:rFonts w:eastAsia="Times New Roman"/>
        </w:rPr>
        <w:t>R</w:t>
      </w:r>
      <w:r w:rsidR="00914083" w:rsidRPr="00725F40">
        <w:rPr>
          <w:rFonts w:eastAsia="Times New Roman"/>
        </w:rPr>
        <w:t>ecommendation</w:t>
      </w:r>
      <w:r w:rsidR="00FC6A41" w:rsidRPr="00725F40">
        <w:rPr>
          <w:rFonts w:eastAsia="Times New Roman"/>
        </w:rPr>
        <w:t>s</w:t>
      </w:r>
    </w:p>
    <w:p w14:paraId="631AB297" w14:textId="77777777" w:rsidR="00AE5027" w:rsidRPr="00725F40" w:rsidRDefault="0084204D" w:rsidP="007059AC">
      <w:pPr>
        <w:autoSpaceDE w:val="0"/>
        <w:autoSpaceDN w:val="0"/>
        <w:adjustRightInd w:val="0"/>
        <w:spacing w:after="120" w:line="240" w:lineRule="auto"/>
        <w:rPr>
          <w:rFonts w:cstheme="minorHAnsi"/>
          <w:kern w:val="24"/>
        </w:rPr>
      </w:pPr>
      <w:r w:rsidRPr="00725F40">
        <w:rPr>
          <w:rFonts w:cstheme="minorHAnsi"/>
          <w:kern w:val="24"/>
        </w:rPr>
        <w:t>Continue gathering information about the appointments and the various factors contributing to the use of exceptions, and examine the data to provide insight and gain knowledge about emerging issues.</w:t>
      </w:r>
    </w:p>
    <w:p w14:paraId="1242425F" w14:textId="449ADB73" w:rsidR="00284BC2" w:rsidRPr="00725F40" w:rsidRDefault="0084204D" w:rsidP="007059AC">
      <w:pPr>
        <w:autoSpaceDE w:val="0"/>
        <w:autoSpaceDN w:val="0"/>
        <w:adjustRightInd w:val="0"/>
        <w:spacing w:after="120" w:line="240" w:lineRule="auto"/>
        <w:rPr>
          <w:rFonts w:cstheme="minorHAnsi"/>
          <w:kern w:val="24"/>
        </w:rPr>
        <w:sectPr w:rsidR="00284BC2" w:rsidRPr="00725F40" w:rsidSect="0084204D">
          <w:pgSz w:w="12240" w:h="15840"/>
          <w:pgMar w:top="1985" w:right="1440" w:bottom="1440" w:left="1440" w:header="708" w:footer="283" w:gutter="0"/>
          <w:cols w:space="708"/>
          <w:titlePg/>
          <w:docGrid w:linePitch="360"/>
        </w:sectPr>
      </w:pPr>
      <w:r w:rsidRPr="00725F40">
        <w:rPr>
          <w:rFonts w:cstheme="minorHAnsi"/>
          <w:kern w:val="24"/>
        </w:rPr>
        <w:t xml:space="preserve">Staffing Support Division (SSD) to follow-up with organizations to ensure understanding of the intent of </w:t>
      </w:r>
      <w:r w:rsidR="002C3843">
        <w:rPr>
          <w:rFonts w:cstheme="minorHAnsi"/>
          <w:kern w:val="24"/>
        </w:rPr>
        <w:t>National Area of Selection Policy</w:t>
      </w:r>
      <w:r w:rsidRPr="00725F40">
        <w:rPr>
          <w:rFonts w:cstheme="minorHAnsi"/>
          <w:kern w:val="24"/>
        </w:rPr>
        <w:t>.</w:t>
      </w:r>
    </w:p>
    <w:p w14:paraId="12F8DF20" w14:textId="77777777" w:rsidR="0084204D" w:rsidRPr="00725F40" w:rsidRDefault="0084204D" w:rsidP="00AE29B7">
      <w:pPr>
        <w:pStyle w:val="Titre1"/>
        <w:spacing w:after="120" w:line="240" w:lineRule="auto"/>
      </w:pPr>
      <w:r w:rsidRPr="00725F40">
        <w:lastRenderedPageBreak/>
        <w:t>R</w:t>
      </w:r>
      <w:r w:rsidR="008D115E" w:rsidRPr="00725F40">
        <w:t>esults of</w:t>
      </w:r>
      <w:r w:rsidRPr="00725F40">
        <w:t xml:space="preserve"> I</w:t>
      </w:r>
      <w:r w:rsidR="008D115E" w:rsidRPr="00725F40">
        <w:t>nternal</w:t>
      </w:r>
      <w:r w:rsidRPr="00725F40">
        <w:t xml:space="preserve"> I</w:t>
      </w:r>
      <w:r w:rsidR="008D115E" w:rsidRPr="00725F40">
        <w:t>nvestigations</w:t>
      </w:r>
    </w:p>
    <w:p w14:paraId="70949355" w14:textId="77777777" w:rsidR="0084204D" w:rsidRPr="00725F40" w:rsidRDefault="007059AC" w:rsidP="007059AC">
      <w:pPr>
        <w:pStyle w:val="Titre2"/>
        <w:spacing w:after="120" w:line="240" w:lineRule="auto"/>
      </w:pPr>
      <w:r w:rsidRPr="00725F40">
        <w:t>Context</w:t>
      </w:r>
    </w:p>
    <w:p w14:paraId="0EE51360" w14:textId="77777777" w:rsidR="00AE5027" w:rsidRPr="00725F40" w:rsidRDefault="0084204D" w:rsidP="007059AC">
      <w:pPr>
        <w:autoSpaceDE w:val="0"/>
        <w:autoSpaceDN w:val="0"/>
        <w:adjustRightInd w:val="0"/>
        <w:spacing w:after="120" w:line="240" w:lineRule="auto"/>
        <w:rPr>
          <w:rFonts w:cstheme="minorHAnsi"/>
          <w:kern w:val="24"/>
        </w:rPr>
      </w:pPr>
      <w:r w:rsidRPr="00725F40">
        <w:rPr>
          <w:rFonts w:cstheme="minorHAnsi"/>
          <w:kern w:val="24"/>
        </w:rPr>
        <w:t>As per the A</w:t>
      </w:r>
      <w:r w:rsidR="002C5A1D" w:rsidRPr="00725F40">
        <w:rPr>
          <w:rFonts w:cstheme="minorHAnsi"/>
          <w:kern w:val="24"/>
        </w:rPr>
        <w:t xml:space="preserve">ppointment </w:t>
      </w:r>
      <w:r w:rsidRPr="00725F40">
        <w:rPr>
          <w:rFonts w:cstheme="minorHAnsi"/>
          <w:kern w:val="24"/>
        </w:rPr>
        <w:t>D</w:t>
      </w:r>
      <w:r w:rsidR="002C5A1D" w:rsidRPr="00725F40">
        <w:rPr>
          <w:rFonts w:cstheme="minorHAnsi"/>
          <w:kern w:val="24"/>
        </w:rPr>
        <w:t xml:space="preserve">elegation </w:t>
      </w:r>
      <w:r w:rsidRPr="00725F40">
        <w:rPr>
          <w:rFonts w:cstheme="minorHAnsi"/>
          <w:kern w:val="24"/>
        </w:rPr>
        <w:t>A</w:t>
      </w:r>
      <w:r w:rsidR="002C5A1D" w:rsidRPr="00725F40">
        <w:rPr>
          <w:rFonts w:cstheme="minorHAnsi"/>
          <w:kern w:val="24"/>
        </w:rPr>
        <w:t xml:space="preserve">ccountability </w:t>
      </w:r>
      <w:r w:rsidRPr="00725F40">
        <w:rPr>
          <w:rFonts w:cstheme="minorHAnsi"/>
          <w:kern w:val="24"/>
        </w:rPr>
        <w:t>I</w:t>
      </w:r>
      <w:r w:rsidR="002C5A1D" w:rsidRPr="00725F40">
        <w:rPr>
          <w:rFonts w:cstheme="minorHAnsi"/>
          <w:kern w:val="24"/>
        </w:rPr>
        <w:t>nstrument (ADAI)</w:t>
      </w:r>
      <w:r w:rsidRPr="00725F40">
        <w:rPr>
          <w:rFonts w:cstheme="minorHAnsi"/>
          <w:kern w:val="24"/>
        </w:rPr>
        <w:t>, D</w:t>
      </w:r>
      <w:r w:rsidR="002C5A1D" w:rsidRPr="00725F40">
        <w:rPr>
          <w:rFonts w:cstheme="minorHAnsi"/>
          <w:kern w:val="24"/>
        </w:rPr>
        <w:t xml:space="preserve">eputy </w:t>
      </w:r>
      <w:r w:rsidRPr="00725F40">
        <w:rPr>
          <w:rFonts w:cstheme="minorHAnsi"/>
          <w:kern w:val="24"/>
        </w:rPr>
        <w:t>H</w:t>
      </w:r>
      <w:r w:rsidR="002C5A1D" w:rsidRPr="00725F40">
        <w:rPr>
          <w:rFonts w:cstheme="minorHAnsi"/>
          <w:kern w:val="24"/>
        </w:rPr>
        <w:t>ead</w:t>
      </w:r>
      <w:r w:rsidRPr="00725F40">
        <w:rPr>
          <w:rFonts w:cstheme="minorHAnsi"/>
          <w:kern w:val="24"/>
        </w:rPr>
        <w:t>s</w:t>
      </w:r>
      <w:r w:rsidR="002C5A1D" w:rsidRPr="00725F40">
        <w:rPr>
          <w:rFonts w:cstheme="minorHAnsi"/>
          <w:kern w:val="24"/>
        </w:rPr>
        <w:t xml:space="preserve"> (DH)</w:t>
      </w:r>
      <w:r w:rsidRPr="00725F40">
        <w:rPr>
          <w:rFonts w:cstheme="minorHAnsi"/>
          <w:kern w:val="24"/>
        </w:rPr>
        <w:t xml:space="preserve"> must report to the P</w:t>
      </w:r>
      <w:r w:rsidR="002C5A1D" w:rsidRPr="00725F40">
        <w:rPr>
          <w:rFonts w:cstheme="minorHAnsi"/>
          <w:kern w:val="24"/>
        </w:rPr>
        <w:t xml:space="preserve">ublic </w:t>
      </w:r>
      <w:r w:rsidRPr="00725F40">
        <w:rPr>
          <w:rFonts w:cstheme="minorHAnsi"/>
          <w:kern w:val="24"/>
        </w:rPr>
        <w:t>S</w:t>
      </w:r>
      <w:r w:rsidR="002C5A1D" w:rsidRPr="00725F40">
        <w:rPr>
          <w:rFonts w:cstheme="minorHAnsi"/>
          <w:kern w:val="24"/>
        </w:rPr>
        <w:t xml:space="preserve">ervice </w:t>
      </w:r>
      <w:r w:rsidRPr="00725F40">
        <w:rPr>
          <w:rFonts w:cstheme="minorHAnsi"/>
          <w:kern w:val="24"/>
        </w:rPr>
        <w:t>C</w:t>
      </w:r>
      <w:r w:rsidR="002C5A1D" w:rsidRPr="00725F40">
        <w:rPr>
          <w:rFonts w:cstheme="minorHAnsi"/>
          <w:kern w:val="24"/>
        </w:rPr>
        <w:t>ommission (PSC)</w:t>
      </w:r>
      <w:r w:rsidRPr="00725F40">
        <w:rPr>
          <w:rFonts w:cstheme="minorHAnsi"/>
          <w:kern w:val="24"/>
        </w:rPr>
        <w:t xml:space="preserve"> on the results of any internal investigations undertaken during the fiscal year, into an error, an omission or improper conduct that affected the selection of a person for appointment.</w:t>
      </w:r>
    </w:p>
    <w:p w14:paraId="05250825" w14:textId="77777777" w:rsidR="0084204D" w:rsidRPr="00725F40" w:rsidRDefault="0084204D" w:rsidP="00C552CF">
      <w:pPr>
        <w:autoSpaceDE w:val="0"/>
        <w:autoSpaceDN w:val="0"/>
        <w:adjustRightInd w:val="0"/>
        <w:spacing w:after="0" w:line="240" w:lineRule="auto"/>
        <w:contextualSpacing/>
        <w:rPr>
          <w:rFonts w:cstheme="minorHAnsi"/>
          <w:kern w:val="24"/>
        </w:rPr>
      </w:pPr>
      <w:r w:rsidRPr="00725F40">
        <w:rPr>
          <w:rFonts w:cstheme="minorHAnsi"/>
          <w:kern w:val="24"/>
        </w:rPr>
        <w:t>For each investigation completed, the PSC asks DHs to report on the following items:</w:t>
      </w:r>
    </w:p>
    <w:p w14:paraId="78B624BE" w14:textId="77777777" w:rsidR="0084204D" w:rsidRPr="00725F40" w:rsidRDefault="0084204D" w:rsidP="00C552CF">
      <w:pPr>
        <w:numPr>
          <w:ilvl w:val="0"/>
          <w:numId w:val="5"/>
        </w:numPr>
        <w:autoSpaceDE w:val="0"/>
        <w:autoSpaceDN w:val="0"/>
        <w:adjustRightInd w:val="0"/>
        <w:spacing w:after="0" w:line="240" w:lineRule="auto"/>
        <w:ind w:left="1077" w:hanging="357"/>
        <w:contextualSpacing/>
        <w:rPr>
          <w:rFonts w:cstheme="minorHAnsi"/>
          <w:kern w:val="24"/>
        </w:rPr>
      </w:pPr>
      <w:r w:rsidRPr="00725F40">
        <w:rPr>
          <w:rFonts w:cstheme="minorHAnsi"/>
          <w:kern w:val="24"/>
        </w:rPr>
        <w:t>Group and level of the position to be staffed;</w:t>
      </w:r>
    </w:p>
    <w:p w14:paraId="7EAC7ACA" w14:textId="77777777" w:rsidR="0084204D" w:rsidRPr="00725F40" w:rsidRDefault="0084204D" w:rsidP="00C552CF">
      <w:pPr>
        <w:numPr>
          <w:ilvl w:val="0"/>
          <w:numId w:val="5"/>
        </w:numPr>
        <w:autoSpaceDE w:val="0"/>
        <w:autoSpaceDN w:val="0"/>
        <w:adjustRightInd w:val="0"/>
        <w:spacing w:after="0" w:line="240" w:lineRule="auto"/>
        <w:ind w:left="1077" w:hanging="357"/>
        <w:rPr>
          <w:rFonts w:cstheme="minorHAnsi"/>
          <w:kern w:val="24"/>
        </w:rPr>
      </w:pPr>
      <w:r w:rsidRPr="00725F40">
        <w:rPr>
          <w:rFonts w:cstheme="minorHAnsi"/>
          <w:kern w:val="24"/>
        </w:rPr>
        <w:t>Whether the matter was founded or unfounded;</w:t>
      </w:r>
    </w:p>
    <w:p w14:paraId="39EF9BA2" w14:textId="77777777" w:rsidR="0084204D" w:rsidRPr="00725F40" w:rsidRDefault="0084204D" w:rsidP="00C552CF">
      <w:pPr>
        <w:numPr>
          <w:ilvl w:val="0"/>
          <w:numId w:val="5"/>
        </w:numPr>
        <w:autoSpaceDE w:val="0"/>
        <w:autoSpaceDN w:val="0"/>
        <w:adjustRightInd w:val="0"/>
        <w:spacing w:after="0" w:line="240" w:lineRule="auto"/>
        <w:ind w:left="1077" w:hanging="357"/>
        <w:rPr>
          <w:rFonts w:cstheme="minorHAnsi"/>
          <w:kern w:val="24"/>
        </w:rPr>
      </w:pPr>
      <w:r w:rsidRPr="00725F40">
        <w:rPr>
          <w:rFonts w:cstheme="minorHAnsi"/>
          <w:kern w:val="24"/>
        </w:rPr>
        <w:t>A brief description of the conclusion of the investigation and;</w:t>
      </w:r>
    </w:p>
    <w:p w14:paraId="38326042" w14:textId="77777777" w:rsidR="0084204D" w:rsidRPr="00725F40" w:rsidRDefault="0084204D" w:rsidP="007059AC">
      <w:pPr>
        <w:numPr>
          <w:ilvl w:val="0"/>
          <w:numId w:val="5"/>
        </w:numPr>
        <w:autoSpaceDE w:val="0"/>
        <w:autoSpaceDN w:val="0"/>
        <w:adjustRightInd w:val="0"/>
        <w:spacing w:after="120" w:line="240" w:lineRule="auto"/>
        <w:ind w:left="1077" w:hanging="357"/>
        <w:rPr>
          <w:rFonts w:cstheme="minorHAnsi"/>
          <w:kern w:val="24"/>
        </w:rPr>
      </w:pPr>
      <w:r w:rsidRPr="00725F40">
        <w:rPr>
          <w:rFonts w:cstheme="minorHAnsi"/>
          <w:kern w:val="24"/>
        </w:rPr>
        <w:t>The corrective action taken to remedy the deficiencies in the appointment process.</w:t>
      </w:r>
    </w:p>
    <w:p w14:paraId="7FA3859C" w14:textId="6B8B93B8" w:rsidR="0084204D" w:rsidRPr="00725F40" w:rsidRDefault="0084204D" w:rsidP="007059AC">
      <w:pPr>
        <w:autoSpaceDE w:val="0"/>
        <w:autoSpaceDN w:val="0"/>
        <w:adjustRightInd w:val="0"/>
        <w:spacing w:after="120" w:line="240" w:lineRule="auto"/>
        <w:rPr>
          <w:rFonts w:cstheme="minorHAnsi"/>
          <w:kern w:val="24"/>
        </w:rPr>
      </w:pPr>
      <w:r w:rsidRPr="00725F40">
        <w:rPr>
          <w:rFonts w:cstheme="minorHAnsi"/>
          <w:kern w:val="24"/>
        </w:rPr>
        <w:t xml:space="preserve">While organizations can conduct internal investigations under </w:t>
      </w:r>
      <w:r w:rsidR="002C5A1D" w:rsidRPr="00725F40">
        <w:rPr>
          <w:rFonts w:cstheme="minorHAnsi"/>
          <w:kern w:val="24"/>
        </w:rPr>
        <w:t xml:space="preserve">the </w:t>
      </w:r>
      <w:r w:rsidRPr="00725F40">
        <w:rPr>
          <w:rStyle w:val="Accentuation"/>
        </w:rPr>
        <w:t>P</w:t>
      </w:r>
      <w:r w:rsidR="002C5A1D" w:rsidRPr="00725F40">
        <w:rPr>
          <w:rStyle w:val="Accentuation"/>
        </w:rPr>
        <w:t xml:space="preserve">ublic </w:t>
      </w:r>
      <w:r w:rsidRPr="00725F40">
        <w:rPr>
          <w:rStyle w:val="Accentuation"/>
        </w:rPr>
        <w:t>S</w:t>
      </w:r>
      <w:r w:rsidR="002C5A1D" w:rsidRPr="00725F40">
        <w:rPr>
          <w:rStyle w:val="Accentuation"/>
        </w:rPr>
        <w:t>er</w:t>
      </w:r>
      <w:r w:rsidR="002C3843">
        <w:rPr>
          <w:rStyle w:val="Accentuation"/>
        </w:rPr>
        <w:t>v</w:t>
      </w:r>
      <w:r w:rsidR="002C5A1D" w:rsidRPr="00725F40">
        <w:rPr>
          <w:rStyle w:val="Accentuation"/>
        </w:rPr>
        <w:t xml:space="preserve">ice </w:t>
      </w:r>
      <w:r w:rsidRPr="00725F40">
        <w:rPr>
          <w:rStyle w:val="Accentuation"/>
        </w:rPr>
        <w:t>E</w:t>
      </w:r>
      <w:r w:rsidR="002C5A1D" w:rsidRPr="00725F40">
        <w:rPr>
          <w:rStyle w:val="Accentuation"/>
        </w:rPr>
        <w:t xml:space="preserve">mployment </w:t>
      </w:r>
      <w:r w:rsidRPr="00725F40">
        <w:rPr>
          <w:rStyle w:val="Accentuation"/>
        </w:rPr>
        <w:t>A</w:t>
      </w:r>
      <w:r w:rsidR="002C5A1D" w:rsidRPr="00725F40">
        <w:rPr>
          <w:rStyle w:val="Accentuation"/>
        </w:rPr>
        <w:t>ct</w:t>
      </w:r>
      <w:r w:rsidR="002C5A1D" w:rsidRPr="00725F40">
        <w:rPr>
          <w:rFonts w:cstheme="minorHAnsi"/>
          <w:kern w:val="24"/>
        </w:rPr>
        <w:t xml:space="preserve"> (PSEA)</w:t>
      </w:r>
      <w:r w:rsidRPr="00725F40">
        <w:rPr>
          <w:rFonts w:cstheme="minorHAnsi"/>
          <w:kern w:val="24"/>
        </w:rPr>
        <w:t xml:space="preserve"> s. 15(3), they can also decide to ask the PSC to conduct investigations on their behalf under PSEA s. 67(2). They remain responsible to approve the investigation’s report and to order the corrective actions. </w:t>
      </w:r>
    </w:p>
    <w:p w14:paraId="3F49B65F" w14:textId="77777777" w:rsidR="0084204D" w:rsidRPr="00725F40" w:rsidRDefault="0084204D" w:rsidP="009F3ACF">
      <w:pPr>
        <w:pStyle w:val="Titre2"/>
        <w:spacing w:after="120" w:line="240" w:lineRule="auto"/>
        <w:rPr>
          <w:rFonts w:eastAsia="Times New Roman"/>
        </w:rPr>
      </w:pPr>
      <w:r w:rsidRPr="00725F40">
        <w:rPr>
          <w:rFonts w:eastAsia="Times New Roman"/>
        </w:rPr>
        <w:t>O</w:t>
      </w:r>
      <w:r w:rsidR="009F3ACF" w:rsidRPr="00725F40">
        <w:rPr>
          <w:rFonts w:eastAsia="Times New Roman"/>
        </w:rPr>
        <w:t>bservations</w:t>
      </w:r>
    </w:p>
    <w:p w14:paraId="09E6285E" w14:textId="77777777" w:rsidR="0084204D" w:rsidRPr="00725F40" w:rsidRDefault="0084204D" w:rsidP="00C552CF">
      <w:pPr>
        <w:autoSpaceDE w:val="0"/>
        <w:autoSpaceDN w:val="0"/>
        <w:adjustRightInd w:val="0"/>
        <w:spacing w:after="0" w:line="240" w:lineRule="auto"/>
        <w:contextualSpacing/>
        <w:rPr>
          <w:rFonts w:cstheme="minorHAnsi"/>
          <w:kern w:val="24"/>
        </w:rPr>
      </w:pPr>
      <w:r w:rsidRPr="00725F40">
        <w:rPr>
          <w:rFonts w:cstheme="minorHAnsi"/>
          <w:kern w:val="24"/>
        </w:rPr>
        <w:t>In 2018-2019, Employment and Social Development Canada conducted 4 internal investigations under subsection 15(3) of the PSEA:</w:t>
      </w:r>
    </w:p>
    <w:p w14:paraId="5DA7470F" w14:textId="77777777" w:rsidR="0084204D" w:rsidRPr="00725F40" w:rsidRDefault="0084204D" w:rsidP="00C552CF">
      <w:pPr>
        <w:numPr>
          <w:ilvl w:val="0"/>
          <w:numId w:val="5"/>
        </w:numPr>
        <w:autoSpaceDE w:val="0"/>
        <w:autoSpaceDN w:val="0"/>
        <w:adjustRightInd w:val="0"/>
        <w:spacing w:after="0" w:line="240" w:lineRule="auto"/>
        <w:ind w:left="1077" w:hanging="357"/>
        <w:contextualSpacing/>
        <w:rPr>
          <w:rFonts w:cstheme="minorHAnsi"/>
          <w:kern w:val="24"/>
        </w:rPr>
      </w:pPr>
      <w:r w:rsidRPr="00725F40">
        <w:rPr>
          <w:rFonts w:cstheme="minorHAnsi"/>
          <w:kern w:val="24"/>
        </w:rPr>
        <w:t>3 of these investigations were founded. Corrective actions was taken by the department to remedy the deficiencies in the appointment processes.</w:t>
      </w:r>
    </w:p>
    <w:p w14:paraId="755DEB07" w14:textId="77777777" w:rsidR="0084204D" w:rsidRPr="00725F40" w:rsidRDefault="0084204D" w:rsidP="002C5A1D">
      <w:pPr>
        <w:numPr>
          <w:ilvl w:val="0"/>
          <w:numId w:val="5"/>
        </w:numPr>
        <w:autoSpaceDE w:val="0"/>
        <w:autoSpaceDN w:val="0"/>
        <w:adjustRightInd w:val="0"/>
        <w:spacing w:after="120" w:line="240" w:lineRule="auto"/>
        <w:ind w:left="1077" w:hanging="357"/>
        <w:contextualSpacing/>
        <w:rPr>
          <w:rFonts w:cstheme="minorHAnsi"/>
          <w:kern w:val="24"/>
        </w:rPr>
      </w:pPr>
      <w:r w:rsidRPr="00725F40">
        <w:rPr>
          <w:rFonts w:cstheme="minorHAnsi"/>
          <w:kern w:val="24"/>
        </w:rPr>
        <w:t>1 investigation was unfounded.</w:t>
      </w:r>
    </w:p>
    <w:p w14:paraId="2F0E70EB" w14:textId="77777777" w:rsidR="003E7CFA" w:rsidRPr="00725F40" w:rsidRDefault="003E7CFA" w:rsidP="002C5A1D">
      <w:pPr>
        <w:pStyle w:val="Lgende"/>
        <w:keepNext/>
        <w:spacing w:after="0"/>
        <w:rPr>
          <w:i w:val="0"/>
          <w:color w:val="auto"/>
        </w:rPr>
      </w:pPr>
      <w:r w:rsidRPr="00725F40">
        <w:rPr>
          <w:i w:val="0"/>
          <w:color w:val="auto"/>
        </w:rPr>
        <w:t xml:space="preserve">Table </w:t>
      </w:r>
      <w:r w:rsidRPr="00725F40">
        <w:rPr>
          <w:i w:val="0"/>
          <w:color w:val="auto"/>
        </w:rPr>
        <w:fldChar w:fldCharType="begin"/>
      </w:r>
      <w:r w:rsidRPr="00725F40">
        <w:rPr>
          <w:i w:val="0"/>
          <w:color w:val="auto"/>
        </w:rPr>
        <w:instrText xml:space="preserve"> SEQ Table \* ARABIC </w:instrText>
      </w:r>
      <w:r w:rsidRPr="00725F40">
        <w:rPr>
          <w:i w:val="0"/>
          <w:color w:val="auto"/>
        </w:rPr>
        <w:fldChar w:fldCharType="separate"/>
      </w:r>
      <w:r w:rsidR="007B56A5" w:rsidRPr="00725F40">
        <w:rPr>
          <w:i w:val="0"/>
          <w:noProof/>
          <w:color w:val="auto"/>
        </w:rPr>
        <w:t>5</w:t>
      </w:r>
      <w:r w:rsidRPr="00725F40">
        <w:rPr>
          <w:i w:val="0"/>
          <w:color w:val="auto"/>
        </w:rPr>
        <w:fldChar w:fldCharType="end"/>
      </w:r>
      <w:r w:rsidRPr="00725F40">
        <w:rPr>
          <w:i w:val="0"/>
          <w:color w:val="auto"/>
        </w:rPr>
        <w:t xml:space="preserve"> - Results of Internal Investigations (cont'd)</w:t>
      </w:r>
    </w:p>
    <w:tbl>
      <w:tblPr>
        <w:tblStyle w:val="Grilledutableau"/>
        <w:tblW w:w="5152" w:type="pct"/>
        <w:jc w:val="center"/>
        <w:shd w:val="clear" w:color="auto" w:fill="54575A" w:themeFill="text2"/>
        <w:tblLook w:val="0420" w:firstRow="1" w:lastRow="0" w:firstColumn="0" w:lastColumn="0" w:noHBand="0" w:noVBand="1"/>
        <w:tblDescription w:val="Results of internal investigations from 2016 to 2019"/>
      </w:tblPr>
      <w:tblGrid>
        <w:gridCol w:w="1663"/>
        <w:gridCol w:w="2152"/>
        <w:gridCol w:w="2511"/>
        <w:gridCol w:w="3308"/>
      </w:tblGrid>
      <w:tr w:rsidR="003E7CFA" w:rsidRPr="00725F40" w14:paraId="43380160" w14:textId="77777777" w:rsidTr="007059AC">
        <w:trPr>
          <w:cantSplit/>
          <w:trHeight w:val="650"/>
          <w:tblHeader/>
          <w:jc w:val="center"/>
        </w:trPr>
        <w:tc>
          <w:tcPr>
            <w:tcW w:w="863" w:type="pct"/>
            <w:shd w:val="clear" w:color="auto" w:fill="54575A" w:themeFill="text2"/>
            <w:hideMark/>
          </w:tcPr>
          <w:p w14:paraId="580EA722" w14:textId="77777777" w:rsidR="00A01BA6" w:rsidRPr="00725F40" w:rsidRDefault="002C5A1D" w:rsidP="003E7CFA">
            <w:pPr>
              <w:pStyle w:val="TableTitle"/>
              <w:rPr>
                <w:rFonts w:eastAsia="Times New Roman" w:cs="Segoe UI Semibold"/>
                <w:color w:val="FFFFFF" w:themeColor="background1"/>
                <w:sz w:val="36"/>
                <w:szCs w:val="36"/>
                <w:lang w:eastAsia="en-CA"/>
              </w:rPr>
            </w:pPr>
            <w:r w:rsidRPr="00725F40">
              <w:rPr>
                <w:rFonts w:eastAsia="Times New Roman" w:cs="Segoe UI Semibold"/>
                <w:color w:val="FFFFFF" w:themeColor="background1"/>
                <w:lang w:eastAsia="en-CA"/>
              </w:rPr>
              <w:t xml:space="preserve">Fiscal </w:t>
            </w:r>
            <w:r w:rsidR="00A01BA6" w:rsidRPr="00725F40">
              <w:rPr>
                <w:rFonts w:eastAsia="Times New Roman" w:cs="Segoe UI Semibold"/>
                <w:color w:val="FFFFFF" w:themeColor="background1"/>
                <w:lang w:eastAsia="en-CA"/>
              </w:rPr>
              <w:t>Year</w:t>
            </w:r>
          </w:p>
        </w:tc>
        <w:tc>
          <w:tcPr>
            <w:tcW w:w="1117" w:type="pct"/>
            <w:shd w:val="clear" w:color="auto" w:fill="54575A" w:themeFill="text2"/>
            <w:hideMark/>
          </w:tcPr>
          <w:p w14:paraId="452EB34B" w14:textId="77777777" w:rsidR="00A01BA6" w:rsidRPr="00725F40" w:rsidRDefault="00A01BA6" w:rsidP="003E7CFA">
            <w:pPr>
              <w:pStyle w:val="TableTitle"/>
              <w:rPr>
                <w:rFonts w:eastAsia="Times New Roman" w:cs="Segoe UI Semibold"/>
                <w:color w:val="FFFFFF" w:themeColor="background1"/>
                <w:sz w:val="36"/>
                <w:szCs w:val="36"/>
                <w:lang w:eastAsia="en-CA"/>
              </w:rPr>
            </w:pPr>
            <w:r w:rsidRPr="00725F40">
              <w:rPr>
                <w:rFonts w:eastAsia="Times New Roman" w:cs="Segoe UI Semibold"/>
                <w:color w:val="FFFFFF" w:themeColor="background1"/>
                <w:lang w:eastAsia="en-CA"/>
              </w:rPr>
              <w:t>Number of Organizations</w:t>
            </w:r>
          </w:p>
        </w:tc>
        <w:tc>
          <w:tcPr>
            <w:tcW w:w="1303" w:type="pct"/>
            <w:shd w:val="clear" w:color="auto" w:fill="54575A" w:themeFill="text2"/>
            <w:hideMark/>
          </w:tcPr>
          <w:p w14:paraId="2BA12C53" w14:textId="77777777" w:rsidR="00A01BA6" w:rsidRPr="00725F40" w:rsidRDefault="00A01BA6" w:rsidP="003E7CFA">
            <w:pPr>
              <w:pStyle w:val="TableTitle"/>
              <w:rPr>
                <w:rFonts w:eastAsia="Times New Roman" w:cs="Segoe UI Semibold"/>
                <w:color w:val="FFFFFF" w:themeColor="background1"/>
                <w:sz w:val="36"/>
                <w:szCs w:val="36"/>
                <w:lang w:eastAsia="en-CA"/>
              </w:rPr>
            </w:pPr>
            <w:r w:rsidRPr="00725F40">
              <w:rPr>
                <w:rFonts w:eastAsia="Times New Roman" w:cs="Segoe UI Semibold"/>
                <w:color w:val="FFFFFF" w:themeColor="background1"/>
                <w:lang w:eastAsia="en-CA"/>
              </w:rPr>
              <w:t>Internal Investigations subsection 15(3)</w:t>
            </w:r>
          </w:p>
        </w:tc>
        <w:tc>
          <w:tcPr>
            <w:tcW w:w="1717" w:type="pct"/>
            <w:shd w:val="clear" w:color="auto" w:fill="54575A" w:themeFill="text2"/>
            <w:hideMark/>
          </w:tcPr>
          <w:p w14:paraId="612E2B17" w14:textId="77777777" w:rsidR="00A01BA6" w:rsidRPr="00725F40" w:rsidRDefault="00A01BA6" w:rsidP="002C5A1D">
            <w:pPr>
              <w:pStyle w:val="TableTitle"/>
              <w:rPr>
                <w:rFonts w:eastAsia="Times New Roman" w:cs="Segoe UI Semibold"/>
                <w:color w:val="FFFFFF" w:themeColor="background1"/>
                <w:sz w:val="36"/>
                <w:szCs w:val="36"/>
                <w:lang w:eastAsia="en-CA"/>
              </w:rPr>
            </w:pPr>
            <w:r w:rsidRPr="00725F40">
              <w:rPr>
                <w:rFonts w:eastAsia="Times New Roman" w:cs="Segoe UI Semibold"/>
                <w:color w:val="FFFFFF" w:themeColor="background1"/>
                <w:lang w:eastAsia="en-CA"/>
              </w:rPr>
              <w:t>PSC investigations for D</w:t>
            </w:r>
            <w:r w:rsidR="002C5A1D" w:rsidRPr="00725F40">
              <w:rPr>
                <w:rFonts w:eastAsia="Times New Roman" w:cs="Segoe UI Semibold"/>
                <w:color w:val="FFFFFF" w:themeColor="background1"/>
                <w:lang w:eastAsia="en-CA"/>
              </w:rPr>
              <w:t xml:space="preserve">eputy </w:t>
            </w:r>
            <w:r w:rsidRPr="00725F40">
              <w:rPr>
                <w:rFonts w:eastAsia="Times New Roman" w:cs="Segoe UI Semibold"/>
                <w:color w:val="FFFFFF" w:themeColor="background1"/>
                <w:lang w:eastAsia="en-CA"/>
              </w:rPr>
              <w:t>H</w:t>
            </w:r>
            <w:r w:rsidR="002C5A1D" w:rsidRPr="00725F40">
              <w:rPr>
                <w:rFonts w:eastAsia="Times New Roman" w:cs="Segoe UI Semibold"/>
                <w:color w:val="FFFFFF" w:themeColor="background1"/>
                <w:lang w:eastAsia="en-CA"/>
              </w:rPr>
              <w:t xml:space="preserve">ead </w:t>
            </w:r>
            <w:r w:rsidRPr="00725F40">
              <w:rPr>
                <w:rFonts w:eastAsia="Times New Roman" w:cs="Segoe UI Semibold"/>
                <w:color w:val="FFFFFF" w:themeColor="background1"/>
                <w:lang w:eastAsia="en-CA"/>
              </w:rPr>
              <w:t>Subsection 67(2)</w:t>
            </w:r>
          </w:p>
        </w:tc>
      </w:tr>
      <w:tr w:rsidR="00A01BA6" w:rsidRPr="00725F40" w14:paraId="6D12C699" w14:textId="77777777" w:rsidTr="007059AC">
        <w:trPr>
          <w:cantSplit/>
          <w:trHeight w:val="546"/>
          <w:tblHeader/>
          <w:jc w:val="center"/>
        </w:trPr>
        <w:tc>
          <w:tcPr>
            <w:tcW w:w="863" w:type="pct"/>
            <w:shd w:val="clear" w:color="auto" w:fill="54575A" w:themeFill="text2"/>
            <w:hideMark/>
          </w:tcPr>
          <w:p w14:paraId="5699888E" w14:textId="77777777" w:rsidR="00A01BA6" w:rsidRPr="00725F40" w:rsidRDefault="00A01BA6" w:rsidP="002C5A1D">
            <w:pPr>
              <w:spacing w:before="120" w:after="120"/>
              <w:rPr>
                <w:rFonts w:eastAsia="Times New Roman" w:cstheme="minorHAnsi"/>
                <w:color w:val="FFFFFF" w:themeColor="background1"/>
                <w:lang w:eastAsia="en-CA"/>
              </w:rPr>
            </w:pPr>
            <w:r w:rsidRPr="00725F40">
              <w:rPr>
                <w:rFonts w:eastAsia="Times New Roman" w:cstheme="minorHAnsi"/>
                <w:color w:val="FFFFFF" w:themeColor="background1"/>
                <w:kern w:val="24"/>
                <w:lang w:eastAsia="en-CA"/>
              </w:rPr>
              <w:t>2016-2017</w:t>
            </w:r>
          </w:p>
        </w:tc>
        <w:tc>
          <w:tcPr>
            <w:tcW w:w="1117" w:type="pct"/>
            <w:shd w:val="clear" w:color="auto" w:fill="FFFFFF" w:themeFill="background1"/>
            <w:hideMark/>
          </w:tcPr>
          <w:p w14:paraId="5B1890C4" w14:textId="77777777" w:rsidR="00A01BA6" w:rsidRPr="00725F40" w:rsidRDefault="00A01BA6" w:rsidP="00215FA4">
            <w:pPr>
              <w:spacing w:before="120" w:after="120"/>
              <w:jc w:val="center"/>
              <w:rPr>
                <w:rFonts w:eastAsia="Times New Roman" w:cstheme="minorHAnsi"/>
                <w:lang w:eastAsia="en-CA"/>
              </w:rPr>
            </w:pPr>
            <w:r w:rsidRPr="00725F40">
              <w:rPr>
                <w:rFonts w:eastAsia="Times New Roman" w:cstheme="minorHAnsi"/>
                <w:color w:val="54575A"/>
                <w:kern w:val="24"/>
                <w:lang w:eastAsia="en-CA"/>
              </w:rPr>
              <w:t>1</w:t>
            </w:r>
          </w:p>
        </w:tc>
        <w:tc>
          <w:tcPr>
            <w:tcW w:w="1303" w:type="pct"/>
            <w:shd w:val="clear" w:color="auto" w:fill="FFFFFF" w:themeFill="background1"/>
            <w:hideMark/>
          </w:tcPr>
          <w:p w14:paraId="58769F98" w14:textId="77777777" w:rsidR="00A01BA6" w:rsidRPr="00725F40" w:rsidRDefault="00A01BA6" w:rsidP="00215FA4">
            <w:pPr>
              <w:spacing w:before="120" w:after="120"/>
              <w:jc w:val="center"/>
              <w:rPr>
                <w:rFonts w:eastAsia="Times New Roman" w:cstheme="minorHAnsi"/>
                <w:lang w:eastAsia="en-CA"/>
              </w:rPr>
            </w:pPr>
            <w:r w:rsidRPr="00725F40">
              <w:rPr>
                <w:rFonts w:eastAsia="Times New Roman" w:cstheme="minorHAnsi"/>
                <w:color w:val="54575A"/>
                <w:kern w:val="24"/>
                <w:lang w:eastAsia="en-CA"/>
              </w:rPr>
              <w:t>3</w:t>
            </w:r>
          </w:p>
        </w:tc>
        <w:tc>
          <w:tcPr>
            <w:tcW w:w="1717" w:type="pct"/>
            <w:shd w:val="clear" w:color="auto" w:fill="FFFFFF" w:themeFill="background1"/>
            <w:hideMark/>
          </w:tcPr>
          <w:p w14:paraId="59D575BD" w14:textId="77777777" w:rsidR="00A01BA6" w:rsidRPr="00725F40" w:rsidRDefault="00A01BA6" w:rsidP="00215FA4">
            <w:pPr>
              <w:spacing w:before="120" w:after="120"/>
              <w:jc w:val="center"/>
              <w:rPr>
                <w:rFonts w:eastAsia="Times New Roman" w:cstheme="minorHAnsi"/>
                <w:lang w:eastAsia="en-CA"/>
              </w:rPr>
            </w:pPr>
            <w:r w:rsidRPr="00725F40">
              <w:rPr>
                <w:rFonts w:eastAsia="Times New Roman" w:cstheme="minorHAnsi"/>
                <w:color w:val="54575A"/>
                <w:kern w:val="24"/>
                <w:lang w:eastAsia="en-CA"/>
              </w:rPr>
              <w:t>2</w:t>
            </w:r>
          </w:p>
        </w:tc>
      </w:tr>
      <w:tr w:rsidR="00A01BA6" w:rsidRPr="00725F40" w14:paraId="3D2E725E" w14:textId="77777777" w:rsidTr="007059AC">
        <w:trPr>
          <w:cantSplit/>
          <w:trHeight w:val="568"/>
          <w:tblHeader/>
          <w:jc w:val="center"/>
        </w:trPr>
        <w:tc>
          <w:tcPr>
            <w:tcW w:w="863" w:type="pct"/>
            <w:shd w:val="clear" w:color="auto" w:fill="54575A" w:themeFill="text2"/>
            <w:hideMark/>
          </w:tcPr>
          <w:p w14:paraId="0459CDDA" w14:textId="77777777" w:rsidR="00A01BA6" w:rsidRPr="00725F40" w:rsidRDefault="00A01BA6" w:rsidP="002C5A1D">
            <w:pPr>
              <w:spacing w:before="120" w:after="120"/>
              <w:rPr>
                <w:rFonts w:eastAsia="Times New Roman" w:cstheme="minorHAnsi"/>
                <w:color w:val="FFFFFF" w:themeColor="background1"/>
                <w:lang w:eastAsia="en-CA"/>
              </w:rPr>
            </w:pPr>
            <w:r w:rsidRPr="00725F40">
              <w:rPr>
                <w:rFonts w:eastAsia="Times New Roman" w:cstheme="minorHAnsi"/>
                <w:color w:val="FFFFFF" w:themeColor="background1"/>
                <w:kern w:val="24"/>
                <w:lang w:eastAsia="en-CA"/>
              </w:rPr>
              <w:t>2017-2018</w:t>
            </w:r>
          </w:p>
        </w:tc>
        <w:tc>
          <w:tcPr>
            <w:tcW w:w="1117" w:type="pct"/>
            <w:shd w:val="clear" w:color="auto" w:fill="FFFFFF" w:themeFill="background1"/>
            <w:hideMark/>
          </w:tcPr>
          <w:p w14:paraId="043AD7D3" w14:textId="77777777" w:rsidR="00A01BA6" w:rsidRPr="00725F40" w:rsidRDefault="00A01BA6" w:rsidP="00215FA4">
            <w:pPr>
              <w:spacing w:before="120" w:after="120"/>
              <w:jc w:val="center"/>
              <w:rPr>
                <w:rFonts w:eastAsia="Times New Roman" w:cstheme="minorHAnsi"/>
                <w:lang w:eastAsia="en-CA"/>
              </w:rPr>
            </w:pPr>
            <w:r w:rsidRPr="00725F40">
              <w:rPr>
                <w:rFonts w:eastAsia="Times New Roman" w:cstheme="minorHAnsi"/>
                <w:color w:val="54575A"/>
                <w:kern w:val="24"/>
                <w:lang w:eastAsia="en-CA"/>
              </w:rPr>
              <w:t>2</w:t>
            </w:r>
          </w:p>
        </w:tc>
        <w:tc>
          <w:tcPr>
            <w:tcW w:w="1303" w:type="pct"/>
            <w:shd w:val="clear" w:color="auto" w:fill="FFFFFF" w:themeFill="background1"/>
            <w:hideMark/>
          </w:tcPr>
          <w:p w14:paraId="607672E5" w14:textId="77777777" w:rsidR="00A01BA6" w:rsidRPr="00725F40" w:rsidRDefault="00A01BA6" w:rsidP="00215FA4">
            <w:pPr>
              <w:spacing w:before="120" w:after="120"/>
              <w:jc w:val="center"/>
              <w:rPr>
                <w:rFonts w:eastAsia="Times New Roman" w:cstheme="minorHAnsi"/>
                <w:lang w:eastAsia="en-CA"/>
              </w:rPr>
            </w:pPr>
            <w:r w:rsidRPr="00725F40">
              <w:rPr>
                <w:rFonts w:eastAsia="Times New Roman" w:cstheme="minorHAnsi"/>
                <w:color w:val="54575A"/>
                <w:kern w:val="24"/>
                <w:lang w:eastAsia="en-CA"/>
              </w:rPr>
              <w:t>2</w:t>
            </w:r>
          </w:p>
        </w:tc>
        <w:tc>
          <w:tcPr>
            <w:tcW w:w="1717" w:type="pct"/>
            <w:shd w:val="clear" w:color="auto" w:fill="FFFFFF" w:themeFill="background1"/>
            <w:hideMark/>
          </w:tcPr>
          <w:p w14:paraId="3B22B2B4" w14:textId="77777777" w:rsidR="00A01BA6" w:rsidRPr="00725F40" w:rsidRDefault="00A01BA6" w:rsidP="00215FA4">
            <w:pPr>
              <w:spacing w:before="120" w:after="120"/>
              <w:jc w:val="center"/>
              <w:rPr>
                <w:rFonts w:eastAsia="Times New Roman" w:cstheme="minorHAnsi"/>
                <w:lang w:eastAsia="en-CA"/>
              </w:rPr>
            </w:pPr>
            <w:r w:rsidRPr="00725F40">
              <w:rPr>
                <w:rFonts w:eastAsia="Times New Roman" w:cstheme="minorHAnsi"/>
                <w:color w:val="54575A"/>
                <w:kern w:val="24"/>
                <w:lang w:eastAsia="en-CA"/>
              </w:rPr>
              <w:t>10</w:t>
            </w:r>
          </w:p>
        </w:tc>
      </w:tr>
      <w:tr w:rsidR="00A01BA6" w:rsidRPr="00725F40" w14:paraId="3C8B5358" w14:textId="77777777" w:rsidTr="007059AC">
        <w:trPr>
          <w:cantSplit/>
          <w:trHeight w:val="406"/>
          <w:tblHeader/>
          <w:jc w:val="center"/>
        </w:trPr>
        <w:tc>
          <w:tcPr>
            <w:tcW w:w="863" w:type="pct"/>
            <w:shd w:val="clear" w:color="auto" w:fill="54575A" w:themeFill="text2"/>
            <w:hideMark/>
          </w:tcPr>
          <w:p w14:paraId="39E644DC" w14:textId="77777777" w:rsidR="00A01BA6" w:rsidRPr="00725F40" w:rsidRDefault="00A01BA6" w:rsidP="002C5A1D">
            <w:pPr>
              <w:spacing w:before="120" w:after="120"/>
              <w:rPr>
                <w:rFonts w:eastAsia="Times New Roman" w:cstheme="minorHAnsi"/>
                <w:color w:val="FFFFFF" w:themeColor="background1"/>
                <w:lang w:eastAsia="en-CA"/>
              </w:rPr>
            </w:pPr>
            <w:r w:rsidRPr="00725F40">
              <w:rPr>
                <w:rFonts w:eastAsia="Times New Roman" w:cstheme="minorHAnsi"/>
                <w:color w:val="FFFFFF" w:themeColor="background1"/>
                <w:kern w:val="24"/>
                <w:lang w:eastAsia="en-CA"/>
              </w:rPr>
              <w:t>2018-2019</w:t>
            </w:r>
          </w:p>
        </w:tc>
        <w:tc>
          <w:tcPr>
            <w:tcW w:w="1117" w:type="pct"/>
            <w:shd w:val="clear" w:color="auto" w:fill="FFFFFF" w:themeFill="background1"/>
            <w:hideMark/>
          </w:tcPr>
          <w:p w14:paraId="51EC750D" w14:textId="77777777" w:rsidR="00A01BA6" w:rsidRPr="00725F40" w:rsidRDefault="00A01BA6" w:rsidP="00215FA4">
            <w:pPr>
              <w:spacing w:before="120" w:after="120"/>
              <w:jc w:val="center"/>
              <w:rPr>
                <w:rFonts w:eastAsia="Times New Roman" w:cstheme="minorHAnsi"/>
                <w:lang w:eastAsia="en-CA"/>
              </w:rPr>
            </w:pPr>
            <w:r w:rsidRPr="00725F40">
              <w:rPr>
                <w:rFonts w:eastAsia="Times New Roman" w:cstheme="minorHAnsi"/>
                <w:color w:val="54575A"/>
                <w:kern w:val="24"/>
                <w:lang w:eastAsia="en-CA"/>
              </w:rPr>
              <w:t>1</w:t>
            </w:r>
          </w:p>
        </w:tc>
        <w:tc>
          <w:tcPr>
            <w:tcW w:w="1303" w:type="pct"/>
            <w:shd w:val="clear" w:color="auto" w:fill="FFFFFF" w:themeFill="background1"/>
            <w:hideMark/>
          </w:tcPr>
          <w:p w14:paraId="77535859" w14:textId="77777777" w:rsidR="00A01BA6" w:rsidRPr="00725F40" w:rsidRDefault="00A01BA6" w:rsidP="00215FA4">
            <w:pPr>
              <w:spacing w:before="120" w:after="120"/>
              <w:jc w:val="center"/>
              <w:rPr>
                <w:rFonts w:eastAsia="Times New Roman" w:cstheme="minorHAnsi"/>
                <w:lang w:eastAsia="en-CA"/>
              </w:rPr>
            </w:pPr>
            <w:r w:rsidRPr="00725F40">
              <w:rPr>
                <w:rFonts w:eastAsia="Times New Roman" w:cstheme="minorHAnsi"/>
                <w:color w:val="54575A"/>
                <w:kern w:val="24"/>
                <w:lang w:eastAsia="en-CA"/>
              </w:rPr>
              <w:t>4</w:t>
            </w:r>
          </w:p>
        </w:tc>
        <w:tc>
          <w:tcPr>
            <w:tcW w:w="1717" w:type="pct"/>
            <w:shd w:val="clear" w:color="auto" w:fill="FFFFFF" w:themeFill="background1"/>
            <w:hideMark/>
          </w:tcPr>
          <w:p w14:paraId="53714C5C" w14:textId="77777777" w:rsidR="00A01BA6" w:rsidRPr="00725F40" w:rsidRDefault="00A01BA6" w:rsidP="00215FA4">
            <w:pPr>
              <w:spacing w:before="120" w:after="120"/>
              <w:jc w:val="center"/>
              <w:rPr>
                <w:rFonts w:eastAsia="Times New Roman" w:cstheme="minorHAnsi"/>
                <w:lang w:eastAsia="en-CA"/>
              </w:rPr>
            </w:pPr>
            <w:r w:rsidRPr="00725F40">
              <w:rPr>
                <w:rFonts w:eastAsia="Times New Roman" w:cstheme="minorHAnsi"/>
                <w:color w:val="54575A"/>
                <w:kern w:val="24"/>
                <w:lang w:eastAsia="en-CA"/>
              </w:rPr>
              <w:t>2</w:t>
            </w:r>
          </w:p>
        </w:tc>
      </w:tr>
    </w:tbl>
    <w:p w14:paraId="48091C5A" w14:textId="77777777" w:rsidR="00AE5027" w:rsidRPr="00725F40" w:rsidRDefault="0084204D" w:rsidP="00FC6A41">
      <w:pPr>
        <w:autoSpaceDE w:val="0"/>
        <w:autoSpaceDN w:val="0"/>
        <w:adjustRightInd w:val="0"/>
        <w:spacing w:before="120" w:after="120" w:line="240" w:lineRule="auto"/>
        <w:rPr>
          <w:rFonts w:cstheme="minorHAnsi"/>
          <w:kern w:val="24"/>
        </w:rPr>
      </w:pPr>
      <w:r w:rsidRPr="00725F40">
        <w:rPr>
          <w:rFonts w:cstheme="minorHAnsi"/>
          <w:kern w:val="24"/>
        </w:rPr>
        <w:t>Data shows a consistently low number of internal investigations conducted by DHs for the last 3 years.</w:t>
      </w:r>
    </w:p>
    <w:p w14:paraId="20918A2E" w14:textId="77777777" w:rsidR="00284BC2" w:rsidRPr="00725F40" w:rsidRDefault="0084204D" w:rsidP="007059AC">
      <w:pPr>
        <w:autoSpaceDE w:val="0"/>
        <w:autoSpaceDN w:val="0"/>
        <w:adjustRightInd w:val="0"/>
        <w:spacing w:after="120" w:line="240" w:lineRule="auto"/>
        <w:rPr>
          <w:rFonts w:cstheme="minorHAnsi"/>
          <w:kern w:val="24"/>
        </w:rPr>
        <w:sectPr w:rsidR="00284BC2" w:rsidRPr="00725F40" w:rsidSect="0084204D">
          <w:pgSz w:w="12240" w:h="15840"/>
          <w:pgMar w:top="1985" w:right="1440" w:bottom="1440" w:left="1440" w:header="708" w:footer="283" w:gutter="0"/>
          <w:cols w:space="708"/>
          <w:titlePg/>
          <w:docGrid w:linePitch="360"/>
        </w:sectPr>
      </w:pPr>
      <w:r w:rsidRPr="00725F40">
        <w:rPr>
          <w:rFonts w:cstheme="minorHAnsi"/>
          <w:kern w:val="24"/>
        </w:rPr>
        <w:t>Information provided by organizations show that investigations under 15(3) are used mainly to correct errors during the assessment stage.</w:t>
      </w:r>
    </w:p>
    <w:p w14:paraId="0A6EC641" w14:textId="77777777" w:rsidR="0084204D" w:rsidRPr="00725F40" w:rsidRDefault="0084204D" w:rsidP="007059AC">
      <w:pPr>
        <w:pStyle w:val="Titre2"/>
        <w:spacing w:after="120" w:line="240" w:lineRule="auto"/>
        <w:rPr>
          <w:rFonts w:eastAsia="Times New Roman"/>
        </w:rPr>
      </w:pPr>
      <w:r w:rsidRPr="00725F40">
        <w:rPr>
          <w:rFonts w:eastAsia="Times New Roman"/>
        </w:rPr>
        <w:lastRenderedPageBreak/>
        <w:t>R</w:t>
      </w:r>
      <w:r w:rsidR="003E7CFA" w:rsidRPr="00725F40">
        <w:rPr>
          <w:rFonts w:eastAsia="Times New Roman"/>
        </w:rPr>
        <w:t>ecommendations</w:t>
      </w:r>
    </w:p>
    <w:p w14:paraId="56B86049" w14:textId="77777777" w:rsidR="0084204D" w:rsidRPr="00725F40" w:rsidRDefault="0084204D" w:rsidP="007059AC">
      <w:pPr>
        <w:autoSpaceDE w:val="0"/>
        <w:autoSpaceDN w:val="0"/>
        <w:adjustRightInd w:val="0"/>
        <w:spacing w:after="120" w:line="240" w:lineRule="auto"/>
        <w:rPr>
          <w:rFonts w:cstheme="minorHAnsi"/>
          <w:kern w:val="24"/>
        </w:rPr>
      </w:pPr>
      <w:r w:rsidRPr="00725F40">
        <w:rPr>
          <w:rFonts w:cstheme="minorHAnsi"/>
          <w:kern w:val="24"/>
        </w:rPr>
        <w:t>Continue to partner with organizations via outreach activities.</w:t>
      </w:r>
    </w:p>
    <w:p w14:paraId="7A52C4F4" w14:textId="77777777" w:rsidR="0084204D" w:rsidRPr="00725F40" w:rsidRDefault="0084204D" w:rsidP="007059AC">
      <w:pPr>
        <w:autoSpaceDE w:val="0"/>
        <w:autoSpaceDN w:val="0"/>
        <w:adjustRightInd w:val="0"/>
        <w:spacing w:after="120" w:line="240" w:lineRule="auto"/>
        <w:rPr>
          <w:rFonts w:cstheme="minorHAnsi"/>
          <w:kern w:val="24"/>
        </w:rPr>
      </w:pPr>
      <w:r w:rsidRPr="00725F40">
        <w:rPr>
          <w:rFonts w:cstheme="minorHAnsi"/>
          <w:kern w:val="24"/>
        </w:rPr>
        <w:t>Continue to support our departmental liaisons through targeted training, annual liaison meeting and ongoing collaboration.</w:t>
      </w:r>
    </w:p>
    <w:p w14:paraId="545ACF2F" w14:textId="77777777" w:rsidR="0084204D" w:rsidRPr="00725F40" w:rsidRDefault="0084204D" w:rsidP="00AE29B7">
      <w:pPr>
        <w:pStyle w:val="Titre2"/>
        <w:spacing w:after="120" w:line="240" w:lineRule="auto"/>
      </w:pPr>
      <w:r w:rsidRPr="00725F40">
        <w:t>M</w:t>
      </w:r>
      <w:r w:rsidR="00DF6324">
        <w:t>oving F</w:t>
      </w:r>
      <w:r w:rsidR="003E7CFA" w:rsidRPr="00725F40">
        <w:t>orward</w:t>
      </w:r>
    </w:p>
    <w:p w14:paraId="3ACB125F" w14:textId="02A6CAA7" w:rsidR="0084204D" w:rsidRPr="00725F40" w:rsidRDefault="0084204D" w:rsidP="007059AC">
      <w:pPr>
        <w:autoSpaceDE w:val="0"/>
        <w:autoSpaceDN w:val="0"/>
        <w:adjustRightInd w:val="0"/>
        <w:spacing w:after="120" w:line="240" w:lineRule="auto"/>
        <w:rPr>
          <w:rFonts w:cstheme="minorHAnsi"/>
          <w:kern w:val="24"/>
        </w:rPr>
      </w:pPr>
      <w:r w:rsidRPr="00725F40">
        <w:rPr>
          <w:rFonts w:cstheme="minorHAnsi"/>
          <w:kern w:val="24"/>
        </w:rPr>
        <w:t>The PSC Audit Directorate is presently planning an Audit of Organizational Investigations Frameworks to examine organizational processes and procedures related to the conduct of internal investigations or other mechanisms to resolve staffing issues</w:t>
      </w:r>
      <w:r w:rsidR="008B36E9">
        <w:rPr>
          <w:rFonts w:cstheme="minorHAnsi"/>
          <w:kern w:val="24"/>
        </w:rPr>
        <w:t>. The PSC Audit Directorate is also</w:t>
      </w:r>
      <w:r w:rsidRPr="00725F40">
        <w:rPr>
          <w:rFonts w:cstheme="minorHAnsi"/>
          <w:kern w:val="24"/>
        </w:rPr>
        <w:t xml:space="preserve"> to determine whether organizations are meeting the reporting and notice requirements for investigation-related responsibilities as per the A</w:t>
      </w:r>
      <w:r w:rsidR="002C3843">
        <w:rPr>
          <w:rFonts w:cstheme="minorHAnsi"/>
          <w:kern w:val="24"/>
        </w:rPr>
        <w:t xml:space="preserve">uthority </w:t>
      </w:r>
      <w:r w:rsidRPr="00725F40">
        <w:rPr>
          <w:rFonts w:cstheme="minorHAnsi"/>
          <w:kern w:val="24"/>
        </w:rPr>
        <w:t>D</w:t>
      </w:r>
      <w:r w:rsidR="002C3843">
        <w:rPr>
          <w:rFonts w:cstheme="minorHAnsi"/>
          <w:kern w:val="24"/>
        </w:rPr>
        <w:t xml:space="preserve">elegation and </w:t>
      </w:r>
      <w:r w:rsidRPr="00725F40">
        <w:rPr>
          <w:rFonts w:cstheme="minorHAnsi"/>
          <w:kern w:val="24"/>
        </w:rPr>
        <w:t>A</w:t>
      </w:r>
      <w:r w:rsidR="002C3843">
        <w:rPr>
          <w:rFonts w:cstheme="minorHAnsi"/>
          <w:kern w:val="24"/>
        </w:rPr>
        <w:t xml:space="preserve">ccountability </w:t>
      </w:r>
      <w:r w:rsidRPr="00725F40">
        <w:rPr>
          <w:rFonts w:cstheme="minorHAnsi"/>
          <w:kern w:val="24"/>
        </w:rPr>
        <w:t>I</w:t>
      </w:r>
      <w:r w:rsidR="002C3843">
        <w:rPr>
          <w:rFonts w:cstheme="minorHAnsi"/>
          <w:kern w:val="24"/>
        </w:rPr>
        <w:t>nstrument (ADAI)</w:t>
      </w:r>
      <w:r w:rsidRPr="00725F40">
        <w:rPr>
          <w:rFonts w:cstheme="minorHAnsi"/>
          <w:kern w:val="24"/>
        </w:rPr>
        <w:t>.</w:t>
      </w:r>
    </w:p>
    <w:p w14:paraId="1B8C8741" w14:textId="43BA2175" w:rsidR="0084204D" w:rsidRPr="00725F40" w:rsidRDefault="0084204D" w:rsidP="00AE29B7">
      <w:pPr>
        <w:pStyle w:val="Titre1"/>
        <w:spacing w:after="120" w:line="240" w:lineRule="auto"/>
      </w:pPr>
      <w:r w:rsidRPr="00725F40">
        <w:t>R</w:t>
      </w:r>
      <w:r w:rsidR="003E7CFA" w:rsidRPr="00725F40">
        <w:t xml:space="preserve">esults on the use of the </w:t>
      </w:r>
      <w:r w:rsidR="003E7CFA" w:rsidRPr="00725F40">
        <w:rPr>
          <w:rStyle w:val="Accentuation"/>
        </w:rPr>
        <w:t>P</w:t>
      </w:r>
      <w:r w:rsidR="002C5A1D" w:rsidRPr="00725F40">
        <w:rPr>
          <w:rStyle w:val="Accentuation"/>
        </w:rPr>
        <w:t xml:space="preserve">ublic </w:t>
      </w:r>
      <w:r w:rsidR="003E7CFA" w:rsidRPr="00725F40">
        <w:rPr>
          <w:rStyle w:val="Accentuation"/>
        </w:rPr>
        <w:t>S</w:t>
      </w:r>
      <w:r w:rsidR="002C5A1D" w:rsidRPr="00725F40">
        <w:rPr>
          <w:rStyle w:val="Accentuation"/>
        </w:rPr>
        <w:t xml:space="preserve">ervice </w:t>
      </w:r>
      <w:r w:rsidR="003E7CFA" w:rsidRPr="00725F40">
        <w:rPr>
          <w:rStyle w:val="Accentuation"/>
        </w:rPr>
        <w:t>O</w:t>
      </w:r>
      <w:r w:rsidR="002C5A1D" w:rsidRPr="00725F40">
        <w:rPr>
          <w:rStyle w:val="Accentuation"/>
        </w:rPr>
        <w:t xml:space="preserve">fficial </w:t>
      </w:r>
      <w:r w:rsidR="003E7CFA" w:rsidRPr="00725F40">
        <w:rPr>
          <w:rStyle w:val="Accentuation"/>
        </w:rPr>
        <w:t>L</w:t>
      </w:r>
      <w:r w:rsidR="002C5A1D" w:rsidRPr="00725F40">
        <w:rPr>
          <w:rStyle w:val="Accentuation"/>
        </w:rPr>
        <w:t xml:space="preserve">anguages </w:t>
      </w:r>
      <w:r w:rsidR="003E7CFA" w:rsidRPr="00725F40">
        <w:rPr>
          <w:rStyle w:val="Accentuation"/>
        </w:rPr>
        <w:t>E</w:t>
      </w:r>
      <w:r w:rsidR="002C5A1D" w:rsidRPr="00725F40">
        <w:rPr>
          <w:rStyle w:val="Accentuation"/>
        </w:rPr>
        <w:t xml:space="preserve">xclusion </w:t>
      </w:r>
      <w:r w:rsidR="003E7CFA" w:rsidRPr="00725F40">
        <w:rPr>
          <w:rStyle w:val="Accentuation"/>
        </w:rPr>
        <w:t>A</w:t>
      </w:r>
      <w:r w:rsidR="002C5A1D" w:rsidRPr="00725F40">
        <w:rPr>
          <w:rStyle w:val="Accentuation"/>
        </w:rPr>
        <w:t xml:space="preserve">pproval </w:t>
      </w:r>
      <w:r w:rsidR="003E7CFA" w:rsidRPr="00725F40">
        <w:rPr>
          <w:rStyle w:val="Accentuation"/>
        </w:rPr>
        <w:t>O</w:t>
      </w:r>
      <w:r w:rsidR="002C5A1D" w:rsidRPr="00725F40">
        <w:rPr>
          <w:rStyle w:val="Accentuation"/>
        </w:rPr>
        <w:t>rder</w:t>
      </w:r>
      <w:r w:rsidR="003E7CFA" w:rsidRPr="00725F40">
        <w:t xml:space="preserve"> </w:t>
      </w:r>
      <w:r w:rsidR="002C3843" w:rsidRPr="002C3843">
        <w:rPr>
          <w:i/>
          <w:iCs/>
        </w:rPr>
        <w:t>(PSOLEAO)</w:t>
      </w:r>
      <w:r w:rsidR="002C3843">
        <w:t xml:space="preserve"> </w:t>
      </w:r>
      <w:r w:rsidR="003E7CFA" w:rsidRPr="00725F40">
        <w:t>and the</w:t>
      </w:r>
      <w:r w:rsidRPr="00725F40">
        <w:t xml:space="preserve"> </w:t>
      </w:r>
      <w:r w:rsidRPr="00725F40">
        <w:rPr>
          <w:rStyle w:val="Accentuation"/>
        </w:rPr>
        <w:t>P</w:t>
      </w:r>
      <w:r w:rsidR="002C5A1D" w:rsidRPr="00725F40">
        <w:rPr>
          <w:rStyle w:val="Accentuation"/>
        </w:rPr>
        <w:t xml:space="preserve">ublic </w:t>
      </w:r>
      <w:r w:rsidRPr="00725F40">
        <w:rPr>
          <w:rStyle w:val="Accentuation"/>
        </w:rPr>
        <w:t>S</w:t>
      </w:r>
      <w:r w:rsidR="002C5A1D" w:rsidRPr="00725F40">
        <w:rPr>
          <w:rStyle w:val="Accentuation"/>
        </w:rPr>
        <w:t xml:space="preserve">ervice </w:t>
      </w:r>
      <w:r w:rsidRPr="00725F40">
        <w:rPr>
          <w:rStyle w:val="Accentuation"/>
        </w:rPr>
        <w:t>O</w:t>
      </w:r>
      <w:r w:rsidR="002C5A1D" w:rsidRPr="00725F40">
        <w:rPr>
          <w:rStyle w:val="Accentuation"/>
        </w:rPr>
        <w:t xml:space="preserve">fficial </w:t>
      </w:r>
      <w:r w:rsidRPr="00725F40">
        <w:rPr>
          <w:rStyle w:val="Accentuation"/>
        </w:rPr>
        <w:t>L</w:t>
      </w:r>
      <w:r w:rsidR="002C5A1D" w:rsidRPr="00725F40">
        <w:rPr>
          <w:rStyle w:val="Accentuation"/>
        </w:rPr>
        <w:t xml:space="preserve">anguages </w:t>
      </w:r>
      <w:r w:rsidRPr="00725F40">
        <w:rPr>
          <w:rStyle w:val="Accentuation"/>
        </w:rPr>
        <w:t>A</w:t>
      </w:r>
      <w:r w:rsidR="002C5A1D" w:rsidRPr="00725F40">
        <w:rPr>
          <w:rStyle w:val="Accentuation"/>
        </w:rPr>
        <w:t xml:space="preserve">ppointment </w:t>
      </w:r>
      <w:r w:rsidRPr="00725F40">
        <w:rPr>
          <w:rStyle w:val="Accentuation"/>
        </w:rPr>
        <w:t>R</w:t>
      </w:r>
      <w:r w:rsidR="002C5A1D" w:rsidRPr="00725F40">
        <w:rPr>
          <w:rStyle w:val="Accentuation"/>
        </w:rPr>
        <w:t>egulations</w:t>
      </w:r>
      <w:r w:rsidR="002C3843">
        <w:rPr>
          <w:rStyle w:val="Accentuation"/>
        </w:rPr>
        <w:t xml:space="preserve"> (PSOLAR)</w:t>
      </w:r>
    </w:p>
    <w:p w14:paraId="792D79B0" w14:textId="77777777" w:rsidR="0084204D" w:rsidRPr="00725F40" w:rsidRDefault="0084204D" w:rsidP="00AE29B7">
      <w:pPr>
        <w:pStyle w:val="Titre2"/>
        <w:spacing w:after="120" w:line="240" w:lineRule="auto"/>
      </w:pPr>
      <w:r w:rsidRPr="00725F40">
        <w:t>C</w:t>
      </w:r>
      <w:r w:rsidR="003E7CFA" w:rsidRPr="00725F40">
        <w:t>ontext</w:t>
      </w:r>
    </w:p>
    <w:p w14:paraId="60A2542A" w14:textId="4D71075C" w:rsidR="0084204D" w:rsidRPr="00725F40" w:rsidRDefault="0084204D" w:rsidP="00940589">
      <w:pPr>
        <w:autoSpaceDE w:val="0"/>
        <w:autoSpaceDN w:val="0"/>
        <w:adjustRightInd w:val="0"/>
        <w:spacing w:after="0" w:line="240" w:lineRule="auto"/>
        <w:rPr>
          <w:rFonts w:cstheme="minorHAnsi"/>
          <w:kern w:val="24"/>
        </w:rPr>
      </w:pPr>
      <w:r w:rsidRPr="00725F40">
        <w:rPr>
          <w:rFonts w:cstheme="minorHAnsi"/>
          <w:kern w:val="24"/>
        </w:rPr>
        <w:t xml:space="preserve">There are 3 situations in the PSOLEAO where people may be excluded from meeting the required level of proficiency in their second official language, following non-imperative appointments. When the individual: </w:t>
      </w:r>
    </w:p>
    <w:p w14:paraId="4E83B995" w14:textId="77777777" w:rsidR="0084204D" w:rsidRPr="00725F40" w:rsidRDefault="0084204D" w:rsidP="00C552CF">
      <w:pPr>
        <w:pStyle w:val="Paragraphedeliste"/>
        <w:numPr>
          <w:ilvl w:val="0"/>
          <w:numId w:val="18"/>
        </w:numPr>
        <w:autoSpaceDE w:val="0"/>
        <w:autoSpaceDN w:val="0"/>
        <w:adjustRightInd w:val="0"/>
        <w:spacing w:after="0" w:line="240" w:lineRule="auto"/>
        <w:rPr>
          <w:rFonts w:cstheme="minorHAnsi"/>
          <w:kern w:val="24"/>
        </w:rPr>
      </w:pPr>
      <w:r w:rsidRPr="00725F40">
        <w:rPr>
          <w:rFonts w:cstheme="minorHAnsi"/>
          <w:kern w:val="24"/>
        </w:rPr>
        <w:t>Submits an agreement to become bilingual;</w:t>
      </w:r>
    </w:p>
    <w:p w14:paraId="2E73594E" w14:textId="77777777" w:rsidR="0084204D" w:rsidRPr="00725F40" w:rsidRDefault="0084204D" w:rsidP="007059AC">
      <w:pPr>
        <w:pStyle w:val="Paragraphedeliste"/>
        <w:numPr>
          <w:ilvl w:val="0"/>
          <w:numId w:val="18"/>
        </w:numPr>
        <w:autoSpaceDE w:val="0"/>
        <w:autoSpaceDN w:val="0"/>
        <w:adjustRightInd w:val="0"/>
        <w:spacing w:after="0" w:line="240" w:lineRule="auto"/>
        <w:rPr>
          <w:rFonts w:cstheme="minorHAnsi"/>
          <w:kern w:val="24"/>
        </w:rPr>
      </w:pPr>
      <w:r w:rsidRPr="00725F40">
        <w:rPr>
          <w:rFonts w:cstheme="minorHAnsi"/>
          <w:kern w:val="24"/>
        </w:rPr>
        <w:t>Is eligible for an immediate annuity; or</w:t>
      </w:r>
    </w:p>
    <w:p w14:paraId="1A35C674" w14:textId="77777777" w:rsidR="00AE29B7" w:rsidRPr="00725F40" w:rsidRDefault="0084204D" w:rsidP="007059AC">
      <w:pPr>
        <w:pStyle w:val="Paragraphedeliste"/>
        <w:numPr>
          <w:ilvl w:val="0"/>
          <w:numId w:val="18"/>
        </w:numPr>
        <w:autoSpaceDE w:val="0"/>
        <w:autoSpaceDN w:val="0"/>
        <w:adjustRightInd w:val="0"/>
        <w:spacing w:after="120" w:line="240" w:lineRule="auto"/>
        <w:rPr>
          <w:rFonts w:cstheme="minorHAnsi"/>
          <w:kern w:val="24"/>
        </w:rPr>
      </w:pPr>
      <w:r w:rsidRPr="00725F40">
        <w:rPr>
          <w:rFonts w:cstheme="minorHAnsi"/>
          <w:kern w:val="24"/>
        </w:rPr>
        <w:t>Is excluded for medical reasons.</w:t>
      </w:r>
    </w:p>
    <w:p w14:paraId="1C0AFDB3" w14:textId="77777777" w:rsidR="0084204D" w:rsidRPr="00725F40" w:rsidRDefault="0084204D" w:rsidP="000C2042">
      <w:pPr>
        <w:autoSpaceDE w:val="0"/>
        <w:autoSpaceDN w:val="0"/>
        <w:adjustRightInd w:val="0"/>
        <w:spacing w:after="0" w:line="240" w:lineRule="auto"/>
        <w:rPr>
          <w:rFonts w:cstheme="minorHAnsi"/>
          <w:kern w:val="24"/>
        </w:rPr>
      </w:pPr>
      <w:r w:rsidRPr="00725F40">
        <w:rPr>
          <w:rFonts w:cstheme="minorHAnsi"/>
          <w:kern w:val="24"/>
        </w:rPr>
        <w:t>D</w:t>
      </w:r>
      <w:r w:rsidR="009C4CC1" w:rsidRPr="00725F40">
        <w:rPr>
          <w:rFonts w:cstheme="minorHAnsi"/>
          <w:kern w:val="24"/>
        </w:rPr>
        <w:t xml:space="preserve">eputy </w:t>
      </w:r>
      <w:r w:rsidRPr="00725F40">
        <w:rPr>
          <w:rFonts w:cstheme="minorHAnsi"/>
          <w:kern w:val="24"/>
        </w:rPr>
        <w:t>H</w:t>
      </w:r>
      <w:r w:rsidR="009C4CC1" w:rsidRPr="00725F40">
        <w:rPr>
          <w:rFonts w:cstheme="minorHAnsi"/>
          <w:kern w:val="24"/>
        </w:rPr>
        <w:t>ead</w:t>
      </w:r>
      <w:r w:rsidRPr="00725F40">
        <w:rPr>
          <w:rFonts w:cstheme="minorHAnsi"/>
          <w:kern w:val="24"/>
        </w:rPr>
        <w:t>s must report on the first 2 exclusions. As the P</w:t>
      </w:r>
      <w:r w:rsidR="009C4CC1" w:rsidRPr="00725F40">
        <w:rPr>
          <w:rFonts w:cstheme="minorHAnsi"/>
          <w:kern w:val="24"/>
        </w:rPr>
        <w:t xml:space="preserve">ublic </w:t>
      </w:r>
      <w:r w:rsidRPr="00725F40">
        <w:rPr>
          <w:rFonts w:cstheme="minorHAnsi"/>
          <w:kern w:val="24"/>
        </w:rPr>
        <w:t>S</w:t>
      </w:r>
      <w:r w:rsidR="009C4CC1" w:rsidRPr="00725F40">
        <w:rPr>
          <w:rFonts w:cstheme="minorHAnsi"/>
          <w:kern w:val="24"/>
        </w:rPr>
        <w:t xml:space="preserve">ervice </w:t>
      </w:r>
      <w:r w:rsidRPr="00725F40">
        <w:rPr>
          <w:rFonts w:cstheme="minorHAnsi"/>
          <w:kern w:val="24"/>
        </w:rPr>
        <w:t>C</w:t>
      </w:r>
      <w:r w:rsidR="009C4CC1" w:rsidRPr="00725F40">
        <w:rPr>
          <w:rFonts w:cstheme="minorHAnsi"/>
          <w:kern w:val="24"/>
        </w:rPr>
        <w:t>ommission (PSC)</w:t>
      </w:r>
      <w:r w:rsidRPr="00725F40">
        <w:rPr>
          <w:rFonts w:cstheme="minorHAnsi"/>
          <w:kern w:val="24"/>
        </w:rPr>
        <w:t xml:space="preserve"> is responsible for approving exclusions for medical reasons, there is no need for organizations to report on the 3</w:t>
      </w:r>
      <w:r w:rsidRPr="00725F40">
        <w:rPr>
          <w:rFonts w:cstheme="minorHAnsi"/>
          <w:kern w:val="24"/>
          <w:vertAlign w:val="superscript"/>
        </w:rPr>
        <w:t>rd</w:t>
      </w:r>
      <w:r w:rsidRPr="00725F40">
        <w:rPr>
          <w:rFonts w:cstheme="minorHAnsi"/>
          <w:kern w:val="24"/>
        </w:rPr>
        <w:t xml:space="preserve"> item.</w:t>
      </w:r>
    </w:p>
    <w:p w14:paraId="6CB38049" w14:textId="77777777" w:rsidR="0084204D" w:rsidRPr="00725F40" w:rsidRDefault="0084204D" w:rsidP="00C552CF">
      <w:pPr>
        <w:pStyle w:val="Paragraphedeliste"/>
        <w:numPr>
          <w:ilvl w:val="0"/>
          <w:numId w:val="19"/>
        </w:numPr>
        <w:autoSpaceDE w:val="0"/>
        <w:autoSpaceDN w:val="0"/>
        <w:adjustRightInd w:val="0"/>
        <w:spacing w:after="0" w:line="240" w:lineRule="auto"/>
        <w:rPr>
          <w:rFonts w:cstheme="minorHAnsi"/>
          <w:kern w:val="24"/>
        </w:rPr>
      </w:pPr>
      <w:r w:rsidRPr="00725F40">
        <w:rPr>
          <w:rFonts w:cstheme="minorHAnsi"/>
          <w:kern w:val="24"/>
        </w:rPr>
        <w:t>The reporting elements on which the organizations must report remain the same as previous years.</w:t>
      </w:r>
    </w:p>
    <w:p w14:paraId="3D4D5C91" w14:textId="77777777" w:rsidR="0084204D" w:rsidRPr="00725F40" w:rsidRDefault="0084204D" w:rsidP="00AE29B7">
      <w:pPr>
        <w:pStyle w:val="Paragraphedeliste"/>
        <w:numPr>
          <w:ilvl w:val="0"/>
          <w:numId w:val="19"/>
        </w:numPr>
        <w:autoSpaceDE w:val="0"/>
        <w:autoSpaceDN w:val="0"/>
        <w:adjustRightInd w:val="0"/>
        <w:spacing w:before="240" w:after="120" w:line="240" w:lineRule="auto"/>
        <w:rPr>
          <w:rFonts w:cstheme="minorHAnsi"/>
          <w:kern w:val="24"/>
        </w:rPr>
      </w:pPr>
      <w:r w:rsidRPr="00725F40">
        <w:rPr>
          <w:rFonts w:cstheme="minorHAnsi"/>
          <w:kern w:val="24"/>
        </w:rPr>
        <w:t xml:space="preserve">Exclusions that are not compliant with the </w:t>
      </w:r>
      <w:r w:rsidRPr="00725F40">
        <w:rPr>
          <w:rStyle w:val="Accentuation"/>
          <w:i w:val="0"/>
        </w:rPr>
        <w:t>PSOLEAO</w:t>
      </w:r>
      <w:r w:rsidRPr="00725F40">
        <w:rPr>
          <w:rFonts w:cstheme="minorHAnsi"/>
          <w:i/>
          <w:kern w:val="24"/>
        </w:rPr>
        <w:t xml:space="preserve"> </w:t>
      </w:r>
      <w:r w:rsidRPr="00725F40">
        <w:rPr>
          <w:rFonts w:cstheme="minorHAnsi"/>
          <w:kern w:val="24"/>
        </w:rPr>
        <w:t>and</w:t>
      </w:r>
      <w:r w:rsidRPr="00725F40">
        <w:rPr>
          <w:rFonts w:cstheme="minorHAnsi"/>
          <w:i/>
          <w:kern w:val="24"/>
        </w:rPr>
        <w:t xml:space="preserve"> </w:t>
      </w:r>
      <w:r w:rsidRPr="00725F40">
        <w:rPr>
          <w:rStyle w:val="Accentuation"/>
          <w:i w:val="0"/>
        </w:rPr>
        <w:t>PSOLAR</w:t>
      </w:r>
      <w:r w:rsidRPr="00725F40">
        <w:rPr>
          <w:rFonts w:cstheme="minorHAnsi"/>
          <w:kern w:val="24"/>
        </w:rPr>
        <w:t xml:space="preserve"> do not respect merit with regard to official language proficiency.</w:t>
      </w:r>
    </w:p>
    <w:p w14:paraId="5BE4FDD1" w14:textId="77777777" w:rsidR="0050327B" w:rsidRPr="00725F40" w:rsidRDefault="0050327B" w:rsidP="007059AC">
      <w:pPr>
        <w:pStyle w:val="Titre2"/>
        <w:spacing w:before="0" w:after="120" w:line="240" w:lineRule="auto"/>
        <w:sectPr w:rsidR="0050327B" w:rsidRPr="00725F40" w:rsidSect="0084204D">
          <w:pgSz w:w="12240" w:h="15840"/>
          <w:pgMar w:top="1985" w:right="1440" w:bottom="1440" w:left="1440" w:header="708" w:footer="283" w:gutter="0"/>
          <w:cols w:space="708"/>
          <w:titlePg/>
          <w:docGrid w:linePitch="360"/>
        </w:sectPr>
      </w:pPr>
    </w:p>
    <w:p w14:paraId="7AEA1E47" w14:textId="77777777" w:rsidR="00A01BA6" w:rsidRPr="00725F40" w:rsidRDefault="00A01BA6" w:rsidP="007059AC">
      <w:pPr>
        <w:pStyle w:val="Titre2"/>
        <w:spacing w:after="120" w:line="240" w:lineRule="auto"/>
      </w:pPr>
      <w:r w:rsidRPr="00725F40">
        <w:lastRenderedPageBreak/>
        <w:t>O</w:t>
      </w:r>
      <w:r w:rsidR="008347A3" w:rsidRPr="00725F40">
        <w:t>bservations</w:t>
      </w:r>
    </w:p>
    <w:p w14:paraId="02988474" w14:textId="77777777" w:rsidR="002D412D" w:rsidRPr="00725F40" w:rsidRDefault="00AE5027" w:rsidP="00C552CF">
      <w:pPr>
        <w:spacing w:after="0" w:line="240" w:lineRule="auto"/>
        <w:rPr>
          <w:rFonts w:cstheme="minorHAnsi"/>
        </w:rPr>
      </w:pPr>
      <w:r w:rsidRPr="00725F40">
        <w:rPr>
          <w:rFonts w:cstheme="minorHAnsi"/>
        </w:rPr>
        <w:t>In 2018-2019, 45 of the 75 organizations reported using the PSOLEAO and PSOLAR.</w:t>
      </w:r>
    </w:p>
    <w:p w14:paraId="301E16F4" w14:textId="77777777" w:rsidR="002D412D" w:rsidRPr="00725F40" w:rsidRDefault="00AE5027" w:rsidP="000C2042">
      <w:pPr>
        <w:pStyle w:val="Paragraphedeliste"/>
        <w:numPr>
          <w:ilvl w:val="0"/>
          <w:numId w:val="15"/>
        </w:numPr>
        <w:spacing w:after="0" w:line="240" w:lineRule="auto"/>
        <w:contextualSpacing w:val="0"/>
        <w:rPr>
          <w:rFonts w:cstheme="minorHAnsi"/>
        </w:rPr>
      </w:pPr>
      <w:r w:rsidRPr="00725F40">
        <w:rPr>
          <w:rFonts w:cstheme="minorHAnsi"/>
        </w:rPr>
        <w:t>39 organizations reported managing the exclusions in compliance with the instruments.</w:t>
      </w:r>
    </w:p>
    <w:p w14:paraId="0D636D0E" w14:textId="77777777" w:rsidR="002D412D" w:rsidRPr="00725F40" w:rsidRDefault="00AE5027" w:rsidP="000C2042">
      <w:pPr>
        <w:pStyle w:val="Paragraphedeliste"/>
        <w:numPr>
          <w:ilvl w:val="0"/>
          <w:numId w:val="15"/>
        </w:numPr>
        <w:spacing w:after="0" w:line="240" w:lineRule="auto"/>
        <w:contextualSpacing w:val="0"/>
        <w:rPr>
          <w:rFonts w:cstheme="minorHAnsi"/>
        </w:rPr>
      </w:pPr>
      <w:r w:rsidRPr="00725F40">
        <w:rPr>
          <w:rFonts w:cstheme="minorHAnsi"/>
        </w:rPr>
        <w:t xml:space="preserve">A total of 6 cases were non-compliant, </w:t>
      </w:r>
      <w:r w:rsidR="00D51826">
        <w:rPr>
          <w:rFonts w:cstheme="minorHAnsi"/>
        </w:rPr>
        <w:t>in 6 organizations:</w:t>
      </w:r>
    </w:p>
    <w:p w14:paraId="3A5B7778" w14:textId="77777777" w:rsidR="002D412D" w:rsidRPr="00725F40" w:rsidRDefault="00AE5027" w:rsidP="000C2042">
      <w:pPr>
        <w:pStyle w:val="Paragraphedeliste"/>
        <w:numPr>
          <w:ilvl w:val="1"/>
          <w:numId w:val="15"/>
        </w:numPr>
        <w:spacing w:after="0" w:line="240" w:lineRule="auto"/>
        <w:contextualSpacing w:val="0"/>
        <w:rPr>
          <w:rFonts w:cstheme="minorHAnsi"/>
        </w:rPr>
      </w:pPr>
      <w:r w:rsidRPr="00725F40">
        <w:rPr>
          <w:rFonts w:cstheme="minorHAnsi"/>
        </w:rPr>
        <w:t xml:space="preserve">4 cases where the exemption period was not extended beyond the 2-year initial period. </w:t>
      </w:r>
      <w:r w:rsidR="00322CF5">
        <w:rPr>
          <w:rFonts w:cstheme="minorHAnsi"/>
        </w:rPr>
        <w:t xml:space="preserve">To be noted that </w:t>
      </w:r>
      <w:r w:rsidRPr="00725F40">
        <w:rPr>
          <w:rFonts w:cstheme="minorHAnsi"/>
        </w:rPr>
        <w:t>3 out of those 4 cases are now resolved.</w:t>
      </w:r>
    </w:p>
    <w:p w14:paraId="62031813" w14:textId="77777777" w:rsidR="002D412D" w:rsidRPr="00725F40" w:rsidRDefault="00AE5027" w:rsidP="007059AC">
      <w:pPr>
        <w:pStyle w:val="Paragraphedeliste"/>
        <w:numPr>
          <w:ilvl w:val="1"/>
          <w:numId w:val="15"/>
        </w:numPr>
        <w:spacing w:after="120" w:line="240" w:lineRule="auto"/>
        <w:contextualSpacing w:val="0"/>
        <w:rPr>
          <w:rFonts w:cstheme="minorHAnsi"/>
        </w:rPr>
      </w:pPr>
      <w:r w:rsidRPr="00725F40">
        <w:rPr>
          <w:rFonts w:cstheme="minorHAnsi"/>
        </w:rPr>
        <w:t xml:space="preserve">2 cases where exemptions exceeded the regulated 4-year maximum period to become bilingual. The 2 cases are now resolved. </w:t>
      </w:r>
    </w:p>
    <w:p w14:paraId="2BBF76CE" w14:textId="77777777" w:rsidR="002D412D" w:rsidRPr="00725F40" w:rsidRDefault="00AE5027" w:rsidP="007059AC">
      <w:pPr>
        <w:spacing w:after="120" w:line="240" w:lineRule="auto"/>
        <w:rPr>
          <w:rFonts w:cstheme="minorHAnsi"/>
        </w:rPr>
      </w:pPr>
      <w:r w:rsidRPr="00725F40">
        <w:rPr>
          <w:rFonts w:cstheme="minorHAnsi"/>
        </w:rPr>
        <w:t>The majority of organizations manage the exclusions in accordance with the statutory instruments.</w:t>
      </w:r>
    </w:p>
    <w:p w14:paraId="6B3D97DF" w14:textId="77777777" w:rsidR="00A01BA6" w:rsidRPr="00725F40" w:rsidRDefault="00A01BA6" w:rsidP="007059AC">
      <w:pPr>
        <w:pStyle w:val="Titre2"/>
        <w:spacing w:after="120" w:line="240" w:lineRule="auto"/>
      </w:pPr>
      <w:r w:rsidRPr="00725F40">
        <w:t>R</w:t>
      </w:r>
      <w:r w:rsidR="008347A3" w:rsidRPr="00725F40">
        <w:t>ecommendation</w:t>
      </w:r>
    </w:p>
    <w:p w14:paraId="34F83A74" w14:textId="77777777" w:rsidR="002D412D" w:rsidRPr="00725F40" w:rsidRDefault="00AE5027" w:rsidP="007059AC">
      <w:pPr>
        <w:spacing w:after="120" w:line="240" w:lineRule="auto"/>
      </w:pPr>
      <w:r w:rsidRPr="00725F40">
        <w:t xml:space="preserve">Policy Division (PD) and Staffing Support Division (SSD) to continue working in collaboration with the organization to resolve the non-compliant case. </w:t>
      </w:r>
    </w:p>
    <w:p w14:paraId="31E7321C" w14:textId="737821BB" w:rsidR="0084204D" w:rsidRPr="00725F40" w:rsidRDefault="0084204D" w:rsidP="007059AC">
      <w:pPr>
        <w:pStyle w:val="Titre1"/>
        <w:spacing w:after="120" w:line="240" w:lineRule="auto"/>
      </w:pPr>
      <w:r w:rsidRPr="00725F40">
        <w:t>R</w:t>
      </w:r>
      <w:r w:rsidR="008347A3" w:rsidRPr="00725F40">
        <w:t>esults on the P</w:t>
      </w:r>
      <w:r w:rsidR="0095348E" w:rsidRPr="00725F40">
        <w:t xml:space="preserve">ublic </w:t>
      </w:r>
      <w:r w:rsidR="008347A3" w:rsidRPr="00725F40">
        <w:t>S</w:t>
      </w:r>
      <w:r w:rsidR="0095348E" w:rsidRPr="00725F40">
        <w:t xml:space="preserve">ervice </w:t>
      </w:r>
      <w:r w:rsidR="008347A3" w:rsidRPr="00725F40">
        <w:t>C</w:t>
      </w:r>
      <w:r w:rsidR="0095348E" w:rsidRPr="00725F40">
        <w:t>ommission</w:t>
      </w:r>
      <w:r w:rsidR="00FE7D00">
        <w:t xml:space="preserve"> (PSC)</w:t>
      </w:r>
      <w:r w:rsidR="0095348E" w:rsidRPr="00725F40">
        <w:t xml:space="preserve"> Transition M</w:t>
      </w:r>
      <w:r w:rsidR="008347A3" w:rsidRPr="00725F40">
        <w:t>easure for S</w:t>
      </w:r>
      <w:r w:rsidR="0095348E" w:rsidRPr="00725F40">
        <w:t xml:space="preserve">econd </w:t>
      </w:r>
      <w:r w:rsidR="008347A3" w:rsidRPr="00725F40">
        <w:t>L</w:t>
      </w:r>
      <w:r w:rsidR="0095348E" w:rsidRPr="00725F40">
        <w:t xml:space="preserve">anguage </w:t>
      </w:r>
      <w:r w:rsidR="008347A3" w:rsidRPr="00725F40">
        <w:t>E</w:t>
      </w:r>
      <w:r w:rsidR="0095348E" w:rsidRPr="00725F40">
        <w:t>valuation</w:t>
      </w:r>
    </w:p>
    <w:p w14:paraId="0D7A17F8" w14:textId="77777777" w:rsidR="00AE5027" w:rsidRPr="00725F40" w:rsidRDefault="0084204D" w:rsidP="007059AC">
      <w:pPr>
        <w:pStyle w:val="Titre2"/>
        <w:spacing w:after="120"/>
      </w:pPr>
      <w:r w:rsidRPr="00725F40">
        <w:t>C</w:t>
      </w:r>
      <w:r w:rsidR="008347A3" w:rsidRPr="00725F40">
        <w:t>ontext</w:t>
      </w:r>
    </w:p>
    <w:p w14:paraId="1FF636A0" w14:textId="77777777" w:rsidR="0084204D" w:rsidRPr="00725F40" w:rsidRDefault="00AE29B7" w:rsidP="0050327B">
      <w:pPr>
        <w:spacing w:after="0" w:line="240" w:lineRule="auto"/>
        <w:contextualSpacing/>
      </w:pPr>
      <w:r w:rsidRPr="00725F40">
        <w:t>Between 2012-</w:t>
      </w:r>
      <w:r w:rsidR="0084204D" w:rsidRPr="00725F40">
        <w:t>2015, the P</w:t>
      </w:r>
      <w:r w:rsidR="0095348E" w:rsidRPr="00725F40">
        <w:t xml:space="preserve">ublic </w:t>
      </w:r>
      <w:r w:rsidR="0084204D" w:rsidRPr="00725F40">
        <w:t>S</w:t>
      </w:r>
      <w:r w:rsidR="0095348E" w:rsidRPr="00725F40">
        <w:t xml:space="preserve">ervice </w:t>
      </w:r>
      <w:r w:rsidR="0084204D" w:rsidRPr="00725F40">
        <w:t>C</w:t>
      </w:r>
      <w:r w:rsidR="0095348E" w:rsidRPr="00725F40">
        <w:t>ommission (PSC)</w:t>
      </w:r>
      <w:r w:rsidR="0084204D" w:rsidRPr="00725F40">
        <w:t xml:space="preserve"> implemented a transition measure for alternating employees and for employees with a surplus or lay-off priority entitlement:</w:t>
      </w:r>
    </w:p>
    <w:p w14:paraId="439A4E13" w14:textId="77777777" w:rsidR="0084204D" w:rsidRPr="00725F40" w:rsidRDefault="0084204D" w:rsidP="00C552CF">
      <w:pPr>
        <w:numPr>
          <w:ilvl w:val="0"/>
          <w:numId w:val="5"/>
        </w:numPr>
        <w:autoSpaceDE w:val="0"/>
        <w:autoSpaceDN w:val="0"/>
        <w:adjustRightInd w:val="0"/>
        <w:spacing w:after="0" w:line="240" w:lineRule="auto"/>
        <w:ind w:left="1077" w:hanging="357"/>
        <w:contextualSpacing/>
        <w:rPr>
          <w:rFonts w:cstheme="minorHAnsi"/>
          <w:kern w:val="24"/>
        </w:rPr>
      </w:pPr>
      <w:r w:rsidRPr="00725F40">
        <w:rPr>
          <w:rFonts w:cstheme="minorHAnsi"/>
          <w:kern w:val="24"/>
        </w:rPr>
        <w:t>S</w:t>
      </w:r>
      <w:r w:rsidR="0095348E" w:rsidRPr="00725F40">
        <w:rPr>
          <w:rFonts w:cstheme="minorHAnsi"/>
          <w:kern w:val="24"/>
        </w:rPr>
        <w:t xml:space="preserve">econd </w:t>
      </w:r>
      <w:r w:rsidRPr="00725F40">
        <w:rPr>
          <w:rFonts w:cstheme="minorHAnsi"/>
          <w:kern w:val="24"/>
        </w:rPr>
        <w:t>L</w:t>
      </w:r>
      <w:r w:rsidR="0095348E" w:rsidRPr="00725F40">
        <w:rPr>
          <w:rFonts w:cstheme="minorHAnsi"/>
          <w:kern w:val="24"/>
        </w:rPr>
        <w:t xml:space="preserve">anguage </w:t>
      </w:r>
      <w:r w:rsidRPr="00725F40">
        <w:rPr>
          <w:rFonts w:cstheme="minorHAnsi"/>
          <w:kern w:val="24"/>
        </w:rPr>
        <w:t>E</w:t>
      </w:r>
      <w:r w:rsidR="0095348E" w:rsidRPr="00725F40">
        <w:rPr>
          <w:rFonts w:cstheme="minorHAnsi"/>
          <w:kern w:val="24"/>
        </w:rPr>
        <w:t>valuation (SLE)</w:t>
      </w:r>
      <w:r w:rsidRPr="00725F40">
        <w:rPr>
          <w:rFonts w:cstheme="minorHAnsi"/>
          <w:kern w:val="24"/>
        </w:rPr>
        <w:t xml:space="preserve"> results that were expired were deemed valid, subject to confirmation within 12 months of the alternation or priority appointment.</w:t>
      </w:r>
    </w:p>
    <w:p w14:paraId="11B2005A" w14:textId="77777777" w:rsidR="0084204D" w:rsidRPr="00725F40" w:rsidRDefault="0084204D" w:rsidP="00C552CF">
      <w:pPr>
        <w:numPr>
          <w:ilvl w:val="0"/>
          <w:numId w:val="5"/>
        </w:numPr>
        <w:autoSpaceDE w:val="0"/>
        <w:autoSpaceDN w:val="0"/>
        <w:adjustRightInd w:val="0"/>
        <w:spacing w:after="0" w:line="240" w:lineRule="auto"/>
        <w:ind w:left="1077" w:hanging="357"/>
        <w:contextualSpacing/>
        <w:rPr>
          <w:rFonts w:cstheme="minorHAnsi"/>
          <w:kern w:val="24"/>
        </w:rPr>
      </w:pPr>
      <w:r w:rsidRPr="00725F40">
        <w:rPr>
          <w:rFonts w:cstheme="minorHAnsi"/>
          <w:kern w:val="24"/>
        </w:rPr>
        <w:t xml:space="preserve">This measure was used 501 times. </w:t>
      </w:r>
      <w:r w:rsidRPr="00725F40">
        <w:rPr>
          <w:rFonts w:cstheme="minorHAnsi"/>
          <w:kern w:val="24"/>
        </w:rPr>
        <w:tab/>
      </w:r>
    </w:p>
    <w:p w14:paraId="74C4412D" w14:textId="77777777" w:rsidR="0084204D" w:rsidRPr="00725F40" w:rsidRDefault="0084204D" w:rsidP="007059AC">
      <w:pPr>
        <w:numPr>
          <w:ilvl w:val="0"/>
          <w:numId w:val="5"/>
        </w:numPr>
        <w:autoSpaceDE w:val="0"/>
        <w:autoSpaceDN w:val="0"/>
        <w:adjustRightInd w:val="0"/>
        <w:spacing w:after="120" w:line="240" w:lineRule="auto"/>
        <w:ind w:left="1077" w:hanging="357"/>
        <w:contextualSpacing/>
        <w:rPr>
          <w:rFonts w:cstheme="minorHAnsi"/>
          <w:b/>
          <w:bCs/>
          <w:kern w:val="24"/>
        </w:rPr>
      </w:pPr>
      <w:r w:rsidRPr="00725F40">
        <w:rPr>
          <w:rFonts w:cstheme="minorHAnsi"/>
          <w:kern w:val="24"/>
        </w:rPr>
        <w:t>D</w:t>
      </w:r>
      <w:r w:rsidR="0050327B" w:rsidRPr="00725F40">
        <w:rPr>
          <w:rFonts w:cstheme="minorHAnsi"/>
          <w:kern w:val="24"/>
        </w:rPr>
        <w:t xml:space="preserve">eputy </w:t>
      </w:r>
      <w:r w:rsidRPr="00725F40">
        <w:rPr>
          <w:rFonts w:cstheme="minorHAnsi"/>
          <w:kern w:val="24"/>
        </w:rPr>
        <w:t>H</w:t>
      </w:r>
      <w:r w:rsidR="0050327B" w:rsidRPr="00725F40">
        <w:rPr>
          <w:rFonts w:cstheme="minorHAnsi"/>
          <w:kern w:val="24"/>
        </w:rPr>
        <w:t>ead</w:t>
      </w:r>
      <w:r w:rsidRPr="00725F40">
        <w:rPr>
          <w:rFonts w:cstheme="minorHAnsi"/>
          <w:kern w:val="24"/>
        </w:rPr>
        <w:t>s report on the use of this measure until their respective cases are resolved.</w:t>
      </w:r>
    </w:p>
    <w:p w14:paraId="28055C4D" w14:textId="77777777" w:rsidR="0084204D" w:rsidRPr="00725F40" w:rsidRDefault="0084204D" w:rsidP="007059AC">
      <w:pPr>
        <w:pStyle w:val="Titre2"/>
        <w:spacing w:after="120" w:line="240" w:lineRule="auto"/>
        <w:rPr>
          <w:rFonts w:ascii="Arial" w:cs="Arial"/>
        </w:rPr>
      </w:pPr>
      <w:r w:rsidRPr="00725F40">
        <w:t>O</w:t>
      </w:r>
      <w:r w:rsidR="008347A3" w:rsidRPr="00725F40">
        <w:t>bservations</w:t>
      </w:r>
    </w:p>
    <w:p w14:paraId="70B2C0AC" w14:textId="77777777" w:rsidR="0084204D" w:rsidRPr="00725F40" w:rsidRDefault="0084204D" w:rsidP="00C552CF">
      <w:pPr>
        <w:autoSpaceDE w:val="0"/>
        <w:autoSpaceDN w:val="0"/>
        <w:adjustRightInd w:val="0"/>
        <w:spacing w:after="0" w:line="240" w:lineRule="auto"/>
        <w:contextualSpacing/>
        <w:rPr>
          <w:rFonts w:cstheme="minorHAnsi"/>
          <w:kern w:val="24"/>
        </w:rPr>
      </w:pPr>
      <w:r w:rsidRPr="00725F40">
        <w:rPr>
          <w:rFonts w:cstheme="minorHAnsi"/>
          <w:kern w:val="24"/>
        </w:rPr>
        <w:t>There were 7 outstanding cases on April 1, 2019 compared to 8 cases last fiscal year:</w:t>
      </w:r>
    </w:p>
    <w:p w14:paraId="14968A5C" w14:textId="77777777" w:rsidR="0084204D" w:rsidRPr="00725F40" w:rsidRDefault="0084204D" w:rsidP="00C552CF">
      <w:pPr>
        <w:numPr>
          <w:ilvl w:val="0"/>
          <w:numId w:val="5"/>
        </w:numPr>
        <w:autoSpaceDE w:val="0"/>
        <w:autoSpaceDN w:val="0"/>
        <w:adjustRightInd w:val="0"/>
        <w:spacing w:after="0" w:line="240" w:lineRule="auto"/>
        <w:ind w:left="1077" w:hanging="357"/>
        <w:contextualSpacing/>
        <w:rPr>
          <w:rFonts w:cstheme="minorHAnsi"/>
          <w:kern w:val="24"/>
        </w:rPr>
      </w:pPr>
      <w:r w:rsidRPr="00725F40">
        <w:rPr>
          <w:rFonts w:cstheme="minorHAnsi"/>
          <w:kern w:val="24"/>
        </w:rPr>
        <w:t xml:space="preserve">3 cases are non-compliant versus 4 last year (one has been resolved). </w:t>
      </w:r>
    </w:p>
    <w:p w14:paraId="6E46B945" w14:textId="77777777" w:rsidR="00284BC2" w:rsidRPr="00725F40" w:rsidRDefault="0084204D" w:rsidP="007059AC">
      <w:pPr>
        <w:numPr>
          <w:ilvl w:val="0"/>
          <w:numId w:val="5"/>
        </w:numPr>
        <w:autoSpaceDE w:val="0"/>
        <w:autoSpaceDN w:val="0"/>
        <w:adjustRightInd w:val="0"/>
        <w:spacing w:after="120" w:line="240" w:lineRule="auto"/>
        <w:ind w:left="1077" w:hanging="357"/>
        <w:contextualSpacing/>
        <w:rPr>
          <w:rFonts w:cstheme="minorHAnsi"/>
          <w:kern w:val="24"/>
        </w:rPr>
        <w:sectPr w:rsidR="00284BC2" w:rsidRPr="00725F40" w:rsidSect="0084204D">
          <w:pgSz w:w="12240" w:h="15840"/>
          <w:pgMar w:top="1985" w:right="1440" w:bottom="1440" w:left="1440" w:header="708" w:footer="283" w:gutter="0"/>
          <w:cols w:space="708"/>
          <w:titlePg/>
          <w:docGrid w:linePitch="360"/>
        </w:sectPr>
      </w:pPr>
      <w:r w:rsidRPr="00725F40">
        <w:rPr>
          <w:rFonts w:cstheme="minorHAnsi"/>
          <w:kern w:val="24"/>
        </w:rPr>
        <w:t>The remaining 4 cases are on extended leave and the computing of the 12-month period suspended.</w:t>
      </w:r>
    </w:p>
    <w:p w14:paraId="2A3E81B5" w14:textId="77777777" w:rsidR="0084204D" w:rsidRPr="00725F40" w:rsidRDefault="0084204D" w:rsidP="007059AC">
      <w:pPr>
        <w:pStyle w:val="Titre2"/>
        <w:spacing w:after="120" w:line="240" w:lineRule="auto"/>
      </w:pPr>
      <w:r w:rsidRPr="00725F40">
        <w:lastRenderedPageBreak/>
        <w:t>R</w:t>
      </w:r>
      <w:r w:rsidR="008347A3" w:rsidRPr="00725F40">
        <w:t>ecommendation</w:t>
      </w:r>
    </w:p>
    <w:p w14:paraId="3B02B720" w14:textId="3F869660" w:rsidR="0084204D" w:rsidRPr="00725F40" w:rsidRDefault="0084204D" w:rsidP="007059AC">
      <w:pPr>
        <w:autoSpaceDE w:val="0"/>
        <w:autoSpaceDN w:val="0"/>
        <w:adjustRightInd w:val="0"/>
        <w:spacing w:after="120" w:line="240" w:lineRule="auto"/>
        <w:rPr>
          <w:rFonts w:ascii="Segoe UI Semilight" w:hAnsi="Times New Roman" w:cs="Segoe UI Semilight"/>
          <w:kern w:val="24"/>
        </w:rPr>
      </w:pPr>
      <w:r w:rsidRPr="00725F40">
        <w:rPr>
          <w:rFonts w:ascii="Segoe UI Semilight" w:hAnsi="Times New Roman" w:cs="Segoe UI Semilight"/>
          <w:kern w:val="24"/>
        </w:rPr>
        <w:t xml:space="preserve">The </w:t>
      </w:r>
      <w:r w:rsidR="002C3843">
        <w:rPr>
          <w:rFonts w:ascii="Segoe UI Semilight" w:hAnsi="Times New Roman" w:cs="Segoe UI Semilight"/>
          <w:kern w:val="24"/>
        </w:rPr>
        <w:t>Policy Division (</w:t>
      </w:r>
      <w:r w:rsidRPr="00725F40">
        <w:rPr>
          <w:rFonts w:ascii="Segoe UI Semilight" w:hAnsi="Times New Roman" w:cs="Segoe UI Semilight"/>
          <w:kern w:val="24"/>
        </w:rPr>
        <w:t>PD</w:t>
      </w:r>
      <w:r w:rsidR="002C3843">
        <w:rPr>
          <w:rFonts w:ascii="Segoe UI Semilight" w:hAnsi="Times New Roman" w:cs="Segoe UI Semilight"/>
          <w:kern w:val="24"/>
        </w:rPr>
        <w:t>)</w:t>
      </w:r>
      <w:r w:rsidRPr="00725F40">
        <w:rPr>
          <w:rFonts w:ascii="Segoe UI Semilight" w:hAnsi="Times New Roman" w:cs="Segoe UI Semilight"/>
          <w:kern w:val="24"/>
        </w:rPr>
        <w:t xml:space="preserve"> and the </w:t>
      </w:r>
      <w:r w:rsidR="002C3843">
        <w:rPr>
          <w:rFonts w:ascii="Segoe UI Semilight" w:hAnsi="Times New Roman" w:cs="Segoe UI Semilight"/>
          <w:kern w:val="24"/>
        </w:rPr>
        <w:t>Staffing Support Division (</w:t>
      </w:r>
      <w:r w:rsidRPr="00725F40">
        <w:rPr>
          <w:rFonts w:ascii="Segoe UI Semilight" w:hAnsi="Times New Roman" w:cs="Segoe UI Semilight"/>
          <w:kern w:val="24"/>
        </w:rPr>
        <w:t>SSD</w:t>
      </w:r>
      <w:r w:rsidR="002C3843">
        <w:rPr>
          <w:rFonts w:ascii="Segoe UI Semilight" w:hAnsi="Times New Roman" w:cs="Segoe UI Semilight"/>
          <w:kern w:val="24"/>
        </w:rPr>
        <w:t>)</w:t>
      </w:r>
      <w:r w:rsidRPr="00725F40">
        <w:rPr>
          <w:rFonts w:ascii="Segoe UI Semilight" w:hAnsi="Times New Roman" w:cs="Segoe UI Semilight"/>
          <w:kern w:val="24"/>
        </w:rPr>
        <w:t xml:space="preserve"> to continue working with organizations that have outstanding and non-compliant cases until all cases are resolved.</w:t>
      </w:r>
    </w:p>
    <w:p w14:paraId="72380D34" w14:textId="77777777" w:rsidR="0084204D" w:rsidRPr="00725F40" w:rsidRDefault="00AE5027" w:rsidP="007059AC">
      <w:pPr>
        <w:pStyle w:val="Titre1"/>
        <w:spacing w:after="120" w:line="240" w:lineRule="auto"/>
      </w:pPr>
      <w:r w:rsidRPr="00725F40">
        <w:t>C</w:t>
      </w:r>
      <w:r w:rsidR="0095348E" w:rsidRPr="00725F40">
        <w:t>yclical A</w:t>
      </w:r>
      <w:r w:rsidR="008347A3" w:rsidRPr="00725F40">
        <w:t>ssessments</w:t>
      </w:r>
    </w:p>
    <w:p w14:paraId="6B5F8823" w14:textId="77777777" w:rsidR="00AE5027" w:rsidRPr="00725F40" w:rsidRDefault="00AE5027" w:rsidP="007059AC">
      <w:pPr>
        <w:pStyle w:val="Titre2"/>
        <w:spacing w:after="120" w:line="240" w:lineRule="auto"/>
      </w:pPr>
      <w:r w:rsidRPr="00725F40">
        <w:t>B</w:t>
      </w:r>
      <w:r w:rsidR="008347A3" w:rsidRPr="00725F40">
        <w:t>ackground</w:t>
      </w:r>
    </w:p>
    <w:p w14:paraId="4AF6977B" w14:textId="77777777" w:rsidR="00AE5027" w:rsidRPr="00725F40" w:rsidRDefault="00AE5027" w:rsidP="007059AC">
      <w:pPr>
        <w:spacing w:after="120" w:line="240" w:lineRule="auto"/>
      </w:pPr>
      <w:r w:rsidRPr="00725F40">
        <w:t>As part of A</w:t>
      </w:r>
      <w:r w:rsidR="003018FB" w:rsidRPr="00725F40">
        <w:t xml:space="preserve">ppointment </w:t>
      </w:r>
      <w:r w:rsidRPr="00725F40">
        <w:t>D</w:t>
      </w:r>
      <w:r w:rsidR="003018FB" w:rsidRPr="00725F40">
        <w:t xml:space="preserve">elegation and </w:t>
      </w:r>
      <w:r w:rsidRPr="00725F40">
        <w:t>A</w:t>
      </w:r>
      <w:r w:rsidR="003018FB" w:rsidRPr="00725F40">
        <w:t xml:space="preserve">ccountability </w:t>
      </w:r>
      <w:r w:rsidRPr="00725F40">
        <w:t>I</w:t>
      </w:r>
      <w:r w:rsidR="003018FB" w:rsidRPr="00725F40">
        <w:t>nstrument (ADAI)</w:t>
      </w:r>
      <w:r w:rsidRPr="00725F40">
        <w:t xml:space="preserve"> reporting requirements, organizations must submit a cyclical assessment report every 5 years, at a minimum. The following table includes the cyclical report submissions </w:t>
      </w:r>
      <w:r w:rsidR="000376C5">
        <w:t xml:space="preserve">received </w:t>
      </w:r>
      <w:r w:rsidRPr="00725F40">
        <w:t>for 2018-2019:</w:t>
      </w:r>
    </w:p>
    <w:p w14:paraId="711E31C2" w14:textId="77777777" w:rsidR="00711C61" w:rsidRPr="00725F40" w:rsidRDefault="00711C61" w:rsidP="0095348E">
      <w:pPr>
        <w:pStyle w:val="Lgende"/>
        <w:keepNext/>
        <w:spacing w:after="0"/>
        <w:rPr>
          <w:i w:val="0"/>
          <w:color w:val="auto"/>
        </w:rPr>
      </w:pPr>
      <w:r w:rsidRPr="00725F40">
        <w:rPr>
          <w:i w:val="0"/>
          <w:color w:val="auto"/>
        </w:rPr>
        <w:t xml:space="preserve">Table </w:t>
      </w:r>
      <w:r w:rsidRPr="00725F40">
        <w:rPr>
          <w:i w:val="0"/>
          <w:color w:val="auto"/>
        </w:rPr>
        <w:fldChar w:fldCharType="begin"/>
      </w:r>
      <w:r w:rsidRPr="00725F40">
        <w:rPr>
          <w:i w:val="0"/>
          <w:color w:val="auto"/>
        </w:rPr>
        <w:instrText xml:space="preserve"> SEQ Table \* ARABIC </w:instrText>
      </w:r>
      <w:r w:rsidRPr="00725F40">
        <w:rPr>
          <w:i w:val="0"/>
          <w:color w:val="auto"/>
        </w:rPr>
        <w:fldChar w:fldCharType="separate"/>
      </w:r>
      <w:r w:rsidR="007B56A5" w:rsidRPr="00725F40">
        <w:rPr>
          <w:i w:val="0"/>
          <w:noProof/>
          <w:color w:val="auto"/>
        </w:rPr>
        <w:t>6</w:t>
      </w:r>
      <w:r w:rsidRPr="00725F40">
        <w:rPr>
          <w:i w:val="0"/>
          <w:color w:val="auto"/>
        </w:rPr>
        <w:fldChar w:fldCharType="end"/>
      </w:r>
      <w:r w:rsidRPr="00725F40">
        <w:rPr>
          <w:i w:val="0"/>
          <w:color w:val="auto"/>
        </w:rPr>
        <w:t xml:space="preserve"> - Cyclical assessments</w:t>
      </w:r>
    </w:p>
    <w:tbl>
      <w:tblPr>
        <w:tblStyle w:val="Grilledutableau"/>
        <w:tblW w:w="0" w:type="auto"/>
        <w:jc w:val="center"/>
        <w:tblLook w:val="04A0" w:firstRow="1" w:lastRow="0" w:firstColumn="1" w:lastColumn="0" w:noHBand="0" w:noVBand="1"/>
        <w:tblDescription w:val="Number of cyclical report submissions by organization for 2018-2019"/>
      </w:tblPr>
      <w:tblGrid>
        <w:gridCol w:w="2060"/>
        <w:gridCol w:w="1904"/>
        <w:gridCol w:w="5386"/>
      </w:tblGrid>
      <w:tr w:rsidR="00711C61" w:rsidRPr="00725F40" w14:paraId="495A1135" w14:textId="77777777" w:rsidTr="008867B6">
        <w:trPr>
          <w:cantSplit/>
          <w:trHeight w:val="471"/>
          <w:tblHeader/>
          <w:jc w:val="center"/>
        </w:trPr>
        <w:tc>
          <w:tcPr>
            <w:tcW w:w="0" w:type="auto"/>
            <w:shd w:val="clear" w:color="auto" w:fill="54575A" w:themeFill="text1"/>
          </w:tcPr>
          <w:p w14:paraId="2E67C4C8" w14:textId="77777777" w:rsidR="00711C61" w:rsidRPr="00725F40" w:rsidRDefault="00711C61" w:rsidP="00711C61">
            <w:pPr>
              <w:pStyle w:val="TableTitle"/>
              <w:rPr>
                <w:rFonts w:cs="Segoe UI Semibold"/>
                <w:color w:val="FFFFFF" w:themeColor="background1"/>
              </w:rPr>
            </w:pPr>
            <w:r w:rsidRPr="00725F40">
              <w:rPr>
                <w:rFonts w:cs="Segoe UI Semibold"/>
                <w:color w:val="FFFFFF" w:themeColor="background1"/>
              </w:rPr>
              <w:t>Organizations</w:t>
            </w:r>
          </w:p>
        </w:tc>
        <w:tc>
          <w:tcPr>
            <w:tcW w:w="1904" w:type="dxa"/>
            <w:shd w:val="clear" w:color="auto" w:fill="54575A" w:themeFill="text1"/>
          </w:tcPr>
          <w:p w14:paraId="5DF4F64F" w14:textId="77777777" w:rsidR="00711C61" w:rsidRPr="00725F40" w:rsidRDefault="00711C61" w:rsidP="00711C61">
            <w:pPr>
              <w:pStyle w:val="TableTitle"/>
              <w:rPr>
                <w:rFonts w:cs="Segoe UI Semibold"/>
                <w:color w:val="FFFFFF" w:themeColor="background1"/>
              </w:rPr>
            </w:pPr>
            <w:r w:rsidRPr="00725F40">
              <w:rPr>
                <w:rFonts w:cs="Segoe UI Semibold"/>
                <w:color w:val="FFFFFF" w:themeColor="background1"/>
              </w:rPr>
              <w:t>Reporting Cycle</w:t>
            </w:r>
          </w:p>
        </w:tc>
        <w:tc>
          <w:tcPr>
            <w:tcW w:w="5386" w:type="dxa"/>
            <w:shd w:val="clear" w:color="auto" w:fill="54575A" w:themeFill="text1"/>
          </w:tcPr>
          <w:p w14:paraId="199A23BF" w14:textId="77777777" w:rsidR="00711C61" w:rsidRPr="00725F40" w:rsidRDefault="00711C61" w:rsidP="00711C61">
            <w:pPr>
              <w:pStyle w:val="TableTitle"/>
              <w:rPr>
                <w:rFonts w:cs="Segoe UI Semibold"/>
                <w:color w:val="FFFFFF" w:themeColor="background1"/>
              </w:rPr>
            </w:pPr>
            <w:r w:rsidRPr="00725F40">
              <w:rPr>
                <w:rFonts w:cs="Segoe UI Semibold"/>
                <w:color w:val="FFFFFF" w:themeColor="background1"/>
              </w:rPr>
              <w:t>Notes</w:t>
            </w:r>
          </w:p>
        </w:tc>
      </w:tr>
      <w:tr w:rsidR="00711C61" w:rsidRPr="00725F40" w14:paraId="2880B949" w14:textId="77777777" w:rsidTr="008867B6">
        <w:trPr>
          <w:cantSplit/>
          <w:tblHeader/>
          <w:jc w:val="center"/>
        </w:trPr>
        <w:tc>
          <w:tcPr>
            <w:tcW w:w="0" w:type="auto"/>
            <w:shd w:val="clear" w:color="auto" w:fill="54575A" w:themeFill="text1"/>
          </w:tcPr>
          <w:p w14:paraId="1F52E849" w14:textId="77777777" w:rsidR="00711C61" w:rsidRPr="00725F40" w:rsidRDefault="00711C61" w:rsidP="00215FA4">
            <w:pPr>
              <w:spacing w:before="120" w:after="120"/>
              <w:rPr>
                <w:rFonts w:cstheme="minorHAnsi"/>
                <w:color w:val="FFFFFF" w:themeColor="background1"/>
              </w:rPr>
            </w:pPr>
            <w:r w:rsidRPr="00725F40">
              <w:rPr>
                <w:rFonts w:cstheme="minorHAnsi"/>
                <w:color w:val="FFFFFF" w:themeColor="background1"/>
              </w:rPr>
              <w:t>Public Service Commission</w:t>
            </w:r>
          </w:p>
        </w:tc>
        <w:tc>
          <w:tcPr>
            <w:tcW w:w="1904" w:type="dxa"/>
          </w:tcPr>
          <w:p w14:paraId="4AA5FDAE" w14:textId="77777777" w:rsidR="00711C61" w:rsidRPr="00725F40" w:rsidRDefault="00711C61" w:rsidP="00215FA4">
            <w:pPr>
              <w:spacing w:before="120" w:after="120"/>
              <w:rPr>
                <w:rFonts w:cstheme="minorHAnsi"/>
              </w:rPr>
            </w:pPr>
            <w:r w:rsidRPr="00725F40">
              <w:rPr>
                <w:rFonts w:cstheme="minorHAnsi"/>
              </w:rPr>
              <w:t>2018-2019</w:t>
            </w:r>
          </w:p>
        </w:tc>
        <w:tc>
          <w:tcPr>
            <w:tcW w:w="5386" w:type="dxa"/>
          </w:tcPr>
          <w:p w14:paraId="5D01C8C9" w14:textId="77777777" w:rsidR="00711C61" w:rsidRPr="00725F40" w:rsidRDefault="00711C61" w:rsidP="00215FA4">
            <w:pPr>
              <w:spacing w:before="120" w:after="120"/>
              <w:rPr>
                <w:rFonts w:cstheme="minorHAnsi"/>
              </w:rPr>
            </w:pPr>
            <w:r w:rsidRPr="00725F40">
              <w:rPr>
                <w:rFonts w:cstheme="minorHAnsi"/>
              </w:rPr>
              <w:t>Submission received as part of Annex D reporting cycle.</w:t>
            </w:r>
          </w:p>
        </w:tc>
      </w:tr>
      <w:tr w:rsidR="00711C61" w:rsidRPr="00725F40" w14:paraId="0C654879" w14:textId="77777777" w:rsidTr="008867B6">
        <w:trPr>
          <w:cantSplit/>
          <w:tblHeader/>
          <w:jc w:val="center"/>
        </w:trPr>
        <w:tc>
          <w:tcPr>
            <w:tcW w:w="0" w:type="auto"/>
            <w:shd w:val="clear" w:color="auto" w:fill="54575A" w:themeFill="text1"/>
          </w:tcPr>
          <w:p w14:paraId="6D50FF6E" w14:textId="77777777" w:rsidR="00711C61" w:rsidRPr="00725F40" w:rsidRDefault="00711C61" w:rsidP="00215FA4">
            <w:pPr>
              <w:spacing w:before="120" w:after="120"/>
              <w:rPr>
                <w:rFonts w:cstheme="minorHAnsi"/>
                <w:color w:val="FFFFFF" w:themeColor="background1"/>
              </w:rPr>
            </w:pPr>
            <w:r w:rsidRPr="00725F40">
              <w:rPr>
                <w:rFonts w:cstheme="minorHAnsi"/>
                <w:color w:val="FFFFFF" w:themeColor="background1"/>
              </w:rPr>
              <w:t>Public Safety Canada</w:t>
            </w:r>
          </w:p>
        </w:tc>
        <w:tc>
          <w:tcPr>
            <w:tcW w:w="1904" w:type="dxa"/>
          </w:tcPr>
          <w:p w14:paraId="57641DF7" w14:textId="77777777" w:rsidR="00711C61" w:rsidRPr="00725F40" w:rsidRDefault="00711C61" w:rsidP="00215FA4">
            <w:pPr>
              <w:spacing w:before="120" w:after="120"/>
              <w:rPr>
                <w:rFonts w:cstheme="minorHAnsi"/>
              </w:rPr>
            </w:pPr>
            <w:r w:rsidRPr="00725F40">
              <w:rPr>
                <w:rFonts w:cstheme="minorHAnsi"/>
              </w:rPr>
              <w:t>2018-2019</w:t>
            </w:r>
          </w:p>
        </w:tc>
        <w:tc>
          <w:tcPr>
            <w:tcW w:w="5386" w:type="dxa"/>
          </w:tcPr>
          <w:p w14:paraId="36DE6213" w14:textId="77777777" w:rsidR="00711C61" w:rsidRPr="00725F40" w:rsidRDefault="00711C61" w:rsidP="00215FA4">
            <w:pPr>
              <w:spacing w:before="120" w:after="120"/>
              <w:rPr>
                <w:rFonts w:cstheme="minorHAnsi"/>
                <w:i/>
              </w:rPr>
            </w:pPr>
            <w:r w:rsidRPr="000931F2">
              <w:rPr>
                <w:rFonts w:cstheme="minorHAnsi"/>
              </w:rPr>
              <w:t>Submission received as part of Annex D reporting cycle.</w:t>
            </w:r>
            <w:r w:rsidRPr="00725F40">
              <w:rPr>
                <w:rFonts w:cstheme="minorHAnsi"/>
                <w:i/>
              </w:rPr>
              <w:t xml:space="preserve"> </w:t>
            </w:r>
            <w:r w:rsidRPr="00725F40">
              <w:rPr>
                <w:rStyle w:val="Accentuation"/>
                <w:rFonts w:cstheme="minorHAnsi"/>
                <w:i w:val="0"/>
              </w:rPr>
              <w:t>This department has elected to produce a cyclical report each year.</w:t>
            </w:r>
            <w:r w:rsidRPr="00725F40">
              <w:rPr>
                <w:rFonts w:cstheme="minorHAnsi"/>
                <w:i/>
              </w:rPr>
              <w:t xml:space="preserve"> </w:t>
            </w:r>
          </w:p>
        </w:tc>
      </w:tr>
    </w:tbl>
    <w:p w14:paraId="249A0E12" w14:textId="77777777" w:rsidR="002D412D" w:rsidRPr="00725F40" w:rsidRDefault="00AE5027" w:rsidP="00DF6324">
      <w:pPr>
        <w:spacing w:before="120" w:after="120" w:line="240" w:lineRule="auto"/>
      </w:pPr>
      <w:r w:rsidRPr="00725F40">
        <w:t>75* reporting organizations for the 2018-2019 cycle.</w:t>
      </w:r>
    </w:p>
    <w:p w14:paraId="451A8049" w14:textId="77777777" w:rsidR="002D412D" w:rsidRPr="00725F40" w:rsidRDefault="00AE5027" w:rsidP="008867B6">
      <w:pPr>
        <w:spacing w:after="120" w:line="240" w:lineRule="auto"/>
      </w:pPr>
      <w:r w:rsidRPr="00725F40">
        <w:t xml:space="preserve">5-year deadline for organizations </w:t>
      </w:r>
      <w:r w:rsidR="003018FB" w:rsidRPr="00725F40">
        <w:t>who were</w:t>
      </w:r>
      <w:r w:rsidRPr="00725F40">
        <w:t xml:space="preserve"> active at the time of NDS implementation to submit their report is set for May 1</w:t>
      </w:r>
      <w:r w:rsidRPr="00725F40">
        <w:rPr>
          <w:vertAlign w:val="superscript"/>
        </w:rPr>
        <w:t>st</w:t>
      </w:r>
      <w:r w:rsidRPr="00725F40">
        <w:t xml:space="preserve">, 2021. </w:t>
      </w:r>
    </w:p>
    <w:p w14:paraId="24B84FC1" w14:textId="77777777" w:rsidR="002D412D" w:rsidRPr="00725F40" w:rsidRDefault="00AE5027" w:rsidP="008867B6">
      <w:pPr>
        <w:spacing w:after="120" w:line="240" w:lineRule="auto"/>
      </w:pPr>
      <w:r w:rsidRPr="00725F40">
        <w:t>In-take of Cyclical Assessment Reporting has been harmonized with the Annex D Reporting cycle.</w:t>
      </w:r>
    </w:p>
    <w:p w14:paraId="4DD873C8" w14:textId="77777777" w:rsidR="00AE5027" w:rsidRPr="00725F40" w:rsidRDefault="00AE5027" w:rsidP="008867B6">
      <w:pPr>
        <w:spacing w:after="120" w:line="240" w:lineRule="auto"/>
      </w:pPr>
      <w:r w:rsidRPr="00725F40">
        <w:rPr>
          <w:i/>
          <w:iCs/>
        </w:rPr>
        <w:t>*</w:t>
      </w:r>
      <w:r w:rsidRPr="00725F40">
        <w:rPr>
          <w:iCs/>
        </w:rPr>
        <w:t>Organisation count as of May 1, 2019 (2018-2019 cycle reporting deadline).</w:t>
      </w:r>
    </w:p>
    <w:p w14:paraId="03DEA33D" w14:textId="77777777" w:rsidR="0084204D" w:rsidRPr="00725F40" w:rsidRDefault="0084204D" w:rsidP="008867B6">
      <w:pPr>
        <w:pStyle w:val="Titre2"/>
        <w:spacing w:after="120" w:line="240" w:lineRule="auto"/>
      </w:pPr>
      <w:r w:rsidRPr="00725F40">
        <w:t>O</w:t>
      </w:r>
      <w:r w:rsidR="008347A3" w:rsidRPr="00725F40">
        <w:t>bservations</w:t>
      </w:r>
    </w:p>
    <w:p w14:paraId="0F291E00" w14:textId="77777777" w:rsidR="0084204D" w:rsidRPr="00725F40" w:rsidRDefault="0084204D" w:rsidP="008867B6">
      <w:pPr>
        <w:autoSpaceDE w:val="0"/>
        <w:autoSpaceDN w:val="0"/>
        <w:adjustRightInd w:val="0"/>
        <w:spacing w:after="120" w:line="240" w:lineRule="auto"/>
        <w:rPr>
          <w:rFonts w:cstheme="minorHAnsi"/>
          <w:kern w:val="24"/>
        </w:rPr>
      </w:pPr>
      <w:r w:rsidRPr="00725F40">
        <w:rPr>
          <w:rFonts w:cstheme="minorHAnsi"/>
          <w:kern w:val="24"/>
        </w:rPr>
        <w:t>Since the implementation of NDS, 8</w:t>
      </w:r>
      <w:r w:rsidR="00D76F58">
        <w:rPr>
          <w:rFonts w:cstheme="minorHAnsi"/>
          <w:kern w:val="24"/>
        </w:rPr>
        <w:t>*</w:t>
      </w:r>
      <w:r w:rsidRPr="00725F40">
        <w:rPr>
          <w:rFonts w:cstheme="minorHAnsi"/>
          <w:kern w:val="24"/>
        </w:rPr>
        <w:t xml:space="preserve"> out of 75 organizations (12</w:t>
      </w:r>
      <w:r w:rsidR="003018FB" w:rsidRPr="00725F40">
        <w:rPr>
          <w:rFonts w:cstheme="minorHAnsi"/>
          <w:kern w:val="24"/>
        </w:rPr>
        <w:t>%) have submitted at least one cyclical assessment r</w:t>
      </w:r>
      <w:r w:rsidRPr="00725F40">
        <w:rPr>
          <w:rFonts w:cstheme="minorHAnsi"/>
          <w:kern w:val="24"/>
        </w:rPr>
        <w:t>eport (5 from 2017-2018 reporting cycle).</w:t>
      </w:r>
    </w:p>
    <w:p w14:paraId="37709A60" w14:textId="77777777" w:rsidR="0095348E" w:rsidRPr="00725F40" w:rsidRDefault="0084204D" w:rsidP="008867B6">
      <w:pPr>
        <w:autoSpaceDE w:val="0"/>
        <w:autoSpaceDN w:val="0"/>
        <w:adjustRightInd w:val="0"/>
        <w:spacing w:after="120" w:line="240" w:lineRule="auto"/>
        <w:rPr>
          <w:rFonts w:cstheme="minorHAnsi"/>
          <w:kern w:val="24"/>
        </w:rPr>
      </w:pPr>
      <w:r w:rsidRPr="00725F40">
        <w:rPr>
          <w:rFonts w:cstheme="minorHAnsi"/>
          <w:kern w:val="24"/>
        </w:rPr>
        <w:t>Although over 88% of cyclical assessment reports will be submitted in the next two years, the in-take impact would be offset by the pilot project on cyclical assessment reporting for micro and small organizations taken on by the Audit Directorate.</w:t>
      </w:r>
    </w:p>
    <w:p w14:paraId="75DF2D70" w14:textId="77777777" w:rsidR="00284BC2" w:rsidRPr="00725F40" w:rsidRDefault="0095348E" w:rsidP="008867B6">
      <w:pPr>
        <w:autoSpaceDE w:val="0"/>
        <w:autoSpaceDN w:val="0"/>
        <w:adjustRightInd w:val="0"/>
        <w:spacing w:after="120" w:line="240" w:lineRule="auto"/>
        <w:rPr>
          <w:rFonts w:cstheme="minorHAnsi"/>
          <w:iCs/>
          <w:kern w:val="24"/>
        </w:rPr>
        <w:sectPr w:rsidR="00284BC2" w:rsidRPr="00725F40" w:rsidSect="0084204D">
          <w:pgSz w:w="12240" w:h="15840"/>
          <w:pgMar w:top="1985" w:right="1440" w:bottom="1440" w:left="1440" w:header="708" w:footer="283" w:gutter="0"/>
          <w:cols w:space="708"/>
          <w:titlePg/>
          <w:docGrid w:linePitch="360"/>
        </w:sectPr>
      </w:pPr>
      <w:r w:rsidRPr="00725F40">
        <w:rPr>
          <w:rFonts w:cstheme="minorHAnsi"/>
          <w:kern w:val="24"/>
        </w:rPr>
        <w:t xml:space="preserve"> *</w:t>
      </w:r>
      <w:r w:rsidRPr="00725F40">
        <w:rPr>
          <w:rFonts w:cstheme="minorHAnsi"/>
          <w:iCs/>
          <w:kern w:val="24"/>
        </w:rPr>
        <w:t>9 reports from 8 organizations</w:t>
      </w:r>
    </w:p>
    <w:p w14:paraId="0DDF165B" w14:textId="77777777" w:rsidR="0084204D" w:rsidRPr="00725F40" w:rsidRDefault="0084204D" w:rsidP="008867B6">
      <w:pPr>
        <w:pStyle w:val="Titre2"/>
        <w:spacing w:after="120" w:line="240" w:lineRule="auto"/>
      </w:pPr>
      <w:r w:rsidRPr="00725F40">
        <w:lastRenderedPageBreak/>
        <w:t>R</w:t>
      </w:r>
      <w:r w:rsidR="008347A3" w:rsidRPr="00725F40">
        <w:t>ecommendations</w:t>
      </w:r>
      <w:r w:rsidRPr="00725F40">
        <w:t xml:space="preserve"> </w:t>
      </w:r>
    </w:p>
    <w:p w14:paraId="42694D7E" w14:textId="004FE390" w:rsidR="0084204D" w:rsidRPr="00725F40" w:rsidRDefault="0084204D" w:rsidP="008867B6">
      <w:pPr>
        <w:autoSpaceDE w:val="0"/>
        <w:autoSpaceDN w:val="0"/>
        <w:adjustRightInd w:val="0"/>
        <w:spacing w:after="120" w:line="240" w:lineRule="auto"/>
        <w:rPr>
          <w:rFonts w:cstheme="minorHAnsi"/>
          <w:kern w:val="24"/>
        </w:rPr>
      </w:pPr>
      <w:r w:rsidRPr="00725F40">
        <w:rPr>
          <w:rFonts w:cstheme="minorHAnsi"/>
          <w:kern w:val="24"/>
        </w:rPr>
        <w:t>S</w:t>
      </w:r>
      <w:r w:rsidR="001B0719">
        <w:rPr>
          <w:rFonts w:cstheme="minorHAnsi"/>
          <w:kern w:val="24"/>
        </w:rPr>
        <w:t xml:space="preserve">taffing </w:t>
      </w:r>
      <w:r w:rsidRPr="00725F40">
        <w:rPr>
          <w:rFonts w:cstheme="minorHAnsi"/>
          <w:kern w:val="24"/>
        </w:rPr>
        <w:t>S</w:t>
      </w:r>
      <w:r w:rsidR="001B0719">
        <w:rPr>
          <w:rFonts w:cstheme="minorHAnsi"/>
          <w:kern w:val="24"/>
        </w:rPr>
        <w:t xml:space="preserve">upport </w:t>
      </w:r>
      <w:r w:rsidRPr="00725F40">
        <w:rPr>
          <w:rFonts w:cstheme="minorHAnsi"/>
          <w:kern w:val="24"/>
        </w:rPr>
        <w:t>D</w:t>
      </w:r>
      <w:r w:rsidR="001B0719">
        <w:rPr>
          <w:rFonts w:cstheme="minorHAnsi"/>
          <w:kern w:val="24"/>
        </w:rPr>
        <w:t>ivision (SSD)</w:t>
      </w:r>
      <w:r w:rsidRPr="00725F40">
        <w:rPr>
          <w:rFonts w:cstheme="minorHAnsi"/>
          <w:kern w:val="24"/>
        </w:rPr>
        <w:t xml:space="preserve"> to continue to work with the Audit Directorate to manage reporting volume of report in-take for the next two reporting cycles.</w:t>
      </w:r>
    </w:p>
    <w:p w14:paraId="5CCEA999" w14:textId="77777777" w:rsidR="00AE5027" w:rsidRPr="00725F40" w:rsidRDefault="0084204D" w:rsidP="008867B6">
      <w:pPr>
        <w:autoSpaceDE w:val="0"/>
        <w:autoSpaceDN w:val="0"/>
        <w:adjustRightInd w:val="0"/>
        <w:spacing w:after="120" w:line="240" w:lineRule="auto"/>
        <w:rPr>
          <w:rFonts w:cstheme="minorHAnsi"/>
          <w:kern w:val="24"/>
        </w:rPr>
      </w:pPr>
      <w:r w:rsidRPr="00725F40">
        <w:rPr>
          <w:rFonts w:cstheme="minorHAnsi"/>
          <w:kern w:val="24"/>
        </w:rPr>
        <w:t>SSD to continue to streamline the cyclical assessment reporting process to increase efficiencies for PSC in-take and review.</w:t>
      </w:r>
    </w:p>
    <w:p w14:paraId="7F4D2FB7" w14:textId="77777777" w:rsidR="0084204D" w:rsidRPr="00725F40" w:rsidRDefault="0084204D" w:rsidP="008867B6">
      <w:pPr>
        <w:pStyle w:val="Titre1"/>
        <w:spacing w:after="120" w:line="240" w:lineRule="auto"/>
      </w:pPr>
      <w:r w:rsidRPr="00725F40">
        <w:t>M</w:t>
      </w:r>
      <w:r w:rsidR="008347A3" w:rsidRPr="00725F40">
        <w:t>o</w:t>
      </w:r>
      <w:r w:rsidR="00711C61" w:rsidRPr="00725F40">
        <w:t>ving</w:t>
      </w:r>
      <w:r w:rsidR="00DF6324">
        <w:t xml:space="preserve"> F</w:t>
      </w:r>
      <w:r w:rsidR="008347A3" w:rsidRPr="00725F40">
        <w:t>orward</w:t>
      </w:r>
    </w:p>
    <w:p w14:paraId="4F2C7737" w14:textId="77777777" w:rsidR="0084204D" w:rsidRPr="00725F40" w:rsidRDefault="0084204D" w:rsidP="008867B6">
      <w:pPr>
        <w:pStyle w:val="Titre2"/>
        <w:spacing w:after="120" w:line="240" w:lineRule="auto"/>
        <w:rPr>
          <w:sz w:val="33"/>
          <w:szCs w:val="33"/>
        </w:rPr>
      </w:pPr>
      <w:r w:rsidRPr="00725F40">
        <w:t xml:space="preserve">Annexe D </w:t>
      </w:r>
      <w:r w:rsidR="00DF6324">
        <w:t>R</w:t>
      </w:r>
      <w:r w:rsidRPr="00725F40">
        <w:t xml:space="preserve">eporting </w:t>
      </w:r>
      <w:r w:rsidR="00DF6324">
        <w:t>T</w:t>
      </w:r>
      <w:r w:rsidRPr="00725F40">
        <w:t>emplate</w:t>
      </w:r>
      <w:r w:rsidRPr="00725F40">
        <w:rPr>
          <w:sz w:val="33"/>
          <w:szCs w:val="33"/>
        </w:rPr>
        <w:t xml:space="preserve"> </w:t>
      </w:r>
    </w:p>
    <w:p w14:paraId="77E65D02" w14:textId="77777777" w:rsidR="0084204D" w:rsidRPr="00725F40" w:rsidRDefault="0084204D" w:rsidP="0050327B">
      <w:pPr>
        <w:autoSpaceDE w:val="0"/>
        <w:autoSpaceDN w:val="0"/>
        <w:adjustRightInd w:val="0"/>
        <w:spacing w:after="120" w:line="240" w:lineRule="auto"/>
        <w:rPr>
          <w:rFonts w:cstheme="minorHAnsi"/>
          <w:kern w:val="24"/>
        </w:rPr>
      </w:pPr>
      <w:r w:rsidRPr="00725F40">
        <w:rPr>
          <w:rFonts w:cstheme="minorHAnsi"/>
          <w:kern w:val="24"/>
        </w:rPr>
        <w:t>Proposing a more complete D</w:t>
      </w:r>
      <w:r w:rsidR="0095348E" w:rsidRPr="00725F40">
        <w:rPr>
          <w:rFonts w:cstheme="minorHAnsi"/>
          <w:kern w:val="24"/>
        </w:rPr>
        <w:t xml:space="preserve">eputy </w:t>
      </w:r>
      <w:r w:rsidRPr="00725F40">
        <w:rPr>
          <w:rFonts w:cstheme="minorHAnsi"/>
          <w:kern w:val="24"/>
        </w:rPr>
        <w:t>H</w:t>
      </w:r>
      <w:r w:rsidR="0095348E" w:rsidRPr="00725F40">
        <w:rPr>
          <w:rFonts w:cstheme="minorHAnsi"/>
          <w:kern w:val="24"/>
        </w:rPr>
        <w:t>ead (DH)</w:t>
      </w:r>
      <w:r w:rsidRPr="00725F40">
        <w:rPr>
          <w:rFonts w:cstheme="minorHAnsi"/>
          <w:kern w:val="24"/>
        </w:rPr>
        <w:t xml:space="preserve"> attestation to facilitate the approval requirement for cyclical assessment reports as part of the current Annexe D reporting template.</w:t>
      </w:r>
    </w:p>
    <w:p w14:paraId="5B8B025F" w14:textId="77777777" w:rsidR="0084204D" w:rsidRPr="00725F40" w:rsidRDefault="0084204D" w:rsidP="00C552CF">
      <w:pPr>
        <w:autoSpaceDE w:val="0"/>
        <w:autoSpaceDN w:val="0"/>
        <w:adjustRightInd w:val="0"/>
        <w:spacing w:after="0" w:line="240" w:lineRule="auto"/>
        <w:rPr>
          <w:rFonts w:cstheme="minorHAnsi"/>
          <w:kern w:val="24"/>
        </w:rPr>
      </w:pPr>
      <w:r w:rsidRPr="00725F40">
        <w:rPr>
          <w:rFonts w:cstheme="minorHAnsi"/>
          <w:kern w:val="24"/>
        </w:rPr>
        <w:t>Exploring the possibility of collecting data on the number of non-imperative appointments in the next reporting template since this information is presently not collected.</w:t>
      </w:r>
    </w:p>
    <w:p w14:paraId="7EE6DF08" w14:textId="77777777" w:rsidR="0084204D" w:rsidRPr="00725F40" w:rsidRDefault="0084204D" w:rsidP="0095348E">
      <w:pPr>
        <w:pStyle w:val="Paragraphedeliste"/>
        <w:numPr>
          <w:ilvl w:val="0"/>
          <w:numId w:val="20"/>
        </w:numPr>
        <w:autoSpaceDE w:val="0"/>
        <w:autoSpaceDN w:val="0"/>
        <w:adjustRightInd w:val="0"/>
        <w:spacing w:after="0" w:line="240" w:lineRule="auto"/>
        <w:rPr>
          <w:rFonts w:cstheme="minorHAnsi"/>
          <w:kern w:val="24"/>
        </w:rPr>
      </w:pPr>
      <w:r w:rsidRPr="00725F40">
        <w:rPr>
          <w:rFonts w:cstheme="minorHAnsi"/>
          <w:kern w:val="24"/>
        </w:rPr>
        <w:t xml:space="preserve">Would allow to have a better portrait of the number of persons excluded from meeting official language requirements. </w:t>
      </w:r>
    </w:p>
    <w:p w14:paraId="7A074504" w14:textId="77777777" w:rsidR="0095348E" w:rsidRPr="00725F40" w:rsidRDefault="0084204D" w:rsidP="008867B6">
      <w:pPr>
        <w:pStyle w:val="Paragraphedeliste"/>
        <w:numPr>
          <w:ilvl w:val="0"/>
          <w:numId w:val="20"/>
        </w:numPr>
        <w:autoSpaceDE w:val="0"/>
        <w:autoSpaceDN w:val="0"/>
        <w:adjustRightInd w:val="0"/>
        <w:spacing w:after="120" w:line="240" w:lineRule="auto"/>
        <w:rPr>
          <w:rFonts w:cstheme="minorHAnsi"/>
          <w:bCs/>
          <w:kern w:val="24"/>
        </w:rPr>
      </w:pPr>
      <w:r w:rsidRPr="00725F40">
        <w:rPr>
          <w:rFonts w:cstheme="minorHAnsi"/>
          <w:kern w:val="24"/>
        </w:rPr>
        <w:t>Data on non-imperative appointments and data on exclusions are interrelated.</w:t>
      </w:r>
      <w:r w:rsidR="0095348E" w:rsidRPr="00725F40">
        <w:rPr>
          <w:rFonts w:cstheme="minorHAnsi"/>
          <w:bCs/>
          <w:kern w:val="24"/>
        </w:rPr>
        <w:t xml:space="preserve"> </w:t>
      </w:r>
    </w:p>
    <w:p w14:paraId="03EFA843" w14:textId="77777777" w:rsidR="0084204D" w:rsidRPr="00725F40" w:rsidRDefault="00DF6324" w:rsidP="008867B6">
      <w:pPr>
        <w:pStyle w:val="Titre2"/>
        <w:spacing w:after="120" w:line="240" w:lineRule="auto"/>
      </w:pPr>
      <w:r>
        <w:t>Next Cy</w:t>
      </w:r>
      <w:r w:rsidR="00711C61" w:rsidRPr="00725F40">
        <w:t>cle 2019-2020</w:t>
      </w:r>
    </w:p>
    <w:p w14:paraId="1C16C4EB" w14:textId="59A09FE0" w:rsidR="0084204D" w:rsidRPr="00725F40" w:rsidRDefault="0084204D" w:rsidP="008867B6">
      <w:pPr>
        <w:autoSpaceDE w:val="0"/>
        <w:autoSpaceDN w:val="0"/>
        <w:adjustRightInd w:val="0"/>
        <w:spacing w:after="120" w:line="240" w:lineRule="auto"/>
        <w:rPr>
          <w:rFonts w:ascii="Segoe UI Semilight" w:hAnsi="Times New Roman" w:cs="Segoe UI Semilight"/>
          <w:kern w:val="24"/>
        </w:rPr>
      </w:pPr>
      <w:r w:rsidRPr="00725F40">
        <w:rPr>
          <w:rFonts w:ascii="Segoe UI Semilight" w:hAnsi="Times New Roman" w:cs="Segoe UI Semilight"/>
          <w:kern w:val="24"/>
        </w:rPr>
        <w:t>SSD to prepare communication approach including revised templates (conditional to approval) for next reporting cycle starting Winter 20</w:t>
      </w:r>
      <w:r w:rsidR="00E54453">
        <w:rPr>
          <w:rFonts w:ascii="Segoe UI Semilight" w:hAnsi="Times New Roman" w:cs="Segoe UI Semilight"/>
          <w:kern w:val="24"/>
        </w:rPr>
        <w:t>19</w:t>
      </w:r>
      <w:r w:rsidRPr="00725F40">
        <w:rPr>
          <w:rFonts w:ascii="Segoe UI Semilight" w:hAnsi="Times New Roman" w:cs="Segoe UI Semilight"/>
          <w:kern w:val="24"/>
        </w:rPr>
        <w:t>.</w:t>
      </w:r>
    </w:p>
    <w:sectPr w:rsidR="0084204D" w:rsidRPr="00725F40" w:rsidSect="0084204D">
      <w:pgSz w:w="12240" w:h="15840"/>
      <w:pgMar w:top="1985" w:right="1440" w:bottom="1440"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9709E" w14:textId="77777777" w:rsidR="003C4B05" w:rsidRDefault="003C4B05" w:rsidP="0051557E">
      <w:pPr>
        <w:spacing w:after="0" w:line="240" w:lineRule="auto"/>
      </w:pPr>
      <w:r>
        <w:separator/>
      </w:r>
    </w:p>
  </w:endnote>
  <w:endnote w:type="continuationSeparator" w:id="0">
    <w:p w14:paraId="0B9DCB7A" w14:textId="77777777" w:rsidR="003C4B05" w:rsidRDefault="003C4B05" w:rsidP="00515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179664"/>
      <w:docPartObj>
        <w:docPartGallery w:val="Page Numbers (Bottom of Page)"/>
        <w:docPartUnique/>
      </w:docPartObj>
    </w:sdtPr>
    <w:sdtEndPr>
      <w:rPr>
        <w:noProof/>
      </w:rPr>
    </w:sdtEndPr>
    <w:sdtContent>
      <w:p w14:paraId="221E6E06" w14:textId="77777777" w:rsidR="00244CD0" w:rsidRDefault="00244CD0">
        <w:pPr>
          <w:pStyle w:val="Pieddepage"/>
          <w:jc w:val="right"/>
        </w:pPr>
        <w:r>
          <w:fldChar w:fldCharType="begin"/>
        </w:r>
        <w:r>
          <w:instrText xml:space="preserve"> PAGE   \* MERGEFORMAT </w:instrText>
        </w:r>
        <w:r>
          <w:fldChar w:fldCharType="separate"/>
        </w:r>
        <w:r w:rsidR="00725F40">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618575"/>
      <w:docPartObj>
        <w:docPartGallery w:val="Page Numbers (Bottom of Page)"/>
        <w:docPartUnique/>
      </w:docPartObj>
    </w:sdtPr>
    <w:sdtEndPr/>
    <w:sdtContent>
      <w:p w14:paraId="4A060DC0" w14:textId="77777777" w:rsidR="003B69DA" w:rsidRDefault="00711C61">
        <w:pPr>
          <w:pStyle w:val="Pieddepage"/>
          <w:jc w:val="right"/>
        </w:pPr>
        <w:r>
          <w:fldChar w:fldCharType="begin"/>
        </w:r>
        <w:r>
          <w:instrText xml:space="preserve"> PAGE   \* MERGEFORMAT </w:instrText>
        </w:r>
        <w:r>
          <w:fldChar w:fldCharType="separate"/>
        </w:r>
        <w:r w:rsidR="000A42C5">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D3627" w14:textId="77777777" w:rsidR="003C4B05" w:rsidRDefault="003C4B05" w:rsidP="0051557E">
      <w:pPr>
        <w:spacing w:after="0" w:line="240" w:lineRule="auto"/>
      </w:pPr>
      <w:r>
        <w:separator/>
      </w:r>
    </w:p>
  </w:footnote>
  <w:footnote w:type="continuationSeparator" w:id="0">
    <w:p w14:paraId="5CD99E3F" w14:textId="77777777" w:rsidR="003C4B05" w:rsidRDefault="003C4B05" w:rsidP="00515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75056F8"/>
    <w:lvl w:ilvl="0">
      <w:numFmt w:val="bullet"/>
      <w:lvlText w:val="*"/>
      <w:lvlJc w:val="left"/>
    </w:lvl>
  </w:abstractNum>
  <w:abstractNum w:abstractNumId="1" w15:restartNumberingAfterBreak="0">
    <w:nsid w:val="05663866"/>
    <w:multiLevelType w:val="hybridMultilevel"/>
    <w:tmpl w:val="BAA4C394"/>
    <w:lvl w:ilvl="0" w:tplc="88884106">
      <w:start w:val="1"/>
      <w:numFmt w:val="bullet"/>
      <w:lvlText w:val="•"/>
      <w:lvlJc w:val="left"/>
      <w:pPr>
        <w:tabs>
          <w:tab w:val="num" w:pos="720"/>
        </w:tabs>
        <w:ind w:left="720" w:hanging="360"/>
      </w:pPr>
      <w:rPr>
        <w:rFonts w:ascii="Arial" w:hAnsi="Arial" w:hint="default"/>
      </w:rPr>
    </w:lvl>
    <w:lvl w:ilvl="1" w:tplc="EABA6882" w:tentative="1">
      <w:start w:val="1"/>
      <w:numFmt w:val="bullet"/>
      <w:lvlText w:val="•"/>
      <w:lvlJc w:val="left"/>
      <w:pPr>
        <w:tabs>
          <w:tab w:val="num" w:pos="1440"/>
        </w:tabs>
        <w:ind w:left="1440" w:hanging="360"/>
      </w:pPr>
      <w:rPr>
        <w:rFonts w:ascii="Arial" w:hAnsi="Arial" w:hint="default"/>
      </w:rPr>
    </w:lvl>
    <w:lvl w:ilvl="2" w:tplc="E08257CA" w:tentative="1">
      <w:start w:val="1"/>
      <w:numFmt w:val="bullet"/>
      <w:lvlText w:val="•"/>
      <w:lvlJc w:val="left"/>
      <w:pPr>
        <w:tabs>
          <w:tab w:val="num" w:pos="2160"/>
        </w:tabs>
        <w:ind w:left="2160" w:hanging="360"/>
      </w:pPr>
      <w:rPr>
        <w:rFonts w:ascii="Arial" w:hAnsi="Arial" w:hint="default"/>
      </w:rPr>
    </w:lvl>
    <w:lvl w:ilvl="3" w:tplc="5470D6A2" w:tentative="1">
      <w:start w:val="1"/>
      <w:numFmt w:val="bullet"/>
      <w:lvlText w:val="•"/>
      <w:lvlJc w:val="left"/>
      <w:pPr>
        <w:tabs>
          <w:tab w:val="num" w:pos="2880"/>
        </w:tabs>
        <w:ind w:left="2880" w:hanging="360"/>
      </w:pPr>
      <w:rPr>
        <w:rFonts w:ascii="Arial" w:hAnsi="Arial" w:hint="default"/>
      </w:rPr>
    </w:lvl>
    <w:lvl w:ilvl="4" w:tplc="8E18D6CC" w:tentative="1">
      <w:start w:val="1"/>
      <w:numFmt w:val="bullet"/>
      <w:lvlText w:val="•"/>
      <w:lvlJc w:val="left"/>
      <w:pPr>
        <w:tabs>
          <w:tab w:val="num" w:pos="3600"/>
        </w:tabs>
        <w:ind w:left="3600" w:hanging="360"/>
      </w:pPr>
      <w:rPr>
        <w:rFonts w:ascii="Arial" w:hAnsi="Arial" w:hint="default"/>
      </w:rPr>
    </w:lvl>
    <w:lvl w:ilvl="5" w:tplc="E6A28962" w:tentative="1">
      <w:start w:val="1"/>
      <w:numFmt w:val="bullet"/>
      <w:lvlText w:val="•"/>
      <w:lvlJc w:val="left"/>
      <w:pPr>
        <w:tabs>
          <w:tab w:val="num" w:pos="4320"/>
        </w:tabs>
        <w:ind w:left="4320" w:hanging="360"/>
      </w:pPr>
      <w:rPr>
        <w:rFonts w:ascii="Arial" w:hAnsi="Arial" w:hint="default"/>
      </w:rPr>
    </w:lvl>
    <w:lvl w:ilvl="6" w:tplc="F078E8D2" w:tentative="1">
      <w:start w:val="1"/>
      <w:numFmt w:val="bullet"/>
      <w:lvlText w:val="•"/>
      <w:lvlJc w:val="left"/>
      <w:pPr>
        <w:tabs>
          <w:tab w:val="num" w:pos="5040"/>
        </w:tabs>
        <w:ind w:left="5040" w:hanging="360"/>
      </w:pPr>
      <w:rPr>
        <w:rFonts w:ascii="Arial" w:hAnsi="Arial" w:hint="default"/>
      </w:rPr>
    </w:lvl>
    <w:lvl w:ilvl="7" w:tplc="6478CE5A" w:tentative="1">
      <w:start w:val="1"/>
      <w:numFmt w:val="bullet"/>
      <w:lvlText w:val="•"/>
      <w:lvlJc w:val="left"/>
      <w:pPr>
        <w:tabs>
          <w:tab w:val="num" w:pos="5760"/>
        </w:tabs>
        <w:ind w:left="5760" w:hanging="360"/>
      </w:pPr>
      <w:rPr>
        <w:rFonts w:ascii="Arial" w:hAnsi="Arial" w:hint="default"/>
      </w:rPr>
    </w:lvl>
    <w:lvl w:ilvl="8" w:tplc="E534BA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1A190B"/>
    <w:multiLevelType w:val="hybridMultilevel"/>
    <w:tmpl w:val="DB62C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3755A2"/>
    <w:multiLevelType w:val="hybridMultilevel"/>
    <w:tmpl w:val="CCF08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E710FF"/>
    <w:multiLevelType w:val="hybridMultilevel"/>
    <w:tmpl w:val="6F5211AC"/>
    <w:lvl w:ilvl="0" w:tplc="309E786C">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2C6BF6"/>
    <w:multiLevelType w:val="hybridMultilevel"/>
    <w:tmpl w:val="56FA14D2"/>
    <w:lvl w:ilvl="0" w:tplc="3FAE77F8">
      <w:numFmt w:val="bullet"/>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F177B8"/>
    <w:multiLevelType w:val="hybridMultilevel"/>
    <w:tmpl w:val="545A7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E8228C"/>
    <w:multiLevelType w:val="hybridMultilevel"/>
    <w:tmpl w:val="0A12D7F2"/>
    <w:lvl w:ilvl="0" w:tplc="20560674">
      <w:start w:val="1"/>
      <w:numFmt w:val="bullet"/>
      <w:lvlText w:val="•"/>
      <w:lvlJc w:val="left"/>
      <w:pPr>
        <w:tabs>
          <w:tab w:val="num" w:pos="720"/>
        </w:tabs>
        <w:ind w:left="720" w:hanging="360"/>
      </w:pPr>
      <w:rPr>
        <w:rFonts w:ascii="Arial" w:hAnsi="Arial" w:hint="default"/>
      </w:rPr>
    </w:lvl>
    <w:lvl w:ilvl="1" w:tplc="CC48618C">
      <w:start w:val="152"/>
      <w:numFmt w:val="bullet"/>
      <w:lvlText w:val="•"/>
      <w:lvlJc w:val="left"/>
      <w:pPr>
        <w:tabs>
          <w:tab w:val="num" w:pos="1440"/>
        </w:tabs>
        <w:ind w:left="1440" w:hanging="360"/>
      </w:pPr>
      <w:rPr>
        <w:rFonts w:ascii="Arial" w:hAnsi="Arial" w:hint="default"/>
      </w:rPr>
    </w:lvl>
    <w:lvl w:ilvl="2" w:tplc="9326897E">
      <w:start w:val="152"/>
      <w:numFmt w:val="bullet"/>
      <w:lvlText w:val="•"/>
      <w:lvlJc w:val="left"/>
      <w:pPr>
        <w:tabs>
          <w:tab w:val="num" w:pos="2160"/>
        </w:tabs>
        <w:ind w:left="2160" w:hanging="360"/>
      </w:pPr>
      <w:rPr>
        <w:rFonts w:ascii="Arial" w:hAnsi="Arial" w:hint="default"/>
      </w:rPr>
    </w:lvl>
    <w:lvl w:ilvl="3" w:tplc="07A0BE14" w:tentative="1">
      <w:start w:val="1"/>
      <w:numFmt w:val="bullet"/>
      <w:lvlText w:val="•"/>
      <w:lvlJc w:val="left"/>
      <w:pPr>
        <w:tabs>
          <w:tab w:val="num" w:pos="2880"/>
        </w:tabs>
        <w:ind w:left="2880" w:hanging="360"/>
      </w:pPr>
      <w:rPr>
        <w:rFonts w:ascii="Arial" w:hAnsi="Arial" w:hint="default"/>
      </w:rPr>
    </w:lvl>
    <w:lvl w:ilvl="4" w:tplc="BA1E9F14" w:tentative="1">
      <w:start w:val="1"/>
      <w:numFmt w:val="bullet"/>
      <w:lvlText w:val="•"/>
      <w:lvlJc w:val="left"/>
      <w:pPr>
        <w:tabs>
          <w:tab w:val="num" w:pos="3600"/>
        </w:tabs>
        <w:ind w:left="3600" w:hanging="360"/>
      </w:pPr>
      <w:rPr>
        <w:rFonts w:ascii="Arial" w:hAnsi="Arial" w:hint="default"/>
      </w:rPr>
    </w:lvl>
    <w:lvl w:ilvl="5" w:tplc="71D6ABD8" w:tentative="1">
      <w:start w:val="1"/>
      <w:numFmt w:val="bullet"/>
      <w:lvlText w:val="•"/>
      <w:lvlJc w:val="left"/>
      <w:pPr>
        <w:tabs>
          <w:tab w:val="num" w:pos="4320"/>
        </w:tabs>
        <w:ind w:left="4320" w:hanging="360"/>
      </w:pPr>
      <w:rPr>
        <w:rFonts w:ascii="Arial" w:hAnsi="Arial" w:hint="default"/>
      </w:rPr>
    </w:lvl>
    <w:lvl w:ilvl="6" w:tplc="0A4C7D26" w:tentative="1">
      <w:start w:val="1"/>
      <w:numFmt w:val="bullet"/>
      <w:lvlText w:val="•"/>
      <w:lvlJc w:val="left"/>
      <w:pPr>
        <w:tabs>
          <w:tab w:val="num" w:pos="5040"/>
        </w:tabs>
        <w:ind w:left="5040" w:hanging="360"/>
      </w:pPr>
      <w:rPr>
        <w:rFonts w:ascii="Arial" w:hAnsi="Arial" w:hint="default"/>
      </w:rPr>
    </w:lvl>
    <w:lvl w:ilvl="7" w:tplc="936623EE" w:tentative="1">
      <w:start w:val="1"/>
      <w:numFmt w:val="bullet"/>
      <w:lvlText w:val="•"/>
      <w:lvlJc w:val="left"/>
      <w:pPr>
        <w:tabs>
          <w:tab w:val="num" w:pos="5760"/>
        </w:tabs>
        <w:ind w:left="5760" w:hanging="360"/>
      </w:pPr>
      <w:rPr>
        <w:rFonts w:ascii="Arial" w:hAnsi="Arial" w:hint="default"/>
      </w:rPr>
    </w:lvl>
    <w:lvl w:ilvl="8" w:tplc="E6587B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C5B7712"/>
    <w:multiLevelType w:val="hybridMultilevel"/>
    <w:tmpl w:val="369A21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EBF4BC2"/>
    <w:multiLevelType w:val="hybridMultilevel"/>
    <w:tmpl w:val="06F2EA6A"/>
    <w:lvl w:ilvl="0" w:tplc="8D80DA84">
      <w:start w:val="1"/>
      <w:numFmt w:val="bullet"/>
      <w:lvlText w:val="•"/>
      <w:lvlJc w:val="left"/>
      <w:pPr>
        <w:tabs>
          <w:tab w:val="num" w:pos="720"/>
        </w:tabs>
        <w:ind w:left="720" w:hanging="360"/>
      </w:pPr>
      <w:rPr>
        <w:rFonts w:ascii="Arial" w:hAnsi="Arial" w:hint="default"/>
      </w:rPr>
    </w:lvl>
    <w:lvl w:ilvl="1" w:tplc="99FE3328" w:tentative="1">
      <w:start w:val="1"/>
      <w:numFmt w:val="bullet"/>
      <w:lvlText w:val="•"/>
      <w:lvlJc w:val="left"/>
      <w:pPr>
        <w:tabs>
          <w:tab w:val="num" w:pos="1440"/>
        </w:tabs>
        <w:ind w:left="1440" w:hanging="360"/>
      </w:pPr>
      <w:rPr>
        <w:rFonts w:ascii="Arial" w:hAnsi="Arial" w:hint="default"/>
      </w:rPr>
    </w:lvl>
    <w:lvl w:ilvl="2" w:tplc="D0222110" w:tentative="1">
      <w:start w:val="1"/>
      <w:numFmt w:val="bullet"/>
      <w:lvlText w:val="•"/>
      <w:lvlJc w:val="left"/>
      <w:pPr>
        <w:tabs>
          <w:tab w:val="num" w:pos="2160"/>
        </w:tabs>
        <w:ind w:left="2160" w:hanging="360"/>
      </w:pPr>
      <w:rPr>
        <w:rFonts w:ascii="Arial" w:hAnsi="Arial" w:hint="default"/>
      </w:rPr>
    </w:lvl>
    <w:lvl w:ilvl="3" w:tplc="D0BC53E8" w:tentative="1">
      <w:start w:val="1"/>
      <w:numFmt w:val="bullet"/>
      <w:lvlText w:val="•"/>
      <w:lvlJc w:val="left"/>
      <w:pPr>
        <w:tabs>
          <w:tab w:val="num" w:pos="2880"/>
        </w:tabs>
        <w:ind w:left="2880" w:hanging="360"/>
      </w:pPr>
      <w:rPr>
        <w:rFonts w:ascii="Arial" w:hAnsi="Arial" w:hint="default"/>
      </w:rPr>
    </w:lvl>
    <w:lvl w:ilvl="4" w:tplc="4C2CB702" w:tentative="1">
      <w:start w:val="1"/>
      <w:numFmt w:val="bullet"/>
      <w:lvlText w:val="•"/>
      <w:lvlJc w:val="left"/>
      <w:pPr>
        <w:tabs>
          <w:tab w:val="num" w:pos="3600"/>
        </w:tabs>
        <w:ind w:left="3600" w:hanging="360"/>
      </w:pPr>
      <w:rPr>
        <w:rFonts w:ascii="Arial" w:hAnsi="Arial" w:hint="default"/>
      </w:rPr>
    </w:lvl>
    <w:lvl w:ilvl="5" w:tplc="35EAAABA" w:tentative="1">
      <w:start w:val="1"/>
      <w:numFmt w:val="bullet"/>
      <w:lvlText w:val="•"/>
      <w:lvlJc w:val="left"/>
      <w:pPr>
        <w:tabs>
          <w:tab w:val="num" w:pos="4320"/>
        </w:tabs>
        <w:ind w:left="4320" w:hanging="360"/>
      </w:pPr>
      <w:rPr>
        <w:rFonts w:ascii="Arial" w:hAnsi="Arial" w:hint="default"/>
      </w:rPr>
    </w:lvl>
    <w:lvl w:ilvl="6" w:tplc="142E7AEC" w:tentative="1">
      <w:start w:val="1"/>
      <w:numFmt w:val="bullet"/>
      <w:lvlText w:val="•"/>
      <w:lvlJc w:val="left"/>
      <w:pPr>
        <w:tabs>
          <w:tab w:val="num" w:pos="5040"/>
        </w:tabs>
        <w:ind w:left="5040" w:hanging="360"/>
      </w:pPr>
      <w:rPr>
        <w:rFonts w:ascii="Arial" w:hAnsi="Arial" w:hint="default"/>
      </w:rPr>
    </w:lvl>
    <w:lvl w:ilvl="7" w:tplc="210AF7C2" w:tentative="1">
      <w:start w:val="1"/>
      <w:numFmt w:val="bullet"/>
      <w:lvlText w:val="•"/>
      <w:lvlJc w:val="left"/>
      <w:pPr>
        <w:tabs>
          <w:tab w:val="num" w:pos="5760"/>
        </w:tabs>
        <w:ind w:left="5760" w:hanging="360"/>
      </w:pPr>
      <w:rPr>
        <w:rFonts w:ascii="Arial" w:hAnsi="Arial" w:hint="default"/>
      </w:rPr>
    </w:lvl>
    <w:lvl w:ilvl="8" w:tplc="90EE6B3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432FFA"/>
    <w:multiLevelType w:val="hybridMultilevel"/>
    <w:tmpl w:val="8F7E6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E365520"/>
    <w:multiLevelType w:val="hybridMultilevel"/>
    <w:tmpl w:val="FFD41D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4010D6A"/>
    <w:multiLevelType w:val="hybridMultilevel"/>
    <w:tmpl w:val="B6CA0D9E"/>
    <w:lvl w:ilvl="0" w:tplc="375056F8">
      <w:numFmt w:val="bullet"/>
      <w:lvlText w:val="•"/>
      <w:lvlJc w:val="left"/>
      <w:pPr>
        <w:ind w:left="1080" w:hanging="360"/>
      </w:pPr>
      <w:rPr>
        <w:rFonts w:ascii="Arial" w:hAnsi="Arial" w:cs="Arial" w:hint="default"/>
        <w:sz w:val="25"/>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0"/>
    <w:lvlOverride w:ilvl="0">
      <w:lvl w:ilvl="0">
        <w:numFmt w:val="bullet"/>
        <w:lvlText w:val="•"/>
        <w:legacy w:legacy="1" w:legacySpace="0" w:legacyIndent="0"/>
        <w:lvlJc w:val="left"/>
        <w:rPr>
          <w:rFonts w:ascii="Arial" w:hAnsi="Arial" w:cs="Arial" w:hint="default"/>
          <w:sz w:val="80"/>
        </w:rPr>
      </w:lvl>
    </w:lvlOverride>
  </w:num>
  <w:num w:numId="4">
    <w:abstractNumId w:val="0"/>
    <w:lvlOverride w:ilvl="0">
      <w:lvl w:ilvl="0">
        <w:numFmt w:val="bullet"/>
        <w:lvlText w:val="•"/>
        <w:legacy w:legacy="1" w:legacySpace="0" w:legacyIndent="0"/>
        <w:lvlJc w:val="left"/>
        <w:rPr>
          <w:rFonts w:ascii="Arial" w:hAnsi="Arial" w:cs="Arial" w:hint="default"/>
          <w:sz w:val="56"/>
        </w:rPr>
      </w:lvl>
    </w:lvlOverride>
  </w:num>
  <w:num w:numId="5">
    <w:abstractNumId w:val="0"/>
    <w:lvlOverride w:ilvl="0">
      <w:lvl w:ilvl="0">
        <w:numFmt w:val="bullet"/>
        <w:lvlText w:val="•"/>
        <w:legacy w:legacy="1" w:legacySpace="0" w:legacyIndent="0"/>
        <w:lvlJc w:val="left"/>
        <w:rPr>
          <w:rFonts w:ascii="Arial" w:hAnsi="Arial" w:cs="Arial" w:hint="default"/>
          <w:sz w:val="36"/>
        </w:rPr>
      </w:lvl>
    </w:lvlOverride>
  </w:num>
  <w:num w:numId="6">
    <w:abstractNumId w:val="0"/>
    <w:lvlOverride w:ilvl="0">
      <w:lvl w:ilvl="0">
        <w:numFmt w:val="bullet"/>
        <w:lvlText w:val="•"/>
        <w:legacy w:legacy="1" w:legacySpace="0" w:legacyIndent="0"/>
        <w:lvlJc w:val="left"/>
        <w:rPr>
          <w:rFonts w:ascii="Arial" w:hAnsi="Arial" w:cs="Arial" w:hint="default"/>
          <w:sz w:val="30"/>
        </w:rPr>
      </w:lvl>
    </w:lvlOverride>
  </w:num>
  <w:num w:numId="7">
    <w:abstractNumId w:val="0"/>
    <w:lvlOverride w:ilvl="0">
      <w:lvl w:ilvl="0">
        <w:numFmt w:val="bullet"/>
        <w:lvlText w:val="•"/>
        <w:legacy w:legacy="1" w:legacySpace="0" w:legacyIndent="0"/>
        <w:lvlJc w:val="left"/>
        <w:rPr>
          <w:rFonts w:ascii="Arial" w:hAnsi="Arial" w:cs="Arial" w:hint="default"/>
          <w:sz w:val="32"/>
        </w:rPr>
      </w:lvl>
    </w:lvlOverride>
  </w:num>
  <w:num w:numId="8">
    <w:abstractNumId w:val="0"/>
    <w:lvlOverride w:ilvl="0">
      <w:lvl w:ilvl="0">
        <w:numFmt w:val="bullet"/>
        <w:lvlText w:val="•"/>
        <w:legacy w:legacy="1" w:legacySpace="0" w:legacyIndent="0"/>
        <w:lvlJc w:val="left"/>
        <w:rPr>
          <w:rFonts w:ascii="Arial" w:hAnsi="Arial" w:cs="Arial" w:hint="default"/>
          <w:sz w:val="72"/>
        </w:rPr>
      </w:lvl>
    </w:lvlOverride>
  </w:num>
  <w:num w:numId="9">
    <w:abstractNumId w:val="0"/>
    <w:lvlOverride w:ilvl="0">
      <w:lvl w:ilvl="0">
        <w:numFmt w:val="bullet"/>
        <w:lvlText w:val="•"/>
        <w:legacy w:legacy="1" w:legacySpace="0" w:legacyIndent="0"/>
        <w:lvlJc w:val="left"/>
        <w:rPr>
          <w:rFonts w:ascii="Arial" w:hAnsi="Arial" w:cs="Arial" w:hint="default"/>
          <w:sz w:val="64"/>
        </w:rPr>
      </w:lvl>
    </w:lvlOverride>
  </w:num>
  <w:num w:numId="10">
    <w:abstractNumId w:val="0"/>
    <w:lvlOverride w:ilvl="0">
      <w:lvl w:ilvl="0">
        <w:numFmt w:val="bullet"/>
        <w:lvlText w:val="•"/>
        <w:legacy w:legacy="1" w:legacySpace="0" w:legacyIndent="0"/>
        <w:lvlJc w:val="left"/>
        <w:rPr>
          <w:rFonts w:ascii="Arial" w:hAnsi="Arial" w:cs="Arial" w:hint="default"/>
          <w:sz w:val="44"/>
        </w:rPr>
      </w:lvl>
    </w:lvlOverride>
  </w:num>
  <w:num w:numId="11">
    <w:abstractNumId w:val="0"/>
    <w:lvlOverride w:ilvl="0">
      <w:lvl w:ilvl="0">
        <w:numFmt w:val="bullet"/>
        <w:lvlText w:val="•"/>
        <w:legacy w:legacy="1" w:legacySpace="0" w:legacyIndent="0"/>
        <w:lvlJc w:val="left"/>
        <w:rPr>
          <w:rFonts w:ascii="Arial" w:hAnsi="Arial" w:cs="Arial" w:hint="default"/>
          <w:sz w:val="33"/>
        </w:rPr>
      </w:lvl>
    </w:lvlOverride>
  </w:num>
  <w:num w:numId="12">
    <w:abstractNumId w:val="0"/>
    <w:lvlOverride w:ilvl="0">
      <w:lvl w:ilvl="0">
        <w:numFmt w:val="bullet"/>
        <w:lvlText w:val="•"/>
        <w:legacy w:legacy="1" w:legacySpace="0" w:legacyIndent="0"/>
        <w:lvlJc w:val="left"/>
        <w:rPr>
          <w:rFonts w:ascii="Arial" w:hAnsi="Arial" w:cs="Arial" w:hint="default"/>
          <w:sz w:val="25"/>
        </w:rPr>
      </w:lvl>
    </w:lvlOverride>
  </w:num>
  <w:num w:numId="13">
    <w:abstractNumId w:val="7"/>
  </w:num>
  <w:num w:numId="14">
    <w:abstractNumId w:val="1"/>
  </w:num>
  <w:num w:numId="15">
    <w:abstractNumId w:val="8"/>
  </w:num>
  <w:num w:numId="16">
    <w:abstractNumId w:val="9"/>
  </w:num>
  <w:num w:numId="17">
    <w:abstractNumId w:val="6"/>
  </w:num>
  <w:num w:numId="18">
    <w:abstractNumId w:val="3"/>
  </w:num>
  <w:num w:numId="19">
    <w:abstractNumId w:val="10"/>
  </w:num>
  <w:num w:numId="20">
    <w:abstractNumId w:val="12"/>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04D"/>
    <w:rsid w:val="000376C5"/>
    <w:rsid w:val="000931F2"/>
    <w:rsid w:val="000A42C5"/>
    <w:rsid w:val="000C2042"/>
    <w:rsid w:val="000E0FAE"/>
    <w:rsid w:val="001B0719"/>
    <w:rsid w:val="001C71F2"/>
    <w:rsid w:val="001F061A"/>
    <w:rsid w:val="00210749"/>
    <w:rsid w:val="00215FA4"/>
    <w:rsid w:val="00244CD0"/>
    <w:rsid w:val="00284BC2"/>
    <w:rsid w:val="00294759"/>
    <w:rsid w:val="002B3636"/>
    <w:rsid w:val="002C3843"/>
    <w:rsid w:val="002C5A1D"/>
    <w:rsid w:val="002D412D"/>
    <w:rsid w:val="003018FB"/>
    <w:rsid w:val="00322CF5"/>
    <w:rsid w:val="00372B8C"/>
    <w:rsid w:val="00384818"/>
    <w:rsid w:val="003A40BE"/>
    <w:rsid w:val="003B69DA"/>
    <w:rsid w:val="003C4B05"/>
    <w:rsid w:val="003E7CFA"/>
    <w:rsid w:val="004014EB"/>
    <w:rsid w:val="004213DC"/>
    <w:rsid w:val="004563A3"/>
    <w:rsid w:val="004602B9"/>
    <w:rsid w:val="00491D4E"/>
    <w:rsid w:val="004D178A"/>
    <w:rsid w:val="004D5516"/>
    <w:rsid w:val="00500C50"/>
    <w:rsid w:val="0050327B"/>
    <w:rsid w:val="0051557E"/>
    <w:rsid w:val="00587F44"/>
    <w:rsid w:val="005E1AF9"/>
    <w:rsid w:val="0061491A"/>
    <w:rsid w:val="006616BF"/>
    <w:rsid w:val="00690697"/>
    <w:rsid w:val="007059AC"/>
    <w:rsid w:val="00711C61"/>
    <w:rsid w:val="00725F40"/>
    <w:rsid w:val="007B56A5"/>
    <w:rsid w:val="007E17D1"/>
    <w:rsid w:val="007F7F23"/>
    <w:rsid w:val="008347A3"/>
    <w:rsid w:val="00840B4D"/>
    <w:rsid w:val="0084204D"/>
    <w:rsid w:val="008867B6"/>
    <w:rsid w:val="008B36E9"/>
    <w:rsid w:val="008D115E"/>
    <w:rsid w:val="008E0599"/>
    <w:rsid w:val="00914083"/>
    <w:rsid w:val="00940589"/>
    <w:rsid w:val="0095348E"/>
    <w:rsid w:val="00997D3F"/>
    <w:rsid w:val="009C4CC1"/>
    <w:rsid w:val="009F3ACF"/>
    <w:rsid w:val="00A01BA6"/>
    <w:rsid w:val="00A3677B"/>
    <w:rsid w:val="00A77330"/>
    <w:rsid w:val="00A9539C"/>
    <w:rsid w:val="00AE29B7"/>
    <w:rsid w:val="00AE5027"/>
    <w:rsid w:val="00B401D8"/>
    <w:rsid w:val="00B4462E"/>
    <w:rsid w:val="00B71CAE"/>
    <w:rsid w:val="00C552CF"/>
    <w:rsid w:val="00C562F1"/>
    <w:rsid w:val="00D51826"/>
    <w:rsid w:val="00D76F58"/>
    <w:rsid w:val="00DA26A5"/>
    <w:rsid w:val="00DE4FAC"/>
    <w:rsid w:val="00DF6324"/>
    <w:rsid w:val="00E1090D"/>
    <w:rsid w:val="00E54453"/>
    <w:rsid w:val="00E65ADE"/>
    <w:rsid w:val="00E80719"/>
    <w:rsid w:val="00ED7F0A"/>
    <w:rsid w:val="00F61FA1"/>
    <w:rsid w:val="00FC6A41"/>
    <w:rsid w:val="00FE7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5FFB9A"/>
  <w15:chartTrackingRefBased/>
  <w15:docId w15:val="{7A95B9F5-599B-4D31-93B3-70B76295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04D"/>
  </w:style>
  <w:style w:type="paragraph" w:styleId="Titre1">
    <w:name w:val="heading 1"/>
    <w:basedOn w:val="Normal"/>
    <w:next w:val="Normal"/>
    <w:link w:val="Titre1Car"/>
    <w:uiPriority w:val="9"/>
    <w:qFormat/>
    <w:rsid w:val="00210749"/>
    <w:pPr>
      <w:keepNext/>
      <w:spacing w:before="240" w:after="0"/>
      <w:outlineLvl w:val="0"/>
    </w:pPr>
    <w:rPr>
      <w:rFonts w:asciiTheme="majorHAnsi" w:eastAsiaTheme="majorEastAsia" w:hAnsiTheme="majorHAnsi" w:cstheme="majorBidi"/>
      <w:sz w:val="48"/>
      <w:szCs w:val="48"/>
    </w:rPr>
  </w:style>
  <w:style w:type="paragraph" w:styleId="Titre2">
    <w:name w:val="heading 2"/>
    <w:basedOn w:val="Normal"/>
    <w:next w:val="Normal"/>
    <w:link w:val="Titre2Car"/>
    <w:uiPriority w:val="9"/>
    <w:unhideWhenUsed/>
    <w:qFormat/>
    <w:rsid w:val="00210749"/>
    <w:pPr>
      <w:keepNext/>
      <w:spacing w:before="40" w:after="0"/>
      <w:outlineLvl w:val="1"/>
    </w:pPr>
    <w:rPr>
      <w:rFonts w:ascii="Segoe UI" w:eastAsiaTheme="majorEastAsia" w:hAnsi="Segoe UI" w:cs="Segoe UI"/>
      <w:b/>
      <w:color w:val="5B315E" w:themeColor="accent2"/>
      <w:sz w:val="32"/>
      <w:szCs w:val="32"/>
    </w:rPr>
  </w:style>
  <w:style w:type="paragraph" w:styleId="Titre3">
    <w:name w:val="heading 3"/>
    <w:basedOn w:val="Normal"/>
    <w:next w:val="Normal"/>
    <w:link w:val="Titre3Car"/>
    <w:uiPriority w:val="9"/>
    <w:unhideWhenUsed/>
    <w:qFormat/>
    <w:rsid w:val="00210749"/>
    <w:pPr>
      <w:keepNext/>
      <w:spacing w:before="40" w:after="0"/>
      <w:outlineLvl w:val="2"/>
    </w:pPr>
    <w:rPr>
      <w:rFonts w:ascii="Segoe UI Semibold" w:eastAsiaTheme="majorEastAsia" w:hAnsi="Segoe UI Semibold" w:cs="Segoe UI Semibold"/>
      <w:sz w:val="24"/>
      <w:szCs w:val="24"/>
    </w:rPr>
  </w:style>
  <w:style w:type="paragraph" w:styleId="Titre4">
    <w:name w:val="heading 4"/>
    <w:basedOn w:val="Normal"/>
    <w:next w:val="Normal"/>
    <w:link w:val="Titre4Car"/>
    <w:uiPriority w:val="9"/>
    <w:unhideWhenUsed/>
    <w:qFormat/>
    <w:rsid w:val="00210749"/>
    <w:pPr>
      <w:keepNext/>
      <w:spacing w:before="40" w:after="0"/>
      <w:outlineLvl w:val="3"/>
    </w:pPr>
    <w:rPr>
      <w:rFonts w:asciiTheme="majorHAnsi" w:eastAsiaTheme="majorEastAsia" w:hAnsiTheme="majorHAnsi" w:cstheme="majorBidi"/>
      <w:iCs/>
      <w:color w:val="54575A" w:themeColor="text2"/>
    </w:rPr>
  </w:style>
  <w:style w:type="paragraph" w:styleId="Titre5">
    <w:name w:val="heading 5"/>
    <w:basedOn w:val="Normal"/>
    <w:next w:val="Normal"/>
    <w:link w:val="Titre5Car"/>
    <w:uiPriority w:val="9"/>
    <w:unhideWhenUsed/>
    <w:qFormat/>
    <w:rsid w:val="00210749"/>
    <w:pPr>
      <w:keepNext/>
      <w:spacing w:before="40" w:after="0"/>
      <w:outlineLvl w:val="4"/>
    </w:pPr>
    <w:rPr>
      <w:rFonts w:asciiTheme="majorHAnsi" w:eastAsiaTheme="majorEastAsia" w:hAnsiTheme="majorHAnsi" w:cstheme="majorBidi"/>
      <w:color w:val="9F0040"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0749"/>
    <w:pPr>
      <w:tabs>
        <w:tab w:val="center" w:pos="4680"/>
        <w:tab w:val="right" w:pos="9360"/>
      </w:tabs>
      <w:spacing w:after="0" w:line="240" w:lineRule="auto"/>
    </w:pPr>
  </w:style>
  <w:style w:type="character" w:customStyle="1" w:styleId="En-tteCar">
    <w:name w:val="En-tête Car"/>
    <w:basedOn w:val="Policepardfaut"/>
    <w:link w:val="En-tte"/>
    <w:uiPriority w:val="99"/>
    <w:rsid w:val="00210749"/>
    <w:rPr>
      <w:color w:val="54575A" w:themeColor="text1"/>
      <w:lang w:val="fr-CA"/>
    </w:rPr>
  </w:style>
  <w:style w:type="paragraph" w:styleId="Pieddepage">
    <w:name w:val="footer"/>
    <w:basedOn w:val="Normal"/>
    <w:link w:val="PieddepageCar"/>
    <w:uiPriority w:val="99"/>
    <w:unhideWhenUsed/>
    <w:rsid w:val="0021074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10749"/>
    <w:rPr>
      <w:color w:val="54575A" w:themeColor="text1"/>
      <w:lang w:val="fr-CA"/>
    </w:rPr>
  </w:style>
  <w:style w:type="paragraph" w:styleId="Textedebulles">
    <w:name w:val="Balloon Text"/>
    <w:basedOn w:val="Normal"/>
    <w:link w:val="TextedebullesCar"/>
    <w:uiPriority w:val="99"/>
    <w:semiHidden/>
    <w:unhideWhenUsed/>
    <w:rsid w:val="002107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0749"/>
    <w:rPr>
      <w:rFonts w:ascii="Segoe UI" w:hAnsi="Segoe UI" w:cs="Segoe UI"/>
      <w:color w:val="54575A" w:themeColor="text1"/>
      <w:sz w:val="18"/>
      <w:szCs w:val="18"/>
      <w:lang w:val="fr-CA"/>
    </w:rPr>
  </w:style>
  <w:style w:type="paragraph" w:customStyle="1" w:styleId="ColumnTitle">
    <w:name w:val="Column Title"/>
    <w:basedOn w:val="Normal"/>
    <w:qFormat/>
    <w:rsid w:val="00210749"/>
    <w:pPr>
      <w:spacing w:after="0" w:line="240" w:lineRule="auto"/>
    </w:pPr>
    <w:rPr>
      <w:rFonts w:ascii="Segoe UI Semibold" w:hAnsi="Segoe UI Semibold" w:cs="Segoe UI Semibold"/>
      <w:color w:val="F2F2F2" w:themeColor="background2"/>
      <w:sz w:val="24"/>
      <w:szCs w:val="24"/>
    </w:rPr>
  </w:style>
  <w:style w:type="paragraph" w:customStyle="1" w:styleId="DataText">
    <w:name w:val="Data Text"/>
    <w:basedOn w:val="Normal"/>
    <w:qFormat/>
    <w:rsid w:val="00210749"/>
    <w:pPr>
      <w:spacing w:after="0" w:line="240" w:lineRule="auto"/>
    </w:pPr>
  </w:style>
  <w:style w:type="character" w:styleId="Appelnotedebasdep">
    <w:name w:val="footnote reference"/>
    <w:basedOn w:val="Policepardfaut"/>
    <w:uiPriority w:val="99"/>
    <w:semiHidden/>
    <w:unhideWhenUsed/>
    <w:rsid w:val="00210749"/>
    <w:rPr>
      <w:vertAlign w:val="superscript"/>
    </w:rPr>
  </w:style>
  <w:style w:type="paragraph" w:styleId="Notedebasdepage">
    <w:name w:val="footnote text"/>
    <w:basedOn w:val="Normal"/>
    <w:link w:val="NotedebasdepageCar"/>
    <w:uiPriority w:val="99"/>
    <w:unhideWhenUsed/>
    <w:rsid w:val="00210749"/>
    <w:pPr>
      <w:spacing w:after="0" w:line="240" w:lineRule="auto"/>
    </w:pPr>
    <w:rPr>
      <w:sz w:val="20"/>
      <w:szCs w:val="20"/>
    </w:rPr>
  </w:style>
  <w:style w:type="character" w:customStyle="1" w:styleId="NotedebasdepageCar">
    <w:name w:val="Note de bas de page Car"/>
    <w:basedOn w:val="Policepardfaut"/>
    <w:link w:val="Notedebasdepage"/>
    <w:uiPriority w:val="99"/>
    <w:rsid w:val="00210749"/>
    <w:rPr>
      <w:color w:val="54575A" w:themeColor="text1"/>
      <w:sz w:val="20"/>
      <w:szCs w:val="20"/>
      <w:lang w:val="fr-CA"/>
    </w:rPr>
  </w:style>
  <w:style w:type="character" w:customStyle="1" w:styleId="Titre1Car">
    <w:name w:val="Titre 1 Car"/>
    <w:basedOn w:val="Policepardfaut"/>
    <w:link w:val="Titre1"/>
    <w:uiPriority w:val="9"/>
    <w:rsid w:val="00210749"/>
    <w:rPr>
      <w:rFonts w:asciiTheme="majorHAnsi" w:eastAsiaTheme="majorEastAsia" w:hAnsiTheme="majorHAnsi" w:cstheme="majorBidi"/>
      <w:color w:val="54575A" w:themeColor="text1"/>
      <w:sz w:val="48"/>
      <w:szCs w:val="48"/>
      <w:lang w:val="fr-CA"/>
    </w:rPr>
  </w:style>
  <w:style w:type="character" w:customStyle="1" w:styleId="Titre2Car">
    <w:name w:val="Titre 2 Car"/>
    <w:basedOn w:val="Policepardfaut"/>
    <w:link w:val="Titre2"/>
    <w:uiPriority w:val="9"/>
    <w:rsid w:val="00210749"/>
    <w:rPr>
      <w:rFonts w:ascii="Segoe UI" w:eastAsiaTheme="majorEastAsia" w:hAnsi="Segoe UI" w:cs="Segoe UI"/>
      <w:b/>
      <w:color w:val="5B315E" w:themeColor="accent2"/>
      <w:sz w:val="32"/>
      <w:szCs w:val="32"/>
      <w:lang w:val="fr-CA"/>
    </w:rPr>
  </w:style>
  <w:style w:type="character" w:customStyle="1" w:styleId="Titre3Car">
    <w:name w:val="Titre 3 Car"/>
    <w:basedOn w:val="Policepardfaut"/>
    <w:link w:val="Titre3"/>
    <w:uiPriority w:val="9"/>
    <w:rsid w:val="00210749"/>
    <w:rPr>
      <w:rFonts w:ascii="Segoe UI Semibold" w:eastAsiaTheme="majorEastAsia" w:hAnsi="Segoe UI Semibold" w:cs="Segoe UI Semibold"/>
      <w:color w:val="54575A" w:themeColor="text1"/>
      <w:sz w:val="24"/>
      <w:szCs w:val="24"/>
      <w:lang w:val="fr-CA"/>
    </w:rPr>
  </w:style>
  <w:style w:type="paragraph" w:customStyle="1" w:styleId="Heading3forBox">
    <w:name w:val="Heading 3 for Box"/>
    <w:basedOn w:val="Normal"/>
    <w:qFormat/>
    <w:rsid w:val="00210749"/>
    <w:rPr>
      <w:rFonts w:ascii="Segoe UI Semibold" w:eastAsiaTheme="majorEastAsia" w:hAnsi="Segoe UI Semibold" w:cs="Segoe UI Semibold"/>
      <w:color w:val="FFFFFF" w:themeColor="background1"/>
      <w:sz w:val="24"/>
      <w:szCs w:val="24"/>
    </w:rPr>
  </w:style>
  <w:style w:type="character" w:customStyle="1" w:styleId="Titre4Car">
    <w:name w:val="Titre 4 Car"/>
    <w:basedOn w:val="Policepardfaut"/>
    <w:link w:val="Titre4"/>
    <w:uiPriority w:val="9"/>
    <w:rsid w:val="00210749"/>
    <w:rPr>
      <w:rFonts w:asciiTheme="majorHAnsi" w:eastAsiaTheme="majorEastAsia" w:hAnsiTheme="majorHAnsi" w:cstheme="majorBidi"/>
      <w:iCs/>
      <w:color w:val="54575A" w:themeColor="text2"/>
      <w:lang w:val="fr-CA"/>
    </w:rPr>
  </w:style>
  <w:style w:type="character" w:customStyle="1" w:styleId="Titre5Car">
    <w:name w:val="Titre 5 Car"/>
    <w:basedOn w:val="Policepardfaut"/>
    <w:link w:val="Titre5"/>
    <w:uiPriority w:val="9"/>
    <w:rsid w:val="00210749"/>
    <w:rPr>
      <w:rFonts w:asciiTheme="majorHAnsi" w:eastAsiaTheme="majorEastAsia" w:hAnsiTheme="majorHAnsi" w:cstheme="majorBidi"/>
      <w:color w:val="9F0040" w:themeColor="accent1" w:themeShade="BF"/>
      <w:lang w:val="fr-CA"/>
    </w:rPr>
  </w:style>
  <w:style w:type="paragraph" w:styleId="Paragraphedeliste">
    <w:name w:val="List Paragraph"/>
    <w:basedOn w:val="Normal"/>
    <w:uiPriority w:val="34"/>
    <w:qFormat/>
    <w:rsid w:val="00210749"/>
    <w:pPr>
      <w:spacing w:after="320"/>
      <w:contextualSpacing/>
    </w:pPr>
  </w:style>
  <w:style w:type="paragraph" w:customStyle="1" w:styleId="NormalWhiteforBox">
    <w:name w:val="Normal White for Box"/>
    <w:basedOn w:val="Normal"/>
    <w:qFormat/>
    <w:rsid w:val="00210749"/>
  </w:style>
  <w:style w:type="paragraph" w:customStyle="1" w:styleId="Numberedlist">
    <w:name w:val="Numbered list"/>
    <w:basedOn w:val="Paragraphedeliste"/>
    <w:qFormat/>
    <w:rsid w:val="00210749"/>
  </w:style>
  <w:style w:type="paragraph" w:styleId="Sous-titre">
    <w:name w:val="Subtitle"/>
    <w:basedOn w:val="Normal"/>
    <w:next w:val="Normal"/>
    <w:link w:val="Sous-titreCar"/>
    <w:uiPriority w:val="11"/>
    <w:qFormat/>
    <w:rsid w:val="00210749"/>
    <w:rPr>
      <w:rFonts w:ascii="Segoe UI Light" w:hAnsi="Segoe UI Light" w:cs="Segoe UI Light"/>
      <w:sz w:val="36"/>
      <w:szCs w:val="36"/>
    </w:rPr>
  </w:style>
  <w:style w:type="character" w:customStyle="1" w:styleId="Sous-titreCar">
    <w:name w:val="Sous-titre Car"/>
    <w:basedOn w:val="Policepardfaut"/>
    <w:link w:val="Sous-titre"/>
    <w:uiPriority w:val="11"/>
    <w:rsid w:val="00210749"/>
    <w:rPr>
      <w:rFonts w:ascii="Segoe UI Light" w:hAnsi="Segoe UI Light" w:cs="Segoe UI Light"/>
      <w:color w:val="54575A" w:themeColor="text1"/>
      <w:sz w:val="36"/>
      <w:szCs w:val="36"/>
      <w:lang w:val="fr-CA"/>
    </w:rPr>
  </w:style>
  <w:style w:type="table" w:styleId="Grilledutableau">
    <w:name w:val="Table Grid"/>
    <w:basedOn w:val="TableauNormal"/>
    <w:uiPriority w:val="39"/>
    <w:rsid w:val="0021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Titre2"/>
    <w:qFormat/>
    <w:rsid w:val="004602B9"/>
    <w:rPr>
      <w:rFonts w:ascii="Segoe UI Semibold" w:hAnsi="Segoe UI Semibold"/>
      <w:b w:val="0"/>
      <w:color w:val="auto"/>
      <w:sz w:val="22"/>
    </w:rPr>
  </w:style>
  <w:style w:type="paragraph" w:styleId="Titre">
    <w:name w:val="Title"/>
    <w:basedOn w:val="Normal"/>
    <w:next w:val="Normal"/>
    <w:link w:val="TitreCar"/>
    <w:autoRedefine/>
    <w:uiPriority w:val="10"/>
    <w:qFormat/>
    <w:rsid w:val="00725F40"/>
    <w:pPr>
      <w:spacing w:after="240" w:line="240" w:lineRule="auto"/>
      <w:jc w:val="center"/>
    </w:pPr>
    <w:rPr>
      <w:rFonts w:asciiTheme="majorHAnsi" w:eastAsiaTheme="majorEastAsia" w:hAnsiTheme="majorHAnsi" w:cstheme="majorHAnsi"/>
      <w:spacing w:val="-10"/>
      <w:kern w:val="24"/>
      <w:sz w:val="52"/>
      <w:szCs w:val="36"/>
    </w:rPr>
  </w:style>
  <w:style w:type="character" w:customStyle="1" w:styleId="TitreCar">
    <w:name w:val="Titre Car"/>
    <w:basedOn w:val="Policepardfaut"/>
    <w:link w:val="Titre"/>
    <w:uiPriority w:val="10"/>
    <w:rsid w:val="00725F40"/>
    <w:rPr>
      <w:rFonts w:asciiTheme="majorHAnsi" w:eastAsiaTheme="majorEastAsia" w:hAnsiTheme="majorHAnsi" w:cstheme="majorHAnsi"/>
      <w:spacing w:val="-10"/>
      <w:kern w:val="24"/>
      <w:sz w:val="52"/>
      <w:szCs w:val="36"/>
    </w:rPr>
  </w:style>
  <w:style w:type="paragraph" w:styleId="NormalWeb">
    <w:name w:val="Normal (Web)"/>
    <w:basedOn w:val="Normal"/>
    <w:uiPriority w:val="99"/>
    <w:unhideWhenUsed/>
    <w:rsid w:val="00A01BA6"/>
    <w:pPr>
      <w:spacing w:before="100" w:beforeAutospacing="1" w:after="100" w:afterAutospacing="1" w:line="240" w:lineRule="auto"/>
    </w:pPr>
    <w:rPr>
      <w:rFonts w:ascii="Times New Roman" w:eastAsiaTheme="minorEastAsia" w:hAnsi="Times New Roman" w:cs="Times New Roman"/>
      <w:sz w:val="24"/>
      <w:szCs w:val="24"/>
      <w:lang w:eastAsia="en-CA"/>
    </w:rPr>
  </w:style>
  <w:style w:type="table" w:styleId="TableauGrille1Clair">
    <w:name w:val="Grid Table 1 Light"/>
    <w:basedOn w:val="TableauNormal"/>
    <w:uiPriority w:val="46"/>
    <w:rsid w:val="00E65ADE"/>
    <w:pPr>
      <w:spacing w:after="0" w:line="240" w:lineRule="auto"/>
    </w:pPr>
    <w:tblPr>
      <w:tblStyleRowBandSize w:val="1"/>
      <w:tblStyleColBandSize w:val="1"/>
      <w:tblBorders>
        <w:top w:val="single" w:sz="4" w:space="0" w:color="B9BBBE" w:themeColor="text1" w:themeTint="66"/>
        <w:left w:val="single" w:sz="4" w:space="0" w:color="B9BBBE" w:themeColor="text1" w:themeTint="66"/>
        <w:bottom w:val="single" w:sz="4" w:space="0" w:color="B9BBBE" w:themeColor="text1" w:themeTint="66"/>
        <w:right w:val="single" w:sz="4" w:space="0" w:color="B9BBBE" w:themeColor="text1" w:themeTint="66"/>
        <w:insideH w:val="single" w:sz="4" w:space="0" w:color="B9BBBE" w:themeColor="text1" w:themeTint="66"/>
        <w:insideV w:val="single" w:sz="4" w:space="0" w:color="B9BBBE" w:themeColor="text1" w:themeTint="66"/>
      </w:tblBorders>
    </w:tblPr>
    <w:tblStylePr w:type="firstRow">
      <w:rPr>
        <w:b/>
        <w:bCs/>
      </w:rPr>
      <w:tblPr/>
      <w:tcPr>
        <w:tcBorders>
          <w:bottom w:val="single" w:sz="12" w:space="0" w:color="969A9D" w:themeColor="text1" w:themeTint="99"/>
        </w:tcBorders>
      </w:tcPr>
    </w:tblStylePr>
    <w:tblStylePr w:type="lastRow">
      <w:rPr>
        <w:b/>
        <w:bCs/>
      </w:rPr>
      <w:tblPr/>
      <w:tcPr>
        <w:tcBorders>
          <w:top w:val="double" w:sz="2" w:space="0" w:color="969A9D" w:themeColor="text1" w:themeTint="99"/>
        </w:tcBorders>
      </w:tcPr>
    </w:tblStylePr>
    <w:tblStylePr w:type="firstCol">
      <w:rPr>
        <w:b/>
        <w:bCs/>
      </w:rPr>
    </w:tblStylePr>
    <w:tblStylePr w:type="lastCol">
      <w:rPr>
        <w:b/>
        <w:bCs/>
      </w:rPr>
    </w:tblStylePr>
  </w:style>
  <w:style w:type="paragraph" w:styleId="Lgende">
    <w:name w:val="caption"/>
    <w:basedOn w:val="Normal"/>
    <w:next w:val="Normal"/>
    <w:uiPriority w:val="35"/>
    <w:unhideWhenUsed/>
    <w:qFormat/>
    <w:rsid w:val="004602B9"/>
    <w:pPr>
      <w:spacing w:after="200" w:line="240" w:lineRule="auto"/>
    </w:pPr>
    <w:rPr>
      <w:i/>
      <w:iCs/>
      <w:color w:val="54575A" w:themeColor="text2"/>
      <w:sz w:val="18"/>
      <w:szCs w:val="18"/>
    </w:rPr>
  </w:style>
  <w:style w:type="character" w:styleId="lev">
    <w:name w:val="Strong"/>
    <w:basedOn w:val="Policepardfaut"/>
    <w:uiPriority w:val="22"/>
    <w:qFormat/>
    <w:rsid w:val="00491D4E"/>
    <w:rPr>
      <w:b/>
      <w:bCs/>
    </w:rPr>
  </w:style>
  <w:style w:type="character" w:styleId="Accentuation">
    <w:name w:val="Emphasis"/>
    <w:basedOn w:val="Policepardfaut"/>
    <w:uiPriority w:val="20"/>
    <w:qFormat/>
    <w:rsid w:val="008E05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8628">
      <w:bodyDiv w:val="1"/>
      <w:marLeft w:val="0"/>
      <w:marRight w:val="0"/>
      <w:marTop w:val="0"/>
      <w:marBottom w:val="0"/>
      <w:divBdr>
        <w:top w:val="none" w:sz="0" w:space="0" w:color="auto"/>
        <w:left w:val="none" w:sz="0" w:space="0" w:color="auto"/>
        <w:bottom w:val="none" w:sz="0" w:space="0" w:color="auto"/>
        <w:right w:val="none" w:sz="0" w:space="0" w:color="auto"/>
      </w:divBdr>
    </w:div>
    <w:div w:id="145981089">
      <w:bodyDiv w:val="1"/>
      <w:marLeft w:val="0"/>
      <w:marRight w:val="0"/>
      <w:marTop w:val="0"/>
      <w:marBottom w:val="0"/>
      <w:divBdr>
        <w:top w:val="none" w:sz="0" w:space="0" w:color="auto"/>
        <w:left w:val="none" w:sz="0" w:space="0" w:color="auto"/>
        <w:bottom w:val="none" w:sz="0" w:space="0" w:color="auto"/>
        <w:right w:val="none" w:sz="0" w:space="0" w:color="auto"/>
      </w:divBdr>
    </w:div>
    <w:div w:id="642807327">
      <w:bodyDiv w:val="1"/>
      <w:marLeft w:val="0"/>
      <w:marRight w:val="0"/>
      <w:marTop w:val="0"/>
      <w:marBottom w:val="0"/>
      <w:divBdr>
        <w:top w:val="none" w:sz="0" w:space="0" w:color="auto"/>
        <w:left w:val="none" w:sz="0" w:space="0" w:color="auto"/>
        <w:bottom w:val="none" w:sz="0" w:space="0" w:color="auto"/>
        <w:right w:val="none" w:sz="0" w:space="0" w:color="auto"/>
      </w:divBdr>
    </w:div>
    <w:div w:id="676538682">
      <w:bodyDiv w:val="1"/>
      <w:marLeft w:val="0"/>
      <w:marRight w:val="0"/>
      <w:marTop w:val="0"/>
      <w:marBottom w:val="0"/>
      <w:divBdr>
        <w:top w:val="none" w:sz="0" w:space="0" w:color="auto"/>
        <w:left w:val="none" w:sz="0" w:space="0" w:color="auto"/>
        <w:bottom w:val="none" w:sz="0" w:space="0" w:color="auto"/>
        <w:right w:val="none" w:sz="0" w:space="0" w:color="auto"/>
      </w:divBdr>
    </w:div>
    <w:div w:id="1002507505">
      <w:bodyDiv w:val="1"/>
      <w:marLeft w:val="0"/>
      <w:marRight w:val="0"/>
      <w:marTop w:val="0"/>
      <w:marBottom w:val="0"/>
      <w:divBdr>
        <w:top w:val="none" w:sz="0" w:space="0" w:color="auto"/>
        <w:left w:val="none" w:sz="0" w:space="0" w:color="auto"/>
        <w:bottom w:val="none" w:sz="0" w:space="0" w:color="auto"/>
        <w:right w:val="none" w:sz="0" w:space="0" w:color="auto"/>
      </w:divBdr>
    </w:div>
    <w:div w:id="1360281984">
      <w:bodyDiv w:val="1"/>
      <w:marLeft w:val="0"/>
      <w:marRight w:val="0"/>
      <w:marTop w:val="0"/>
      <w:marBottom w:val="0"/>
      <w:divBdr>
        <w:top w:val="none" w:sz="0" w:space="0" w:color="auto"/>
        <w:left w:val="none" w:sz="0" w:space="0" w:color="auto"/>
        <w:bottom w:val="none" w:sz="0" w:space="0" w:color="auto"/>
        <w:right w:val="none" w:sz="0" w:space="0" w:color="auto"/>
      </w:divBdr>
    </w:div>
    <w:div w:id="1382753075">
      <w:bodyDiv w:val="1"/>
      <w:marLeft w:val="0"/>
      <w:marRight w:val="0"/>
      <w:marTop w:val="0"/>
      <w:marBottom w:val="0"/>
      <w:divBdr>
        <w:top w:val="none" w:sz="0" w:space="0" w:color="auto"/>
        <w:left w:val="none" w:sz="0" w:space="0" w:color="auto"/>
        <w:bottom w:val="none" w:sz="0" w:space="0" w:color="auto"/>
        <w:right w:val="none" w:sz="0" w:space="0" w:color="auto"/>
      </w:divBdr>
    </w:div>
    <w:div w:id="1769035563">
      <w:bodyDiv w:val="1"/>
      <w:marLeft w:val="0"/>
      <w:marRight w:val="0"/>
      <w:marTop w:val="0"/>
      <w:marBottom w:val="0"/>
      <w:divBdr>
        <w:top w:val="none" w:sz="0" w:space="0" w:color="auto"/>
        <w:left w:val="none" w:sz="0" w:space="0" w:color="auto"/>
        <w:bottom w:val="none" w:sz="0" w:space="0" w:color="auto"/>
        <w:right w:val="none" w:sz="0" w:space="0" w:color="auto"/>
      </w:divBdr>
      <w:divsChild>
        <w:div w:id="1049768717">
          <w:marLeft w:val="446"/>
          <w:marRight w:val="0"/>
          <w:marTop w:val="0"/>
          <w:marBottom w:val="0"/>
          <w:divBdr>
            <w:top w:val="none" w:sz="0" w:space="0" w:color="auto"/>
            <w:left w:val="none" w:sz="0" w:space="0" w:color="auto"/>
            <w:bottom w:val="none" w:sz="0" w:space="0" w:color="auto"/>
            <w:right w:val="none" w:sz="0" w:space="0" w:color="auto"/>
          </w:divBdr>
        </w:div>
        <w:div w:id="148594211">
          <w:marLeft w:val="1166"/>
          <w:marRight w:val="0"/>
          <w:marTop w:val="0"/>
          <w:marBottom w:val="0"/>
          <w:divBdr>
            <w:top w:val="none" w:sz="0" w:space="0" w:color="auto"/>
            <w:left w:val="none" w:sz="0" w:space="0" w:color="auto"/>
            <w:bottom w:val="none" w:sz="0" w:space="0" w:color="auto"/>
            <w:right w:val="none" w:sz="0" w:space="0" w:color="auto"/>
          </w:divBdr>
        </w:div>
        <w:div w:id="1352949324">
          <w:marLeft w:val="1166"/>
          <w:marRight w:val="0"/>
          <w:marTop w:val="0"/>
          <w:marBottom w:val="0"/>
          <w:divBdr>
            <w:top w:val="none" w:sz="0" w:space="0" w:color="auto"/>
            <w:left w:val="none" w:sz="0" w:space="0" w:color="auto"/>
            <w:bottom w:val="none" w:sz="0" w:space="0" w:color="auto"/>
            <w:right w:val="none" w:sz="0" w:space="0" w:color="auto"/>
          </w:divBdr>
        </w:div>
        <w:div w:id="1129280322">
          <w:marLeft w:val="1886"/>
          <w:marRight w:val="0"/>
          <w:marTop w:val="0"/>
          <w:marBottom w:val="0"/>
          <w:divBdr>
            <w:top w:val="none" w:sz="0" w:space="0" w:color="auto"/>
            <w:left w:val="none" w:sz="0" w:space="0" w:color="auto"/>
            <w:bottom w:val="none" w:sz="0" w:space="0" w:color="auto"/>
            <w:right w:val="none" w:sz="0" w:space="0" w:color="auto"/>
          </w:divBdr>
        </w:div>
        <w:div w:id="568537850">
          <w:marLeft w:val="1886"/>
          <w:marRight w:val="0"/>
          <w:marTop w:val="0"/>
          <w:marBottom w:val="0"/>
          <w:divBdr>
            <w:top w:val="none" w:sz="0" w:space="0" w:color="auto"/>
            <w:left w:val="none" w:sz="0" w:space="0" w:color="auto"/>
            <w:bottom w:val="none" w:sz="0" w:space="0" w:color="auto"/>
            <w:right w:val="none" w:sz="0" w:space="0" w:color="auto"/>
          </w:divBdr>
        </w:div>
        <w:div w:id="638462722">
          <w:marLeft w:val="446"/>
          <w:marRight w:val="0"/>
          <w:marTop w:val="0"/>
          <w:marBottom w:val="0"/>
          <w:divBdr>
            <w:top w:val="none" w:sz="0" w:space="0" w:color="auto"/>
            <w:left w:val="none" w:sz="0" w:space="0" w:color="auto"/>
            <w:bottom w:val="none" w:sz="0" w:space="0" w:color="auto"/>
            <w:right w:val="none" w:sz="0" w:space="0" w:color="auto"/>
          </w:divBdr>
        </w:div>
        <w:div w:id="1349718357">
          <w:marLeft w:val="446"/>
          <w:marRight w:val="0"/>
          <w:marTop w:val="0"/>
          <w:marBottom w:val="0"/>
          <w:divBdr>
            <w:top w:val="none" w:sz="0" w:space="0" w:color="auto"/>
            <w:left w:val="none" w:sz="0" w:space="0" w:color="auto"/>
            <w:bottom w:val="none" w:sz="0" w:space="0" w:color="auto"/>
            <w:right w:val="none" w:sz="0" w:space="0" w:color="auto"/>
          </w:divBdr>
        </w:div>
      </w:divsChild>
    </w:div>
    <w:div w:id="1785692066">
      <w:bodyDiv w:val="1"/>
      <w:marLeft w:val="0"/>
      <w:marRight w:val="0"/>
      <w:marTop w:val="0"/>
      <w:marBottom w:val="0"/>
      <w:divBdr>
        <w:top w:val="none" w:sz="0" w:space="0" w:color="auto"/>
        <w:left w:val="none" w:sz="0" w:space="0" w:color="auto"/>
        <w:bottom w:val="none" w:sz="0" w:space="0" w:color="auto"/>
        <w:right w:val="none" w:sz="0" w:space="0" w:color="auto"/>
      </w:divBdr>
    </w:div>
    <w:div w:id="2073312855">
      <w:bodyDiv w:val="1"/>
      <w:marLeft w:val="0"/>
      <w:marRight w:val="0"/>
      <w:marTop w:val="0"/>
      <w:marBottom w:val="0"/>
      <w:divBdr>
        <w:top w:val="none" w:sz="0" w:space="0" w:color="auto"/>
        <w:left w:val="none" w:sz="0" w:space="0" w:color="auto"/>
        <w:bottom w:val="none" w:sz="0" w:space="0" w:color="auto"/>
        <w:right w:val="none" w:sz="0" w:space="0" w:color="auto"/>
      </w:divBdr>
    </w:div>
    <w:div w:id="2129162611">
      <w:bodyDiv w:val="1"/>
      <w:marLeft w:val="0"/>
      <w:marRight w:val="0"/>
      <w:marTop w:val="0"/>
      <w:marBottom w:val="0"/>
      <w:divBdr>
        <w:top w:val="none" w:sz="0" w:space="0" w:color="auto"/>
        <w:left w:val="none" w:sz="0" w:space="0" w:color="auto"/>
        <w:bottom w:val="none" w:sz="0" w:space="0" w:color="auto"/>
        <w:right w:val="none" w:sz="0" w:space="0" w:color="auto"/>
      </w:divBdr>
    </w:div>
    <w:div w:id="2141221006">
      <w:bodyDiv w:val="1"/>
      <w:marLeft w:val="0"/>
      <w:marRight w:val="0"/>
      <w:marTop w:val="0"/>
      <w:marBottom w:val="0"/>
      <w:divBdr>
        <w:top w:val="none" w:sz="0" w:space="0" w:color="auto"/>
        <w:left w:val="none" w:sz="0" w:space="0" w:color="auto"/>
        <w:bottom w:val="none" w:sz="0" w:space="0" w:color="auto"/>
        <w:right w:val="none" w:sz="0" w:space="0" w:color="auto"/>
      </w:divBdr>
      <w:divsChild>
        <w:div w:id="1607887600">
          <w:marLeft w:val="446"/>
          <w:marRight w:val="0"/>
          <w:marTop w:val="0"/>
          <w:marBottom w:val="0"/>
          <w:divBdr>
            <w:top w:val="none" w:sz="0" w:space="0" w:color="auto"/>
            <w:left w:val="none" w:sz="0" w:space="0" w:color="auto"/>
            <w:bottom w:val="none" w:sz="0" w:space="0" w:color="auto"/>
            <w:right w:val="none" w:sz="0" w:space="0" w:color="auto"/>
          </w:divBdr>
        </w:div>
        <w:div w:id="449009930">
          <w:marLeft w:val="446"/>
          <w:marRight w:val="0"/>
          <w:marTop w:val="0"/>
          <w:marBottom w:val="0"/>
          <w:divBdr>
            <w:top w:val="none" w:sz="0" w:space="0" w:color="auto"/>
            <w:left w:val="none" w:sz="0" w:space="0" w:color="auto"/>
            <w:bottom w:val="none" w:sz="0" w:space="0" w:color="auto"/>
            <w:right w:val="none" w:sz="0" w:space="0" w:color="auto"/>
          </w:divBdr>
        </w:div>
        <w:div w:id="214553585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CFP-Entete-Corpo2019.dotx" TargetMode="External"/></Relationships>
</file>

<file path=word/theme/theme1.xml><?xml version="1.0" encoding="utf-8"?>
<a:theme xmlns:a="http://schemas.openxmlformats.org/drawingml/2006/main" name="CFP-PSC-Theme2019-fromWord">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0099A8"/>
      </a:hlink>
      <a:folHlink>
        <a:srgbClr val="A5A5A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F3316-C5AF-4109-AF9A-06887D0F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CFP-Entete-Corpo2019.dotx</Template>
  <TotalTime>414</TotalTime>
  <Pages>9</Pages>
  <Words>1781</Words>
  <Characters>10154</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CFP-PSC</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Lefebvre</dc:creator>
  <cp:keywords/>
  <dc:description/>
  <cp:lastModifiedBy>Christine Vallières</cp:lastModifiedBy>
  <cp:revision>48</cp:revision>
  <dcterms:created xsi:type="dcterms:W3CDTF">2020-04-01T23:59:00Z</dcterms:created>
  <dcterms:modified xsi:type="dcterms:W3CDTF">2021-08-13T18:36:00Z</dcterms:modified>
</cp:coreProperties>
</file>