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CC40A" w14:textId="77777777" w:rsidR="0084204D" w:rsidRPr="00C07DD2" w:rsidRDefault="006C588C" w:rsidP="00C07DD2">
      <w:pPr>
        <w:pStyle w:val="Titre"/>
        <w:jc w:val="center"/>
      </w:pPr>
      <w:r w:rsidRPr="00C07DD2">
        <w:t>Résultats de 2018-2019 des rapports organisationnels de l’Instrument de délégation et de responsabilisation en matière de nomination (IDRN)-Annexe D</w:t>
      </w:r>
    </w:p>
    <w:p w14:paraId="404998B6" w14:textId="77777777" w:rsidR="006C588C" w:rsidRPr="00C07DD2" w:rsidRDefault="006C588C" w:rsidP="00C07DD2">
      <w:pPr>
        <w:pStyle w:val="Titre"/>
        <w:jc w:val="center"/>
        <w:rPr>
          <w:sz w:val="36"/>
        </w:rPr>
      </w:pPr>
      <w:r w:rsidRPr="00C07DD2">
        <w:rPr>
          <w:sz w:val="36"/>
        </w:rPr>
        <w:t>Présentation pour la réunion de la Commission (RC)</w:t>
      </w:r>
    </w:p>
    <w:p w14:paraId="6274594E" w14:textId="77777777" w:rsidR="006C588C" w:rsidRPr="00C07DD2" w:rsidRDefault="006C588C" w:rsidP="00C07DD2">
      <w:pPr>
        <w:pStyle w:val="Titre"/>
        <w:jc w:val="center"/>
        <w:rPr>
          <w:sz w:val="36"/>
        </w:rPr>
      </w:pPr>
      <w:r w:rsidRPr="00C07DD2">
        <w:rPr>
          <w:sz w:val="36"/>
        </w:rPr>
        <w:t>17 décembre 2019</w:t>
      </w:r>
    </w:p>
    <w:p w14:paraId="2492E15A" w14:textId="77777777" w:rsidR="0084204D" w:rsidRPr="00C07DD2" w:rsidRDefault="00215FA4" w:rsidP="00215FA4">
      <w:pPr>
        <w:pStyle w:val="Titre1"/>
        <w:spacing w:after="120" w:line="240" w:lineRule="auto"/>
        <w:rPr>
          <w:lang w:val="fr-CA"/>
        </w:rPr>
      </w:pPr>
      <w:r w:rsidRPr="00C07DD2">
        <w:rPr>
          <w:lang w:val="fr-CA"/>
        </w:rPr>
        <w:t>O</w:t>
      </w:r>
      <w:r w:rsidR="006C588C" w:rsidRPr="00C07DD2">
        <w:rPr>
          <w:lang w:val="fr-CA"/>
        </w:rPr>
        <w:t>bjectifs</w:t>
      </w:r>
    </w:p>
    <w:p w14:paraId="31DBEF45" w14:textId="77777777" w:rsidR="006C588C" w:rsidRPr="00C07DD2" w:rsidRDefault="006C588C" w:rsidP="006C588C">
      <w:pPr>
        <w:autoSpaceDE w:val="0"/>
        <w:autoSpaceDN w:val="0"/>
        <w:adjustRightInd w:val="0"/>
        <w:spacing w:after="120" w:line="240" w:lineRule="auto"/>
        <w:rPr>
          <w:rFonts w:cstheme="minorHAnsi"/>
          <w:kern w:val="24"/>
          <w:lang w:val="fr-CA"/>
        </w:rPr>
      </w:pPr>
      <w:r w:rsidRPr="00C07DD2">
        <w:rPr>
          <w:rFonts w:cstheme="minorHAnsi"/>
          <w:kern w:val="24"/>
          <w:lang w:val="fr-CA"/>
        </w:rPr>
        <w:t>Présenter un aperçu des résultats des rapports organisationnels découlant de l’Annexe D de l’Instrument de délégation et de responsabilisation en matière de nomination (IDRN) pour la 3</w:t>
      </w:r>
      <w:r w:rsidRPr="00C07DD2">
        <w:rPr>
          <w:rFonts w:cstheme="minorHAnsi"/>
          <w:kern w:val="24"/>
          <w:vertAlign w:val="superscript"/>
          <w:lang w:val="fr-CA"/>
        </w:rPr>
        <w:t>e</w:t>
      </w:r>
      <w:r w:rsidRPr="00C07DD2">
        <w:rPr>
          <w:rFonts w:cstheme="minorHAnsi"/>
          <w:kern w:val="24"/>
          <w:lang w:val="fr-CA"/>
        </w:rPr>
        <w:t> année et faire état des premiers indicateurs de tendance.</w:t>
      </w:r>
    </w:p>
    <w:p w14:paraId="5D76FF09" w14:textId="77777777" w:rsidR="006C588C" w:rsidRPr="00C07DD2" w:rsidRDefault="006C588C" w:rsidP="006C588C">
      <w:pPr>
        <w:autoSpaceDE w:val="0"/>
        <w:autoSpaceDN w:val="0"/>
        <w:adjustRightInd w:val="0"/>
        <w:spacing w:after="0" w:line="240" w:lineRule="auto"/>
        <w:contextualSpacing/>
        <w:rPr>
          <w:rFonts w:cstheme="minorHAnsi"/>
          <w:kern w:val="24"/>
          <w:lang w:val="fr-CA"/>
        </w:rPr>
      </w:pPr>
      <w:r w:rsidRPr="00C07DD2">
        <w:rPr>
          <w:rFonts w:cstheme="minorHAnsi"/>
          <w:kern w:val="24"/>
          <w:lang w:val="fr-CA"/>
        </w:rPr>
        <w:t xml:space="preserve">Demander aux membres </w:t>
      </w:r>
      <w:r w:rsidR="00533EF2">
        <w:rPr>
          <w:rFonts w:cstheme="minorHAnsi"/>
          <w:kern w:val="24"/>
          <w:lang w:val="fr-CA"/>
        </w:rPr>
        <w:t>de</w:t>
      </w:r>
      <w:r w:rsidRPr="00C07DD2">
        <w:rPr>
          <w:rFonts w:cstheme="minorHAnsi"/>
          <w:kern w:val="24"/>
          <w:lang w:val="fr-CA"/>
        </w:rPr>
        <w:t xml:space="preserve"> la réunion de la Commission (RC) leurs opinions et directives sur ce qui suit :</w:t>
      </w:r>
    </w:p>
    <w:p w14:paraId="3922D55C" w14:textId="77777777" w:rsidR="00E7222B" w:rsidRPr="00C07DD2" w:rsidRDefault="0052105A" w:rsidP="00057E50">
      <w:pPr>
        <w:numPr>
          <w:ilvl w:val="0"/>
          <w:numId w:val="5"/>
        </w:numPr>
        <w:autoSpaceDE w:val="0"/>
        <w:autoSpaceDN w:val="0"/>
        <w:adjustRightInd w:val="0"/>
        <w:spacing w:after="0" w:line="240" w:lineRule="auto"/>
        <w:ind w:left="714" w:hanging="357"/>
        <w:contextualSpacing/>
        <w:rPr>
          <w:rFonts w:cstheme="minorHAnsi"/>
          <w:kern w:val="24"/>
          <w:lang w:val="fr-CA"/>
        </w:rPr>
      </w:pPr>
      <w:r w:rsidRPr="00C07DD2">
        <w:rPr>
          <w:rFonts w:cstheme="minorHAnsi"/>
          <w:kern w:val="24"/>
          <w:lang w:val="fr-CA"/>
        </w:rPr>
        <w:t>Conclusion générale et observations concernant les rapports du cycle actuel.</w:t>
      </w:r>
    </w:p>
    <w:p w14:paraId="08600324" w14:textId="77777777" w:rsidR="0084204D" w:rsidRPr="00C07DD2" w:rsidRDefault="0052105A" w:rsidP="006C588C">
      <w:pPr>
        <w:numPr>
          <w:ilvl w:val="0"/>
          <w:numId w:val="5"/>
        </w:numPr>
        <w:autoSpaceDE w:val="0"/>
        <w:autoSpaceDN w:val="0"/>
        <w:adjustRightInd w:val="0"/>
        <w:spacing w:after="120" w:line="240" w:lineRule="auto"/>
        <w:ind w:left="714" w:hanging="357"/>
        <w:contextualSpacing/>
        <w:rPr>
          <w:rFonts w:cstheme="minorHAnsi"/>
          <w:kern w:val="24"/>
          <w:lang w:val="fr-CA"/>
        </w:rPr>
      </w:pPr>
      <w:r w:rsidRPr="00C07DD2">
        <w:rPr>
          <w:rFonts w:cstheme="minorHAnsi"/>
          <w:kern w:val="24"/>
          <w:lang w:val="fr-CA"/>
        </w:rPr>
        <w:t>Examen des considérations et des changements proposés pour les modèles de présentation de rapports du cycle de 2019-2020.</w:t>
      </w:r>
    </w:p>
    <w:p w14:paraId="666531F3" w14:textId="5C3950AE" w:rsidR="0084204D" w:rsidRPr="00C07DD2" w:rsidRDefault="0084204D" w:rsidP="00215FA4">
      <w:pPr>
        <w:pStyle w:val="Titre1"/>
        <w:spacing w:after="120" w:line="240" w:lineRule="auto"/>
        <w:rPr>
          <w:lang w:val="fr-CA"/>
        </w:rPr>
      </w:pPr>
      <w:r w:rsidRPr="00C07DD2">
        <w:rPr>
          <w:lang w:val="fr-CA"/>
        </w:rPr>
        <w:t>E</w:t>
      </w:r>
      <w:r w:rsidR="00215FA4" w:rsidRPr="00C07DD2">
        <w:rPr>
          <w:lang w:val="fr-CA"/>
        </w:rPr>
        <w:t xml:space="preserve">xceptions </w:t>
      </w:r>
      <w:r w:rsidR="00735B31" w:rsidRPr="00C07DD2">
        <w:rPr>
          <w:lang w:val="fr-CA"/>
        </w:rPr>
        <w:t xml:space="preserve">à la zone nationale de sélection </w:t>
      </w:r>
      <w:r w:rsidR="009A37D8">
        <w:rPr>
          <w:lang w:val="fr-CA"/>
        </w:rPr>
        <w:t>(ZNS)</w:t>
      </w:r>
    </w:p>
    <w:p w14:paraId="533A281E" w14:textId="77777777" w:rsidR="0084204D" w:rsidRPr="00C07DD2" w:rsidRDefault="00215FA4" w:rsidP="00215FA4">
      <w:pPr>
        <w:pStyle w:val="Titre2"/>
        <w:spacing w:after="120" w:line="240" w:lineRule="auto"/>
        <w:rPr>
          <w:lang w:val="fr-CA"/>
        </w:rPr>
      </w:pPr>
      <w:r w:rsidRPr="00C07DD2">
        <w:rPr>
          <w:lang w:val="fr-CA"/>
        </w:rPr>
        <w:t>Context</w:t>
      </w:r>
      <w:r w:rsidR="00735B31" w:rsidRPr="00C07DD2">
        <w:rPr>
          <w:lang w:val="fr-CA"/>
        </w:rPr>
        <w:t>e</w:t>
      </w:r>
    </w:p>
    <w:p w14:paraId="7921F5DD" w14:textId="77777777" w:rsidR="00E7222B" w:rsidRPr="00C07DD2" w:rsidRDefault="0052105A" w:rsidP="00735B31">
      <w:pPr>
        <w:autoSpaceDE w:val="0"/>
        <w:autoSpaceDN w:val="0"/>
        <w:adjustRightInd w:val="0"/>
        <w:spacing w:after="120" w:line="240" w:lineRule="auto"/>
        <w:rPr>
          <w:rFonts w:cstheme="minorHAnsi"/>
          <w:kern w:val="24"/>
          <w:lang w:val="fr-CA"/>
        </w:rPr>
      </w:pPr>
      <w:r w:rsidRPr="00C07DD2">
        <w:rPr>
          <w:rFonts w:cstheme="minorHAnsi"/>
          <w:kern w:val="24"/>
          <w:lang w:val="fr-CA"/>
        </w:rPr>
        <w:t>En 2008, la Commission de la fonction publique (CFP) a mis en place une zone nationale de sélection (ZNS) pour les emplois offerts au public avec une clause selon laquelle les administrateurs généraux (AG) devaient demander, au cas par cas, une exception à cette exigence. Cinq demandes ont été reçues entre 2008 et mars 2016, et elles ont toutes été approuvées.</w:t>
      </w:r>
    </w:p>
    <w:p w14:paraId="26E21FDD" w14:textId="77777777" w:rsidR="00E7222B" w:rsidRPr="00C07DD2" w:rsidRDefault="0052105A" w:rsidP="00735B31">
      <w:pPr>
        <w:autoSpaceDE w:val="0"/>
        <w:autoSpaceDN w:val="0"/>
        <w:adjustRightInd w:val="0"/>
        <w:spacing w:after="120" w:line="240" w:lineRule="auto"/>
        <w:rPr>
          <w:rFonts w:cstheme="minorHAnsi"/>
          <w:kern w:val="24"/>
          <w:lang w:val="fr-CA"/>
        </w:rPr>
      </w:pPr>
      <w:r w:rsidRPr="00C07DD2">
        <w:rPr>
          <w:rFonts w:cstheme="minorHAnsi"/>
          <w:kern w:val="24"/>
          <w:lang w:val="fr-CA"/>
        </w:rPr>
        <w:t>En avril 2016, la Politique de nomination révisée a maintenu la ZNS et a octroyé aux AG le pouvoir d’approuver les exceptions. Par conséquent, la CFP a demandé aux AG de produire un rapport annuel sur l’utilisation de ce nouveau pouvoir discrétionnaire.</w:t>
      </w:r>
    </w:p>
    <w:p w14:paraId="4BED2F6F" w14:textId="77777777" w:rsidR="00996E73" w:rsidRDefault="0052105A" w:rsidP="003018FB">
      <w:pPr>
        <w:autoSpaceDE w:val="0"/>
        <w:autoSpaceDN w:val="0"/>
        <w:adjustRightInd w:val="0"/>
        <w:spacing w:after="120" w:line="240" w:lineRule="auto"/>
        <w:rPr>
          <w:rFonts w:cstheme="minorHAnsi"/>
          <w:kern w:val="24"/>
          <w:lang w:val="fr-CA"/>
        </w:rPr>
        <w:sectPr w:rsidR="00996E73" w:rsidSect="0084204D">
          <w:footerReference w:type="default" r:id="rId8"/>
          <w:footerReference w:type="first" r:id="rId9"/>
          <w:pgSz w:w="12240" w:h="15840"/>
          <w:pgMar w:top="1985" w:right="1440" w:bottom="1440" w:left="1440" w:header="708" w:footer="283" w:gutter="0"/>
          <w:cols w:space="708"/>
          <w:titlePg/>
          <w:docGrid w:linePitch="360"/>
        </w:sectPr>
      </w:pPr>
      <w:r w:rsidRPr="00C07DD2">
        <w:rPr>
          <w:rFonts w:cstheme="minorHAnsi"/>
          <w:kern w:val="24"/>
          <w:lang w:val="fr-CA"/>
        </w:rPr>
        <w:lastRenderedPageBreak/>
        <w:t xml:space="preserve">En 2018-2019, les exceptions des AG à la ZNS représentaient </w:t>
      </w:r>
      <w:r w:rsidRPr="00996E73">
        <w:rPr>
          <w:rStyle w:val="lev"/>
          <w:lang w:val="fr-CA"/>
        </w:rPr>
        <w:t>2,05 %</w:t>
      </w:r>
      <w:r w:rsidRPr="00C07DD2">
        <w:rPr>
          <w:rFonts w:cstheme="minorHAnsi"/>
          <w:kern w:val="24"/>
          <w:lang w:val="fr-CA"/>
        </w:rPr>
        <w:t xml:space="preserve"> de tous les processus de nomination externes annoncés (67/3263). </w:t>
      </w:r>
      <w:r w:rsidR="00996E73">
        <w:rPr>
          <w:rFonts w:cstheme="minorHAnsi"/>
          <w:kern w:val="24"/>
          <w:lang w:val="fr-CA"/>
        </w:rPr>
        <w:t xml:space="preserve"> </w:t>
      </w:r>
    </w:p>
    <w:p w14:paraId="6541A078" w14:textId="77777777" w:rsidR="004602B9" w:rsidRPr="00C07DD2" w:rsidRDefault="004602B9" w:rsidP="00E80719">
      <w:pPr>
        <w:pStyle w:val="Lgende"/>
        <w:keepNext/>
        <w:spacing w:after="0"/>
        <w:rPr>
          <w:i w:val="0"/>
          <w:color w:val="auto"/>
          <w:lang w:val="fr-CA"/>
        </w:rPr>
      </w:pPr>
      <w:r w:rsidRPr="00C07DD2">
        <w:rPr>
          <w:i w:val="0"/>
          <w:color w:val="auto"/>
          <w:lang w:val="fr-CA"/>
        </w:rPr>
        <w:lastRenderedPageBreak/>
        <w:t xml:space="preserve">Table </w:t>
      </w:r>
      <w:r w:rsidRPr="00C07DD2">
        <w:rPr>
          <w:i w:val="0"/>
          <w:color w:val="auto"/>
          <w:lang w:val="fr-CA"/>
        </w:rPr>
        <w:fldChar w:fldCharType="begin"/>
      </w:r>
      <w:r w:rsidRPr="00C07DD2">
        <w:rPr>
          <w:i w:val="0"/>
          <w:color w:val="auto"/>
          <w:lang w:val="fr-CA"/>
        </w:rPr>
        <w:instrText xml:space="preserve"> SEQ Table \* ARABIC </w:instrText>
      </w:r>
      <w:r w:rsidRPr="00C07DD2">
        <w:rPr>
          <w:i w:val="0"/>
          <w:color w:val="auto"/>
          <w:lang w:val="fr-CA"/>
        </w:rPr>
        <w:fldChar w:fldCharType="separate"/>
      </w:r>
      <w:r w:rsidR="007B56A5" w:rsidRPr="00C07DD2">
        <w:rPr>
          <w:i w:val="0"/>
          <w:noProof/>
          <w:color w:val="auto"/>
          <w:lang w:val="fr-CA"/>
        </w:rPr>
        <w:t>1</w:t>
      </w:r>
      <w:r w:rsidRPr="00C07DD2">
        <w:rPr>
          <w:i w:val="0"/>
          <w:color w:val="auto"/>
          <w:lang w:val="fr-CA"/>
        </w:rPr>
        <w:fldChar w:fldCharType="end"/>
      </w:r>
      <w:r w:rsidR="00E80719" w:rsidRPr="00C07DD2">
        <w:rPr>
          <w:i w:val="0"/>
          <w:color w:val="auto"/>
          <w:lang w:val="fr-CA"/>
        </w:rPr>
        <w:t xml:space="preserve"> </w:t>
      </w:r>
      <w:r w:rsidR="00F55F64" w:rsidRPr="00C07DD2">
        <w:rPr>
          <w:i w:val="0"/>
          <w:color w:val="auto"/>
          <w:lang w:val="fr-CA"/>
        </w:rPr>
        <w:t>–</w:t>
      </w:r>
      <w:r w:rsidR="00E80719" w:rsidRPr="00C07DD2">
        <w:rPr>
          <w:i w:val="0"/>
          <w:color w:val="auto"/>
          <w:lang w:val="fr-CA"/>
        </w:rPr>
        <w:t xml:space="preserve"> </w:t>
      </w:r>
      <w:r w:rsidR="00F55F64" w:rsidRPr="00C07DD2">
        <w:rPr>
          <w:i w:val="0"/>
          <w:color w:val="auto"/>
          <w:lang w:val="fr-CA"/>
        </w:rPr>
        <w:t>Nombre d’e</w:t>
      </w:r>
      <w:r w:rsidRPr="00C07DD2">
        <w:rPr>
          <w:i w:val="0"/>
          <w:color w:val="auto"/>
          <w:lang w:val="fr-CA"/>
        </w:rPr>
        <w:t>xceptio</w:t>
      </w:r>
      <w:r w:rsidR="00735B31" w:rsidRPr="00C07DD2">
        <w:rPr>
          <w:i w:val="0"/>
          <w:color w:val="auto"/>
          <w:lang w:val="fr-CA"/>
        </w:rPr>
        <w:t>ns à la zone nationale de sélection</w:t>
      </w:r>
      <w:r w:rsidR="00F55F64" w:rsidRPr="00C07DD2">
        <w:rPr>
          <w:i w:val="0"/>
          <w:color w:val="auto"/>
          <w:lang w:val="fr-CA"/>
        </w:rPr>
        <w:t xml:space="preserve"> par année</w:t>
      </w:r>
    </w:p>
    <w:tbl>
      <w:tblPr>
        <w:tblStyle w:val="Grilledutableau"/>
        <w:tblW w:w="5000" w:type="pct"/>
        <w:jc w:val="center"/>
        <w:tblLayout w:type="fixed"/>
        <w:tblLook w:val="04A0" w:firstRow="1" w:lastRow="0" w:firstColumn="1" w:lastColumn="0" w:noHBand="0" w:noVBand="1"/>
        <w:tblDescription w:val="Nombre d'exceptions à la zone nationale de sélection de 2016 à 2019"/>
      </w:tblPr>
      <w:tblGrid>
        <w:gridCol w:w="1461"/>
        <w:gridCol w:w="1677"/>
        <w:gridCol w:w="1517"/>
        <w:gridCol w:w="1565"/>
        <w:gridCol w:w="1565"/>
        <w:gridCol w:w="1565"/>
      </w:tblGrid>
      <w:tr w:rsidR="00735B31" w:rsidRPr="0060539D" w14:paraId="4A30BEDE" w14:textId="77777777" w:rsidTr="00571A84">
        <w:trPr>
          <w:cantSplit/>
          <w:tblHeader/>
          <w:jc w:val="center"/>
        </w:trPr>
        <w:tc>
          <w:tcPr>
            <w:tcW w:w="781" w:type="pct"/>
            <w:shd w:val="clear" w:color="auto" w:fill="54575A" w:themeFill="text1"/>
          </w:tcPr>
          <w:p w14:paraId="21B6120F" w14:textId="77777777" w:rsidR="00E65ADE" w:rsidRPr="00C07DD2" w:rsidRDefault="007B56A5" w:rsidP="00735B31">
            <w:pPr>
              <w:pStyle w:val="TableTitle"/>
              <w:spacing w:before="120" w:after="120"/>
              <w:rPr>
                <w:rFonts w:cs="Segoe UI Semibold"/>
                <w:color w:val="FFFFFF" w:themeColor="background1"/>
                <w:lang w:val="fr-CA"/>
              </w:rPr>
            </w:pPr>
            <w:r w:rsidRPr="00C07DD2">
              <w:rPr>
                <w:rFonts w:cs="Segoe UI Semibold"/>
                <w:color w:val="FFFFFF" w:themeColor="background1"/>
                <w:lang w:val="fr-CA"/>
              </w:rPr>
              <w:t xml:space="preserve">Exceptions </w:t>
            </w:r>
            <w:r w:rsidR="00735B31" w:rsidRPr="00C07DD2">
              <w:rPr>
                <w:rFonts w:cs="Segoe UI Semibold"/>
                <w:color w:val="FFFFFF" w:themeColor="background1"/>
                <w:lang w:val="fr-CA"/>
              </w:rPr>
              <w:t>approuvées au cours de l’exercice financier</w:t>
            </w:r>
          </w:p>
        </w:tc>
        <w:tc>
          <w:tcPr>
            <w:tcW w:w="897" w:type="pct"/>
            <w:shd w:val="clear" w:color="auto" w:fill="54575A" w:themeFill="text1"/>
          </w:tcPr>
          <w:p w14:paraId="60DF8398" w14:textId="77777777" w:rsidR="00E65ADE" w:rsidRPr="00C07DD2" w:rsidRDefault="00735B31" w:rsidP="00215FA4">
            <w:pPr>
              <w:pStyle w:val="TableTitle"/>
              <w:spacing w:before="120" w:after="120"/>
              <w:rPr>
                <w:rFonts w:cs="Segoe UI Semibold"/>
                <w:color w:val="FFFFFF" w:themeColor="background1"/>
                <w:lang w:val="fr-CA"/>
              </w:rPr>
            </w:pPr>
            <w:r w:rsidRPr="00C07DD2">
              <w:rPr>
                <w:rFonts w:cs="Segoe UI Semibold"/>
                <w:color w:val="FFFFFF" w:themeColor="background1"/>
                <w:lang w:val="fr-CA"/>
              </w:rPr>
              <w:t>Nombre d’organisation</w:t>
            </w:r>
          </w:p>
        </w:tc>
        <w:tc>
          <w:tcPr>
            <w:tcW w:w="811" w:type="pct"/>
            <w:shd w:val="clear" w:color="auto" w:fill="54575A" w:themeFill="text1"/>
          </w:tcPr>
          <w:p w14:paraId="79C83642" w14:textId="77777777" w:rsidR="00E65ADE" w:rsidRPr="00C07DD2" w:rsidRDefault="00996E73" w:rsidP="00735B31">
            <w:pPr>
              <w:pStyle w:val="TableTitle"/>
              <w:spacing w:before="120" w:after="120"/>
              <w:rPr>
                <w:rFonts w:cs="Segoe UI Semibold"/>
                <w:color w:val="FFFFFF" w:themeColor="background1"/>
                <w:lang w:val="fr-CA"/>
              </w:rPr>
            </w:pPr>
            <w:r>
              <w:rPr>
                <w:rFonts w:cs="Segoe UI Semibold"/>
                <w:color w:val="FFFFFF" w:themeColor="background1"/>
                <w:lang w:val="fr-CA"/>
              </w:rPr>
              <w:t>No</w:t>
            </w:r>
            <w:r w:rsidR="00735B31" w:rsidRPr="00C07DD2">
              <w:rPr>
                <w:rFonts w:cs="Segoe UI Semibold"/>
                <w:color w:val="FFFFFF" w:themeColor="background1"/>
                <w:lang w:val="fr-CA"/>
              </w:rPr>
              <w:t>mbre d’exceptions (Processus</w:t>
            </w:r>
            <w:r w:rsidR="00E65ADE" w:rsidRPr="00C07DD2">
              <w:rPr>
                <w:rFonts w:cs="Segoe UI Semibold"/>
                <w:color w:val="FFFFFF" w:themeColor="background1"/>
                <w:lang w:val="fr-CA"/>
              </w:rPr>
              <w:t>)</w:t>
            </w:r>
          </w:p>
        </w:tc>
        <w:tc>
          <w:tcPr>
            <w:tcW w:w="837" w:type="pct"/>
            <w:shd w:val="clear" w:color="auto" w:fill="54575A" w:themeFill="text1"/>
          </w:tcPr>
          <w:p w14:paraId="10D66C3A" w14:textId="4F89DE56" w:rsidR="00E65ADE" w:rsidRPr="00C07DD2" w:rsidRDefault="00735B31" w:rsidP="00057E50">
            <w:pPr>
              <w:pStyle w:val="TableTitle"/>
              <w:spacing w:before="120" w:after="120"/>
              <w:rPr>
                <w:rFonts w:cs="Segoe UI Semibold"/>
                <w:color w:val="FFFFFF" w:themeColor="background1"/>
                <w:lang w:val="fr-CA"/>
              </w:rPr>
            </w:pPr>
            <w:r w:rsidRPr="00C07DD2">
              <w:rPr>
                <w:rFonts w:cs="Segoe UI Semibold"/>
                <w:bCs/>
                <w:color w:val="FFFFFF" w:themeColor="background1"/>
                <w:lang w:val="fr-CA"/>
              </w:rPr>
              <w:t>Nombre de nominations effectuées au cours de l’exercice financier</w:t>
            </w:r>
            <w:r w:rsidR="00571A84">
              <w:rPr>
                <w:rFonts w:cs="Segoe UI Semibold"/>
                <w:bCs/>
                <w:color w:val="FFFFFF" w:themeColor="background1"/>
                <w:lang w:val="fr-CA"/>
              </w:rPr>
              <w:t xml:space="preserve"> 2016-2017</w:t>
            </w:r>
          </w:p>
        </w:tc>
        <w:tc>
          <w:tcPr>
            <w:tcW w:w="837" w:type="pct"/>
            <w:shd w:val="clear" w:color="auto" w:fill="54575A" w:themeFill="text1"/>
          </w:tcPr>
          <w:p w14:paraId="0D02B66E" w14:textId="28DC31A4" w:rsidR="00E65ADE" w:rsidRPr="00C07DD2" w:rsidRDefault="00735B31" w:rsidP="00057E50">
            <w:pPr>
              <w:pStyle w:val="TableTitle"/>
              <w:spacing w:before="120" w:after="120"/>
              <w:rPr>
                <w:rFonts w:cs="Segoe UI Semibold"/>
                <w:color w:val="FFFFFF" w:themeColor="background1"/>
                <w:lang w:val="fr-CA"/>
              </w:rPr>
            </w:pPr>
            <w:r w:rsidRPr="00C07DD2">
              <w:rPr>
                <w:rFonts w:cs="Segoe UI Semibold"/>
                <w:bCs/>
                <w:color w:val="FFFFFF" w:themeColor="background1"/>
                <w:lang w:val="fr-CA"/>
              </w:rPr>
              <w:t>Nombre de nominations effectuées au cours de l’exercice financier</w:t>
            </w:r>
            <w:r w:rsidR="00571A84">
              <w:rPr>
                <w:rFonts w:cs="Segoe UI Semibold"/>
                <w:bCs/>
                <w:color w:val="FFFFFF" w:themeColor="background1"/>
                <w:lang w:val="fr-CA"/>
              </w:rPr>
              <w:t xml:space="preserve"> 2017-2018</w:t>
            </w:r>
          </w:p>
        </w:tc>
        <w:tc>
          <w:tcPr>
            <w:tcW w:w="837" w:type="pct"/>
            <w:shd w:val="clear" w:color="auto" w:fill="54575A" w:themeFill="text1"/>
          </w:tcPr>
          <w:p w14:paraId="3C1D46C5" w14:textId="782C9672" w:rsidR="00E65ADE" w:rsidRPr="00C07DD2" w:rsidRDefault="00735B31" w:rsidP="00057E50">
            <w:pPr>
              <w:pStyle w:val="TableTitle"/>
              <w:spacing w:before="120" w:after="120"/>
              <w:rPr>
                <w:rFonts w:cs="Segoe UI Semibold"/>
                <w:color w:val="FFFFFF" w:themeColor="background1"/>
                <w:lang w:val="fr-CA"/>
              </w:rPr>
            </w:pPr>
            <w:r w:rsidRPr="00C07DD2">
              <w:rPr>
                <w:rFonts w:cs="Segoe UI Semibold"/>
                <w:bCs/>
                <w:color w:val="FFFFFF" w:themeColor="background1"/>
                <w:lang w:val="fr-CA"/>
              </w:rPr>
              <w:t>Nombre de nominations effectuées au cours de l’exercice financier</w:t>
            </w:r>
            <w:r w:rsidR="00571A84">
              <w:rPr>
                <w:rFonts w:cs="Segoe UI Semibold"/>
                <w:bCs/>
                <w:color w:val="FFFFFF" w:themeColor="background1"/>
                <w:lang w:val="fr-CA"/>
              </w:rPr>
              <w:t xml:space="preserve"> 2018-2019</w:t>
            </w:r>
          </w:p>
        </w:tc>
      </w:tr>
      <w:tr w:rsidR="00057E50" w:rsidRPr="00996E73" w14:paraId="797313DA" w14:textId="77777777" w:rsidTr="00571A84">
        <w:trPr>
          <w:cantSplit/>
          <w:tblHeader/>
          <w:jc w:val="center"/>
        </w:trPr>
        <w:tc>
          <w:tcPr>
            <w:tcW w:w="781" w:type="pct"/>
            <w:shd w:val="clear" w:color="auto" w:fill="54575A" w:themeFill="text1"/>
          </w:tcPr>
          <w:p w14:paraId="4B17398B" w14:textId="77777777" w:rsidR="00E65ADE" w:rsidRPr="00996E73" w:rsidRDefault="00E65ADE" w:rsidP="00215FA4">
            <w:pPr>
              <w:autoSpaceDE w:val="0"/>
              <w:autoSpaceDN w:val="0"/>
              <w:adjustRightInd w:val="0"/>
              <w:spacing w:before="120" w:after="120"/>
              <w:rPr>
                <w:rFonts w:cstheme="minorHAnsi"/>
                <w:color w:val="FFFFFF" w:themeColor="background1"/>
                <w:kern w:val="24"/>
                <w:lang w:val="fr-CA"/>
              </w:rPr>
            </w:pPr>
            <w:r w:rsidRPr="00996E73">
              <w:rPr>
                <w:rFonts w:cstheme="minorHAnsi"/>
                <w:color w:val="FFFFFF" w:themeColor="background1"/>
                <w:kern w:val="24"/>
                <w:lang w:val="fr-CA"/>
              </w:rPr>
              <w:t>2016-2017</w:t>
            </w:r>
          </w:p>
        </w:tc>
        <w:tc>
          <w:tcPr>
            <w:tcW w:w="897" w:type="pct"/>
          </w:tcPr>
          <w:p w14:paraId="55075CBE" w14:textId="77777777" w:rsidR="00E65ADE" w:rsidRPr="00996E73" w:rsidRDefault="00E65ADE" w:rsidP="00E80719">
            <w:pPr>
              <w:autoSpaceDE w:val="0"/>
              <w:autoSpaceDN w:val="0"/>
              <w:adjustRightInd w:val="0"/>
              <w:spacing w:before="120" w:after="120"/>
              <w:jc w:val="center"/>
              <w:rPr>
                <w:rFonts w:cstheme="minorHAnsi"/>
                <w:kern w:val="24"/>
                <w:lang w:val="fr-CA"/>
              </w:rPr>
            </w:pPr>
            <w:r w:rsidRPr="00996E73">
              <w:rPr>
                <w:rFonts w:cstheme="minorHAnsi"/>
                <w:kern w:val="24"/>
                <w:lang w:val="fr-CA"/>
              </w:rPr>
              <w:t>8</w:t>
            </w:r>
          </w:p>
        </w:tc>
        <w:tc>
          <w:tcPr>
            <w:tcW w:w="811" w:type="pct"/>
          </w:tcPr>
          <w:p w14:paraId="167DB74C" w14:textId="77777777" w:rsidR="00E65ADE" w:rsidRPr="00996E73" w:rsidRDefault="00E65ADE" w:rsidP="00E80719">
            <w:pPr>
              <w:autoSpaceDE w:val="0"/>
              <w:autoSpaceDN w:val="0"/>
              <w:adjustRightInd w:val="0"/>
              <w:spacing w:before="120" w:after="120"/>
              <w:jc w:val="center"/>
              <w:rPr>
                <w:rFonts w:cstheme="minorHAnsi"/>
                <w:kern w:val="24"/>
                <w:lang w:val="fr-CA"/>
              </w:rPr>
            </w:pPr>
            <w:r w:rsidRPr="00996E73">
              <w:rPr>
                <w:rFonts w:cstheme="minorHAnsi"/>
                <w:kern w:val="24"/>
                <w:lang w:val="fr-CA"/>
              </w:rPr>
              <w:t>17</w:t>
            </w:r>
          </w:p>
        </w:tc>
        <w:tc>
          <w:tcPr>
            <w:tcW w:w="837" w:type="pct"/>
          </w:tcPr>
          <w:p w14:paraId="6FEDA304" w14:textId="77777777" w:rsidR="00E65ADE" w:rsidRPr="00996E73" w:rsidRDefault="00E65ADE" w:rsidP="00E80719">
            <w:pPr>
              <w:autoSpaceDE w:val="0"/>
              <w:autoSpaceDN w:val="0"/>
              <w:adjustRightInd w:val="0"/>
              <w:spacing w:before="120" w:after="120"/>
              <w:jc w:val="center"/>
              <w:rPr>
                <w:rFonts w:cstheme="minorHAnsi"/>
                <w:kern w:val="24"/>
                <w:lang w:val="fr-CA"/>
              </w:rPr>
            </w:pPr>
            <w:r w:rsidRPr="00996E73">
              <w:rPr>
                <w:rFonts w:cstheme="minorHAnsi"/>
                <w:kern w:val="24"/>
                <w:lang w:val="fr-CA"/>
              </w:rPr>
              <w:t>18</w:t>
            </w:r>
          </w:p>
        </w:tc>
        <w:tc>
          <w:tcPr>
            <w:tcW w:w="837" w:type="pct"/>
          </w:tcPr>
          <w:p w14:paraId="0A93CA71" w14:textId="77777777" w:rsidR="00E65ADE" w:rsidRPr="00996E73" w:rsidRDefault="00E65ADE" w:rsidP="00E80719">
            <w:pPr>
              <w:autoSpaceDE w:val="0"/>
              <w:autoSpaceDN w:val="0"/>
              <w:adjustRightInd w:val="0"/>
              <w:spacing w:before="120" w:after="120"/>
              <w:jc w:val="center"/>
              <w:rPr>
                <w:rFonts w:cstheme="minorHAnsi"/>
                <w:kern w:val="24"/>
                <w:lang w:val="fr-CA"/>
              </w:rPr>
            </w:pPr>
            <w:r w:rsidRPr="00996E73">
              <w:rPr>
                <w:rFonts w:cstheme="minorHAnsi"/>
                <w:kern w:val="24"/>
                <w:lang w:val="fr-CA"/>
              </w:rPr>
              <w:t>31</w:t>
            </w:r>
          </w:p>
        </w:tc>
        <w:tc>
          <w:tcPr>
            <w:tcW w:w="837" w:type="pct"/>
          </w:tcPr>
          <w:p w14:paraId="62C9F96F" w14:textId="77777777" w:rsidR="00E65ADE" w:rsidRPr="00996E73" w:rsidRDefault="00E65ADE" w:rsidP="00E80719">
            <w:pPr>
              <w:autoSpaceDE w:val="0"/>
              <w:autoSpaceDN w:val="0"/>
              <w:adjustRightInd w:val="0"/>
              <w:spacing w:before="120" w:after="120"/>
              <w:jc w:val="center"/>
              <w:rPr>
                <w:rFonts w:cstheme="minorHAnsi"/>
                <w:kern w:val="24"/>
                <w:lang w:val="fr-CA"/>
              </w:rPr>
            </w:pPr>
            <w:r w:rsidRPr="00996E73">
              <w:rPr>
                <w:rFonts w:cstheme="minorHAnsi"/>
                <w:kern w:val="24"/>
                <w:lang w:val="fr-CA"/>
              </w:rPr>
              <w:t>5</w:t>
            </w:r>
          </w:p>
        </w:tc>
      </w:tr>
      <w:tr w:rsidR="00057E50" w:rsidRPr="00996E73" w14:paraId="2189EE28" w14:textId="77777777" w:rsidTr="00571A84">
        <w:trPr>
          <w:cantSplit/>
          <w:tblHeader/>
          <w:jc w:val="center"/>
        </w:trPr>
        <w:tc>
          <w:tcPr>
            <w:tcW w:w="781" w:type="pct"/>
            <w:shd w:val="clear" w:color="auto" w:fill="54575A" w:themeFill="text1"/>
          </w:tcPr>
          <w:p w14:paraId="4ECD8E0D" w14:textId="77777777" w:rsidR="00E65ADE" w:rsidRPr="00996E73" w:rsidRDefault="00E65ADE" w:rsidP="00215FA4">
            <w:pPr>
              <w:autoSpaceDE w:val="0"/>
              <w:autoSpaceDN w:val="0"/>
              <w:adjustRightInd w:val="0"/>
              <w:spacing w:before="120" w:after="120"/>
              <w:rPr>
                <w:rFonts w:cstheme="minorHAnsi"/>
                <w:color w:val="FFFFFF" w:themeColor="background1"/>
                <w:kern w:val="24"/>
                <w:lang w:val="fr-CA"/>
              </w:rPr>
            </w:pPr>
            <w:r w:rsidRPr="00996E73">
              <w:rPr>
                <w:rFonts w:cstheme="minorHAnsi"/>
                <w:color w:val="FFFFFF" w:themeColor="background1"/>
                <w:kern w:val="24"/>
                <w:lang w:val="fr-CA"/>
              </w:rPr>
              <w:t>2017-2018</w:t>
            </w:r>
          </w:p>
        </w:tc>
        <w:tc>
          <w:tcPr>
            <w:tcW w:w="897" w:type="pct"/>
          </w:tcPr>
          <w:p w14:paraId="3ECF6C4E" w14:textId="77777777" w:rsidR="00E65ADE" w:rsidRPr="00996E73" w:rsidRDefault="00E65ADE" w:rsidP="00E80719">
            <w:pPr>
              <w:autoSpaceDE w:val="0"/>
              <w:autoSpaceDN w:val="0"/>
              <w:adjustRightInd w:val="0"/>
              <w:spacing w:before="120" w:after="120"/>
              <w:jc w:val="center"/>
              <w:rPr>
                <w:rFonts w:cstheme="minorHAnsi"/>
                <w:kern w:val="24"/>
                <w:lang w:val="fr-CA"/>
              </w:rPr>
            </w:pPr>
            <w:r w:rsidRPr="00996E73">
              <w:rPr>
                <w:rFonts w:cstheme="minorHAnsi"/>
                <w:kern w:val="24"/>
                <w:lang w:val="fr-CA"/>
              </w:rPr>
              <w:t>6</w:t>
            </w:r>
          </w:p>
        </w:tc>
        <w:tc>
          <w:tcPr>
            <w:tcW w:w="811" w:type="pct"/>
          </w:tcPr>
          <w:p w14:paraId="367AAF2C" w14:textId="77777777" w:rsidR="00E65ADE" w:rsidRPr="00996E73" w:rsidRDefault="00E65ADE" w:rsidP="00E80719">
            <w:pPr>
              <w:autoSpaceDE w:val="0"/>
              <w:autoSpaceDN w:val="0"/>
              <w:adjustRightInd w:val="0"/>
              <w:spacing w:before="120" w:after="120"/>
              <w:jc w:val="center"/>
              <w:rPr>
                <w:rFonts w:cstheme="minorHAnsi"/>
                <w:kern w:val="24"/>
                <w:lang w:val="fr-CA"/>
              </w:rPr>
            </w:pPr>
            <w:r w:rsidRPr="00996E73">
              <w:rPr>
                <w:rFonts w:cstheme="minorHAnsi"/>
                <w:kern w:val="24"/>
                <w:lang w:val="fr-CA"/>
              </w:rPr>
              <w:t>43</w:t>
            </w:r>
          </w:p>
        </w:tc>
        <w:tc>
          <w:tcPr>
            <w:tcW w:w="837" w:type="pct"/>
          </w:tcPr>
          <w:p w14:paraId="1B9F05BA" w14:textId="77777777" w:rsidR="00E65ADE" w:rsidRPr="00996E73" w:rsidRDefault="00E80719" w:rsidP="00E80719">
            <w:pPr>
              <w:autoSpaceDE w:val="0"/>
              <w:autoSpaceDN w:val="0"/>
              <w:adjustRightInd w:val="0"/>
              <w:spacing w:before="120" w:after="120"/>
              <w:jc w:val="center"/>
              <w:rPr>
                <w:rFonts w:cstheme="minorHAnsi"/>
                <w:kern w:val="24"/>
                <w:lang w:val="fr-CA"/>
              </w:rPr>
            </w:pPr>
            <w:r w:rsidRPr="00996E73">
              <w:rPr>
                <w:rFonts w:cstheme="minorHAnsi"/>
                <w:kern w:val="24"/>
                <w:lang w:val="fr-CA"/>
              </w:rPr>
              <w:t>0</w:t>
            </w:r>
          </w:p>
        </w:tc>
        <w:tc>
          <w:tcPr>
            <w:tcW w:w="837" w:type="pct"/>
          </w:tcPr>
          <w:p w14:paraId="3EAB62C6" w14:textId="77777777" w:rsidR="00E65ADE" w:rsidRPr="00996E73" w:rsidRDefault="00E65ADE" w:rsidP="00E80719">
            <w:pPr>
              <w:autoSpaceDE w:val="0"/>
              <w:autoSpaceDN w:val="0"/>
              <w:adjustRightInd w:val="0"/>
              <w:spacing w:before="120" w:after="120"/>
              <w:jc w:val="center"/>
              <w:rPr>
                <w:rFonts w:cstheme="minorHAnsi"/>
                <w:kern w:val="24"/>
                <w:lang w:val="fr-CA"/>
              </w:rPr>
            </w:pPr>
            <w:r w:rsidRPr="00996E73">
              <w:rPr>
                <w:rFonts w:cstheme="minorHAnsi"/>
                <w:kern w:val="24"/>
                <w:lang w:val="fr-CA"/>
              </w:rPr>
              <w:t>17</w:t>
            </w:r>
          </w:p>
        </w:tc>
        <w:tc>
          <w:tcPr>
            <w:tcW w:w="837" w:type="pct"/>
          </w:tcPr>
          <w:p w14:paraId="4FF9143B" w14:textId="77777777" w:rsidR="00E65ADE" w:rsidRPr="00996E73" w:rsidRDefault="00E65ADE" w:rsidP="00E80719">
            <w:pPr>
              <w:autoSpaceDE w:val="0"/>
              <w:autoSpaceDN w:val="0"/>
              <w:adjustRightInd w:val="0"/>
              <w:spacing w:before="120" w:after="120"/>
              <w:jc w:val="center"/>
              <w:rPr>
                <w:rFonts w:cstheme="minorHAnsi"/>
                <w:kern w:val="24"/>
                <w:lang w:val="fr-CA"/>
              </w:rPr>
            </w:pPr>
            <w:r w:rsidRPr="00996E73">
              <w:rPr>
                <w:rFonts w:cstheme="minorHAnsi"/>
                <w:kern w:val="24"/>
                <w:lang w:val="fr-CA"/>
              </w:rPr>
              <w:t>13</w:t>
            </w:r>
          </w:p>
        </w:tc>
      </w:tr>
      <w:tr w:rsidR="00057E50" w:rsidRPr="00996E73" w14:paraId="1CB3748D" w14:textId="77777777" w:rsidTr="00571A84">
        <w:trPr>
          <w:cantSplit/>
          <w:tblHeader/>
          <w:jc w:val="center"/>
        </w:trPr>
        <w:tc>
          <w:tcPr>
            <w:tcW w:w="781" w:type="pct"/>
            <w:shd w:val="clear" w:color="auto" w:fill="54575A" w:themeFill="text1"/>
          </w:tcPr>
          <w:p w14:paraId="43823C63" w14:textId="77777777" w:rsidR="00E65ADE" w:rsidRPr="00996E73" w:rsidRDefault="00E65ADE" w:rsidP="00215FA4">
            <w:pPr>
              <w:autoSpaceDE w:val="0"/>
              <w:autoSpaceDN w:val="0"/>
              <w:adjustRightInd w:val="0"/>
              <w:spacing w:before="120" w:after="120"/>
              <w:rPr>
                <w:rFonts w:cstheme="minorHAnsi"/>
                <w:color w:val="FFFFFF" w:themeColor="background1"/>
                <w:kern w:val="24"/>
                <w:lang w:val="fr-CA"/>
              </w:rPr>
            </w:pPr>
            <w:r w:rsidRPr="00996E73">
              <w:rPr>
                <w:rFonts w:cstheme="minorHAnsi"/>
                <w:color w:val="FFFFFF" w:themeColor="background1"/>
                <w:kern w:val="24"/>
                <w:lang w:val="fr-CA"/>
              </w:rPr>
              <w:t>2018-2019</w:t>
            </w:r>
          </w:p>
        </w:tc>
        <w:tc>
          <w:tcPr>
            <w:tcW w:w="897" w:type="pct"/>
          </w:tcPr>
          <w:p w14:paraId="76538338" w14:textId="77777777" w:rsidR="00E65ADE" w:rsidRPr="00996E73" w:rsidRDefault="00E65ADE" w:rsidP="00E80719">
            <w:pPr>
              <w:autoSpaceDE w:val="0"/>
              <w:autoSpaceDN w:val="0"/>
              <w:adjustRightInd w:val="0"/>
              <w:spacing w:before="120" w:after="120"/>
              <w:jc w:val="center"/>
              <w:rPr>
                <w:rFonts w:cstheme="minorHAnsi"/>
                <w:kern w:val="24"/>
                <w:lang w:val="fr-CA"/>
              </w:rPr>
            </w:pPr>
            <w:r w:rsidRPr="00996E73">
              <w:rPr>
                <w:rFonts w:cstheme="minorHAnsi"/>
                <w:kern w:val="24"/>
                <w:lang w:val="fr-CA"/>
              </w:rPr>
              <w:t>10</w:t>
            </w:r>
          </w:p>
        </w:tc>
        <w:tc>
          <w:tcPr>
            <w:tcW w:w="811" w:type="pct"/>
          </w:tcPr>
          <w:p w14:paraId="7CDDF2B3" w14:textId="77777777" w:rsidR="00E65ADE" w:rsidRPr="00996E73" w:rsidRDefault="00E65ADE" w:rsidP="00E80719">
            <w:pPr>
              <w:autoSpaceDE w:val="0"/>
              <w:autoSpaceDN w:val="0"/>
              <w:adjustRightInd w:val="0"/>
              <w:spacing w:before="120" w:after="120"/>
              <w:jc w:val="center"/>
              <w:rPr>
                <w:rFonts w:cstheme="minorHAnsi"/>
                <w:kern w:val="24"/>
                <w:lang w:val="fr-CA"/>
              </w:rPr>
            </w:pPr>
            <w:r w:rsidRPr="00996E73">
              <w:rPr>
                <w:rFonts w:cstheme="minorHAnsi"/>
                <w:kern w:val="24"/>
                <w:lang w:val="fr-CA"/>
              </w:rPr>
              <w:t>67</w:t>
            </w:r>
          </w:p>
        </w:tc>
        <w:tc>
          <w:tcPr>
            <w:tcW w:w="837" w:type="pct"/>
          </w:tcPr>
          <w:p w14:paraId="69B4CADD" w14:textId="77777777" w:rsidR="00E65ADE" w:rsidRPr="00996E73" w:rsidRDefault="00E80719" w:rsidP="00E80719">
            <w:pPr>
              <w:autoSpaceDE w:val="0"/>
              <w:autoSpaceDN w:val="0"/>
              <w:adjustRightInd w:val="0"/>
              <w:spacing w:before="120" w:after="120"/>
              <w:jc w:val="center"/>
              <w:rPr>
                <w:rFonts w:cstheme="minorHAnsi"/>
                <w:kern w:val="24"/>
                <w:lang w:val="fr-CA"/>
              </w:rPr>
            </w:pPr>
            <w:r w:rsidRPr="00996E73">
              <w:rPr>
                <w:rFonts w:cstheme="minorHAnsi"/>
                <w:kern w:val="24"/>
                <w:lang w:val="fr-CA"/>
              </w:rPr>
              <w:t>0</w:t>
            </w:r>
          </w:p>
        </w:tc>
        <w:tc>
          <w:tcPr>
            <w:tcW w:w="837" w:type="pct"/>
          </w:tcPr>
          <w:p w14:paraId="57D77AA4" w14:textId="77777777" w:rsidR="00E65ADE" w:rsidRPr="00996E73" w:rsidRDefault="00E80719" w:rsidP="00E80719">
            <w:pPr>
              <w:autoSpaceDE w:val="0"/>
              <w:autoSpaceDN w:val="0"/>
              <w:adjustRightInd w:val="0"/>
              <w:spacing w:before="120" w:after="120"/>
              <w:jc w:val="center"/>
              <w:rPr>
                <w:rFonts w:cstheme="minorHAnsi"/>
                <w:kern w:val="24"/>
                <w:lang w:val="fr-CA"/>
              </w:rPr>
            </w:pPr>
            <w:r w:rsidRPr="00996E73">
              <w:rPr>
                <w:rFonts w:cstheme="minorHAnsi"/>
                <w:kern w:val="24"/>
                <w:lang w:val="fr-CA"/>
              </w:rPr>
              <w:t>0</w:t>
            </w:r>
          </w:p>
        </w:tc>
        <w:tc>
          <w:tcPr>
            <w:tcW w:w="837" w:type="pct"/>
          </w:tcPr>
          <w:p w14:paraId="0088D72C" w14:textId="77777777" w:rsidR="00E65ADE" w:rsidRPr="00996E73" w:rsidRDefault="00E65ADE" w:rsidP="00E80719">
            <w:pPr>
              <w:autoSpaceDE w:val="0"/>
              <w:autoSpaceDN w:val="0"/>
              <w:adjustRightInd w:val="0"/>
              <w:spacing w:before="120" w:after="120"/>
              <w:jc w:val="center"/>
              <w:rPr>
                <w:rFonts w:cstheme="minorHAnsi"/>
                <w:kern w:val="24"/>
                <w:lang w:val="fr-CA"/>
              </w:rPr>
            </w:pPr>
            <w:r w:rsidRPr="00996E73">
              <w:rPr>
                <w:rFonts w:cstheme="minorHAnsi"/>
                <w:kern w:val="24"/>
                <w:lang w:val="fr-CA"/>
              </w:rPr>
              <w:t>89</w:t>
            </w:r>
          </w:p>
        </w:tc>
      </w:tr>
    </w:tbl>
    <w:p w14:paraId="2B8AF63A" w14:textId="77777777" w:rsidR="0084204D" w:rsidRPr="00C07DD2" w:rsidRDefault="00914083" w:rsidP="00996E73">
      <w:pPr>
        <w:pStyle w:val="Titre2"/>
        <w:spacing w:before="240" w:after="120" w:line="240" w:lineRule="auto"/>
        <w:rPr>
          <w:rFonts w:eastAsia="Times New Roman"/>
          <w:lang w:val="fr-CA"/>
        </w:rPr>
      </w:pPr>
      <w:r w:rsidRPr="00C07DD2">
        <w:rPr>
          <w:rFonts w:eastAsia="Times New Roman"/>
          <w:lang w:val="fr-CA"/>
        </w:rPr>
        <w:t>O</w:t>
      </w:r>
      <w:r w:rsidR="00840B4D" w:rsidRPr="00C07DD2">
        <w:rPr>
          <w:rFonts w:eastAsia="Times New Roman"/>
          <w:lang w:val="fr-CA"/>
        </w:rPr>
        <w:t>bservations</w:t>
      </w:r>
    </w:p>
    <w:p w14:paraId="0D14EC79" w14:textId="77777777" w:rsidR="00E80719" w:rsidRPr="00C07DD2" w:rsidRDefault="00E80719" w:rsidP="00E80719">
      <w:pPr>
        <w:pStyle w:val="Lgende"/>
        <w:keepNext/>
        <w:spacing w:after="0"/>
        <w:rPr>
          <w:rFonts w:cstheme="minorHAnsi"/>
          <w:i w:val="0"/>
          <w:color w:val="auto"/>
          <w:lang w:val="fr-CA"/>
        </w:rPr>
      </w:pPr>
      <w:r w:rsidRPr="00C07DD2">
        <w:rPr>
          <w:rFonts w:cstheme="minorHAnsi"/>
          <w:i w:val="0"/>
          <w:color w:val="auto"/>
          <w:lang w:val="fr-CA"/>
        </w:rPr>
        <w:t xml:space="preserve">Table </w:t>
      </w:r>
      <w:r w:rsidRPr="00C07DD2">
        <w:rPr>
          <w:rFonts w:cstheme="minorHAnsi"/>
          <w:i w:val="0"/>
          <w:color w:val="auto"/>
          <w:lang w:val="fr-CA"/>
        </w:rPr>
        <w:fldChar w:fldCharType="begin"/>
      </w:r>
      <w:r w:rsidRPr="00C07DD2">
        <w:rPr>
          <w:rFonts w:cstheme="minorHAnsi"/>
          <w:i w:val="0"/>
          <w:color w:val="auto"/>
          <w:lang w:val="fr-CA"/>
        </w:rPr>
        <w:instrText xml:space="preserve"> SEQ Table \* ARABIC </w:instrText>
      </w:r>
      <w:r w:rsidRPr="00C07DD2">
        <w:rPr>
          <w:rFonts w:cstheme="minorHAnsi"/>
          <w:i w:val="0"/>
          <w:color w:val="auto"/>
          <w:lang w:val="fr-CA"/>
        </w:rPr>
        <w:fldChar w:fldCharType="separate"/>
      </w:r>
      <w:r w:rsidR="007B56A5" w:rsidRPr="00C07DD2">
        <w:rPr>
          <w:rFonts w:cstheme="minorHAnsi"/>
          <w:i w:val="0"/>
          <w:noProof/>
          <w:color w:val="auto"/>
          <w:lang w:val="fr-CA"/>
        </w:rPr>
        <w:t>2</w:t>
      </w:r>
      <w:r w:rsidRPr="00C07DD2">
        <w:rPr>
          <w:rFonts w:cstheme="minorHAnsi"/>
          <w:i w:val="0"/>
          <w:color w:val="auto"/>
          <w:lang w:val="fr-CA"/>
        </w:rPr>
        <w:fldChar w:fldCharType="end"/>
      </w:r>
      <w:r w:rsidRPr="00C07DD2">
        <w:rPr>
          <w:rFonts w:cstheme="minorHAnsi"/>
          <w:i w:val="0"/>
          <w:color w:val="auto"/>
          <w:lang w:val="fr-CA"/>
        </w:rPr>
        <w:t xml:space="preserve"> </w:t>
      </w:r>
      <w:r w:rsidR="00F55F64" w:rsidRPr="00C07DD2">
        <w:rPr>
          <w:rFonts w:cstheme="minorHAnsi"/>
          <w:i w:val="0"/>
          <w:color w:val="auto"/>
          <w:lang w:val="fr-CA"/>
        </w:rPr>
        <w:t>–</w:t>
      </w:r>
      <w:r w:rsidRPr="00C07DD2">
        <w:rPr>
          <w:rFonts w:cstheme="minorHAnsi"/>
          <w:i w:val="0"/>
          <w:color w:val="auto"/>
          <w:lang w:val="fr-CA"/>
        </w:rPr>
        <w:t xml:space="preserve"> </w:t>
      </w:r>
      <w:r w:rsidR="00F55F64" w:rsidRPr="00C07DD2">
        <w:rPr>
          <w:rFonts w:cstheme="minorHAnsi"/>
          <w:i w:val="0"/>
          <w:color w:val="auto"/>
          <w:lang w:val="fr-CA"/>
        </w:rPr>
        <w:t xml:space="preserve">Nombre d’exceptions à la zone de </w:t>
      </w:r>
      <w:r w:rsidR="00996E73">
        <w:rPr>
          <w:rFonts w:cstheme="minorHAnsi"/>
          <w:i w:val="0"/>
          <w:color w:val="auto"/>
          <w:lang w:val="fr-CA"/>
        </w:rPr>
        <w:t>sélection par organisation</w:t>
      </w:r>
    </w:p>
    <w:tbl>
      <w:tblPr>
        <w:tblStyle w:val="Grilledutableau"/>
        <w:tblW w:w="0" w:type="auto"/>
        <w:jc w:val="center"/>
        <w:tblLook w:val="04A0" w:firstRow="1" w:lastRow="0" w:firstColumn="1" w:lastColumn="0" w:noHBand="0" w:noVBand="1"/>
        <w:tblDescription w:val="Nombre d'exceptions à la zone de sélection par organisation"/>
      </w:tblPr>
      <w:tblGrid>
        <w:gridCol w:w="4248"/>
        <w:gridCol w:w="5102"/>
      </w:tblGrid>
      <w:tr w:rsidR="00E80719" w:rsidRPr="00C07DD2" w14:paraId="2E3FB1E5" w14:textId="77777777" w:rsidTr="00A9539C">
        <w:trPr>
          <w:cantSplit/>
          <w:trHeight w:val="572"/>
          <w:tblHeader/>
          <w:jc w:val="center"/>
        </w:trPr>
        <w:tc>
          <w:tcPr>
            <w:tcW w:w="4248" w:type="dxa"/>
            <w:shd w:val="clear" w:color="auto" w:fill="54575A" w:themeFill="text1"/>
          </w:tcPr>
          <w:p w14:paraId="76C08E2C" w14:textId="77777777" w:rsidR="00E80719" w:rsidRPr="00C07DD2" w:rsidRDefault="00F55F64" w:rsidP="00E80719">
            <w:pPr>
              <w:pStyle w:val="TableTitle"/>
              <w:rPr>
                <w:rFonts w:cs="Segoe UI Semibold"/>
                <w:noProof/>
                <w:color w:val="FFFFFF" w:themeColor="background1"/>
                <w:lang w:val="fr-CA" w:eastAsia="en-CA"/>
              </w:rPr>
            </w:pPr>
            <w:r w:rsidRPr="00C07DD2">
              <w:rPr>
                <w:rFonts w:cs="Segoe UI Semibold"/>
                <w:noProof/>
                <w:color w:val="FFFFFF" w:themeColor="background1"/>
                <w:lang w:val="fr-CA" w:eastAsia="en-CA"/>
              </w:rPr>
              <w:t>Nom de l’organisation</w:t>
            </w:r>
          </w:p>
        </w:tc>
        <w:tc>
          <w:tcPr>
            <w:tcW w:w="5102" w:type="dxa"/>
            <w:shd w:val="clear" w:color="auto" w:fill="54575A" w:themeFill="text1"/>
          </w:tcPr>
          <w:p w14:paraId="541B169F" w14:textId="77777777" w:rsidR="00E80719" w:rsidRPr="00C07DD2" w:rsidRDefault="00F55F64" w:rsidP="00E80719">
            <w:pPr>
              <w:pStyle w:val="TableTitle"/>
              <w:rPr>
                <w:rFonts w:cs="Segoe UI Semibold"/>
                <w:noProof/>
                <w:lang w:val="fr-CA" w:eastAsia="en-CA"/>
              </w:rPr>
            </w:pPr>
            <w:r w:rsidRPr="00C07DD2">
              <w:rPr>
                <w:rFonts w:cs="Segoe UI Semibold"/>
                <w:noProof/>
                <w:color w:val="FFFFFF" w:themeColor="background1"/>
                <w:lang w:val="fr-CA" w:eastAsia="en-CA"/>
              </w:rPr>
              <w:t>Nombre d’exceptions</w:t>
            </w:r>
          </w:p>
        </w:tc>
      </w:tr>
      <w:tr w:rsidR="00E80719" w:rsidRPr="00C07DD2" w14:paraId="387436A4" w14:textId="77777777" w:rsidTr="00A9539C">
        <w:trPr>
          <w:cantSplit/>
          <w:tblHeader/>
          <w:jc w:val="center"/>
        </w:trPr>
        <w:tc>
          <w:tcPr>
            <w:tcW w:w="4248" w:type="dxa"/>
            <w:shd w:val="clear" w:color="auto" w:fill="54575A" w:themeFill="text1"/>
          </w:tcPr>
          <w:p w14:paraId="5C9879C1" w14:textId="77777777" w:rsidR="00E80719" w:rsidRPr="00C07DD2" w:rsidRDefault="00F55F64" w:rsidP="00E80719">
            <w:pPr>
              <w:autoSpaceDE w:val="0"/>
              <w:autoSpaceDN w:val="0"/>
              <w:adjustRightInd w:val="0"/>
              <w:spacing w:before="120" w:after="120"/>
              <w:rPr>
                <w:noProof/>
                <w:color w:val="FFFFFF" w:themeColor="background1"/>
                <w:lang w:val="fr-CA" w:eastAsia="en-CA"/>
              </w:rPr>
            </w:pPr>
            <w:r w:rsidRPr="00C07DD2">
              <w:rPr>
                <w:noProof/>
                <w:color w:val="FFFFFF" w:themeColor="background1"/>
                <w:lang w:val="fr-CA" w:eastAsia="en-CA"/>
              </w:rPr>
              <w:t>Bureau du directeur général des élections</w:t>
            </w:r>
          </w:p>
        </w:tc>
        <w:tc>
          <w:tcPr>
            <w:tcW w:w="5102" w:type="dxa"/>
          </w:tcPr>
          <w:p w14:paraId="6083B99A" w14:textId="77777777" w:rsidR="00E80719" w:rsidRPr="00C07DD2" w:rsidRDefault="00E80719" w:rsidP="00491D4E">
            <w:pPr>
              <w:autoSpaceDE w:val="0"/>
              <w:autoSpaceDN w:val="0"/>
              <w:adjustRightInd w:val="0"/>
              <w:spacing w:before="120" w:after="120"/>
              <w:jc w:val="center"/>
              <w:rPr>
                <w:noProof/>
                <w:lang w:val="fr-CA" w:eastAsia="en-CA"/>
              </w:rPr>
            </w:pPr>
            <w:r w:rsidRPr="00C07DD2">
              <w:rPr>
                <w:noProof/>
                <w:lang w:val="fr-CA" w:eastAsia="en-CA"/>
              </w:rPr>
              <w:t>26</w:t>
            </w:r>
          </w:p>
        </w:tc>
      </w:tr>
      <w:tr w:rsidR="00E80719" w:rsidRPr="00C07DD2" w14:paraId="2D48F743" w14:textId="77777777" w:rsidTr="00A9539C">
        <w:trPr>
          <w:cantSplit/>
          <w:tblHeader/>
          <w:jc w:val="center"/>
        </w:trPr>
        <w:tc>
          <w:tcPr>
            <w:tcW w:w="4248" w:type="dxa"/>
            <w:shd w:val="clear" w:color="auto" w:fill="54575A" w:themeFill="text1"/>
          </w:tcPr>
          <w:p w14:paraId="5D61086B" w14:textId="77777777" w:rsidR="00E80719" w:rsidRPr="00C07DD2" w:rsidRDefault="00F55F64" w:rsidP="00E80719">
            <w:pPr>
              <w:autoSpaceDE w:val="0"/>
              <w:autoSpaceDN w:val="0"/>
              <w:adjustRightInd w:val="0"/>
              <w:spacing w:before="120" w:after="120"/>
              <w:rPr>
                <w:noProof/>
                <w:color w:val="FFFFFF" w:themeColor="background1"/>
                <w:lang w:val="fr-CA" w:eastAsia="en-CA"/>
              </w:rPr>
            </w:pPr>
            <w:r w:rsidRPr="00C07DD2">
              <w:rPr>
                <w:noProof/>
                <w:color w:val="FFFFFF" w:themeColor="background1"/>
                <w:lang w:val="fr-CA" w:eastAsia="en-CA"/>
              </w:rPr>
              <w:t>Gendarmerie royale du Canada</w:t>
            </w:r>
          </w:p>
        </w:tc>
        <w:tc>
          <w:tcPr>
            <w:tcW w:w="5102" w:type="dxa"/>
          </w:tcPr>
          <w:p w14:paraId="6E8CDEB7" w14:textId="77777777" w:rsidR="00E80719" w:rsidRPr="00C07DD2" w:rsidRDefault="00E80719" w:rsidP="00491D4E">
            <w:pPr>
              <w:autoSpaceDE w:val="0"/>
              <w:autoSpaceDN w:val="0"/>
              <w:adjustRightInd w:val="0"/>
              <w:spacing w:before="120" w:after="120"/>
              <w:jc w:val="center"/>
              <w:rPr>
                <w:noProof/>
                <w:lang w:val="fr-CA" w:eastAsia="en-CA"/>
              </w:rPr>
            </w:pPr>
            <w:r w:rsidRPr="00C07DD2">
              <w:rPr>
                <w:noProof/>
                <w:lang w:val="fr-CA" w:eastAsia="en-CA"/>
              </w:rPr>
              <w:t>22</w:t>
            </w:r>
          </w:p>
        </w:tc>
      </w:tr>
      <w:tr w:rsidR="00E80719" w:rsidRPr="00C07DD2" w14:paraId="209C10B3" w14:textId="77777777" w:rsidTr="00A9539C">
        <w:trPr>
          <w:cantSplit/>
          <w:tblHeader/>
          <w:jc w:val="center"/>
        </w:trPr>
        <w:tc>
          <w:tcPr>
            <w:tcW w:w="4248" w:type="dxa"/>
            <w:shd w:val="clear" w:color="auto" w:fill="54575A" w:themeFill="text1"/>
          </w:tcPr>
          <w:p w14:paraId="634284A7" w14:textId="77777777" w:rsidR="00E80719" w:rsidRPr="00C07DD2" w:rsidRDefault="00F55F64" w:rsidP="00E80719">
            <w:pPr>
              <w:autoSpaceDE w:val="0"/>
              <w:autoSpaceDN w:val="0"/>
              <w:adjustRightInd w:val="0"/>
              <w:spacing w:before="120" w:after="120"/>
              <w:rPr>
                <w:noProof/>
                <w:color w:val="FFFFFF" w:themeColor="background1"/>
                <w:lang w:val="fr-CA" w:eastAsia="en-CA"/>
              </w:rPr>
            </w:pPr>
            <w:r w:rsidRPr="00C07DD2">
              <w:rPr>
                <w:noProof/>
                <w:color w:val="FFFFFF" w:themeColor="background1"/>
                <w:lang w:val="fr-CA" w:eastAsia="en-CA"/>
              </w:rPr>
              <w:t>Autres organisations</w:t>
            </w:r>
          </w:p>
        </w:tc>
        <w:tc>
          <w:tcPr>
            <w:tcW w:w="5102" w:type="dxa"/>
          </w:tcPr>
          <w:p w14:paraId="09E7E72B" w14:textId="77777777" w:rsidR="00E80719" w:rsidRPr="00C07DD2" w:rsidRDefault="00E80719" w:rsidP="00491D4E">
            <w:pPr>
              <w:autoSpaceDE w:val="0"/>
              <w:autoSpaceDN w:val="0"/>
              <w:adjustRightInd w:val="0"/>
              <w:spacing w:before="120" w:after="120"/>
              <w:jc w:val="center"/>
              <w:rPr>
                <w:noProof/>
                <w:lang w:val="fr-CA" w:eastAsia="en-CA"/>
              </w:rPr>
            </w:pPr>
            <w:r w:rsidRPr="00C07DD2">
              <w:rPr>
                <w:noProof/>
                <w:lang w:val="fr-CA" w:eastAsia="en-CA"/>
              </w:rPr>
              <w:t>19</w:t>
            </w:r>
          </w:p>
        </w:tc>
      </w:tr>
    </w:tbl>
    <w:p w14:paraId="1E395FB9" w14:textId="77777777" w:rsidR="00A9539C" w:rsidRPr="00C07DD2" w:rsidRDefault="00A9539C" w:rsidP="00F55F64">
      <w:pPr>
        <w:pStyle w:val="Lgende"/>
        <w:keepNext/>
        <w:spacing w:before="240" w:after="0"/>
        <w:rPr>
          <w:i w:val="0"/>
          <w:color w:val="auto"/>
          <w:lang w:val="fr-CA"/>
        </w:rPr>
      </w:pPr>
      <w:r w:rsidRPr="00C07DD2">
        <w:rPr>
          <w:i w:val="0"/>
          <w:color w:val="auto"/>
          <w:lang w:val="fr-CA"/>
        </w:rPr>
        <w:t xml:space="preserve">Table </w:t>
      </w:r>
      <w:r w:rsidRPr="00C07DD2">
        <w:rPr>
          <w:i w:val="0"/>
          <w:color w:val="auto"/>
          <w:lang w:val="fr-CA"/>
        </w:rPr>
        <w:fldChar w:fldCharType="begin"/>
      </w:r>
      <w:r w:rsidRPr="00C07DD2">
        <w:rPr>
          <w:i w:val="0"/>
          <w:color w:val="auto"/>
          <w:lang w:val="fr-CA"/>
        </w:rPr>
        <w:instrText xml:space="preserve"> SEQ Table \* ARABIC </w:instrText>
      </w:r>
      <w:r w:rsidRPr="00C07DD2">
        <w:rPr>
          <w:i w:val="0"/>
          <w:color w:val="auto"/>
          <w:lang w:val="fr-CA"/>
        </w:rPr>
        <w:fldChar w:fldCharType="separate"/>
      </w:r>
      <w:r w:rsidR="007B56A5" w:rsidRPr="00C07DD2">
        <w:rPr>
          <w:i w:val="0"/>
          <w:noProof/>
          <w:color w:val="auto"/>
          <w:lang w:val="fr-CA"/>
        </w:rPr>
        <w:t>3</w:t>
      </w:r>
      <w:r w:rsidRPr="00C07DD2">
        <w:rPr>
          <w:i w:val="0"/>
          <w:color w:val="auto"/>
          <w:lang w:val="fr-CA"/>
        </w:rPr>
        <w:fldChar w:fldCharType="end"/>
      </w:r>
      <w:r w:rsidRPr="00C07DD2">
        <w:rPr>
          <w:i w:val="0"/>
          <w:color w:val="auto"/>
          <w:lang w:val="fr-CA"/>
        </w:rPr>
        <w:t xml:space="preserve"> </w:t>
      </w:r>
      <w:r w:rsidR="00F55F64" w:rsidRPr="00C07DD2">
        <w:rPr>
          <w:i w:val="0"/>
          <w:color w:val="auto"/>
          <w:lang w:val="fr-CA"/>
        </w:rPr>
        <w:t>–</w:t>
      </w:r>
      <w:r w:rsidRPr="00C07DD2">
        <w:rPr>
          <w:i w:val="0"/>
          <w:color w:val="auto"/>
          <w:lang w:val="fr-CA"/>
        </w:rPr>
        <w:t xml:space="preserve"> </w:t>
      </w:r>
      <w:r w:rsidR="00F55F64" w:rsidRPr="00C07DD2">
        <w:rPr>
          <w:i w:val="0"/>
          <w:color w:val="auto"/>
          <w:lang w:val="fr-CA"/>
        </w:rPr>
        <w:t>Nombre d’exceptions à la zone de sélection par lieu</w:t>
      </w:r>
    </w:p>
    <w:tbl>
      <w:tblPr>
        <w:tblStyle w:val="Grilledutableau"/>
        <w:tblW w:w="5000" w:type="pct"/>
        <w:jc w:val="center"/>
        <w:tblLook w:val="04A0" w:firstRow="1" w:lastRow="0" w:firstColumn="1" w:lastColumn="0" w:noHBand="0" w:noVBand="1"/>
        <w:tblDescription w:val="Nombre d’exceptions à la zone de sélection par lieu"/>
      </w:tblPr>
      <w:tblGrid>
        <w:gridCol w:w="4249"/>
        <w:gridCol w:w="5101"/>
      </w:tblGrid>
      <w:tr w:rsidR="00A9539C" w:rsidRPr="00C07DD2" w14:paraId="26DE3D10" w14:textId="77777777" w:rsidTr="007B56A5">
        <w:trPr>
          <w:cantSplit/>
          <w:trHeight w:val="572"/>
          <w:tblHeader/>
          <w:jc w:val="center"/>
        </w:trPr>
        <w:tc>
          <w:tcPr>
            <w:tcW w:w="2272" w:type="pct"/>
            <w:shd w:val="clear" w:color="auto" w:fill="54575A" w:themeFill="text1"/>
          </w:tcPr>
          <w:p w14:paraId="1A19F4A1" w14:textId="77777777" w:rsidR="00E80719" w:rsidRPr="00C07DD2" w:rsidRDefault="00E80719" w:rsidP="00A9539C">
            <w:pPr>
              <w:pStyle w:val="TableTitle"/>
              <w:rPr>
                <w:rFonts w:cs="Segoe UI Semibold"/>
                <w:color w:val="FFFFFF" w:themeColor="background1"/>
                <w:lang w:val="fr-CA"/>
              </w:rPr>
            </w:pPr>
            <w:r w:rsidRPr="00C07DD2">
              <w:rPr>
                <w:rFonts w:cs="Segoe UI Semibold"/>
                <w:color w:val="FFFFFF" w:themeColor="background1"/>
                <w:lang w:val="fr-CA"/>
              </w:rPr>
              <w:t>Location</w:t>
            </w:r>
          </w:p>
        </w:tc>
        <w:tc>
          <w:tcPr>
            <w:tcW w:w="2728" w:type="pct"/>
            <w:shd w:val="clear" w:color="auto" w:fill="54575A" w:themeFill="text1"/>
          </w:tcPr>
          <w:p w14:paraId="70CA95B5" w14:textId="77777777" w:rsidR="00E80719" w:rsidRPr="00C07DD2" w:rsidRDefault="00996E73" w:rsidP="00A9539C">
            <w:pPr>
              <w:pStyle w:val="TableTitle"/>
              <w:rPr>
                <w:rFonts w:cs="Segoe UI Semibold"/>
                <w:color w:val="FFFFFF" w:themeColor="background1"/>
                <w:lang w:val="fr-CA"/>
              </w:rPr>
            </w:pPr>
            <w:r>
              <w:rPr>
                <w:rFonts w:cs="Segoe UI Semibold"/>
                <w:color w:val="FFFFFF" w:themeColor="background1"/>
                <w:lang w:val="fr-CA"/>
              </w:rPr>
              <w:t>Nombre d’exceptions</w:t>
            </w:r>
          </w:p>
        </w:tc>
      </w:tr>
      <w:tr w:rsidR="00E80719" w:rsidRPr="0060539D" w14:paraId="03F907BC" w14:textId="77777777" w:rsidTr="00F55F64">
        <w:trPr>
          <w:cantSplit/>
          <w:trHeight w:val="648"/>
          <w:tblHeader/>
          <w:jc w:val="center"/>
        </w:trPr>
        <w:tc>
          <w:tcPr>
            <w:tcW w:w="2272" w:type="pct"/>
            <w:shd w:val="clear" w:color="auto" w:fill="54575A" w:themeFill="text1"/>
          </w:tcPr>
          <w:p w14:paraId="36D94F7A" w14:textId="77777777" w:rsidR="00E80719" w:rsidRPr="00C07DD2" w:rsidRDefault="00F55F64" w:rsidP="00E80719">
            <w:pPr>
              <w:pStyle w:val="NormalWeb"/>
              <w:spacing w:before="0" w:beforeAutospacing="0" w:after="0" w:afterAutospacing="0"/>
              <w:rPr>
                <w:rStyle w:val="lev"/>
                <w:rFonts w:cstheme="minorHAnsi"/>
                <w:b w:val="0"/>
                <w:color w:val="FFFFFF" w:themeColor="background1"/>
                <w:szCs w:val="22"/>
                <w:lang w:val="fr-CA"/>
              </w:rPr>
            </w:pPr>
            <w:r w:rsidRPr="00C07DD2">
              <w:rPr>
                <w:rStyle w:val="lev"/>
                <w:rFonts w:cstheme="minorHAnsi"/>
                <w:b w:val="0"/>
                <w:color w:val="FFFFFF" w:themeColor="background1"/>
                <w:szCs w:val="22"/>
                <w:lang w:val="fr-CA"/>
              </w:rPr>
              <w:t>R</w:t>
            </w:r>
            <w:r w:rsidR="00996E73">
              <w:rPr>
                <w:rStyle w:val="lev"/>
                <w:rFonts w:cstheme="minorHAnsi"/>
                <w:b w:val="0"/>
                <w:color w:val="FFFFFF" w:themeColor="background1"/>
                <w:szCs w:val="22"/>
                <w:lang w:val="fr-CA"/>
              </w:rPr>
              <w:t xml:space="preserve">égion </w:t>
            </w:r>
            <w:r w:rsidRPr="00C07DD2">
              <w:rPr>
                <w:rStyle w:val="lev"/>
                <w:rFonts w:cstheme="minorHAnsi"/>
                <w:b w:val="0"/>
                <w:color w:val="FFFFFF" w:themeColor="background1"/>
                <w:szCs w:val="22"/>
                <w:lang w:val="fr-CA"/>
              </w:rPr>
              <w:t>C</w:t>
            </w:r>
            <w:r w:rsidR="00996E73">
              <w:rPr>
                <w:rStyle w:val="lev"/>
                <w:rFonts w:cstheme="minorHAnsi"/>
                <w:b w:val="0"/>
                <w:color w:val="FFFFFF" w:themeColor="background1"/>
                <w:szCs w:val="22"/>
                <w:lang w:val="fr-CA"/>
              </w:rPr>
              <w:t xml:space="preserve">apitale </w:t>
            </w:r>
            <w:r w:rsidRPr="00C07DD2">
              <w:rPr>
                <w:rStyle w:val="lev"/>
                <w:rFonts w:cstheme="minorHAnsi"/>
                <w:b w:val="0"/>
                <w:color w:val="FFFFFF" w:themeColor="background1"/>
                <w:szCs w:val="22"/>
                <w:lang w:val="fr-CA"/>
              </w:rPr>
              <w:t>N</w:t>
            </w:r>
            <w:r w:rsidR="00996E73">
              <w:rPr>
                <w:rStyle w:val="lev"/>
                <w:rFonts w:cstheme="minorHAnsi"/>
                <w:b w:val="0"/>
                <w:color w:val="FFFFFF" w:themeColor="background1"/>
                <w:szCs w:val="22"/>
                <w:lang w:val="fr-CA"/>
              </w:rPr>
              <w:t>ationale (RCN)</w:t>
            </w:r>
          </w:p>
        </w:tc>
        <w:tc>
          <w:tcPr>
            <w:tcW w:w="2728" w:type="pct"/>
          </w:tcPr>
          <w:p w14:paraId="49CACBCB" w14:textId="77777777" w:rsidR="00E80719" w:rsidRPr="00C07DD2" w:rsidRDefault="00F55F64" w:rsidP="00F55F64">
            <w:pPr>
              <w:pStyle w:val="NormalWeb"/>
              <w:rPr>
                <w:rStyle w:val="lev"/>
                <w:rFonts w:cstheme="minorHAnsi"/>
                <w:b w:val="0"/>
                <w:szCs w:val="22"/>
                <w:lang w:val="fr-CA"/>
              </w:rPr>
            </w:pPr>
            <w:r w:rsidRPr="00C07DD2">
              <w:rPr>
                <w:rFonts w:asciiTheme="minorHAnsi" w:hAnsiTheme="minorHAnsi" w:cstheme="minorHAnsi"/>
                <w:bCs/>
                <w:sz w:val="22"/>
                <w:szCs w:val="22"/>
                <w:lang w:val="fr-CA"/>
              </w:rPr>
              <w:t>42</w:t>
            </w:r>
            <w:r w:rsidR="00057E50" w:rsidRPr="00C07DD2">
              <w:rPr>
                <w:rFonts w:asciiTheme="minorHAnsi" w:hAnsiTheme="minorHAnsi" w:cstheme="minorHAnsi"/>
                <w:bCs/>
                <w:sz w:val="22"/>
                <w:szCs w:val="22"/>
                <w:lang w:val="fr-CA"/>
              </w:rPr>
              <w:t xml:space="preserve"> </w:t>
            </w:r>
            <w:r w:rsidRPr="00C07DD2">
              <w:rPr>
                <w:rFonts w:asciiTheme="minorHAnsi" w:hAnsiTheme="minorHAnsi" w:cstheme="minorHAnsi"/>
                <w:bCs/>
                <w:sz w:val="22"/>
                <w:szCs w:val="22"/>
                <w:lang w:val="fr-CA"/>
              </w:rPr>
              <w:t>(26 de ces 42 exceptions s’appliquent au Bureau du directeur général des élections)</w:t>
            </w:r>
          </w:p>
        </w:tc>
      </w:tr>
      <w:tr w:rsidR="00E80719" w:rsidRPr="0060539D" w14:paraId="4FC6AB0C" w14:textId="77777777" w:rsidTr="00A9539C">
        <w:trPr>
          <w:cantSplit/>
          <w:trHeight w:val="663"/>
          <w:tblHeader/>
          <w:jc w:val="center"/>
        </w:trPr>
        <w:tc>
          <w:tcPr>
            <w:tcW w:w="2272" w:type="pct"/>
            <w:shd w:val="clear" w:color="auto" w:fill="54575A" w:themeFill="text1"/>
          </w:tcPr>
          <w:p w14:paraId="03AA7ABD" w14:textId="77777777" w:rsidR="00E80719" w:rsidRPr="00C07DD2" w:rsidRDefault="00F55F64" w:rsidP="00E80719">
            <w:pPr>
              <w:pStyle w:val="NormalWeb"/>
              <w:spacing w:before="0" w:beforeAutospacing="0" w:after="0" w:afterAutospacing="0"/>
              <w:rPr>
                <w:rStyle w:val="lev"/>
                <w:rFonts w:cstheme="minorHAnsi"/>
                <w:b w:val="0"/>
                <w:color w:val="FFFFFF" w:themeColor="background1"/>
                <w:szCs w:val="22"/>
                <w:lang w:val="fr-CA"/>
              </w:rPr>
            </w:pPr>
            <w:r w:rsidRPr="00C07DD2">
              <w:rPr>
                <w:rStyle w:val="lev"/>
                <w:rFonts w:cstheme="minorHAnsi"/>
                <w:b w:val="0"/>
                <w:color w:val="FFFFFF" w:themeColor="background1"/>
                <w:szCs w:val="22"/>
                <w:lang w:val="fr-CA"/>
              </w:rPr>
              <w:t>Ré</w:t>
            </w:r>
            <w:r w:rsidR="00E80719" w:rsidRPr="00C07DD2">
              <w:rPr>
                <w:rStyle w:val="lev"/>
                <w:rFonts w:cstheme="minorHAnsi"/>
                <w:b w:val="0"/>
                <w:color w:val="FFFFFF" w:themeColor="background1"/>
                <w:szCs w:val="22"/>
                <w:lang w:val="fr-CA"/>
              </w:rPr>
              <w:t>gions</w:t>
            </w:r>
          </w:p>
        </w:tc>
        <w:tc>
          <w:tcPr>
            <w:tcW w:w="2728" w:type="pct"/>
          </w:tcPr>
          <w:p w14:paraId="3E33440E" w14:textId="77777777" w:rsidR="00E80719" w:rsidRPr="00C07DD2" w:rsidRDefault="00F55F64" w:rsidP="00F55F64">
            <w:pPr>
              <w:pStyle w:val="NormalWeb"/>
              <w:rPr>
                <w:rStyle w:val="lev"/>
                <w:rFonts w:cstheme="minorHAnsi"/>
                <w:b w:val="0"/>
                <w:szCs w:val="22"/>
                <w:lang w:val="fr-CA"/>
              </w:rPr>
            </w:pPr>
            <w:r w:rsidRPr="00C07DD2">
              <w:rPr>
                <w:rFonts w:asciiTheme="minorHAnsi" w:hAnsiTheme="minorHAnsi" w:cstheme="minorHAnsi"/>
                <w:bCs/>
                <w:sz w:val="22"/>
                <w:szCs w:val="22"/>
                <w:lang w:val="fr-CA"/>
              </w:rPr>
              <w:t>25</w:t>
            </w:r>
            <w:r w:rsidR="00057E50" w:rsidRPr="00C07DD2">
              <w:rPr>
                <w:rFonts w:asciiTheme="minorHAnsi" w:hAnsiTheme="minorHAnsi" w:cstheme="minorHAnsi"/>
                <w:bCs/>
                <w:sz w:val="22"/>
                <w:szCs w:val="22"/>
                <w:lang w:val="fr-CA"/>
              </w:rPr>
              <w:t xml:space="preserve"> </w:t>
            </w:r>
            <w:r w:rsidRPr="00C07DD2">
              <w:rPr>
                <w:rFonts w:asciiTheme="minorHAnsi" w:hAnsiTheme="minorHAnsi" w:cstheme="minorHAnsi"/>
                <w:bCs/>
                <w:sz w:val="22"/>
                <w:szCs w:val="22"/>
                <w:lang w:val="fr-CA"/>
              </w:rPr>
              <w:t>(20 de ces 25 exceptions s’appliquent à la Gendarmerie royale du Canada)</w:t>
            </w:r>
          </w:p>
        </w:tc>
      </w:tr>
    </w:tbl>
    <w:p w14:paraId="139CBCA9" w14:textId="77777777" w:rsidR="00E7222B" w:rsidRPr="00C07DD2" w:rsidRDefault="0052105A" w:rsidP="00F55F64">
      <w:pPr>
        <w:pStyle w:val="Lgende"/>
        <w:keepNext/>
        <w:numPr>
          <w:ilvl w:val="0"/>
          <w:numId w:val="25"/>
        </w:numPr>
        <w:spacing w:after="0"/>
        <w:rPr>
          <w:rStyle w:val="lev"/>
          <w:i w:val="0"/>
          <w:lang w:val="fr-CA" w:eastAsia="en-CA"/>
        </w:rPr>
      </w:pPr>
      <w:r w:rsidRPr="00C07DD2">
        <w:rPr>
          <w:rStyle w:val="lev"/>
          <w:i w:val="0"/>
          <w:lang w:val="fr-CA" w:eastAsia="en-CA"/>
        </w:rPr>
        <w:lastRenderedPageBreak/>
        <w:t>50 %</w:t>
      </w:r>
      <w:r w:rsidRPr="00C07DD2">
        <w:rPr>
          <w:rFonts w:eastAsiaTheme="minorEastAsia" w:cstheme="minorHAnsi"/>
          <w:bCs/>
          <w:i w:val="0"/>
          <w:color w:val="auto"/>
          <w:sz w:val="28"/>
          <w:lang w:val="fr-CA" w:eastAsia="en-CA"/>
        </w:rPr>
        <w:t xml:space="preserve"> </w:t>
      </w:r>
      <w:r w:rsidRPr="00C07DD2">
        <w:rPr>
          <w:rFonts w:eastAsiaTheme="minorEastAsia" w:cstheme="minorHAnsi"/>
          <w:bCs/>
          <w:i w:val="0"/>
          <w:color w:val="auto"/>
          <w:sz w:val="22"/>
          <w:lang w:val="fr-CA" w:eastAsia="en-CA"/>
        </w:rPr>
        <w:t xml:space="preserve">des exceptions des administrateurs généraux étaient pour doter des postes au </w:t>
      </w:r>
      <w:r w:rsidRPr="00C07DD2">
        <w:rPr>
          <w:rStyle w:val="lev"/>
          <w:i w:val="0"/>
          <w:lang w:val="fr-CA" w:eastAsia="en-CA"/>
        </w:rPr>
        <w:t>niveau d’entrée</w:t>
      </w:r>
    </w:p>
    <w:p w14:paraId="7EFE55F0" w14:textId="77777777" w:rsidR="00E7222B" w:rsidRPr="00C07DD2" w:rsidRDefault="0052105A" w:rsidP="00F55F64">
      <w:pPr>
        <w:pStyle w:val="Lgende"/>
        <w:keepNext/>
        <w:numPr>
          <w:ilvl w:val="0"/>
          <w:numId w:val="25"/>
        </w:numPr>
        <w:spacing w:after="120"/>
        <w:rPr>
          <w:rStyle w:val="lev"/>
          <w:i w:val="0"/>
          <w:lang w:val="fr-CA" w:eastAsia="en-CA"/>
        </w:rPr>
      </w:pPr>
      <w:r w:rsidRPr="00C07DD2">
        <w:rPr>
          <w:rStyle w:val="lev"/>
          <w:i w:val="0"/>
          <w:lang w:val="fr-CA" w:eastAsia="en-CA"/>
        </w:rPr>
        <w:t>54 %</w:t>
      </w:r>
      <w:r w:rsidRPr="00C07DD2">
        <w:rPr>
          <w:rFonts w:eastAsiaTheme="minorEastAsia" w:cstheme="minorHAnsi"/>
          <w:bCs/>
          <w:i w:val="0"/>
          <w:color w:val="auto"/>
          <w:sz w:val="22"/>
          <w:lang w:val="fr-CA" w:eastAsia="en-CA"/>
        </w:rPr>
        <w:t xml:space="preserve"> des nominations découlaient de processus visant à doter des postes de </w:t>
      </w:r>
      <w:r w:rsidRPr="00C07DD2">
        <w:rPr>
          <w:rStyle w:val="lev"/>
          <w:i w:val="0"/>
          <w:lang w:val="fr-CA" w:eastAsia="en-CA"/>
        </w:rPr>
        <w:t>durée déterminée</w:t>
      </w:r>
    </w:p>
    <w:p w14:paraId="7E33E161" w14:textId="77777777" w:rsidR="007B56A5" w:rsidRPr="00C07DD2" w:rsidRDefault="007B56A5" w:rsidP="007B56A5">
      <w:pPr>
        <w:pStyle w:val="Lgende"/>
        <w:keepNext/>
        <w:spacing w:after="0"/>
        <w:rPr>
          <w:i w:val="0"/>
          <w:color w:val="auto"/>
          <w:lang w:val="fr-CA"/>
        </w:rPr>
      </w:pPr>
      <w:r w:rsidRPr="00C07DD2">
        <w:rPr>
          <w:i w:val="0"/>
          <w:color w:val="auto"/>
          <w:lang w:val="fr-CA"/>
        </w:rPr>
        <w:t xml:space="preserve">Table </w:t>
      </w:r>
      <w:r w:rsidRPr="00C07DD2">
        <w:rPr>
          <w:i w:val="0"/>
          <w:color w:val="auto"/>
          <w:lang w:val="fr-CA"/>
        </w:rPr>
        <w:fldChar w:fldCharType="begin"/>
      </w:r>
      <w:r w:rsidRPr="00C07DD2">
        <w:rPr>
          <w:i w:val="0"/>
          <w:color w:val="auto"/>
          <w:lang w:val="fr-CA"/>
        </w:rPr>
        <w:instrText xml:space="preserve"> SEQ Table \* ARABIC </w:instrText>
      </w:r>
      <w:r w:rsidRPr="00C07DD2">
        <w:rPr>
          <w:i w:val="0"/>
          <w:color w:val="auto"/>
          <w:lang w:val="fr-CA"/>
        </w:rPr>
        <w:fldChar w:fldCharType="separate"/>
      </w:r>
      <w:r w:rsidRPr="00C07DD2">
        <w:rPr>
          <w:i w:val="0"/>
          <w:noProof/>
          <w:color w:val="auto"/>
          <w:lang w:val="fr-CA"/>
        </w:rPr>
        <w:t>4</w:t>
      </w:r>
      <w:r w:rsidRPr="00C07DD2">
        <w:rPr>
          <w:i w:val="0"/>
          <w:color w:val="auto"/>
          <w:lang w:val="fr-CA"/>
        </w:rPr>
        <w:fldChar w:fldCharType="end"/>
      </w:r>
      <w:r w:rsidRPr="00C07DD2">
        <w:rPr>
          <w:i w:val="0"/>
          <w:color w:val="auto"/>
          <w:lang w:val="fr-CA"/>
        </w:rPr>
        <w:t xml:space="preserve"> - </w:t>
      </w:r>
      <w:r w:rsidR="00527A41" w:rsidRPr="00C07DD2">
        <w:rPr>
          <w:i w:val="0"/>
          <w:color w:val="auto"/>
          <w:lang w:val="fr-CA"/>
        </w:rPr>
        <w:t>Motifs des exceptions à la zone nationale de sélection par organisation</w:t>
      </w:r>
    </w:p>
    <w:tbl>
      <w:tblPr>
        <w:tblStyle w:val="Grilledutableau"/>
        <w:tblW w:w="5000" w:type="pct"/>
        <w:jc w:val="center"/>
        <w:tblLook w:val="04A0" w:firstRow="1" w:lastRow="0" w:firstColumn="1" w:lastColumn="0" w:noHBand="0" w:noVBand="1"/>
        <w:tblDescription w:val="Motifs des exceptions à la zone nationale de sélection par organisation"/>
      </w:tblPr>
      <w:tblGrid>
        <w:gridCol w:w="1868"/>
        <w:gridCol w:w="2538"/>
        <w:gridCol w:w="2405"/>
        <w:gridCol w:w="2539"/>
      </w:tblGrid>
      <w:tr w:rsidR="00DA26A5" w:rsidRPr="00C07DD2" w14:paraId="38193DEE" w14:textId="77777777" w:rsidTr="00057E50">
        <w:trPr>
          <w:cantSplit/>
          <w:tblHeader/>
          <w:jc w:val="center"/>
        </w:trPr>
        <w:tc>
          <w:tcPr>
            <w:tcW w:w="999" w:type="pct"/>
            <w:shd w:val="clear" w:color="auto" w:fill="54575A" w:themeFill="text1"/>
          </w:tcPr>
          <w:p w14:paraId="275A368F" w14:textId="77777777" w:rsidR="007B56A5" w:rsidRPr="00C07DD2" w:rsidRDefault="00527A41" w:rsidP="00527A41">
            <w:pPr>
              <w:pStyle w:val="TableTitle"/>
              <w:rPr>
                <w:rFonts w:cs="Segoe UI Semibold"/>
                <w:color w:val="FFFFFF" w:themeColor="background1"/>
                <w:lang w:val="fr-CA"/>
              </w:rPr>
            </w:pPr>
            <w:r w:rsidRPr="00C07DD2">
              <w:rPr>
                <w:rFonts w:cs="Segoe UI Semibold"/>
                <w:color w:val="FFFFFF" w:themeColor="background1"/>
                <w:lang w:val="fr-CA"/>
              </w:rPr>
              <w:t>Motifs des e</w:t>
            </w:r>
            <w:r w:rsidR="007B56A5" w:rsidRPr="00C07DD2">
              <w:rPr>
                <w:rFonts w:cs="Segoe UI Semibold"/>
                <w:color w:val="FFFFFF" w:themeColor="background1"/>
                <w:lang w:val="fr-CA"/>
              </w:rPr>
              <w:t>xceptions</w:t>
            </w:r>
          </w:p>
        </w:tc>
        <w:tc>
          <w:tcPr>
            <w:tcW w:w="1357" w:type="pct"/>
            <w:shd w:val="clear" w:color="auto" w:fill="54575A" w:themeFill="text1"/>
          </w:tcPr>
          <w:p w14:paraId="4AEBCA37" w14:textId="77777777" w:rsidR="007B56A5" w:rsidRPr="00C07DD2" w:rsidRDefault="00527A41" w:rsidP="00527A41">
            <w:pPr>
              <w:pStyle w:val="TableTitle"/>
              <w:rPr>
                <w:rFonts w:cs="Segoe UI Semibold"/>
                <w:color w:val="FFFFFF" w:themeColor="background1"/>
                <w:lang w:val="fr-CA"/>
              </w:rPr>
            </w:pPr>
            <w:r w:rsidRPr="00C07DD2">
              <w:rPr>
                <w:rFonts w:cs="Segoe UI Semibold"/>
                <w:color w:val="FFFFFF" w:themeColor="background1"/>
                <w:lang w:val="fr-CA"/>
              </w:rPr>
              <w:t>Gendarmerie Royale du Canada</w:t>
            </w:r>
            <w:r w:rsidR="007B56A5" w:rsidRPr="00C07DD2">
              <w:rPr>
                <w:rFonts w:cs="Segoe UI Semibold"/>
                <w:color w:val="FFFFFF" w:themeColor="background1"/>
                <w:lang w:val="fr-CA"/>
              </w:rPr>
              <w:t xml:space="preserve"> </w:t>
            </w:r>
            <w:r w:rsidRPr="00C07DD2">
              <w:rPr>
                <w:rFonts w:cs="Segoe UI Semibold"/>
                <w:color w:val="FFFFFF" w:themeColor="background1"/>
                <w:lang w:val="fr-CA"/>
              </w:rPr>
              <w:t>(nombre d’</w:t>
            </w:r>
            <w:r w:rsidR="007B56A5" w:rsidRPr="00C07DD2">
              <w:rPr>
                <w:rFonts w:cs="Segoe UI Semibold"/>
                <w:color w:val="FFFFFF" w:themeColor="background1"/>
                <w:lang w:val="fr-CA"/>
              </w:rPr>
              <w:t>exceptions)</w:t>
            </w:r>
          </w:p>
        </w:tc>
        <w:tc>
          <w:tcPr>
            <w:tcW w:w="1286" w:type="pct"/>
            <w:shd w:val="clear" w:color="auto" w:fill="54575A" w:themeFill="text1"/>
          </w:tcPr>
          <w:p w14:paraId="52B977A5" w14:textId="77777777" w:rsidR="007B56A5" w:rsidRPr="00C07DD2" w:rsidRDefault="00527A41" w:rsidP="00527A41">
            <w:pPr>
              <w:pStyle w:val="TableTitle"/>
              <w:rPr>
                <w:rFonts w:cs="Segoe UI Semibold"/>
                <w:color w:val="FFFFFF" w:themeColor="background1"/>
                <w:lang w:val="fr-CA"/>
              </w:rPr>
            </w:pPr>
            <w:r w:rsidRPr="00C07DD2">
              <w:rPr>
                <w:rFonts w:cs="Segoe UI Semibold"/>
                <w:color w:val="FFFFFF" w:themeColor="background1"/>
                <w:lang w:val="fr-CA"/>
              </w:rPr>
              <w:t xml:space="preserve">Bureau du directeur </w:t>
            </w:r>
            <w:r w:rsidR="00057E50" w:rsidRPr="00C07DD2">
              <w:rPr>
                <w:rFonts w:cs="Segoe UI Semibold"/>
                <w:color w:val="FFFFFF" w:themeColor="background1"/>
                <w:lang w:val="fr-CA"/>
              </w:rPr>
              <w:t>géné</w:t>
            </w:r>
            <w:r w:rsidRPr="00C07DD2">
              <w:rPr>
                <w:rFonts w:cs="Segoe UI Semibold"/>
                <w:color w:val="FFFFFF" w:themeColor="background1"/>
                <w:lang w:val="fr-CA"/>
              </w:rPr>
              <w:t>ral des élections</w:t>
            </w:r>
            <w:r w:rsidR="007B56A5" w:rsidRPr="00C07DD2">
              <w:rPr>
                <w:rFonts w:cs="Segoe UI Semibold"/>
                <w:color w:val="FFFFFF" w:themeColor="background1"/>
                <w:lang w:val="fr-CA"/>
              </w:rPr>
              <w:t xml:space="preserve"> (n</w:t>
            </w:r>
            <w:r w:rsidRPr="00C07DD2">
              <w:rPr>
                <w:rFonts w:cs="Segoe UI Semibold"/>
                <w:color w:val="FFFFFF" w:themeColor="background1"/>
                <w:lang w:val="fr-CA"/>
              </w:rPr>
              <w:t>ombre d’</w:t>
            </w:r>
            <w:r w:rsidR="007B56A5" w:rsidRPr="00C07DD2">
              <w:rPr>
                <w:rFonts w:cs="Segoe UI Semibold"/>
                <w:color w:val="FFFFFF" w:themeColor="background1"/>
                <w:lang w:val="fr-CA"/>
              </w:rPr>
              <w:t>exceptions)</w:t>
            </w:r>
          </w:p>
        </w:tc>
        <w:tc>
          <w:tcPr>
            <w:tcW w:w="1358" w:type="pct"/>
            <w:shd w:val="clear" w:color="auto" w:fill="54575A" w:themeFill="text1"/>
          </w:tcPr>
          <w:p w14:paraId="302FE2B6" w14:textId="77777777" w:rsidR="007B56A5" w:rsidRPr="00C07DD2" w:rsidRDefault="00527A41" w:rsidP="00527A41">
            <w:pPr>
              <w:pStyle w:val="TableTitle"/>
              <w:rPr>
                <w:rFonts w:cs="Segoe UI Semibold"/>
                <w:color w:val="FFFFFF" w:themeColor="background1"/>
                <w:lang w:val="fr-CA"/>
              </w:rPr>
            </w:pPr>
            <w:r w:rsidRPr="00C07DD2">
              <w:rPr>
                <w:rFonts w:cs="Segoe UI Semibold"/>
                <w:color w:val="FFFFFF" w:themeColor="background1"/>
                <w:lang w:val="fr-CA"/>
              </w:rPr>
              <w:t>Autres organis</w:t>
            </w:r>
            <w:r w:rsidR="007B56A5" w:rsidRPr="00C07DD2">
              <w:rPr>
                <w:rFonts w:cs="Segoe UI Semibold"/>
                <w:color w:val="FFFFFF" w:themeColor="background1"/>
                <w:lang w:val="fr-CA"/>
              </w:rPr>
              <w:t>ations</w:t>
            </w:r>
            <w:r w:rsidR="008D115E" w:rsidRPr="00C07DD2">
              <w:rPr>
                <w:rFonts w:cs="Segoe UI Semibold"/>
                <w:color w:val="FFFFFF" w:themeColor="background1"/>
                <w:lang w:val="fr-CA"/>
              </w:rPr>
              <w:t xml:space="preserve"> </w:t>
            </w:r>
            <w:r w:rsidR="007B56A5" w:rsidRPr="00C07DD2">
              <w:rPr>
                <w:rFonts w:cs="Segoe UI Semibold"/>
                <w:color w:val="FFFFFF" w:themeColor="background1"/>
                <w:lang w:val="fr-CA"/>
              </w:rPr>
              <w:t>(n</w:t>
            </w:r>
            <w:r w:rsidRPr="00C07DD2">
              <w:rPr>
                <w:rFonts w:cs="Segoe UI Semibold"/>
                <w:color w:val="FFFFFF" w:themeColor="background1"/>
                <w:lang w:val="fr-CA"/>
              </w:rPr>
              <w:t>ombre d’</w:t>
            </w:r>
            <w:r w:rsidR="007B56A5" w:rsidRPr="00C07DD2">
              <w:rPr>
                <w:rFonts w:cs="Segoe UI Semibold"/>
                <w:color w:val="FFFFFF" w:themeColor="background1"/>
                <w:lang w:val="fr-CA"/>
              </w:rPr>
              <w:t>exceptions)</w:t>
            </w:r>
          </w:p>
        </w:tc>
      </w:tr>
      <w:tr w:rsidR="008D115E" w:rsidRPr="00C07DD2" w14:paraId="69F862DC" w14:textId="77777777" w:rsidTr="00057E50">
        <w:trPr>
          <w:cantSplit/>
          <w:tblHeader/>
          <w:jc w:val="center"/>
        </w:trPr>
        <w:tc>
          <w:tcPr>
            <w:tcW w:w="999" w:type="pct"/>
            <w:shd w:val="clear" w:color="auto" w:fill="54575A" w:themeFill="text1"/>
          </w:tcPr>
          <w:p w14:paraId="3B6996D2" w14:textId="77777777" w:rsidR="007B56A5" w:rsidRPr="00C07DD2" w:rsidRDefault="00527A41" w:rsidP="007B56A5">
            <w:pPr>
              <w:pStyle w:val="NormalWeb"/>
              <w:spacing w:before="0" w:beforeAutospacing="0" w:after="0" w:afterAutospacing="0"/>
              <w:rPr>
                <w:rFonts w:asciiTheme="minorHAnsi" w:hAnsiTheme="minorHAnsi" w:cstheme="minorHAnsi"/>
                <w:color w:val="FFFFFF" w:themeColor="background1"/>
                <w:sz w:val="22"/>
                <w:szCs w:val="36"/>
                <w:lang w:val="fr-CA"/>
              </w:rPr>
            </w:pPr>
            <w:r w:rsidRPr="00C07DD2">
              <w:rPr>
                <w:rFonts w:asciiTheme="minorHAnsi" w:hAnsiTheme="minorHAnsi" w:cstheme="minorHAnsi"/>
                <w:bCs/>
                <w:color w:val="FFFFFF" w:themeColor="background1"/>
                <w:kern w:val="24"/>
                <w:sz w:val="22"/>
                <w:szCs w:val="36"/>
                <w:lang w:val="fr-CA"/>
              </w:rPr>
              <w:t xml:space="preserve">Régions rurales et </w:t>
            </w:r>
            <w:r w:rsidR="00057E50" w:rsidRPr="00C07DD2">
              <w:rPr>
                <w:rFonts w:asciiTheme="minorHAnsi" w:hAnsiTheme="minorHAnsi" w:cstheme="minorHAnsi"/>
                <w:bCs/>
                <w:color w:val="FFFFFF" w:themeColor="background1"/>
                <w:kern w:val="24"/>
                <w:sz w:val="22"/>
                <w:szCs w:val="36"/>
                <w:lang w:val="fr-CA"/>
              </w:rPr>
              <w:t>ré</w:t>
            </w:r>
            <w:r w:rsidRPr="00C07DD2">
              <w:rPr>
                <w:rFonts w:asciiTheme="minorHAnsi" w:hAnsiTheme="minorHAnsi" w:cstheme="minorHAnsi"/>
                <w:bCs/>
                <w:color w:val="FFFFFF" w:themeColor="background1"/>
                <w:kern w:val="24"/>
                <w:sz w:val="22"/>
                <w:szCs w:val="36"/>
                <w:lang w:val="fr-CA"/>
              </w:rPr>
              <w:t>gions éloignées</w:t>
            </w:r>
          </w:p>
        </w:tc>
        <w:tc>
          <w:tcPr>
            <w:tcW w:w="1357" w:type="pct"/>
          </w:tcPr>
          <w:p w14:paraId="5CCBDB71" w14:textId="77777777" w:rsidR="007B56A5" w:rsidRPr="00C07DD2" w:rsidRDefault="007B56A5" w:rsidP="00527A41">
            <w:pPr>
              <w:pStyle w:val="NormalWeb"/>
              <w:spacing w:before="0" w:beforeAutospacing="0" w:after="0" w:afterAutospacing="0"/>
              <w:jc w:val="center"/>
              <w:rPr>
                <w:rFonts w:asciiTheme="minorHAnsi" w:hAnsiTheme="minorHAnsi" w:cstheme="minorHAnsi"/>
                <w:sz w:val="22"/>
                <w:szCs w:val="36"/>
                <w:lang w:val="fr-CA"/>
              </w:rPr>
            </w:pPr>
            <w:r w:rsidRPr="00C07DD2">
              <w:rPr>
                <w:rFonts w:asciiTheme="minorHAnsi" w:hAnsiTheme="minorHAnsi" w:cstheme="minorHAnsi"/>
                <w:bCs/>
                <w:kern w:val="24"/>
                <w:sz w:val="22"/>
                <w:szCs w:val="36"/>
                <w:lang w:val="fr-CA"/>
              </w:rPr>
              <w:t>14</w:t>
            </w:r>
          </w:p>
        </w:tc>
        <w:tc>
          <w:tcPr>
            <w:tcW w:w="1286" w:type="pct"/>
          </w:tcPr>
          <w:p w14:paraId="13AE6023" w14:textId="77777777" w:rsidR="007B56A5" w:rsidRPr="00C07DD2" w:rsidRDefault="007B56A5" w:rsidP="00527A41">
            <w:pPr>
              <w:pStyle w:val="NormalWeb"/>
              <w:spacing w:before="0" w:beforeAutospacing="0" w:after="0" w:afterAutospacing="0"/>
              <w:jc w:val="center"/>
              <w:rPr>
                <w:rFonts w:asciiTheme="minorHAnsi" w:hAnsiTheme="minorHAnsi" w:cstheme="minorHAnsi"/>
                <w:sz w:val="22"/>
                <w:szCs w:val="36"/>
                <w:lang w:val="fr-CA"/>
              </w:rPr>
            </w:pPr>
            <w:r w:rsidRPr="00C07DD2">
              <w:rPr>
                <w:rFonts w:asciiTheme="minorHAnsi" w:hAnsiTheme="minorHAnsi" w:cstheme="minorHAnsi"/>
                <w:bCs/>
                <w:kern w:val="24"/>
                <w:sz w:val="22"/>
                <w:szCs w:val="36"/>
                <w:lang w:val="fr-CA"/>
              </w:rPr>
              <w:t>0</w:t>
            </w:r>
          </w:p>
        </w:tc>
        <w:tc>
          <w:tcPr>
            <w:tcW w:w="1358" w:type="pct"/>
          </w:tcPr>
          <w:p w14:paraId="23AAC947" w14:textId="77777777" w:rsidR="007B56A5" w:rsidRPr="00C07DD2" w:rsidRDefault="007B56A5" w:rsidP="00527A41">
            <w:pPr>
              <w:pStyle w:val="NormalWeb"/>
              <w:spacing w:before="0" w:beforeAutospacing="0" w:after="0" w:afterAutospacing="0"/>
              <w:jc w:val="center"/>
              <w:rPr>
                <w:rFonts w:asciiTheme="minorHAnsi" w:hAnsiTheme="minorHAnsi" w:cstheme="minorHAnsi"/>
                <w:sz w:val="22"/>
                <w:szCs w:val="36"/>
                <w:lang w:val="fr-CA"/>
              </w:rPr>
            </w:pPr>
            <w:r w:rsidRPr="00C07DD2">
              <w:rPr>
                <w:rFonts w:asciiTheme="minorHAnsi" w:hAnsiTheme="minorHAnsi" w:cstheme="minorHAnsi"/>
                <w:bCs/>
                <w:kern w:val="24"/>
                <w:sz w:val="22"/>
                <w:szCs w:val="36"/>
                <w:lang w:val="fr-CA"/>
              </w:rPr>
              <w:t>3</w:t>
            </w:r>
          </w:p>
        </w:tc>
      </w:tr>
      <w:tr w:rsidR="008D115E" w:rsidRPr="00C07DD2" w14:paraId="69625669" w14:textId="77777777" w:rsidTr="00057E50">
        <w:trPr>
          <w:cantSplit/>
          <w:trHeight w:val="487"/>
          <w:tblHeader/>
          <w:jc w:val="center"/>
        </w:trPr>
        <w:tc>
          <w:tcPr>
            <w:tcW w:w="999" w:type="pct"/>
            <w:shd w:val="clear" w:color="auto" w:fill="54575A" w:themeFill="text1"/>
          </w:tcPr>
          <w:p w14:paraId="78F5895B" w14:textId="77777777" w:rsidR="007B56A5" w:rsidRPr="00C07DD2" w:rsidRDefault="00527A41" w:rsidP="007B56A5">
            <w:pPr>
              <w:pStyle w:val="NormalWeb"/>
              <w:spacing w:before="0" w:beforeAutospacing="0" w:after="0" w:afterAutospacing="0"/>
              <w:rPr>
                <w:rFonts w:asciiTheme="minorHAnsi" w:hAnsiTheme="minorHAnsi" w:cstheme="minorHAnsi"/>
                <w:color w:val="FFFFFF" w:themeColor="background1"/>
                <w:sz w:val="22"/>
                <w:szCs w:val="36"/>
                <w:lang w:val="fr-CA"/>
              </w:rPr>
            </w:pPr>
            <w:r w:rsidRPr="00C07DD2">
              <w:rPr>
                <w:rFonts w:asciiTheme="minorHAnsi" w:hAnsiTheme="minorHAnsi" w:cstheme="minorHAnsi"/>
                <w:color w:val="FFFFFF" w:themeColor="background1"/>
                <w:kern w:val="24"/>
                <w:sz w:val="22"/>
                <w:szCs w:val="36"/>
                <w:lang w:val="fr-CA"/>
              </w:rPr>
              <w:t>É</w:t>
            </w:r>
            <w:r w:rsidR="007B56A5" w:rsidRPr="00C07DD2">
              <w:rPr>
                <w:rFonts w:asciiTheme="minorHAnsi" w:hAnsiTheme="minorHAnsi" w:cstheme="minorHAnsi"/>
                <w:color w:val="FFFFFF" w:themeColor="background1"/>
                <w:kern w:val="24"/>
                <w:sz w:val="22"/>
                <w:szCs w:val="36"/>
                <w:lang w:val="fr-CA"/>
              </w:rPr>
              <w:t>lections</w:t>
            </w:r>
          </w:p>
        </w:tc>
        <w:tc>
          <w:tcPr>
            <w:tcW w:w="1357" w:type="pct"/>
          </w:tcPr>
          <w:p w14:paraId="7EA3566D" w14:textId="77777777" w:rsidR="007B56A5" w:rsidRPr="00C07DD2" w:rsidRDefault="007B56A5" w:rsidP="00527A41">
            <w:pPr>
              <w:pStyle w:val="NormalWeb"/>
              <w:spacing w:before="0" w:beforeAutospacing="0" w:after="0" w:afterAutospacing="0"/>
              <w:jc w:val="center"/>
              <w:rPr>
                <w:rFonts w:asciiTheme="minorHAnsi" w:hAnsiTheme="minorHAnsi" w:cstheme="minorHAnsi"/>
                <w:sz w:val="22"/>
                <w:szCs w:val="36"/>
                <w:lang w:val="fr-CA"/>
              </w:rPr>
            </w:pPr>
            <w:r w:rsidRPr="00C07DD2">
              <w:rPr>
                <w:rFonts w:asciiTheme="minorHAnsi" w:hAnsiTheme="minorHAnsi" w:cstheme="minorHAnsi"/>
                <w:kern w:val="24"/>
                <w:sz w:val="22"/>
                <w:szCs w:val="36"/>
                <w:lang w:val="fr-CA"/>
              </w:rPr>
              <w:t>0</w:t>
            </w:r>
          </w:p>
        </w:tc>
        <w:tc>
          <w:tcPr>
            <w:tcW w:w="1286" w:type="pct"/>
          </w:tcPr>
          <w:p w14:paraId="5B3782DD" w14:textId="77777777" w:rsidR="007B56A5" w:rsidRPr="00C07DD2" w:rsidRDefault="007B56A5" w:rsidP="00527A41">
            <w:pPr>
              <w:pStyle w:val="NormalWeb"/>
              <w:spacing w:before="0" w:beforeAutospacing="0" w:after="0" w:afterAutospacing="0"/>
              <w:jc w:val="center"/>
              <w:rPr>
                <w:rFonts w:asciiTheme="minorHAnsi" w:hAnsiTheme="minorHAnsi" w:cstheme="minorHAnsi"/>
                <w:sz w:val="22"/>
                <w:szCs w:val="36"/>
                <w:lang w:val="fr-CA"/>
              </w:rPr>
            </w:pPr>
            <w:r w:rsidRPr="00C07DD2">
              <w:rPr>
                <w:rFonts w:asciiTheme="minorHAnsi" w:hAnsiTheme="minorHAnsi" w:cstheme="minorHAnsi"/>
                <w:kern w:val="24"/>
                <w:sz w:val="22"/>
                <w:szCs w:val="36"/>
                <w:lang w:val="fr-CA"/>
              </w:rPr>
              <w:t>25</w:t>
            </w:r>
          </w:p>
        </w:tc>
        <w:tc>
          <w:tcPr>
            <w:tcW w:w="1358" w:type="pct"/>
          </w:tcPr>
          <w:p w14:paraId="7BA44E72" w14:textId="77777777" w:rsidR="007B56A5" w:rsidRPr="00C07DD2" w:rsidRDefault="007B56A5" w:rsidP="00527A41">
            <w:pPr>
              <w:pStyle w:val="NormalWeb"/>
              <w:spacing w:before="0" w:beforeAutospacing="0" w:after="0" w:afterAutospacing="0"/>
              <w:jc w:val="center"/>
              <w:rPr>
                <w:rFonts w:asciiTheme="minorHAnsi" w:hAnsiTheme="minorHAnsi" w:cstheme="minorHAnsi"/>
                <w:sz w:val="22"/>
                <w:szCs w:val="36"/>
                <w:lang w:val="fr-CA"/>
              </w:rPr>
            </w:pPr>
            <w:r w:rsidRPr="00C07DD2">
              <w:rPr>
                <w:rFonts w:asciiTheme="minorHAnsi" w:hAnsiTheme="minorHAnsi" w:cstheme="minorHAnsi"/>
                <w:kern w:val="24"/>
                <w:sz w:val="22"/>
                <w:szCs w:val="36"/>
                <w:lang w:val="fr-CA"/>
              </w:rPr>
              <w:t>0</w:t>
            </w:r>
          </w:p>
        </w:tc>
      </w:tr>
      <w:tr w:rsidR="00527A41" w:rsidRPr="00C07DD2" w14:paraId="4B667B89" w14:textId="77777777" w:rsidTr="00057E50">
        <w:trPr>
          <w:cantSplit/>
          <w:tblHeader/>
          <w:jc w:val="center"/>
        </w:trPr>
        <w:tc>
          <w:tcPr>
            <w:tcW w:w="999" w:type="pct"/>
            <w:shd w:val="clear" w:color="auto" w:fill="54575A" w:themeFill="text1"/>
          </w:tcPr>
          <w:p w14:paraId="7C99E2AB" w14:textId="77777777" w:rsidR="00527A41" w:rsidRPr="00C07DD2" w:rsidRDefault="00527A41" w:rsidP="00527A41">
            <w:pPr>
              <w:pStyle w:val="NormalWeb"/>
              <w:spacing w:before="0" w:beforeAutospacing="0" w:after="0" w:afterAutospacing="0"/>
              <w:rPr>
                <w:rFonts w:asciiTheme="minorHAnsi" w:hAnsiTheme="minorHAnsi" w:cstheme="minorHAnsi"/>
                <w:color w:val="FFFFFF" w:themeColor="background1"/>
                <w:sz w:val="22"/>
                <w:szCs w:val="36"/>
                <w:lang w:val="fr-CA"/>
              </w:rPr>
            </w:pPr>
            <w:r w:rsidRPr="00C07DD2">
              <w:rPr>
                <w:rFonts w:asciiTheme="minorHAnsi" w:hAnsiTheme="minorHAnsi" w:cstheme="minorHAnsi"/>
                <w:color w:val="FFFFFF" w:themeColor="background1"/>
                <w:kern w:val="24"/>
                <w:sz w:val="22"/>
                <w:szCs w:val="36"/>
                <w:lang w:val="fr-CA"/>
              </w:rPr>
              <w:t>Bassin de candidats suffisant et gestion du nombre de candidatures</w:t>
            </w:r>
          </w:p>
        </w:tc>
        <w:tc>
          <w:tcPr>
            <w:tcW w:w="1357" w:type="pct"/>
          </w:tcPr>
          <w:p w14:paraId="3699A2DF" w14:textId="77777777" w:rsidR="00527A41" w:rsidRPr="00C07DD2" w:rsidRDefault="00996E73" w:rsidP="00527A41">
            <w:pPr>
              <w:pStyle w:val="NormalWeb"/>
              <w:spacing w:before="0" w:beforeAutospacing="0" w:after="0" w:afterAutospacing="0"/>
              <w:jc w:val="center"/>
              <w:rPr>
                <w:rFonts w:asciiTheme="minorHAnsi" w:hAnsiTheme="minorHAnsi" w:cstheme="minorHAnsi"/>
                <w:sz w:val="22"/>
                <w:szCs w:val="36"/>
                <w:lang w:val="fr-CA"/>
              </w:rPr>
            </w:pPr>
            <w:r>
              <w:rPr>
                <w:rFonts w:asciiTheme="minorHAnsi" w:hAnsiTheme="minorHAnsi" w:cstheme="minorHAnsi"/>
                <w:kern w:val="24"/>
                <w:sz w:val="22"/>
                <w:szCs w:val="36"/>
                <w:lang w:val="fr-CA"/>
              </w:rPr>
              <w:t>Non applicable</w:t>
            </w:r>
          </w:p>
        </w:tc>
        <w:tc>
          <w:tcPr>
            <w:tcW w:w="1286" w:type="pct"/>
          </w:tcPr>
          <w:p w14:paraId="3F0A1C74" w14:textId="77777777" w:rsidR="00527A41" w:rsidRPr="00C07DD2" w:rsidRDefault="00996E73" w:rsidP="00527A41">
            <w:pPr>
              <w:jc w:val="center"/>
              <w:rPr>
                <w:lang w:val="fr-CA"/>
              </w:rPr>
            </w:pPr>
            <w:r>
              <w:rPr>
                <w:rFonts w:cstheme="minorHAnsi"/>
                <w:kern w:val="24"/>
                <w:szCs w:val="36"/>
                <w:lang w:val="fr-CA"/>
              </w:rPr>
              <w:t>Non applicable</w:t>
            </w:r>
          </w:p>
        </w:tc>
        <w:tc>
          <w:tcPr>
            <w:tcW w:w="1358" w:type="pct"/>
          </w:tcPr>
          <w:p w14:paraId="01F26702" w14:textId="77777777" w:rsidR="00527A41" w:rsidRPr="00C07DD2" w:rsidRDefault="00527A41" w:rsidP="00527A41">
            <w:pPr>
              <w:pStyle w:val="NormalWeb"/>
              <w:spacing w:before="0" w:beforeAutospacing="0" w:after="0" w:afterAutospacing="0"/>
              <w:jc w:val="center"/>
              <w:rPr>
                <w:rFonts w:asciiTheme="minorHAnsi" w:hAnsiTheme="minorHAnsi" w:cstheme="minorHAnsi"/>
                <w:sz w:val="22"/>
                <w:szCs w:val="36"/>
                <w:lang w:val="fr-CA"/>
              </w:rPr>
            </w:pPr>
            <w:r w:rsidRPr="00C07DD2">
              <w:rPr>
                <w:rFonts w:asciiTheme="minorHAnsi" w:hAnsiTheme="minorHAnsi" w:cstheme="minorHAnsi"/>
                <w:kern w:val="24"/>
                <w:sz w:val="22"/>
                <w:szCs w:val="36"/>
                <w:lang w:val="fr-CA"/>
              </w:rPr>
              <w:t>15</w:t>
            </w:r>
          </w:p>
        </w:tc>
      </w:tr>
      <w:tr w:rsidR="00527A41" w:rsidRPr="00C07DD2" w14:paraId="0ED88C01" w14:textId="77777777" w:rsidTr="00057E50">
        <w:trPr>
          <w:cantSplit/>
          <w:tblHeader/>
          <w:jc w:val="center"/>
        </w:trPr>
        <w:tc>
          <w:tcPr>
            <w:tcW w:w="999" w:type="pct"/>
            <w:shd w:val="clear" w:color="auto" w:fill="54575A" w:themeFill="text1"/>
          </w:tcPr>
          <w:p w14:paraId="359E1F5F" w14:textId="77777777" w:rsidR="00527A41" w:rsidRPr="00C07DD2" w:rsidRDefault="00527A41" w:rsidP="00527A41">
            <w:pPr>
              <w:pStyle w:val="NormalWeb"/>
              <w:spacing w:before="0" w:beforeAutospacing="0" w:after="0" w:afterAutospacing="0"/>
              <w:rPr>
                <w:rFonts w:asciiTheme="minorHAnsi" w:hAnsiTheme="minorHAnsi" w:cstheme="minorHAnsi"/>
                <w:color w:val="FFFFFF" w:themeColor="background1"/>
                <w:sz w:val="22"/>
                <w:szCs w:val="36"/>
                <w:lang w:val="fr-CA"/>
              </w:rPr>
            </w:pPr>
            <w:r w:rsidRPr="00C07DD2">
              <w:rPr>
                <w:rFonts w:asciiTheme="minorHAnsi" w:hAnsiTheme="minorHAnsi" w:cstheme="minorHAnsi"/>
                <w:color w:val="FFFFFF" w:themeColor="background1"/>
                <w:kern w:val="24"/>
                <w:sz w:val="22"/>
                <w:szCs w:val="36"/>
                <w:lang w:val="fr-CA"/>
              </w:rPr>
              <w:t>Poste au niveau d’entrée</w:t>
            </w:r>
          </w:p>
        </w:tc>
        <w:tc>
          <w:tcPr>
            <w:tcW w:w="1357" w:type="pct"/>
          </w:tcPr>
          <w:p w14:paraId="0E265FDF" w14:textId="77777777" w:rsidR="00527A41" w:rsidRPr="00C07DD2" w:rsidRDefault="00996E73" w:rsidP="00527A41">
            <w:pPr>
              <w:jc w:val="center"/>
              <w:rPr>
                <w:lang w:val="fr-CA"/>
              </w:rPr>
            </w:pPr>
            <w:r>
              <w:rPr>
                <w:rFonts w:cstheme="minorHAnsi"/>
                <w:kern w:val="24"/>
                <w:szCs w:val="36"/>
                <w:lang w:val="fr-CA"/>
              </w:rPr>
              <w:t>Non applicable</w:t>
            </w:r>
          </w:p>
        </w:tc>
        <w:tc>
          <w:tcPr>
            <w:tcW w:w="1286" w:type="pct"/>
          </w:tcPr>
          <w:p w14:paraId="7138B81D" w14:textId="77777777" w:rsidR="00527A41" w:rsidRPr="00C07DD2" w:rsidRDefault="00996E73" w:rsidP="00527A41">
            <w:pPr>
              <w:jc w:val="center"/>
              <w:rPr>
                <w:lang w:val="fr-CA"/>
              </w:rPr>
            </w:pPr>
            <w:r>
              <w:rPr>
                <w:rFonts w:cstheme="minorHAnsi"/>
                <w:kern w:val="24"/>
                <w:szCs w:val="36"/>
                <w:lang w:val="fr-CA"/>
              </w:rPr>
              <w:t>Non applicable</w:t>
            </w:r>
          </w:p>
        </w:tc>
        <w:tc>
          <w:tcPr>
            <w:tcW w:w="1358" w:type="pct"/>
          </w:tcPr>
          <w:p w14:paraId="27FC2307" w14:textId="77777777" w:rsidR="00527A41" w:rsidRPr="00C07DD2" w:rsidRDefault="00527A41" w:rsidP="00527A41">
            <w:pPr>
              <w:pStyle w:val="NormalWeb"/>
              <w:spacing w:before="0" w:beforeAutospacing="0" w:after="0" w:afterAutospacing="0"/>
              <w:jc w:val="center"/>
              <w:rPr>
                <w:rFonts w:asciiTheme="minorHAnsi" w:hAnsiTheme="minorHAnsi" w:cstheme="minorHAnsi"/>
                <w:sz w:val="22"/>
                <w:szCs w:val="36"/>
                <w:lang w:val="fr-CA"/>
              </w:rPr>
            </w:pPr>
            <w:r w:rsidRPr="00C07DD2">
              <w:rPr>
                <w:rFonts w:asciiTheme="minorHAnsi" w:hAnsiTheme="minorHAnsi" w:cstheme="minorHAnsi"/>
                <w:kern w:val="24"/>
                <w:sz w:val="22"/>
                <w:szCs w:val="36"/>
                <w:lang w:val="fr-CA"/>
              </w:rPr>
              <w:t>8</w:t>
            </w:r>
          </w:p>
        </w:tc>
      </w:tr>
      <w:tr w:rsidR="00527A41" w:rsidRPr="00C07DD2" w14:paraId="6D68FE6F" w14:textId="77777777" w:rsidTr="00057E50">
        <w:trPr>
          <w:cantSplit/>
          <w:trHeight w:val="408"/>
          <w:tblHeader/>
          <w:jc w:val="center"/>
        </w:trPr>
        <w:tc>
          <w:tcPr>
            <w:tcW w:w="999" w:type="pct"/>
            <w:shd w:val="clear" w:color="auto" w:fill="54575A" w:themeFill="text1"/>
          </w:tcPr>
          <w:p w14:paraId="247FA847" w14:textId="77777777" w:rsidR="00527A41" w:rsidRPr="00C07DD2" w:rsidRDefault="00527A41" w:rsidP="00527A41">
            <w:pPr>
              <w:pStyle w:val="NormalWeb"/>
              <w:spacing w:before="0" w:beforeAutospacing="0" w:after="0" w:afterAutospacing="0"/>
              <w:rPr>
                <w:rFonts w:asciiTheme="minorHAnsi" w:hAnsiTheme="minorHAnsi" w:cstheme="minorHAnsi"/>
                <w:color w:val="FFFFFF" w:themeColor="background1"/>
                <w:sz w:val="22"/>
                <w:szCs w:val="36"/>
                <w:lang w:val="fr-CA"/>
              </w:rPr>
            </w:pPr>
            <w:r w:rsidRPr="00C07DD2">
              <w:rPr>
                <w:rFonts w:asciiTheme="minorHAnsi" w:hAnsiTheme="minorHAnsi" w:cstheme="minorHAnsi"/>
                <w:color w:val="FFFFFF" w:themeColor="background1"/>
                <w:kern w:val="24"/>
                <w:sz w:val="22"/>
                <w:szCs w:val="36"/>
                <w:lang w:val="fr-CA"/>
              </w:rPr>
              <w:t>Postes temporaires</w:t>
            </w:r>
          </w:p>
        </w:tc>
        <w:tc>
          <w:tcPr>
            <w:tcW w:w="1357" w:type="pct"/>
          </w:tcPr>
          <w:p w14:paraId="5067822F" w14:textId="77777777" w:rsidR="00527A41" w:rsidRPr="00C07DD2" w:rsidRDefault="00996E73" w:rsidP="00527A41">
            <w:pPr>
              <w:jc w:val="center"/>
              <w:rPr>
                <w:lang w:val="fr-CA"/>
              </w:rPr>
            </w:pPr>
            <w:r>
              <w:rPr>
                <w:rFonts w:cstheme="minorHAnsi"/>
                <w:kern w:val="24"/>
                <w:szCs w:val="36"/>
                <w:lang w:val="fr-CA"/>
              </w:rPr>
              <w:t>Non applicable</w:t>
            </w:r>
          </w:p>
        </w:tc>
        <w:tc>
          <w:tcPr>
            <w:tcW w:w="1286" w:type="pct"/>
          </w:tcPr>
          <w:p w14:paraId="2DFA2F79" w14:textId="77777777" w:rsidR="00527A41" w:rsidRPr="00C07DD2" w:rsidRDefault="00996E73" w:rsidP="00527A41">
            <w:pPr>
              <w:jc w:val="center"/>
              <w:rPr>
                <w:lang w:val="fr-CA"/>
              </w:rPr>
            </w:pPr>
            <w:r>
              <w:rPr>
                <w:rFonts w:cstheme="minorHAnsi"/>
                <w:kern w:val="24"/>
                <w:szCs w:val="36"/>
                <w:lang w:val="fr-CA"/>
              </w:rPr>
              <w:t>Non applicable</w:t>
            </w:r>
          </w:p>
        </w:tc>
        <w:tc>
          <w:tcPr>
            <w:tcW w:w="1358" w:type="pct"/>
          </w:tcPr>
          <w:p w14:paraId="71FC0C19" w14:textId="77777777" w:rsidR="00527A41" w:rsidRPr="00C07DD2" w:rsidRDefault="00527A41" w:rsidP="00527A41">
            <w:pPr>
              <w:pStyle w:val="NormalWeb"/>
              <w:spacing w:before="0" w:beforeAutospacing="0" w:after="0" w:afterAutospacing="0"/>
              <w:jc w:val="center"/>
              <w:rPr>
                <w:rFonts w:asciiTheme="minorHAnsi" w:hAnsiTheme="minorHAnsi" w:cstheme="minorHAnsi"/>
                <w:sz w:val="22"/>
                <w:szCs w:val="36"/>
                <w:lang w:val="fr-CA"/>
              </w:rPr>
            </w:pPr>
            <w:r w:rsidRPr="00C07DD2">
              <w:rPr>
                <w:rFonts w:asciiTheme="minorHAnsi" w:hAnsiTheme="minorHAnsi" w:cstheme="minorHAnsi"/>
                <w:kern w:val="24"/>
                <w:sz w:val="22"/>
                <w:szCs w:val="36"/>
                <w:lang w:val="fr-CA"/>
              </w:rPr>
              <w:t>2</w:t>
            </w:r>
          </w:p>
        </w:tc>
      </w:tr>
    </w:tbl>
    <w:p w14:paraId="6FF5E321" w14:textId="77777777" w:rsidR="0084204D" w:rsidRPr="00C07DD2" w:rsidRDefault="00527A41" w:rsidP="003A448C">
      <w:pPr>
        <w:pStyle w:val="Titre2"/>
        <w:spacing w:before="240" w:after="120" w:line="240" w:lineRule="auto"/>
        <w:rPr>
          <w:rFonts w:eastAsia="Times New Roman"/>
          <w:lang w:val="fr-CA"/>
        </w:rPr>
      </w:pPr>
      <w:r w:rsidRPr="00C07DD2">
        <w:rPr>
          <w:rFonts w:eastAsia="Times New Roman"/>
          <w:lang w:val="fr-CA"/>
        </w:rPr>
        <w:t>Résultats des consultations</w:t>
      </w:r>
      <w:r w:rsidR="00491D4E" w:rsidRPr="00C07DD2">
        <w:rPr>
          <w:rFonts w:eastAsia="Times New Roman"/>
          <w:lang w:val="fr-CA"/>
        </w:rPr>
        <w:t xml:space="preserve"> </w:t>
      </w:r>
    </w:p>
    <w:p w14:paraId="47175E1A" w14:textId="77777777" w:rsidR="00527A41" w:rsidRPr="00C07DD2" w:rsidRDefault="00527A41" w:rsidP="00057E50">
      <w:pPr>
        <w:autoSpaceDE w:val="0"/>
        <w:autoSpaceDN w:val="0"/>
        <w:adjustRightInd w:val="0"/>
        <w:spacing w:after="120" w:line="240" w:lineRule="auto"/>
        <w:rPr>
          <w:rFonts w:cstheme="minorHAnsi"/>
          <w:kern w:val="24"/>
          <w:lang w:val="fr-CA"/>
        </w:rPr>
      </w:pPr>
      <w:r w:rsidRPr="00C07DD2">
        <w:rPr>
          <w:rFonts w:cstheme="minorHAnsi"/>
          <w:kern w:val="24"/>
          <w:lang w:val="fr-CA"/>
        </w:rPr>
        <w:t>Nous avons consulté les organisations qui avaient eu recours à 7* des 12 exceptions à la ZNS en 2017-2018. Nous avons noté ce qui suit :</w:t>
      </w:r>
    </w:p>
    <w:p w14:paraId="6681E1B0" w14:textId="77777777" w:rsidR="00E7222B" w:rsidRPr="00C07DD2" w:rsidRDefault="0052105A" w:rsidP="00057E50">
      <w:pPr>
        <w:autoSpaceDE w:val="0"/>
        <w:autoSpaceDN w:val="0"/>
        <w:adjustRightInd w:val="0"/>
        <w:spacing w:after="0" w:line="240" w:lineRule="auto"/>
        <w:rPr>
          <w:rFonts w:cstheme="minorHAnsi"/>
          <w:kern w:val="24"/>
          <w:lang w:val="fr-CA"/>
        </w:rPr>
      </w:pPr>
      <w:r w:rsidRPr="00C07DD2">
        <w:rPr>
          <w:rFonts w:cstheme="minorHAnsi"/>
          <w:kern w:val="24"/>
          <w:lang w:val="fr-CA"/>
        </w:rPr>
        <w:t>La majorité des organisations ont un processus d’approbation officielle, et les demandes d’exceptions sont examinées au cas par cas.</w:t>
      </w:r>
    </w:p>
    <w:p w14:paraId="1FBBF967" w14:textId="77777777" w:rsidR="00E7222B" w:rsidRPr="00C07DD2" w:rsidRDefault="0052105A" w:rsidP="00057E50">
      <w:pPr>
        <w:numPr>
          <w:ilvl w:val="0"/>
          <w:numId w:val="26"/>
        </w:numPr>
        <w:autoSpaceDE w:val="0"/>
        <w:autoSpaceDN w:val="0"/>
        <w:adjustRightInd w:val="0"/>
        <w:spacing w:after="0" w:line="240" w:lineRule="auto"/>
        <w:rPr>
          <w:rFonts w:cstheme="minorHAnsi"/>
          <w:kern w:val="24"/>
          <w:lang w:val="fr-CA"/>
        </w:rPr>
      </w:pPr>
      <w:r w:rsidRPr="00C07DD2">
        <w:rPr>
          <w:rFonts w:cstheme="minorHAnsi"/>
          <w:kern w:val="24"/>
          <w:lang w:val="fr-CA"/>
        </w:rPr>
        <w:t>Un petit nombre d’entre elles ont mis en place des lignes directrices concernant l’utilisation de ces exceptions.</w:t>
      </w:r>
    </w:p>
    <w:p w14:paraId="095B9D71" w14:textId="77777777" w:rsidR="00E7222B" w:rsidRPr="00C07DD2" w:rsidRDefault="0052105A" w:rsidP="00057E50">
      <w:pPr>
        <w:numPr>
          <w:ilvl w:val="0"/>
          <w:numId w:val="26"/>
        </w:numPr>
        <w:autoSpaceDE w:val="0"/>
        <w:autoSpaceDN w:val="0"/>
        <w:adjustRightInd w:val="0"/>
        <w:spacing w:after="120" w:line="240" w:lineRule="auto"/>
        <w:rPr>
          <w:rFonts w:cstheme="minorHAnsi"/>
          <w:kern w:val="24"/>
          <w:lang w:val="fr-CA"/>
        </w:rPr>
      </w:pPr>
      <w:r w:rsidRPr="00C07DD2">
        <w:rPr>
          <w:rFonts w:cstheme="minorHAnsi"/>
          <w:kern w:val="24"/>
          <w:lang w:val="fr-CA"/>
        </w:rPr>
        <w:t>En raison du fardeau administratif associé au processus d’approbation, certaines organisations hésitent à demander l’approbation des AG.</w:t>
      </w:r>
    </w:p>
    <w:p w14:paraId="1AB3B44C" w14:textId="77777777" w:rsidR="00527A41" w:rsidRPr="00C07DD2" w:rsidRDefault="00527A41" w:rsidP="00527A41">
      <w:pPr>
        <w:autoSpaceDE w:val="0"/>
        <w:autoSpaceDN w:val="0"/>
        <w:adjustRightInd w:val="0"/>
        <w:spacing w:after="120" w:line="240" w:lineRule="auto"/>
        <w:rPr>
          <w:rFonts w:cstheme="minorHAnsi"/>
          <w:kern w:val="24"/>
          <w:lang w:val="fr-CA"/>
        </w:rPr>
      </w:pPr>
      <w:r w:rsidRPr="00C07DD2">
        <w:rPr>
          <w:rFonts w:cstheme="minorHAnsi"/>
          <w:kern w:val="24"/>
          <w:lang w:val="fr-CA"/>
        </w:rPr>
        <w:t>* Six organisations ont approuvé une exception en 2017-2018 et une organisation a effectué des nominations en ayant recours à une exception approuvée en 2016-2017.</w:t>
      </w:r>
    </w:p>
    <w:p w14:paraId="7B187C95" w14:textId="77777777" w:rsidR="00527A41" w:rsidRPr="00C07DD2" w:rsidRDefault="00527A41" w:rsidP="00527A41">
      <w:pPr>
        <w:autoSpaceDE w:val="0"/>
        <w:autoSpaceDN w:val="0"/>
        <w:adjustRightInd w:val="0"/>
        <w:spacing w:after="120" w:line="240" w:lineRule="auto"/>
        <w:rPr>
          <w:rFonts w:cstheme="minorHAnsi"/>
          <w:kern w:val="24"/>
          <w:lang w:val="fr-CA"/>
        </w:rPr>
      </w:pPr>
      <w:r w:rsidRPr="00C07DD2">
        <w:rPr>
          <w:rFonts w:cstheme="minorHAnsi"/>
          <w:kern w:val="24"/>
          <w:lang w:val="fr-CA"/>
        </w:rPr>
        <w:t>Au lieu de réduire la zone de sélection, les organisations qui n’ont pas utilisé d’exceptions ont affirmé avoir eu recours à d’autres outils pour gérer le nombre élevé de candidatures dans le cadre de processus externes.</w:t>
      </w:r>
    </w:p>
    <w:p w14:paraId="75704A13" w14:textId="77777777" w:rsidR="0084204D" w:rsidRPr="00C07DD2" w:rsidRDefault="0084204D" w:rsidP="007059AC">
      <w:pPr>
        <w:pStyle w:val="Titre2"/>
        <w:spacing w:after="120" w:line="240" w:lineRule="auto"/>
        <w:rPr>
          <w:rFonts w:eastAsia="Times New Roman"/>
          <w:lang w:val="fr-CA"/>
        </w:rPr>
      </w:pPr>
      <w:r w:rsidRPr="00C07DD2">
        <w:rPr>
          <w:rFonts w:eastAsia="Times New Roman"/>
          <w:lang w:val="fr-CA"/>
        </w:rPr>
        <w:lastRenderedPageBreak/>
        <w:t>R</w:t>
      </w:r>
      <w:r w:rsidR="00527A41" w:rsidRPr="00C07DD2">
        <w:rPr>
          <w:rFonts w:eastAsia="Times New Roman"/>
          <w:lang w:val="fr-CA"/>
        </w:rPr>
        <w:t>ecomma</w:t>
      </w:r>
      <w:r w:rsidR="00914083" w:rsidRPr="00C07DD2">
        <w:rPr>
          <w:rFonts w:eastAsia="Times New Roman"/>
          <w:lang w:val="fr-CA"/>
        </w:rPr>
        <w:t>ndation</w:t>
      </w:r>
      <w:r w:rsidR="00527A41" w:rsidRPr="00C07DD2">
        <w:rPr>
          <w:rFonts w:eastAsia="Times New Roman"/>
          <w:lang w:val="fr-CA"/>
        </w:rPr>
        <w:t>s</w:t>
      </w:r>
    </w:p>
    <w:p w14:paraId="6FD6B51C" w14:textId="77777777" w:rsidR="00E7222B" w:rsidRPr="00C07DD2" w:rsidRDefault="0052105A" w:rsidP="00527A41">
      <w:pPr>
        <w:autoSpaceDE w:val="0"/>
        <w:autoSpaceDN w:val="0"/>
        <w:adjustRightInd w:val="0"/>
        <w:spacing w:after="120" w:line="240" w:lineRule="auto"/>
        <w:rPr>
          <w:rFonts w:cstheme="minorHAnsi"/>
          <w:kern w:val="24"/>
          <w:lang w:val="fr-CA"/>
        </w:rPr>
      </w:pPr>
      <w:r w:rsidRPr="00C07DD2">
        <w:rPr>
          <w:rFonts w:cstheme="minorHAnsi"/>
          <w:kern w:val="24"/>
          <w:lang w:val="fr-CA"/>
        </w:rPr>
        <w:t>Continuer de recueillir de l’information sur les nominations et les divers facteurs qui contribuent à l’utilisation des exceptions, et examiner les données afin de mieux comprendre et connaître les enjeux émergents.</w:t>
      </w:r>
    </w:p>
    <w:p w14:paraId="1AEED6E7" w14:textId="3B559943" w:rsidR="00527A41" w:rsidRPr="00C07DD2" w:rsidRDefault="0052105A" w:rsidP="007059AC">
      <w:pPr>
        <w:autoSpaceDE w:val="0"/>
        <w:autoSpaceDN w:val="0"/>
        <w:adjustRightInd w:val="0"/>
        <w:spacing w:after="120" w:line="240" w:lineRule="auto"/>
        <w:rPr>
          <w:rFonts w:cstheme="minorHAnsi"/>
          <w:kern w:val="24"/>
          <w:lang w:val="fr-CA"/>
        </w:rPr>
      </w:pPr>
      <w:r w:rsidRPr="00C07DD2">
        <w:rPr>
          <w:rFonts w:cstheme="minorHAnsi"/>
          <w:kern w:val="24"/>
          <w:lang w:val="fr-CA"/>
        </w:rPr>
        <w:t>La Division du soutien en dotation (DSD) fera le suivi auprès des organisations pour s’assurer qu’elles comprennent bien le but de la</w:t>
      </w:r>
      <w:r w:rsidR="009A37D8">
        <w:rPr>
          <w:rFonts w:cstheme="minorHAnsi"/>
          <w:kern w:val="24"/>
          <w:lang w:val="fr-CA"/>
        </w:rPr>
        <w:t xml:space="preserve"> politique de</w:t>
      </w:r>
      <w:r w:rsidRPr="00C07DD2">
        <w:rPr>
          <w:rFonts w:cstheme="minorHAnsi"/>
          <w:kern w:val="24"/>
          <w:lang w:val="fr-CA"/>
        </w:rPr>
        <w:t xml:space="preserve"> </w:t>
      </w:r>
      <w:r w:rsidR="009A37D8">
        <w:rPr>
          <w:rFonts w:cstheme="minorHAnsi"/>
          <w:kern w:val="24"/>
          <w:lang w:val="fr-CA"/>
        </w:rPr>
        <w:t>zone nationale de sélection</w:t>
      </w:r>
      <w:r w:rsidRPr="00C07DD2">
        <w:rPr>
          <w:rFonts w:cstheme="minorHAnsi"/>
          <w:kern w:val="24"/>
          <w:lang w:val="fr-CA"/>
        </w:rPr>
        <w:t>.</w:t>
      </w:r>
    </w:p>
    <w:p w14:paraId="57B72CC4" w14:textId="77777777" w:rsidR="0084204D" w:rsidRPr="00C07DD2" w:rsidRDefault="0084204D" w:rsidP="00AE29B7">
      <w:pPr>
        <w:pStyle w:val="Titre1"/>
        <w:spacing w:after="120" w:line="240" w:lineRule="auto"/>
        <w:rPr>
          <w:lang w:val="fr-CA"/>
        </w:rPr>
      </w:pPr>
      <w:r w:rsidRPr="00C07DD2">
        <w:rPr>
          <w:lang w:val="fr-CA"/>
        </w:rPr>
        <w:t>R</w:t>
      </w:r>
      <w:r w:rsidR="00733B03" w:rsidRPr="00C07DD2">
        <w:rPr>
          <w:lang w:val="fr-CA"/>
        </w:rPr>
        <w:t>é</w:t>
      </w:r>
      <w:r w:rsidR="008D115E" w:rsidRPr="00C07DD2">
        <w:rPr>
          <w:lang w:val="fr-CA"/>
        </w:rPr>
        <w:t>sult</w:t>
      </w:r>
      <w:r w:rsidR="00527A41" w:rsidRPr="00C07DD2">
        <w:rPr>
          <w:lang w:val="fr-CA"/>
        </w:rPr>
        <w:t>at</w:t>
      </w:r>
      <w:r w:rsidR="008D115E" w:rsidRPr="00C07DD2">
        <w:rPr>
          <w:lang w:val="fr-CA"/>
        </w:rPr>
        <w:t xml:space="preserve">s </w:t>
      </w:r>
      <w:r w:rsidR="00527A41" w:rsidRPr="00C07DD2">
        <w:rPr>
          <w:lang w:val="fr-CA"/>
        </w:rPr>
        <w:t>des enquêtes internes</w:t>
      </w:r>
    </w:p>
    <w:p w14:paraId="293D34AB" w14:textId="77777777" w:rsidR="0084204D" w:rsidRPr="00C07DD2" w:rsidRDefault="007059AC" w:rsidP="007059AC">
      <w:pPr>
        <w:pStyle w:val="Titre2"/>
        <w:spacing w:after="120" w:line="240" w:lineRule="auto"/>
        <w:rPr>
          <w:lang w:val="fr-CA"/>
        </w:rPr>
      </w:pPr>
      <w:r w:rsidRPr="00C07DD2">
        <w:rPr>
          <w:lang w:val="fr-CA"/>
        </w:rPr>
        <w:t>Context</w:t>
      </w:r>
      <w:r w:rsidR="00527A41" w:rsidRPr="00C07DD2">
        <w:rPr>
          <w:lang w:val="fr-CA"/>
        </w:rPr>
        <w:t>e</w:t>
      </w:r>
    </w:p>
    <w:p w14:paraId="2C1A5951" w14:textId="77777777" w:rsidR="00527A41" w:rsidRPr="00C07DD2" w:rsidRDefault="00527A41" w:rsidP="00057E50">
      <w:pPr>
        <w:autoSpaceDE w:val="0"/>
        <w:autoSpaceDN w:val="0"/>
        <w:adjustRightInd w:val="0"/>
        <w:spacing w:after="120" w:line="240" w:lineRule="auto"/>
        <w:rPr>
          <w:rFonts w:cstheme="minorHAnsi"/>
          <w:kern w:val="24"/>
          <w:lang w:val="fr-CA"/>
        </w:rPr>
      </w:pPr>
      <w:r w:rsidRPr="00C07DD2">
        <w:rPr>
          <w:rFonts w:cstheme="minorHAnsi"/>
          <w:kern w:val="24"/>
          <w:lang w:val="fr-CA"/>
        </w:rPr>
        <w:t>Conformément à l’Instrument de délégation et de responsabilisation en matière de nomination (IDRN), les administrateurs généraux (AG) doivent rendre compte à la Commission de la fonction publique (CFP) des résultats de toute enquête interne menée pendant l’exercice financier à propos d’une erreur, d’une omission ou d’une conduite répréhensible qui a influé sur le choix de la personne nommée.</w:t>
      </w:r>
    </w:p>
    <w:p w14:paraId="09E14010" w14:textId="77777777" w:rsidR="00527A41" w:rsidRPr="00C07DD2" w:rsidRDefault="00527A41" w:rsidP="00057E50">
      <w:pPr>
        <w:autoSpaceDE w:val="0"/>
        <w:autoSpaceDN w:val="0"/>
        <w:adjustRightInd w:val="0"/>
        <w:spacing w:after="0" w:line="240" w:lineRule="auto"/>
        <w:rPr>
          <w:rFonts w:cstheme="minorHAnsi"/>
          <w:kern w:val="24"/>
          <w:lang w:val="fr-CA"/>
        </w:rPr>
      </w:pPr>
      <w:r w:rsidRPr="00C07DD2">
        <w:rPr>
          <w:rFonts w:cstheme="minorHAnsi"/>
          <w:kern w:val="24"/>
          <w:lang w:val="fr-CA"/>
        </w:rPr>
        <w:t>Pour chaque enquête menée, la CFP demande aux AG de rendre compte des éléments suivants :</w:t>
      </w:r>
    </w:p>
    <w:p w14:paraId="21634BCE" w14:textId="77777777" w:rsidR="00E7222B" w:rsidRPr="00C07DD2" w:rsidRDefault="0052105A" w:rsidP="00057E50">
      <w:pPr>
        <w:numPr>
          <w:ilvl w:val="1"/>
          <w:numId w:val="28"/>
        </w:numPr>
        <w:autoSpaceDE w:val="0"/>
        <w:autoSpaceDN w:val="0"/>
        <w:adjustRightInd w:val="0"/>
        <w:spacing w:after="0" w:line="240" w:lineRule="auto"/>
        <w:rPr>
          <w:rFonts w:cstheme="minorHAnsi"/>
          <w:kern w:val="24"/>
          <w:lang w:val="fr-CA"/>
        </w:rPr>
      </w:pPr>
      <w:r w:rsidRPr="00C07DD2">
        <w:rPr>
          <w:rFonts w:cstheme="minorHAnsi"/>
          <w:kern w:val="24"/>
          <w:lang w:val="fr-CA"/>
        </w:rPr>
        <w:t>Le groupe et le niveau du poste à doter;</w:t>
      </w:r>
    </w:p>
    <w:p w14:paraId="795FD4D5" w14:textId="77777777" w:rsidR="00E7222B" w:rsidRPr="00C07DD2" w:rsidRDefault="0052105A" w:rsidP="00057E50">
      <w:pPr>
        <w:numPr>
          <w:ilvl w:val="1"/>
          <w:numId w:val="28"/>
        </w:numPr>
        <w:autoSpaceDE w:val="0"/>
        <w:autoSpaceDN w:val="0"/>
        <w:adjustRightInd w:val="0"/>
        <w:spacing w:after="0" w:line="240" w:lineRule="auto"/>
        <w:rPr>
          <w:rFonts w:cstheme="minorHAnsi"/>
          <w:kern w:val="24"/>
          <w:lang w:val="fr-CA"/>
        </w:rPr>
      </w:pPr>
      <w:r w:rsidRPr="00C07DD2">
        <w:rPr>
          <w:rFonts w:cstheme="minorHAnsi"/>
          <w:kern w:val="24"/>
          <w:lang w:val="fr-CA"/>
        </w:rPr>
        <w:t>Si l’enquête est fondée ou non;</w:t>
      </w:r>
    </w:p>
    <w:p w14:paraId="6C74D5A7" w14:textId="77777777" w:rsidR="00E7222B" w:rsidRPr="00C07DD2" w:rsidRDefault="0052105A" w:rsidP="00057E50">
      <w:pPr>
        <w:numPr>
          <w:ilvl w:val="1"/>
          <w:numId w:val="28"/>
        </w:numPr>
        <w:autoSpaceDE w:val="0"/>
        <w:autoSpaceDN w:val="0"/>
        <w:adjustRightInd w:val="0"/>
        <w:spacing w:after="0" w:line="240" w:lineRule="auto"/>
        <w:rPr>
          <w:rFonts w:cstheme="minorHAnsi"/>
          <w:kern w:val="24"/>
          <w:lang w:val="fr-CA"/>
        </w:rPr>
      </w:pPr>
      <w:r w:rsidRPr="00C07DD2">
        <w:rPr>
          <w:rFonts w:cstheme="minorHAnsi"/>
          <w:kern w:val="24"/>
          <w:lang w:val="fr-CA"/>
        </w:rPr>
        <w:t>Une brève description de la conclusion de l’enquête;</w:t>
      </w:r>
    </w:p>
    <w:p w14:paraId="5935659F" w14:textId="77777777" w:rsidR="00E7222B" w:rsidRPr="00C07DD2" w:rsidRDefault="0052105A" w:rsidP="00527A41">
      <w:pPr>
        <w:numPr>
          <w:ilvl w:val="1"/>
          <w:numId w:val="28"/>
        </w:numPr>
        <w:autoSpaceDE w:val="0"/>
        <w:autoSpaceDN w:val="0"/>
        <w:adjustRightInd w:val="0"/>
        <w:spacing w:after="120" w:line="240" w:lineRule="auto"/>
        <w:rPr>
          <w:rFonts w:cstheme="minorHAnsi"/>
          <w:kern w:val="24"/>
          <w:lang w:val="fr-CA"/>
        </w:rPr>
      </w:pPr>
      <w:r w:rsidRPr="00C07DD2">
        <w:rPr>
          <w:rFonts w:cstheme="minorHAnsi"/>
          <w:kern w:val="24"/>
          <w:lang w:val="fr-CA"/>
        </w:rPr>
        <w:t>Les mesures correctives prises pour remédier aux lacunes du processus de nomination.</w:t>
      </w:r>
    </w:p>
    <w:p w14:paraId="70886BA3" w14:textId="77777777" w:rsidR="0084204D" w:rsidRPr="00C07DD2" w:rsidRDefault="00527A41" w:rsidP="00527A41">
      <w:pPr>
        <w:autoSpaceDE w:val="0"/>
        <w:autoSpaceDN w:val="0"/>
        <w:adjustRightInd w:val="0"/>
        <w:spacing w:after="120" w:line="240" w:lineRule="auto"/>
        <w:rPr>
          <w:rFonts w:cstheme="minorHAnsi"/>
          <w:kern w:val="24"/>
          <w:lang w:val="fr-CA"/>
        </w:rPr>
      </w:pPr>
      <w:r w:rsidRPr="00C07DD2">
        <w:rPr>
          <w:rFonts w:cstheme="minorHAnsi"/>
          <w:kern w:val="24"/>
          <w:lang w:val="fr-CA"/>
        </w:rPr>
        <w:t xml:space="preserve">Bien que les organisations </w:t>
      </w:r>
      <w:r w:rsidR="0075477F" w:rsidRPr="00C07DD2">
        <w:rPr>
          <w:rFonts w:cstheme="minorHAnsi"/>
          <w:kern w:val="24"/>
          <w:lang w:val="fr-CA"/>
        </w:rPr>
        <w:t>puissent</w:t>
      </w:r>
      <w:r w:rsidRPr="00C07DD2">
        <w:rPr>
          <w:rFonts w:cstheme="minorHAnsi"/>
          <w:kern w:val="24"/>
          <w:lang w:val="fr-CA"/>
        </w:rPr>
        <w:t xml:space="preserve"> mener des enquêtes internes en vertu du paragr. 15(3) de la </w:t>
      </w:r>
      <w:r w:rsidRPr="00C07DD2">
        <w:rPr>
          <w:rStyle w:val="Accentuation"/>
          <w:lang w:val="fr-CA"/>
        </w:rPr>
        <w:t>Loi sur l’emploi dans la fonction publique</w:t>
      </w:r>
      <w:r w:rsidRPr="00C07DD2">
        <w:rPr>
          <w:rFonts w:cstheme="minorHAnsi"/>
          <w:i/>
          <w:iCs/>
          <w:kern w:val="24"/>
          <w:lang w:val="fr-CA"/>
        </w:rPr>
        <w:t xml:space="preserve"> </w:t>
      </w:r>
      <w:r w:rsidRPr="00C07DD2">
        <w:rPr>
          <w:rFonts w:cstheme="minorHAnsi"/>
          <w:kern w:val="24"/>
          <w:lang w:val="fr-CA"/>
        </w:rPr>
        <w:t>(LEFP), elles peuvent aussi demander à la CFP de mener des enquêtes en leur nom en vertu du paragr. 67(2) de la LEFP. Elles demeurent responsables d’approuver les rapports d’enquête et d’ordonner les mesures correctives.</w:t>
      </w:r>
    </w:p>
    <w:p w14:paraId="3C96351D" w14:textId="77777777" w:rsidR="0084204D" w:rsidRPr="00C07DD2" w:rsidRDefault="0084204D" w:rsidP="009F3ACF">
      <w:pPr>
        <w:pStyle w:val="Titre2"/>
        <w:spacing w:after="120" w:line="240" w:lineRule="auto"/>
        <w:rPr>
          <w:rFonts w:eastAsia="Times New Roman"/>
          <w:lang w:val="fr-CA"/>
        </w:rPr>
      </w:pPr>
      <w:r w:rsidRPr="00C07DD2">
        <w:rPr>
          <w:rFonts w:eastAsia="Times New Roman"/>
          <w:lang w:val="fr-CA"/>
        </w:rPr>
        <w:t>O</w:t>
      </w:r>
      <w:r w:rsidR="009F3ACF" w:rsidRPr="00C07DD2">
        <w:rPr>
          <w:rFonts w:eastAsia="Times New Roman"/>
          <w:lang w:val="fr-CA"/>
        </w:rPr>
        <w:t>bservations</w:t>
      </w:r>
    </w:p>
    <w:p w14:paraId="69807EC3" w14:textId="77777777" w:rsidR="00527A41" w:rsidRPr="00C07DD2" w:rsidRDefault="00527A41" w:rsidP="0052105A">
      <w:pPr>
        <w:spacing w:after="0"/>
        <w:rPr>
          <w:lang w:val="fr-CA"/>
        </w:rPr>
      </w:pPr>
      <w:r w:rsidRPr="00C07DD2">
        <w:rPr>
          <w:lang w:val="fr-CA"/>
        </w:rPr>
        <w:t>En 2018-2019, Emploi et Développement social Canada a mené 4 enquêtes internes en vertu du paragraphe 15(3) de la LEFP.</w:t>
      </w:r>
    </w:p>
    <w:p w14:paraId="018BE7E5" w14:textId="77777777" w:rsidR="00E7222B" w:rsidRPr="00C07DD2" w:rsidRDefault="0052105A" w:rsidP="0052105A">
      <w:pPr>
        <w:numPr>
          <w:ilvl w:val="1"/>
          <w:numId w:val="29"/>
        </w:numPr>
        <w:spacing w:after="0"/>
        <w:rPr>
          <w:lang w:val="fr-CA"/>
        </w:rPr>
      </w:pPr>
      <w:r w:rsidRPr="00C07DD2">
        <w:rPr>
          <w:lang w:val="fr-CA"/>
        </w:rPr>
        <w:t>Parmi ces enquêtes, 3 étaient fondées. Des mesures correctives avaient été prises par le Ministère et visaient à remédier aux lacunes des processus de nomination.</w:t>
      </w:r>
    </w:p>
    <w:p w14:paraId="6F4BE2A1" w14:textId="77777777" w:rsidR="00E7222B" w:rsidRPr="00C07DD2" w:rsidRDefault="0052105A" w:rsidP="003A448C">
      <w:pPr>
        <w:numPr>
          <w:ilvl w:val="1"/>
          <w:numId w:val="29"/>
        </w:numPr>
        <w:spacing w:after="120"/>
        <w:rPr>
          <w:lang w:val="fr-CA"/>
        </w:rPr>
      </w:pPr>
      <w:r w:rsidRPr="00C07DD2">
        <w:rPr>
          <w:lang w:val="fr-CA"/>
        </w:rPr>
        <w:t>Et 1 enquête était non fondée.</w:t>
      </w:r>
    </w:p>
    <w:p w14:paraId="4D421B4C" w14:textId="77777777" w:rsidR="003E7CFA" w:rsidRPr="00C07DD2" w:rsidRDefault="003E7CFA" w:rsidP="002C5A1D">
      <w:pPr>
        <w:pStyle w:val="Lgende"/>
        <w:keepNext/>
        <w:spacing w:after="0"/>
        <w:rPr>
          <w:i w:val="0"/>
          <w:color w:val="auto"/>
          <w:lang w:val="fr-CA"/>
        </w:rPr>
      </w:pPr>
      <w:r w:rsidRPr="00C07DD2">
        <w:rPr>
          <w:i w:val="0"/>
          <w:color w:val="auto"/>
          <w:lang w:val="fr-CA"/>
        </w:rPr>
        <w:lastRenderedPageBreak/>
        <w:t xml:space="preserve">Table </w:t>
      </w:r>
      <w:r w:rsidRPr="00C07DD2">
        <w:rPr>
          <w:i w:val="0"/>
          <w:color w:val="auto"/>
          <w:lang w:val="fr-CA"/>
        </w:rPr>
        <w:fldChar w:fldCharType="begin"/>
      </w:r>
      <w:r w:rsidRPr="00C07DD2">
        <w:rPr>
          <w:i w:val="0"/>
          <w:color w:val="auto"/>
          <w:lang w:val="fr-CA"/>
        </w:rPr>
        <w:instrText xml:space="preserve"> SEQ Table \* ARABIC </w:instrText>
      </w:r>
      <w:r w:rsidRPr="00C07DD2">
        <w:rPr>
          <w:i w:val="0"/>
          <w:color w:val="auto"/>
          <w:lang w:val="fr-CA"/>
        </w:rPr>
        <w:fldChar w:fldCharType="separate"/>
      </w:r>
      <w:r w:rsidR="007B56A5" w:rsidRPr="00C07DD2">
        <w:rPr>
          <w:i w:val="0"/>
          <w:noProof/>
          <w:color w:val="auto"/>
          <w:lang w:val="fr-CA"/>
        </w:rPr>
        <w:t>5</w:t>
      </w:r>
      <w:r w:rsidRPr="00C07DD2">
        <w:rPr>
          <w:i w:val="0"/>
          <w:color w:val="auto"/>
          <w:lang w:val="fr-CA"/>
        </w:rPr>
        <w:fldChar w:fldCharType="end"/>
      </w:r>
      <w:r w:rsidR="00F70D09" w:rsidRPr="00C07DD2">
        <w:rPr>
          <w:i w:val="0"/>
          <w:color w:val="auto"/>
          <w:lang w:val="fr-CA"/>
        </w:rPr>
        <w:t xml:space="preserve"> - Ré</w:t>
      </w:r>
      <w:r w:rsidRPr="00C07DD2">
        <w:rPr>
          <w:i w:val="0"/>
          <w:color w:val="auto"/>
          <w:lang w:val="fr-CA"/>
        </w:rPr>
        <w:t>sult</w:t>
      </w:r>
      <w:r w:rsidR="00527A41" w:rsidRPr="00C07DD2">
        <w:rPr>
          <w:i w:val="0"/>
          <w:color w:val="auto"/>
          <w:lang w:val="fr-CA"/>
        </w:rPr>
        <w:t>at</w:t>
      </w:r>
      <w:r w:rsidRPr="00C07DD2">
        <w:rPr>
          <w:i w:val="0"/>
          <w:color w:val="auto"/>
          <w:lang w:val="fr-CA"/>
        </w:rPr>
        <w:t xml:space="preserve">s </w:t>
      </w:r>
      <w:r w:rsidR="00527A41" w:rsidRPr="00C07DD2">
        <w:rPr>
          <w:i w:val="0"/>
          <w:color w:val="auto"/>
          <w:lang w:val="fr-CA"/>
        </w:rPr>
        <w:t>des enquêtes internes</w:t>
      </w:r>
    </w:p>
    <w:tbl>
      <w:tblPr>
        <w:tblStyle w:val="Grilledutableau"/>
        <w:tblW w:w="5000" w:type="pct"/>
        <w:jc w:val="center"/>
        <w:shd w:val="clear" w:color="auto" w:fill="54575A" w:themeFill="text2"/>
        <w:tblLook w:val="0420" w:firstRow="1" w:lastRow="0" w:firstColumn="0" w:lastColumn="0" w:noHBand="0" w:noVBand="1"/>
        <w:tblDescription w:val="Résultats des enquêtes internes de 2016 à 2019"/>
      </w:tblPr>
      <w:tblGrid>
        <w:gridCol w:w="1613"/>
        <w:gridCol w:w="2089"/>
        <w:gridCol w:w="2437"/>
        <w:gridCol w:w="3211"/>
      </w:tblGrid>
      <w:tr w:rsidR="003E7CFA" w:rsidRPr="0060539D" w14:paraId="597653E5" w14:textId="77777777" w:rsidTr="0052105A">
        <w:trPr>
          <w:cantSplit/>
          <w:trHeight w:val="650"/>
          <w:tblHeader/>
          <w:jc w:val="center"/>
        </w:trPr>
        <w:tc>
          <w:tcPr>
            <w:tcW w:w="863" w:type="pct"/>
            <w:shd w:val="clear" w:color="auto" w:fill="54575A" w:themeFill="text2"/>
            <w:hideMark/>
          </w:tcPr>
          <w:p w14:paraId="7C1E0BB2" w14:textId="77777777" w:rsidR="00A01BA6" w:rsidRPr="00C07DD2" w:rsidRDefault="00F70D09" w:rsidP="003E7CFA">
            <w:pPr>
              <w:pStyle w:val="TableTitle"/>
              <w:rPr>
                <w:rFonts w:eastAsia="Times New Roman" w:cs="Segoe UI Semibold"/>
                <w:color w:val="FFFFFF" w:themeColor="background1"/>
                <w:sz w:val="36"/>
                <w:szCs w:val="36"/>
                <w:lang w:val="fr-CA" w:eastAsia="en-CA"/>
              </w:rPr>
            </w:pPr>
            <w:r w:rsidRPr="00C07DD2">
              <w:rPr>
                <w:rFonts w:eastAsia="Times New Roman" w:cs="Segoe UI Semibold"/>
                <w:color w:val="FFFFFF" w:themeColor="background1"/>
                <w:lang w:val="fr-CA" w:eastAsia="en-CA"/>
              </w:rPr>
              <w:t>Exercice financier</w:t>
            </w:r>
          </w:p>
        </w:tc>
        <w:tc>
          <w:tcPr>
            <w:tcW w:w="1117" w:type="pct"/>
            <w:shd w:val="clear" w:color="auto" w:fill="54575A" w:themeFill="text2"/>
            <w:hideMark/>
          </w:tcPr>
          <w:p w14:paraId="27B3AABF" w14:textId="77777777" w:rsidR="00A01BA6" w:rsidRPr="00C07DD2" w:rsidRDefault="00A01BA6" w:rsidP="00F70D09">
            <w:pPr>
              <w:pStyle w:val="TableTitle"/>
              <w:rPr>
                <w:rFonts w:eastAsia="Times New Roman" w:cs="Segoe UI Semibold"/>
                <w:color w:val="FFFFFF" w:themeColor="background1"/>
                <w:sz w:val="36"/>
                <w:szCs w:val="36"/>
                <w:lang w:val="fr-CA" w:eastAsia="en-CA"/>
              </w:rPr>
            </w:pPr>
            <w:r w:rsidRPr="00C07DD2">
              <w:rPr>
                <w:rFonts w:eastAsia="Times New Roman" w:cs="Segoe UI Semibold"/>
                <w:color w:val="FFFFFF" w:themeColor="background1"/>
                <w:lang w:val="fr-CA" w:eastAsia="en-CA"/>
              </w:rPr>
              <w:t>N</w:t>
            </w:r>
            <w:r w:rsidR="00F70D09" w:rsidRPr="00C07DD2">
              <w:rPr>
                <w:rFonts w:eastAsia="Times New Roman" w:cs="Segoe UI Semibold"/>
                <w:color w:val="FFFFFF" w:themeColor="background1"/>
                <w:lang w:val="fr-CA" w:eastAsia="en-CA"/>
              </w:rPr>
              <w:t>ombre d’organis</w:t>
            </w:r>
            <w:r w:rsidRPr="00C07DD2">
              <w:rPr>
                <w:rFonts w:eastAsia="Times New Roman" w:cs="Segoe UI Semibold"/>
                <w:color w:val="FFFFFF" w:themeColor="background1"/>
                <w:lang w:val="fr-CA" w:eastAsia="en-CA"/>
              </w:rPr>
              <w:t>ations</w:t>
            </w:r>
          </w:p>
        </w:tc>
        <w:tc>
          <w:tcPr>
            <w:tcW w:w="1303" w:type="pct"/>
            <w:shd w:val="clear" w:color="auto" w:fill="54575A" w:themeFill="text2"/>
            <w:hideMark/>
          </w:tcPr>
          <w:p w14:paraId="32AA1743" w14:textId="77777777" w:rsidR="00A01BA6" w:rsidRPr="00C07DD2" w:rsidRDefault="00F70D09" w:rsidP="00F70D09">
            <w:pPr>
              <w:pStyle w:val="TableTitle"/>
              <w:rPr>
                <w:rFonts w:eastAsia="Times New Roman" w:cs="Segoe UI Semibold"/>
                <w:color w:val="FFFFFF" w:themeColor="background1"/>
                <w:sz w:val="36"/>
                <w:szCs w:val="36"/>
                <w:lang w:val="fr-CA" w:eastAsia="en-CA"/>
              </w:rPr>
            </w:pPr>
            <w:r w:rsidRPr="00C07DD2">
              <w:rPr>
                <w:rFonts w:eastAsia="Times New Roman" w:cs="Segoe UI Semibold"/>
                <w:color w:val="FFFFFF" w:themeColor="background1"/>
                <w:lang w:val="fr-CA" w:eastAsia="en-CA"/>
              </w:rPr>
              <w:t>Enquêtes internes, paragraphe 1</w:t>
            </w:r>
            <w:r w:rsidR="00A01BA6" w:rsidRPr="00C07DD2">
              <w:rPr>
                <w:rFonts w:eastAsia="Times New Roman" w:cs="Segoe UI Semibold"/>
                <w:color w:val="FFFFFF" w:themeColor="background1"/>
                <w:lang w:val="fr-CA" w:eastAsia="en-CA"/>
              </w:rPr>
              <w:t>5(3)</w:t>
            </w:r>
          </w:p>
        </w:tc>
        <w:tc>
          <w:tcPr>
            <w:tcW w:w="1717" w:type="pct"/>
            <w:shd w:val="clear" w:color="auto" w:fill="54575A" w:themeFill="text2"/>
            <w:hideMark/>
          </w:tcPr>
          <w:p w14:paraId="424B2FD2" w14:textId="77777777" w:rsidR="00A01BA6" w:rsidRPr="00C07DD2" w:rsidRDefault="00F70D09" w:rsidP="00F70D09">
            <w:pPr>
              <w:pStyle w:val="TableTitle"/>
              <w:rPr>
                <w:rFonts w:eastAsia="Times New Roman" w:cs="Segoe UI Semibold"/>
                <w:color w:val="FFFFFF" w:themeColor="background1"/>
                <w:sz w:val="36"/>
                <w:szCs w:val="36"/>
                <w:lang w:val="fr-CA" w:eastAsia="en-CA"/>
              </w:rPr>
            </w:pPr>
            <w:r w:rsidRPr="00C07DD2">
              <w:rPr>
                <w:rFonts w:eastAsia="Times New Roman" w:cs="Segoe UI Semibold"/>
                <w:color w:val="FFFFFF" w:themeColor="background1"/>
                <w:lang w:val="fr-CA" w:eastAsia="en-CA"/>
              </w:rPr>
              <w:t xml:space="preserve">Enquêtes de la CFP au nom de l’AG, paragraphe </w:t>
            </w:r>
            <w:r w:rsidR="00A01BA6" w:rsidRPr="00C07DD2">
              <w:rPr>
                <w:rFonts w:eastAsia="Times New Roman" w:cs="Segoe UI Semibold"/>
                <w:color w:val="FFFFFF" w:themeColor="background1"/>
                <w:lang w:val="fr-CA" w:eastAsia="en-CA"/>
              </w:rPr>
              <w:t>67(2)</w:t>
            </w:r>
          </w:p>
        </w:tc>
      </w:tr>
      <w:tr w:rsidR="00A01BA6" w:rsidRPr="00C07DD2" w14:paraId="33C9CB12" w14:textId="77777777" w:rsidTr="0052105A">
        <w:trPr>
          <w:cantSplit/>
          <w:trHeight w:val="546"/>
          <w:tblHeader/>
          <w:jc w:val="center"/>
        </w:trPr>
        <w:tc>
          <w:tcPr>
            <w:tcW w:w="863" w:type="pct"/>
            <w:shd w:val="clear" w:color="auto" w:fill="54575A" w:themeFill="text2"/>
            <w:hideMark/>
          </w:tcPr>
          <w:p w14:paraId="2B7D5268" w14:textId="77777777" w:rsidR="00A01BA6" w:rsidRPr="00C07DD2" w:rsidRDefault="00A01BA6" w:rsidP="002C5A1D">
            <w:pPr>
              <w:spacing w:before="120" w:after="120"/>
              <w:rPr>
                <w:rFonts w:eastAsia="Times New Roman" w:cstheme="minorHAnsi"/>
                <w:color w:val="FFFFFF" w:themeColor="background1"/>
                <w:lang w:val="fr-CA" w:eastAsia="en-CA"/>
              </w:rPr>
            </w:pPr>
            <w:r w:rsidRPr="00C07DD2">
              <w:rPr>
                <w:rFonts w:eastAsia="Times New Roman" w:cstheme="minorHAnsi"/>
                <w:color w:val="FFFFFF" w:themeColor="background1"/>
                <w:kern w:val="24"/>
                <w:lang w:val="fr-CA" w:eastAsia="en-CA"/>
              </w:rPr>
              <w:t>2016-2017</w:t>
            </w:r>
          </w:p>
        </w:tc>
        <w:tc>
          <w:tcPr>
            <w:tcW w:w="1117" w:type="pct"/>
            <w:shd w:val="clear" w:color="auto" w:fill="FFFFFF" w:themeFill="background1"/>
            <w:hideMark/>
          </w:tcPr>
          <w:p w14:paraId="01CF2DF0" w14:textId="77777777" w:rsidR="00A01BA6" w:rsidRPr="00C07DD2" w:rsidRDefault="00A01BA6" w:rsidP="00215FA4">
            <w:pPr>
              <w:spacing w:before="120" w:after="120"/>
              <w:jc w:val="center"/>
              <w:rPr>
                <w:rFonts w:eastAsia="Times New Roman" w:cstheme="minorHAnsi"/>
                <w:lang w:val="fr-CA" w:eastAsia="en-CA"/>
              </w:rPr>
            </w:pPr>
            <w:r w:rsidRPr="00C07DD2">
              <w:rPr>
                <w:rFonts w:eastAsia="Times New Roman" w:cstheme="minorHAnsi"/>
                <w:color w:val="54575A"/>
                <w:kern w:val="24"/>
                <w:lang w:val="fr-CA" w:eastAsia="en-CA"/>
              </w:rPr>
              <w:t>1</w:t>
            </w:r>
          </w:p>
        </w:tc>
        <w:tc>
          <w:tcPr>
            <w:tcW w:w="1303" w:type="pct"/>
            <w:shd w:val="clear" w:color="auto" w:fill="FFFFFF" w:themeFill="background1"/>
            <w:hideMark/>
          </w:tcPr>
          <w:p w14:paraId="0421EE9D" w14:textId="77777777" w:rsidR="00A01BA6" w:rsidRPr="00C07DD2" w:rsidRDefault="00A01BA6" w:rsidP="00215FA4">
            <w:pPr>
              <w:spacing w:before="120" w:after="120"/>
              <w:jc w:val="center"/>
              <w:rPr>
                <w:rFonts w:eastAsia="Times New Roman" w:cstheme="minorHAnsi"/>
                <w:lang w:val="fr-CA" w:eastAsia="en-CA"/>
              </w:rPr>
            </w:pPr>
            <w:r w:rsidRPr="00C07DD2">
              <w:rPr>
                <w:rFonts w:eastAsia="Times New Roman" w:cstheme="minorHAnsi"/>
                <w:color w:val="54575A"/>
                <w:kern w:val="24"/>
                <w:lang w:val="fr-CA" w:eastAsia="en-CA"/>
              </w:rPr>
              <w:t>3</w:t>
            </w:r>
          </w:p>
        </w:tc>
        <w:tc>
          <w:tcPr>
            <w:tcW w:w="1717" w:type="pct"/>
            <w:shd w:val="clear" w:color="auto" w:fill="FFFFFF" w:themeFill="background1"/>
            <w:hideMark/>
          </w:tcPr>
          <w:p w14:paraId="24CBA6C6" w14:textId="77777777" w:rsidR="00A01BA6" w:rsidRPr="00C07DD2" w:rsidRDefault="00A01BA6" w:rsidP="00215FA4">
            <w:pPr>
              <w:spacing w:before="120" w:after="120"/>
              <w:jc w:val="center"/>
              <w:rPr>
                <w:rFonts w:eastAsia="Times New Roman" w:cstheme="minorHAnsi"/>
                <w:lang w:val="fr-CA" w:eastAsia="en-CA"/>
              </w:rPr>
            </w:pPr>
            <w:r w:rsidRPr="00C07DD2">
              <w:rPr>
                <w:rFonts w:eastAsia="Times New Roman" w:cstheme="minorHAnsi"/>
                <w:color w:val="54575A"/>
                <w:kern w:val="24"/>
                <w:lang w:val="fr-CA" w:eastAsia="en-CA"/>
              </w:rPr>
              <w:t>2</w:t>
            </w:r>
          </w:p>
        </w:tc>
      </w:tr>
      <w:tr w:rsidR="00A01BA6" w:rsidRPr="00C07DD2" w14:paraId="2DED7ADA" w14:textId="77777777" w:rsidTr="0052105A">
        <w:trPr>
          <w:cantSplit/>
          <w:trHeight w:val="568"/>
          <w:tblHeader/>
          <w:jc w:val="center"/>
        </w:trPr>
        <w:tc>
          <w:tcPr>
            <w:tcW w:w="863" w:type="pct"/>
            <w:shd w:val="clear" w:color="auto" w:fill="54575A" w:themeFill="text2"/>
            <w:hideMark/>
          </w:tcPr>
          <w:p w14:paraId="5F803144" w14:textId="77777777" w:rsidR="00A01BA6" w:rsidRPr="00C07DD2" w:rsidRDefault="00A01BA6" w:rsidP="002C5A1D">
            <w:pPr>
              <w:spacing w:before="120" w:after="120"/>
              <w:rPr>
                <w:rFonts w:eastAsia="Times New Roman" w:cstheme="minorHAnsi"/>
                <w:color w:val="FFFFFF" w:themeColor="background1"/>
                <w:lang w:val="fr-CA" w:eastAsia="en-CA"/>
              </w:rPr>
            </w:pPr>
            <w:r w:rsidRPr="00C07DD2">
              <w:rPr>
                <w:rFonts w:eastAsia="Times New Roman" w:cstheme="minorHAnsi"/>
                <w:color w:val="FFFFFF" w:themeColor="background1"/>
                <w:kern w:val="24"/>
                <w:lang w:val="fr-CA" w:eastAsia="en-CA"/>
              </w:rPr>
              <w:t>2017-2018</w:t>
            </w:r>
          </w:p>
        </w:tc>
        <w:tc>
          <w:tcPr>
            <w:tcW w:w="1117" w:type="pct"/>
            <w:shd w:val="clear" w:color="auto" w:fill="FFFFFF" w:themeFill="background1"/>
            <w:hideMark/>
          </w:tcPr>
          <w:p w14:paraId="53EED6FB" w14:textId="77777777" w:rsidR="00A01BA6" w:rsidRPr="00C07DD2" w:rsidRDefault="00A01BA6" w:rsidP="00215FA4">
            <w:pPr>
              <w:spacing w:before="120" w:after="120"/>
              <w:jc w:val="center"/>
              <w:rPr>
                <w:rFonts w:eastAsia="Times New Roman" w:cstheme="minorHAnsi"/>
                <w:lang w:val="fr-CA" w:eastAsia="en-CA"/>
              </w:rPr>
            </w:pPr>
            <w:r w:rsidRPr="00C07DD2">
              <w:rPr>
                <w:rFonts w:eastAsia="Times New Roman" w:cstheme="minorHAnsi"/>
                <w:color w:val="54575A"/>
                <w:kern w:val="24"/>
                <w:lang w:val="fr-CA" w:eastAsia="en-CA"/>
              </w:rPr>
              <w:t>2</w:t>
            </w:r>
          </w:p>
        </w:tc>
        <w:tc>
          <w:tcPr>
            <w:tcW w:w="1303" w:type="pct"/>
            <w:shd w:val="clear" w:color="auto" w:fill="FFFFFF" w:themeFill="background1"/>
            <w:hideMark/>
          </w:tcPr>
          <w:p w14:paraId="0CBA321B" w14:textId="77777777" w:rsidR="00A01BA6" w:rsidRPr="00C07DD2" w:rsidRDefault="00A01BA6" w:rsidP="00215FA4">
            <w:pPr>
              <w:spacing w:before="120" w:after="120"/>
              <w:jc w:val="center"/>
              <w:rPr>
                <w:rFonts w:eastAsia="Times New Roman" w:cstheme="minorHAnsi"/>
                <w:lang w:val="fr-CA" w:eastAsia="en-CA"/>
              </w:rPr>
            </w:pPr>
            <w:r w:rsidRPr="00C07DD2">
              <w:rPr>
                <w:rFonts w:eastAsia="Times New Roman" w:cstheme="minorHAnsi"/>
                <w:color w:val="54575A"/>
                <w:kern w:val="24"/>
                <w:lang w:val="fr-CA" w:eastAsia="en-CA"/>
              </w:rPr>
              <w:t>2</w:t>
            </w:r>
          </w:p>
        </w:tc>
        <w:tc>
          <w:tcPr>
            <w:tcW w:w="1717" w:type="pct"/>
            <w:shd w:val="clear" w:color="auto" w:fill="FFFFFF" w:themeFill="background1"/>
            <w:hideMark/>
          </w:tcPr>
          <w:p w14:paraId="5E20DDE5" w14:textId="77777777" w:rsidR="00A01BA6" w:rsidRPr="00C07DD2" w:rsidRDefault="00A01BA6" w:rsidP="00215FA4">
            <w:pPr>
              <w:spacing w:before="120" w:after="120"/>
              <w:jc w:val="center"/>
              <w:rPr>
                <w:rFonts w:eastAsia="Times New Roman" w:cstheme="minorHAnsi"/>
                <w:lang w:val="fr-CA" w:eastAsia="en-CA"/>
              </w:rPr>
            </w:pPr>
            <w:r w:rsidRPr="00C07DD2">
              <w:rPr>
                <w:rFonts w:eastAsia="Times New Roman" w:cstheme="minorHAnsi"/>
                <w:color w:val="54575A"/>
                <w:kern w:val="24"/>
                <w:lang w:val="fr-CA" w:eastAsia="en-CA"/>
              </w:rPr>
              <w:t>10</w:t>
            </w:r>
          </w:p>
        </w:tc>
      </w:tr>
      <w:tr w:rsidR="00A01BA6" w:rsidRPr="00C07DD2" w14:paraId="6530090B" w14:textId="77777777" w:rsidTr="0052105A">
        <w:trPr>
          <w:cantSplit/>
          <w:trHeight w:val="406"/>
          <w:tblHeader/>
          <w:jc w:val="center"/>
        </w:trPr>
        <w:tc>
          <w:tcPr>
            <w:tcW w:w="863" w:type="pct"/>
            <w:shd w:val="clear" w:color="auto" w:fill="54575A" w:themeFill="text2"/>
            <w:hideMark/>
          </w:tcPr>
          <w:p w14:paraId="0A8EBCD0" w14:textId="77777777" w:rsidR="00A01BA6" w:rsidRPr="00C07DD2" w:rsidRDefault="00A01BA6" w:rsidP="002C5A1D">
            <w:pPr>
              <w:spacing w:before="120" w:after="120"/>
              <w:rPr>
                <w:rFonts w:eastAsia="Times New Roman" w:cstheme="minorHAnsi"/>
                <w:color w:val="FFFFFF" w:themeColor="background1"/>
                <w:lang w:val="fr-CA" w:eastAsia="en-CA"/>
              </w:rPr>
            </w:pPr>
            <w:r w:rsidRPr="00C07DD2">
              <w:rPr>
                <w:rFonts w:eastAsia="Times New Roman" w:cstheme="minorHAnsi"/>
                <w:color w:val="FFFFFF" w:themeColor="background1"/>
                <w:kern w:val="24"/>
                <w:lang w:val="fr-CA" w:eastAsia="en-CA"/>
              </w:rPr>
              <w:t>2018-2019</w:t>
            </w:r>
          </w:p>
        </w:tc>
        <w:tc>
          <w:tcPr>
            <w:tcW w:w="1117" w:type="pct"/>
            <w:shd w:val="clear" w:color="auto" w:fill="FFFFFF" w:themeFill="background1"/>
            <w:hideMark/>
          </w:tcPr>
          <w:p w14:paraId="20EE3335" w14:textId="77777777" w:rsidR="00A01BA6" w:rsidRPr="00C07DD2" w:rsidRDefault="00A01BA6" w:rsidP="00215FA4">
            <w:pPr>
              <w:spacing w:before="120" w:after="120"/>
              <w:jc w:val="center"/>
              <w:rPr>
                <w:rFonts w:eastAsia="Times New Roman" w:cstheme="minorHAnsi"/>
                <w:lang w:val="fr-CA" w:eastAsia="en-CA"/>
              </w:rPr>
            </w:pPr>
            <w:r w:rsidRPr="00C07DD2">
              <w:rPr>
                <w:rFonts w:eastAsia="Times New Roman" w:cstheme="minorHAnsi"/>
                <w:color w:val="54575A"/>
                <w:kern w:val="24"/>
                <w:lang w:val="fr-CA" w:eastAsia="en-CA"/>
              </w:rPr>
              <w:t>1</w:t>
            </w:r>
          </w:p>
        </w:tc>
        <w:tc>
          <w:tcPr>
            <w:tcW w:w="1303" w:type="pct"/>
            <w:shd w:val="clear" w:color="auto" w:fill="FFFFFF" w:themeFill="background1"/>
            <w:hideMark/>
          </w:tcPr>
          <w:p w14:paraId="6D2F4235" w14:textId="77777777" w:rsidR="00A01BA6" w:rsidRPr="00C07DD2" w:rsidRDefault="00A01BA6" w:rsidP="00215FA4">
            <w:pPr>
              <w:spacing w:before="120" w:after="120"/>
              <w:jc w:val="center"/>
              <w:rPr>
                <w:rFonts w:eastAsia="Times New Roman" w:cstheme="minorHAnsi"/>
                <w:lang w:val="fr-CA" w:eastAsia="en-CA"/>
              </w:rPr>
            </w:pPr>
            <w:r w:rsidRPr="00C07DD2">
              <w:rPr>
                <w:rFonts w:eastAsia="Times New Roman" w:cstheme="minorHAnsi"/>
                <w:color w:val="54575A"/>
                <w:kern w:val="24"/>
                <w:lang w:val="fr-CA" w:eastAsia="en-CA"/>
              </w:rPr>
              <w:t>4</w:t>
            </w:r>
          </w:p>
        </w:tc>
        <w:tc>
          <w:tcPr>
            <w:tcW w:w="1717" w:type="pct"/>
            <w:shd w:val="clear" w:color="auto" w:fill="FFFFFF" w:themeFill="background1"/>
            <w:hideMark/>
          </w:tcPr>
          <w:p w14:paraId="490BCFCF" w14:textId="77777777" w:rsidR="00A01BA6" w:rsidRPr="00C07DD2" w:rsidRDefault="00A01BA6" w:rsidP="00215FA4">
            <w:pPr>
              <w:spacing w:before="120" w:after="120"/>
              <w:jc w:val="center"/>
              <w:rPr>
                <w:rFonts w:eastAsia="Times New Roman" w:cstheme="minorHAnsi"/>
                <w:lang w:val="fr-CA" w:eastAsia="en-CA"/>
              </w:rPr>
            </w:pPr>
            <w:r w:rsidRPr="00C07DD2">
              <w:rPr>
                <w:rFonts w:eastAsia="Times New Roman" w:cstheme="minorHAnsi"/>
                <w:color w:val="54575A"/>
                <w:kern w:val="24"/>
                <w:lang w:val="fr-CA" w:eastAsia="en-CA"/>
              </w:rPr>
              <w:t>2</w:t>
            </w:r>
          </w:p>
        </w:tc>
      </w:tr>
    </w:tbl>
    <w:p w14:paraId="7ED7EAD2" w14:textId="77777777" w:rsidR="00E7222B" w:rsidRPr="00C07DD2" w:rsidRDefault="0052105A" w:rsidP="003A448C">
      <w:pPr>
        <w:autoSpaceDE w:val="0"/>
        <w:autoSpaceDN w:val="0"/>
        <w:adjustRightInd w:val="0"/>
        <w:spacing w:before="120" w:after="120" w:line="240" w:lineRule="auto"/>
        <w:rPr>
          <w:rFonts w:cstheme="minorHAnsi"/>
          <w:kern w:val="24"/>
          <w:lang w:val="fr-CA"/>
        </w:rPr>
      </w:pPr>
      <w:r w:rsidRPr="00C07DD2">
        <w:rPr>
          <w:rFonts w:cstheme="minorHAnsi"/>
          <w:kern w:val="24"/>
          <w:lang w:val="fr-CA"/>
        </w:rPr>
        <w:t>Les données ont montré que le nombre d’enquêtes internes menées par les AG au cours des trois dernières années est systématiquement bas.</w:t>
      </w:r>
    </w:p>
    <w:p w14:paraId="3C5875D9" w14:textId="77777777" w:rsidR="00F70D09" w:rsidRPr="00C07DD2" w:rsidRDefault="0052105A" w:rsidP="007059AC">
      <w:pPr>
        <w:autoSpaceDE w:val="0"/>
        <w:autoSpaceDN w:val="0"/>
        <w:adjustRightInd w:val="0"/>
        <w:spacing w:after="120" w:line="240" w:lineRule="auto"/>
        <w:rPr>
          <w:rFonts w:cstheme="minorHAnsi"/>
          <w:kern w:val="24"/>
          <w:lang w:val="fr-CA"/>
        </w:rPr>
      </w:pPr>
      <w:r w:rsidRPr="00C07DD2">
        <w:rPr>
          <w:rFonts w:cstheme="minorHAnsi"/>
          <w:kern w:val="24"/>
          <w:lang w:val="fr-CA"/>
        </w:rPr>
        <w:t>Les renseignements fournis par les organisations montrent que les enquêtes menées en vertu du paragraphe 15(3) servent principalement à corriger les erreurs commises lors de l’étape d’évaluation.</w:t>
      </w:r>
    </w:p>
    <w:p w14:paraId="28ADCD8A" w14:textId="77777777" w:rsidR="0084204D" w:rsidRPr="00C07DD2" w:rsidRDefault="0084204D" w:rsidP="007059AC">
      <w:pPr>
        <w:pStyle w:val="Titre2"/>
        <w:spacing w:after="120" w:line="240" w:lineRule="auto"/>
        <w:rPr>
          <w:rFonts w:eastAsia="Times New Roman"/>
          <w:lang w:val="fr-CA"/>
        </w:rPr>
      </w:pPr>
      <w:r w:rsidRPr="00C07DD2">
        <w:rPr>
          <w:rFonts w:eastAsia="Times New Roman"/>
          <w:lang w:val="fr-CA"/>
        </w:rPr>
        <w:t>R</w:t>
      </w:r>
      <w:r w:rsidR="00F70D09" w:rsidRPr="00C07DD2">
        <w:rPr>
          <w:rFonts w:eastAsia="Times New Roman"/>
          <w:lang w:val="fr-CA"/>
        </w:rPr>
        <w:t>ecomma</w:t>
      </w:r>
      <w:r w:rsidR="003E7CFA" w:rsidRPr="00C07DD2">
        <w:rPr>
          <w:rFonts w:eastAsia="Times New Roman"/>
          <w:lang w:val="fr-CA"/>
        </w:rPr>
        <w:t>ndations</w:t>
      </w:r>
    </w:p>
    <w:p w14:paraId="2EB2FA74" w14:textId="77777777" w:rsidR="00E7222B" w:rsidRPr="00C07DD2" w:rsidRDefault="0052105A" w:rsidP="00F70D09">
      <w:pPr>
        <w:autoSpaceDE w:val="0"/>
        <w:autoSpaceDN w:val="0"/>
        <w:adjustRightInd w:val="0"/>
        <w:spacing w:after="120" w:line="240" w:lineRule="auto"/>
        <w:rPr>
          <w:rFonts w:cstheme="minorHAnsi"/>
          <w:kern w:val="24"/>
          <w:lang w:val="fr-CA"/>
        </w:rPr>
      </w:pPr>
      <w:r w:rsidRPr="00C07DD2">
        <w:rPr>
          <w:rFonts w:cstheme="minorHAnsi"/>
          <w:kern w:val="24"/>
          <w:lang w:val="fr-CA"/>
        </w:rPr>
        <w:t xml:space="preserve">Continuer de collaborer avec les organisations au moyen d’activités de sensibilisation. </w:t>
      </w:r>
    </w:p>
    <w:p w14:paraId="233F0D62" w14:textId="77777777" w:rsidR="00F70D09" w:rsidRPr="00C07DD2" w:rsidRDefault="0052105A" w:rsidP="007059AC">
      <w:pPr>
        <w:autoSpaceDE w:val="0"/>
        <w:autoSpaceDN w:val="0"/>
        <w:adjustRightInd w:val="0"/>
        <w:spacing w:after="120" w:line="240" w:lineRule="auto"/>
        <w:rPr>
          <w:rFonts w:cstheme="minorHAnsi"/>
          <w:kern w:val="24"/>
          <w:lang w:val="fr-CA"/>
        </w:rPr>
      </w:pPr>
      <w:r w:rsidRPr="00C07DD2">
        <w:rPr>
          <w:rFonts w:cstheme="minorHAnsi"/>
          <w:kern w:val="24"/>
          <w:lang w:val="fr-CA"/>
        </w:rPr>
        <w:t>Continuer de soutenir nos agents de liaison ministériels au moyen de formations ciblées, de réunions annuelles et d’une collaboration constante.</w:t>
      </w:r>
    </w:p>
    <w:p w14:paraId="44F128E4" w14:textId="77777777" w:rsidR="0084204D" w:rsidRPr="00C07DD2" w:rsidRDefault="00F70D09" w:rsidP="00AE29B7">
      <w:pPr>
        <w:pStyle w:val="Titre2"/>
        <w:spacing w:after="120" w:line="240" w:lineRule="auto"/>
        <w:rPr>
          <w:lang w:val="fr-CA"/>
        </w:rPr>
      </w:pPr>
      <w:r w:rsidRPr="00C07DD2">
        <w:rPr>
          <w:lang w:val="fr-CA"/>
        </w:rPr>
        <w:t>Prochaines étapes</w:t>
      </w:r>
    </w:p>
    <w:p w14:paraId="72BA86D2" w14:textId="06EA6EE1" w:rsidR="00F70D09" w:rsidRPr="00C07DD2" w:rsidRDefault="00F70D09" w:rsidP="007059AC">
      <w:pPr>
        <w:autoSpaceDE w:val="0"/>
        <w:autoSpaceDN w:val="0"/>
        <w:adjustRightInd w:val="0"/>
        <w:spacing w:after="120" w:line="240" w:lineRule="auto"/>
        <w:rPr>
          <w:rFonts w:cstheme="minorHAnsi"/>
          <w:kern w:val="24"/>
          <w:lang w:val="fr-CA"/>
        </w:rPr>
      </w:pPr>
      <w:r w:rsidRPr="00C07DD2">
        <w:rPr>
          <w:rFonts w:cstheme="minorHAnsi"/>
          <w:kern w:val="24"/>
          <w:lang w:val="fr-CA"/>
        </w:rPr>
        <w:t>La Direction de la vérification de la C</w:t>
      </w:r>
      <w:r w:rsidR="0060539D">
        <w:rPr>
          <w:rFonts w:cstheme="minorHAnsi"/>
          <w:kern w:val="24"/>
          <w:lang w:val="fr-CA"/>
        </w:rPr>
        <w:t xml:space="preserve">ommission de la </w:t>
      </w:r>
      <w:r w:rsidRPr="00C07DD2">
        <w:rPr>
          <w:rFonts w:cstheme="minorHAnsi"/>
          <w:kern w:val="24"/>
          <w:lang w:val="fr-CA"/>
        </w:rPr>
        <w:t>F</w:t>
      </w:r>
      <w:r w:rsidR="0060539D">
        <w:rPr>
          <w:rFonts w:cstheme="minorHAnsi"/>
          <w:kern w:val="24"/>
          <w:lang w:val="fr-CA"/>
        </w:rPr>
        <w:t xml:space="preserve">onction </w:t>
      </w:r>
      <w:r w:rsidRPr="00C07DD2">
        <w:rPr>
          <w:rFonts w:cstheme="minorHAnsi"/>
          <w:kern w:val="24"/>
          <w:lang w:val="fr-CA"/>
        </w:rPr>
        <w:t>P</w:t>
      </w:r>
      <w:r w:rsidR="0060539D">
        <w:rPr>
          <w:rFonts w:cstheme="minorHAnsi"/>
          <w:kern w:val="24"/>
          <w:lang w:val="fr-CA"/>
        </w:rPr>
        <w:t>ublique</w:t>
      </w:r>
      <w:r w:rsidRPr="00C07DD2">
        <w:rPr>
          <w:rFonts w:cstheme="minorHAnsi"/>
          <w:kern w:val="24"/>
          <w:lang w:val="fr-CA"/>
        </w:rPr>
        <w:t xml:space="preserve"> planifie actuellement une vérification des cadres d’enquête organisationnels afin d’examiner les procédures et les processus organisationnels relatifs à la conduite d’enquêtes internes ou à d’autres mécanismes visant à résoudre des problèmes de dotation. Cette vérification vise aussi à déterminer si les organisations assument leurs responsabilités en matière d’enquêtes concernant la production de rapports et d’avis conformément à l’I</w:t>
      </w:r>
      <w:r w:rsidR="009A37D8">
        <w:rPr>
          <w:rFonts w:cstheme="minorHAnsi"/>
          <w:kern w:val="24"/>
          <w:lang w:val="fr-CA"/>
        </w:rPr>
        <w:t>nstrument de délégation et de responsabilisation en matière de nomination (I</w:t>
      </w:r>
      <w:r w:rsidRPr="00C07DD2">
        <w:rPr>
          <w:rFonts w:cstheme="minorHAnsi"/>
          <w:kern w:val="24"/>
          <w:lang w:val="fr-CA"/>
        </w:rPr>
        <w:t>DRN</w:t>
      </w:r>
      <w:r w:rsidR="009A37D8">
        <w:rPr>
          <w:rFonts w:cstheme="minorHAnsi"/>
          <w:kern w:val="24"/>
          <w:lang w:val="fr-CA"/>
        </w:rPr>
        <w:t>)</w:t>
      </w:r>
      <w:r w:rsidRPr="00C07DD2">
        <w:rPr>
          <w:rFonts w:cstheme="minorHAnsi"/>
          <w:kern w:val="24"/>
          <w:lang w:val="fr-CA"/>
        </w:rPr>
        <w:t>.</w:t>
      </w:r>
    </w:p>
    <w:p w14:paraId="78D317E1" w14:textId="77777777" w:rsidR="00F70D09" w:rsidRPr="00C07DD2" w:rsidRDefault="00F70D09" w:rsidP="00733B03">
      <w:pPr>
        <w:pStyle w:val="Titre1"/>
        <w:spacing w:before="0" w:after="120" w:line="240" w:lineRule="auto"/>
        <w:rPr>
          <w:lang w:val="fr-CA"/>
        </w:rPr>
        <w:sectPr w:rsidR="00F70D09" w:rsidRPr="00C07DD2" w:rsidSect="0084204D">
          <w:pgSz w:w="12240" w:h="15840"/>
          <w:pgMar w:top="1985" w:right="1440" w:bottom="1440" w:left="1440" w:header="708" w:footer="283" w:gutter="0"/>
          <w:cols w:space="708"/>
          <w:titlePg/>
          <w:docGrid w:linePitch="360"/>
        </w:sectPr>
      </w:pPr>
    </w:p>
    <w:p w14:paraId="5547FAAA" w14:textId="2B61A550" w:rsidR="00906DD0" w:rsidRPr="00C07DD2" w:rsidRDefault="00F70D09" w:rsidP="0052105A">
      <w:pPr>
        <w:pStyle w:val="Titre1"/>
        <w:spacing w:after="120"/>
        <w:rPr>
          <w:b/>
          <w:i/>
          <w:lang w:val="fr-CA"/>
        </w:rPr>
      </w:pPr>
      <w:r w:rsidRPr="00C07DD2">
        <w:rPr>
          <w:lang w:val="fr-CA"/>
        </w:rPr>
        <w:lastRenderedPageBreak/>
        <w:t xml:space="preserve">Résultats du recours au </w:t>
      </w:r>
      <w:r w:rsidRPr="00C07DD2">
        <w:rPr>
          <w:i/>
          <w:lang w:val="fr-CA"/>
        </w:rPr>
        <w:t>Décret d’exemption concernant les langues officielles dans la fonction publique</w:t>
      </w:r>
      <w:r w:rsidRPr="00C07DD2">
        <w:rPr>
          <w:lang w:val="fr-CA"/>
        </w:rPr>
        <w:t xml:space="preserve"> </w:t>
      </w:r>
      <w:r w:rsidR="009A37D8" w:rsidRPr="009A37D8">
        <w:rPr>
          <w:i/>
          <w:iCs/>
          <w:lang w:val="fr-CA"/>
        </w:rPr>
        <w:t>(DELOFP)</w:t>
      </w:r>
      <w:r w:rsidR="009A37D8">
        <w:rPr>
          <w:lang w:val="fr-CA"/>
        </w:rPr>
        <w:t xml:space="preserve"> </w:t>
      </w:r>
      <w:r w:rsidRPr="00C07DD2">
        <w:rPr>
          <w:lang w:val="fr-CA"/>
        </w:rPr>
        <w:t xml:space="preserve">et au </w:t>
      </w:r>
      <w:r w:rsidRPr="00C07DD2">
        <w:rPr>
          <w:i/>
          <w:lang w:val="fr-CA"/>
        </w:rPr>
        <w:t>Règlement sur les langues officielles – nominations dans la fonction publique</w:t>
      </w:r>
      <w:r w:rsidR="009A37D8">
        <w:rPr>
          <w:i/>
          <w:lang w:val="fr-CA"/>
        </w:rPr>
        <w:t xml:space="preserve"> (RLONFP)</w:t>
      </w:r>
      <w:r w:rsidRPr="00C07DD2">
        <w:rPr>
          <w:i/>
          <w:lang w:val="fr-CA"/>
        </w:rPr>
        <w:t xml:space="preserve"> </w:t>
      </w:r>
    </w:p>
    <w:p w14:paraId="45682333" w14:textId="77777777" w:rsidR="0084204D" w:rsidRPr="00C07DD2" w:rsidRDefault="0084204D" w:rsidP="00AE29B7">
      <w:pPr>
        <w:pStyle w:val="Titre2"/>
        <w:spacing w:after="120" w:line="240" w:lineRule="auto"/>
        <w:rPr>
          <w:lang w:val="fr-CA"/>
        </w:rPr>
      </w:pPr>
      <w:r w:rsidRPr="00C07DD2">
        <w:rPr>
          <w:lang w:val="fr-CA"/>
        </w:rPr>
        <w:t>C</w:t>
      </w:r>
      <w:r w:rsidR="003E7CFA" w:rsidRPr="00C07DD2">
        <w:rPr>
          <w:lang w:val="fr-CA"/>
        </w:rPr>
        <w:t>ontext</w:t>
      </w:r>
      <w:r w:rsidR="00906DD0" w:rsidRPr="00C07DD2">
        <w:rPr>
          <w:lang w:val="fr-CA"/>
        </w:rPr>
        <w:t>e</w:t>
      </w:r>
    </w:p>
    <w:p w14:paraId="471B3464" w14:textId="77777777" w:rsidR="00906DD0" w:rsidRPr="00C07DD2" w:rsidRDefault="00906DD0" w:rsidP="00906DD0">
      <w:pPr>
        <w:autoSpaceDE w:val="0"/>
        <w:autoSpaceDN w:val="0"/>
        <w:adjustRightInd w:val="0"/>
        <w:spacing w:after="0" w:line="240" w:lineRule="auto"/>
        <w:rPr>
          <w:rFonts w:cstheme="minorHAnsi"/>
          <w:kern w:val="24"/>
          <w:lang w:val="fr-CA"/>
        </w:rPr>
      </w:pPr>
      <w:r w:rsidRPr="00C07DD2">
        <w:rPr>
          <w:rFonts w:cstheme="minorHAnsi"/>
          <w:kern w:val="24"/>
          <w:lang w:val="fr-CA"/>
        </w:rPr>
        <w:t xml:space="preserve">Selon le </w:t>
      </w:r>
      <w:r w:rsidRPr="00C07DD2">
        <w:rPr>
          <w:rStyle w:val="Accentuation"/>
          <w:lang w:val="fr-CA"/>
        </w:rPr>
        <w:t>Décret d’exemption concernant les langues officielles dans la fonction publique</w:t>
      </w:r>
      <w:r w:rsidRPr="00C07DD2">
        <w:rPr>
          <w:rFonts w:cstheme="minorHAnsi"/>
          <w:kern w:val="24"/>
          <w:lang w:val="fr-CA"/>
        </w:rPr>
        <w:t xml:space="preserve"> (DELOFP), une personne pourrait être exemptée de la nécessité de satisfaire au niveau de compétence exigé dans sa seconde langue officielle, à la suite de nominations non impératives, lors des trois situations suivantes : </w:t>
      </w:r>
    </w:p>
    <w:p w14:paraId="79B5CA80" w14:textId="77777777" w:rsidR="00E7222B" w:rsidRPr="00C07DD2" w:rsidRDefault="0052105A" w:rsidP="00533EF2">
      <w:pPr>
        <w:numPr>
          <w:ilvl w:val="0"/>
          <w:numId w:val="40"/>
        </w:numPr>
        <w:autoSpaceDE w:val="0"/>
        <w:autoSpaceDN w:val="0"/>
        <w:adjustRightInd w:val="0"/>
        <w:spacing w:after="0" w:line="240" w:lineRule="auto"/>
        <w:rPr>
          <w:rFonts w:cstheme="minorHAnsi"/>
          <w:kern w:val="24"/>
          <w:lang w:val="fr-CA"/>
        </w:rPr>
      </w:pPr>
      <w:r w:rsidRPr="00C07DD2">
        <w:rPr>
          <w:rFonts w:cstheme="minorHAnsi"/>
          <w:kern w:val="24"/>
          <w:lang w:val="fr-CA"/>
        </w:rPr>
        <w:t>La personne s’engage à devenir bilingue;</w:t>
      </w:r>
    </w:p>
    <w:p w14:paraId="4E267919" w14:textId="77777777" w:rsidR="00E7222B" w:rsidRPr="00C07DD2" w:rsidRDefault="0052105A" w:rsidP="00533EF2">
      <w:pPr>
        <w:numPr>
          <w:ilvl w:val="0"/>
          <w:numId w:val="40"/>
        </w:numPr>
        <w:autoSpaceDE w:val="0"/>
        <w:autoSpaceDN w:val="0"/>
        <w:adjustRightInd w:val="0"/>
        <w:spacing w:after="0" w:line="240" w:lineRule="auto"/>
        <w:rPr>
          <w:rFonts w:cstheme="minorHAnsi"/>
          <w:kern w:val="24"/>
          <w:lang w:val="fr-CA"/>
        </w:rPr>
      </w:pPr>
      <w:r w:rsidRPr="00C07DD2">
        <w:rPr>
          <w:rFonts w:cstheme="minorHAnsi"/>
          <w:kern w:val="24"/>
          <w:lang w:val="fr-CA"/>
        </w:rPr>
        <w:t>La personne est admissible à une pension immédiate;</w:t>
      </w:r>
    </w:p>
    <w:p w14:paraId="3500A3CD" w14:textId="77777777" w:rsidR="00E7222B" w:rsidRPr="00C07DD2" w:rsidRDefault="0052105A" w:rsidP="00533EF2">
      <w:pPr>
        <w:numPr>
          <w:ilvl w:val="0"/>
          <w:numId w:val="40"/>
        </w:numPr>
        <w:autoSpaceDE w:val="0"/>
        <w:autoSpaceDN w:val="0"/>
        <w:adjustRightInd w:val="0"/>
        <w:spacing w:after="120" w:line="240" w:lineRule="auto"/>
        <w:rPr>
          <w:rFonts w:cstheme="minorHAnsi"/>
          <w:kern w:val="24"/>
          <w:lang w:val="fr-CA"/>
        </w:rPr>
      </w:pPr>
      <w:r w:rsidRPr="00C07DD2">
        <w:rPr>
          <w:rFonts w:cstheme="minorHAnsi"/>
          <w:kern w:val="24"/>
          <w:lang w:val="fr-CA"/>
        </w:rPr>
        <w:t>La personne est exemptée pour des raisons médicales.</w:t>
      </w:r>
    </w:p>
    <w:p w14:paraId="7498C2A4" w14:textId="77777777" w:rsidR="00906DD0" w:rsidRPr="00C07DD2" w:rsidRDefault="00906DD0" w:rsidP="00906DD0">
      <w:pPr>
        <w:autoSpaceDE w:val="0"/>
        <w:autoSpaceDN w:val="0"/>
        <w:adjustRightInd w:val="0"/>
        <w:spacing w:after="0" w:line="240" w:lineRule="auto"/>
        <w:rPr>
          <w:rFonts w:cstheme="minorHAnsi"/>
          <w:kern w:val="24"/>
          <w:lang w:val="fr-CA"/>
        </w:rPr>
      </w:pPr>
      <w:r w:rsidRPr="00C07DD2">
        <w:rPr>
          <w:rFonts w:cstheme="minorHAnsi"/>
          <w:kern w:val="24"/>
          <w:lang w:val="fr-CA"/>
        </w:rPr>
        <w:t>Les administrateurs généraux doivent rendre compte des deux premiers types d’exemptions. Étant donné que la Commission de la fonction publique (CFP) doit approuver les exemptions pour des raisons médicales, les organisations n’ont pas besoin de rendre compte du 3</w:t>
      </w:r>
      <w:r w:rsidRPr="00C07DD2">
        <w:rPr>
          <w:rFonts w:cstheme="minorHAnsi"/>
          <w:kern w:val="24"/>
          <w:vertAlign w:val="superscript"/>
          <w:lang w:val="fr-CA"/>
        </w:rPr>
        <w:t>e</w:t>
      </w:r>
      <w:r w:rsidRPr="00C07DD2">
        <w:rPr>
          <w:rFonts w:cstheme="minorHAnsi"/>
          <w:kern w:val="24"/>
          <w:lang w:val="fr-CA"/>
        </w:rPr>
        <w:t> type d’exemptions.</w:t>
      </w:r>
    </w:p>
    <w:p w14:paraId="236FFF3F" w14:textId="77777777" w:rsidR="00E7222B" w:rsidRPr="00C07DD2" w:rsidRDefault="0052105A" w:rsidP="00906DD0">
      <w:pPr>
        <w:numPr>
          <w:ilvl w:val="0"/>
          <w:numId w:val="33"/>
        </w:numPr>
        <w:autoSpaceDE w:val="0"/>
        <w:autoSpaceDN w:val="0"/>
        <w:adjustRightInd w:val="0"/>
        <w:spacing w:after="0" w:line="240" w:lineRule="auto"/>
        <w:rPr>
          <w:rFonts w:cstheme="minorHAnsi"/>
          <w:kern w:val="24"/>
          <w:lang w:val="fr-CA"/>
        </w:rPr>
      </w:pPr>
      <w:r w:rsidRPr="00C07DD2">
        <w:rPr>
          <w:rFonts w:cstheme="minorHAnsi"/>
          <w:kern w:val="24"/>
          <w:lang w:val="fr-CA"/>
        </w:rPr>
        <w:t>Les organisations doivent rendre compte des mêmes éléments que les années dernières.</w:t>
      </w:r>
    </w:p>
    <w:p w14:paraId="1A9FDC7F" w14:textId="77777777" w:rsidR="00E7222B" w:rsidRPr="00C07DD2" w:rsidRDefault="0052105A" w:rsidP="0052105A">
      <w:pPr>
        <w:numPr>
          <w:ilvl w:val="0"/>
          <w:numId w:val="33"/>
        </w:numPr>
        <w:autoSpaceDE w:val="0"/>
        <w:autoSpaceDN w:val="0"/>
        <w:adjustRightInd w:val="0"/>
        <w:spacing w:after="120" w:line="240" w:lineRule="auto"/>
        <w:rPr>
          <w:rFonts w:cstheme="minorHAnsi"/>
          <w:kern w:val="24"/>
          <w:lang w:val="fr-CA"/>
        </w:rPr>
      </w:pPr>
      <w:r w:rsidRPr="00C07DD2">
        <w:rPr>
          <w:rFonts w:cstheme="minorHAnsi"/>
          <w:kern w:val="24"/>
          <w:lang w:val="fr-CA"/>
        </w:rPr>
        <w:t>Les exemptions non conformes au DELOFP et au RLONFP ne respectent pas le mérite pour ce qui est de la compétence dans les langues officielles.</w:t>
      </w:r>
    </w:p>
    <w:p w14:paraId="01DAA7FE" w14:textId="77777777" w:rsidR="00A01BA6" w:rsidRPr="00C07DD2" w:rsidRDefault="00A01BA6" w:rsidP="007059AC">
      <w:pPr>
        <w:pStyle w:val="Titre2"/>
        <w:spacing w:after="120" w:line="240" w:lineRule="auto"/>
        <w:rPr>
          <w:lang w:val="fr-CA"/>
        </w:rPr>
      </w:pPr>
      <w:r w:rsidRPr="00C07DD2">
        <w:rPr>
          <w:lang w:val="fr-CA"/>
        </w:rPr>
        <w:t>O</w:t>
      </w:r>
      <w:r w:rsidR="008347A3" w:rsidRPr="00C07DD2">
        <w:rPr>
          <w:lang w:val="fr-CA"/>
        </w:rPr>
        <w:t>bservations</w:t>
      </w:r>
    </w:p>
    <w:p w14:paraId="3C6B6310" w14:textId="77777777" w:rsidR="00906DD0" w:rsidRPr="00C07DD2" w:rsidRDefault="00906DD0" w:rsidP="00906DD0">
      <w:pPr>
        <w:spacing w:after="0" w:line="240" w:lineRule="auto"/>
        <w:rPr>
          <w:rFonts w:cstheme="minorHAnsi"/>
          <w:lang w:val="fr-CA"/>
        </w:rPr>
      </w:pPr>
      <w:r w:rsidRPr="00C07DD2">
        <w:rPr>
          <w:rFonts w:cstheme="minorHAnsi"/>
          <w:lang w:val="fr-CA"/>
        </w:rPr>
        <w:t>En 2018-2019, 45 des 75 organisations ont signalé avoir eu recours au DELOFP et au RLONFP</w:t>
      </w:r>
      <w:r w:rsidRPr="00C07DD2">
        <w:rPr>
          <w:rFonts w:cstheme="minorHAnsi"/>
          <w:i/>
          <w:iCs/>
          <w:lang w:val="fr-CA"/>
        </w:rPr>
        <w:t xml:space="preserve">. </w:t>
      </w:r>
    </w:p>
    <w:p w14:paraId="7EC42198" w14:textId="77777777" w:rsidR="00E7222B" w:rsidRPr="00C07DD2" w:rsidRDefault="0052105A" w:rsidP="00906DD0">
      <w:pPr>
        <w:numPr>
          <w:ilvl w:val="0"/>
          <w:numId w:val="34"/>
        </w:numPr>
        <w:spacing w:after="0" w:line="240" w:lineRule="auto"/>
        <w:rPr>
          <w:rFonts w:cstheme="minorHAnsi"/>
          <w:lang w:val="fr-CA"/>
        </w:rPr>
      </w:pPr>
      <w:r w:rsidRPr="00C07DD2">
        <w:rPr>
          <w:rFonts w:cstheme="minorHAnsi"/>
          <w:lang w:val="fr-CA"/>
        </w:rPr>
        <w:t>Du nombre, 39 organisations ont affirmé gérer les exemptions conformément aux textes réglementaires.</w:t>
      </w:r>
    </w:p>
    <w:p w14:paraId="4549D1AF" w14:textId="77777777" w:rsidR="00E7222B" w:rsidRPr="00C07DD2" w:rsidRDefault="0052105A" w:rsidP="00906DD0">
      <w:pPr>
        <w:numPr>
          <w:ilvl w:val="0"/>
          <w:numId w:val="34"/>
        </w:numPr>
        <w:spacing w:after="0" w:line="240" w:lineRule="auto"/>
        <w:rPr>
          <w:rFonts w:cstheme="minorHAnsi"/>
          <w:lang w:val="fr-CA"/>
        </w:rPr>
      </w:pPr>
      <w:r w:rsidRPr="00C07DD2">
        <w:rPr>
          <w:rFonts w:cstheme="minorHAnsi"/>
          <w:lang w:val="fr-CA"/>
        </w:rPr>
        <w:t>Au total, 6 cas n’étaient pas conformes, et ce dans 6 organisations.</w:t>
      </w:r>
    </w:p>
    <w:p w14:paraId="3BFDFE04" w14:textId="77777777" w:rsidR="00E7222B" w:rsidRPr="00C07DD2" w:rsidRDefault="0052105A" w:rsidP="00906DD0">
      <w:pPr>
        <w:numPr>
          <w:ilvl w:val="1"/>
          <w:numId w:val="34"/>
        </w:numPr>
        <w:spacing w:after="0" w:line="240" w:lineRule="auto"/>
        <w:rPr>
          <w:rFonts w:cstheme="minorHAnsi"/>
          <w:lang w:val="fr-CA"/>
        </w:rPr>
      </w:pPr>
      <w:r w:rsidRPr="00C07DD2">
        <w:rPr>
          <w:rFonts w:cstheme="minorHAnsi"/>
          <w:lang w:val="fr-CA"/>
        </w:rPr>
        <w:t>Dans 4 cas, la période d’exemption n’était pas prolongée au-delà de la période initiale de 2 ans. De ces cas, 3 sont désormais réglés.</w:t>
      </w:r>
    </w:p>
    <w:p w14:paraId="1A06B852" w14:textId="77777777" w:rsidR="00E7222B" w:rsidRPr="00C07DD2" w:rsidRDefault="0052105A" w:rsidP="0052105A">
      <w:pPr>
        <w:numPr>
          <w:ilvl w:val="1"/>
          <w:numId w:val="34"/>
        </w:numPr>
        <w:spacing w:after="120" w:line="240" w:lineRule="auto"/>
        <w:rPr>
          <w:rFonts w:cstheme="minorHAnsi"/>
          <w:lang w:val="fr-CA"/>
        </w:rPr>
      </w:pPr>
      <w:r w:rsidRPr="00C07DD2">
        <w:rPr>
          <w:rFonts w:cstheme="minorHAnsi"/>
          <w:lang w:val="fr-CA"/>
        </w:rPr>
        <w:t>Dans 2 cas, la période d’exemption a été supérieure à la période maximale de 4 ans prescrite pour devenir bilingue. Les 2 cas sont désormais réglés.</w:t>
      </w:r>
    </w:p>
    <w:p w14:paraId="0ED9E59A" w14:textId="77777777" w:rsidR="00906DD0" w:rsidRPr="00C07DD2" w:rsidRDefault="00906DD0" w:rsidP="00733B03">
      <w:pPr>
        <w:spacing w:after="120" w:line="240" w:lineRule="auto"/>
        <w:rPr>
          <w:rFonts w:cstheme="minorHAnsi"/>
          <w:lang w:val="fr-CA"/>
        </w:rPr>
      </w:pPr>
      <w:r w:rsidRPr="00C07DD2">
        <w:rPr>
          <w:rFonts w:cstheme="minorHAnsi"/>
          <w:lang w:val="fr-CA"/>
        </w:rPr>
        <w:t>La majorité des organisations ont géré les exemptions conformément aux textes réglementaires.</w:t>
      </w:r>
    </w:p>
    <w:p w14:paraId="584A072E" w14:textId="77777777" w:rsidR="00A01BA6" w:rsidRPr="00C07DD2" w:rsidRDefault="00A01BA6" w:rsidP="007059AC">
      <w:pPr>
        <w:pStyle w:val="Titre2"/>
        <w:spacing w:after="120" w:line="240" w:lineRule="auto"/>
        <w:rPr>
          <w:lang w:val="fr-CA"/>
        </w:rPr>
      </w:pPr>
      <w:r w:rsidRPr="00C07DD2">
        <w:rPr>
          <w:lang w:val="fr-CA"/>
        </w:rPr>
        <w:lastRenderedPageBreak/>
        <w:t>R</w:t>
      </w:r>
      <w:r w:rsidR="00906DD0" w:rsidRPr="00C07DD2">
        <w:rPr>
          <w:lang w:val="fr-CA"/>
        </w:rPr>
        <w:t>ecomma</w:t>
      </w:r>
      <w:r w:rsidR="008347A3" w:rsidRPr="00C07DD2">
        <w:rPr>
          <w:lang w:val="fr-CA"/>
        </w:rPr>
        <w:t>ndation</w:t>
      </w:r>
    </w:p>
    <w:p w14:paraId="2B025F6E" w14:textId="77777777" w:rsidR="00906DD0" w:rsidRPr="00C07DD2" w:rsidRDefault="00906DD0" w:rsidP="007059AC">
      <w:pPr>
        <w:spacing w:after="120" w:line="240" w:lineRule="auto"/>
        <w:rPr>
          <w:lang w:val="fr-CA"/>
        </w:rPr>
      </w:pPr>
      <w:r w:rsidRPr="00C07DD2">
        <w:rPr>
          <w:lang w:val="fr-CA"/>
        </w:rPr>
        <w:t>La Division des politiques (DP) et la Division du soutien en dotation (DSD) doivent continuer de collaborer avec l’organisation afin de résoudre le cas non conforme.</w:t>
      </w:r>
    </w:p>
    <w:p w14:paraId="1513D222" w14:textId="62632963" w:rsidR="0084204D" w:rsidRPr="00C07DD2" w:rsidRDefault="0084204D" w:rsidP="007059AC">
      <w:pPr>
        <w:pStyle w:val="Titre1"/>
        <w:spacing w:after="120" w:line="240" w:lineRule="auto"/>
        <w:rPr>
          <w:lang w:val="fr-CA"/>
        </w:rPr>
      </w:pPr>
      <w:r w:rsidRPr="00C07DD2">
        <w:rPr>
          <w:lang w:val="fr-CA"/>
        </w:rPr>
        <w:t>R</w:t>
      </w:r>
      <w:r w:rsidR="00906DD0" w:rsidRPr="00C07DD2">
        <w:rPr>
          <w:lang w:val="fr-CA"/>
        </w:rPr>
        <w:t>é</w:t>
      </w:r>
      <w:r w:rsidR="008347A3" w:rsidRPr="00C07DD2">
        <w:rPr>
          <w:lang w:val="fr-CA"/>
        </w:rPr>
        <w:t>sult</w:t>
      </w:r>
      <w:r w:rsidR="00906DD0" w:rsidRPr="00C07DD2">
        <w:rPr>
          <w:lang w:val="fr-CA"/>
        </w:rPr>
        <w:t>at</w:t>
      </w:r>
      <w:r w:rsidR="008347A3" w:rsidRPr="00C07DD2">
        <w:rPr>
          <w:lang w:val="fr-CA"/>
        </w:rPr>
        <w:t xml:space="preserve">s </w:t>
      </w:r>
      <w:r w:rsidR="00906DD0" w:rsidRPr="00C07DD2">
        <w:rPr>
          <w:lang w:val="fr-CA"/>
        </w:rPr>
        <w:t>de la mesure transitoire pour l’Évaluation de la langue seconde de la Commission de la fonction publique</w:t>
      </w:r>
      <w:r w:rsidR="0060539D">
        <w:rPr>
          <w:lang w:val="fr-CA"/>
        </w:rPr>
        <w:t xml:space="preserve"> (CFP)</w:t>
      </w:r>
    </w:p>
    <w:p w14:paraId="34712DA8" w14:textId="77777777" w:rsidR="00AE5027" w:rsidRPr="00C07DD2" w:rsidRDefault="0084204D" w:rsidP="007059AC">
      <w:pPr>
        <w:pStyle w:val="Titre2"/>
        <w:spacing w:after="120"/>
        <w:rPr>
          <w:lang w:val="fr-CA"/>
        </w:rPr>
      </w:pPr>
      <w:r w:rsidRPr="00C07DD2">
        <w:rPr>
          <w:lang w:val="fr-CA"/>
        </w:rPr>
        <w:t>C</w:t>
      </w:r>
      <w:r w:rsidR="008347A3" w:rsidRPr="00C07DD2">
        <w:rPr>
          <w:lang w:val="fr-CA"/>
        </w:rPr>
        <w:t>ontext</w:t>
      </w:r>
      <w:r w:rsidR="00906DD0" w:rsidRPr="00C07DD2">
        <w:rPr>
          <w:lang w:val="fr-CA"/>
        </w:rPr>
        <w:t>e</w:t>
      </w:r>
    </w:p>
    <w:p w14:paraId="74F14E8F" w14:textId="77777777" w:rsidR="00906DD0" w:rsidRPr="00C07DD2" w:rsidRDefault="00906DD0" w:rsidP="0052105A">
      <w:pPr>
        <w:spacing w:after="0"/>
        <w:rPr>
          <w:lang w:val="fr-CA"/>
        </w:rPr>
      </w:pPr>
      <w:r w:rsidRPr="00C07DD2">
        <w:rPr>
          <w:lang w:val="fr-CA"/>
        </w:rPr>
        <w:t>Entre 2012 et 2015, la Commission de la fonction publique (CFP) a mis en œuvre une mesure transitoire pour les employés qui participent à un échange de postes et pour ceux qui bénéficient d’un droit de priorité de fonctionnaire excédentaire ou de personne mise en disponibilité.</w:t>
      </w:r>
    </w:p>
    <w:p w14:paraId="685FBD8E" w14:textId="77777777" w:rsidR="00E7222B" w:rsidRPr="00C07DD2" w:rsidRDefault="0052105A" w:rsidP="0052105A">
      <w:pPr>
        <w:numPr>
          <w:ilvl w:val="0"/>
          <w:numId w:val="35"/>
        </w:numPr>
        <w:spacing w:after="0"/>
        <w:rPr>
          <w:lang w:val="fr-CA"/>
        </w:rPr>
      </w:pPr>
      <w:r w:rsidRPr="00C07DD2">
        <w:rPr>
          <w:lang w:val="fr-CA"/>
        </w:rPr>
        <w:t>Les résultats expirés de l’Évaluation de langue seconde (ELS) ont été jugés valides, mais ils doivent être confirmés dans les 12 mois suivant l’échange de postes ou la nomination par priorité.</w:t>
      </w:r>
    </w:p>
    <w:p w14:paraId="3BF7E94C" w14:textId="77777777" w:rsidR="00E7222B" w:rsidRPr="00C07DD2" w:rsidRDefault="0052105A" w:rsidP="0052105A">
      <w:pPr>
        <w:numPr>
          <w:ilvl w:val="0"/>
          <w:numId w:val="35"/>
        </w:numPr>
        <w:spacing w:after="0"/>
        <w:rPr>
          <w:lang w:val="fr-CA"/>
        </w:rPr>
      </w:pPr>
      <w:r w:rsidRPr="00C07DD2">
        <w:rPr>
          <w:lang w:val="fr-CA"/>
        </w:rPr>
        <w:t xml:space="preserve">Cette mesure a été utilisée 501 fois. </w:t>
      </w:r>
      <w:r w:rsidRPr="00C07DD2">
        <w:rPr>
          <w:lang w:val="fr-CA"/>
        </w:rPr>
        <w:tab/>
      </w:r>
    </w:p>
    <w:p w14:paraId="30BDD3FD" w14:textId="77777777" w:rsidR="00E7222B" w:rsidRPr="00C07DD2" w:rsidRDefault="0052105A" w:rsidP="0052105A">
      <w:pPr>
        <w:numPr>
          <w:ilvl w:val="0"/>
          <w:numId w:val="35"/>
        </w:numPr>
        <w:spacing w:after="120"/>
        <w:rPr>
          <w:lang w:val="fr-CA"/>
        </w:rPr>
      </w:pPr>
      <w:r w:rsidRPr="00C07DD2">
        <w:rPr>
          <w:lang w:val="fr-CA"/>
        </w:rPr>
        <w:t>Les AG rendent compte de l’utilisation de cette mesure jusqu’à ce que leurs cas soient réglés.</w:t>
      </w:r>
    </w:p>
    <w:p w14:paraId="7D7A6068" w14:textId="77777777" w:rsidR="0084204D" w:rsidRPr="00C07DD2" w:rsidRDefault="0084204D" w:rsidP="007059AC">
      <w:pPr>
        <w:pStyle w:val="Titre2"/>
        <w:spacing w:after="120" w:line="240" w:lineRule="auto"/>
        <w:rPr>
          <w:lang w:val="fr-CA"/>
        </w:rPr>
      </w:pPr>
      <w:r w:rsidRPr="00C07DD2">
        <w:rPr>
          <w:lang w:val="fr-CA"/>
        </w:rPr>
        <w:t>O</w:t>
      </w:r>
      <w:r w:rsidR="008347A3" w:rsidRPr="00C07DD2">
        <w:rPr>
          <w:lang w:val="fr-CA"/>
        </w:rPr>
        <w:t>bservations</w:t>
      </w:r>
    </w:p>
    <w:p w14:paraId="5AD16B44" w14:textId="77777777" w:rsidR="00906DD0" w:rsidRPr="00C07DD2" w:rsidRDefault="00906DD0" w:rsidP="0052105A">
      <w:pPr>
        <w:spacing w:after="0"/>
        <w:rPr>
          <w:lang w:val="fr-CA"/>
        </w:rPr>
      </w:pPr>
      <w:r w:rsidRPr="00C07DD2">
        <w:rPr>
          <w:lang w:val="fr-CA"/>
        </w:rPr>
        <w:t>Il y avait 7 cas non réglés le 1</w:t>
      </w:r>
      <w:r w:rsidRPr="00C07DD2">
        <w:rPr>
          <w:vertAlign w:val="superscript"/>
          <w:lang w:val="fr-CA"/>
        </w:rPr>
        <w:t>er</w:t>
      </w:r>
      <w:r w:rsidRPr="00C07DD2">
        <w:rPr>
          <w:lang w:val="fr-CA"/>
        </w:rPr>
        <w:t> avril 2019, comparativement à 8 cas lors du dernier exercice financier.</w:t>
      </w:r>
    </w:p>
    <w:p w14:paraId="2F0D08B7" w14:textId="77777777" w:rsidR="00E7222B" w:rsidRPr="00C07DD2" w:rsidRDefault="0052105A" w:rsidP="0052105A">
      <w:pPr>
        <w:numPr>
          <w:ilvl w:val="0"/>
          <w:numId w:val="36"/>
        </w:numPr>
        <w:spacing w:after="0"/>
        <w:rPr>
          <w:lang w:val="fr-CA"/>
        </w:rPr>
      </w:pPr>
      <w:r w:rsidRPr="00C07DD2">
        <w:rPr>
          <w:lang w:val="fr-CA"/>
        </w:rPr>
        <w:t>Parmi ces cas, 3 sont non conformes, comparativement à 4 lors du dernier exercice (un seul a été réglé).</w:t>
      </w:r>
    </w:p>
    <w:p w14:paraId="2214155F" w14:textId="77777777" w:rsidR="00E7222B" w:rsidRPr="00C07DD2" w:rsidRDefault="0052105A" w:rsidP="0052105A">
      <w:pPr>
        <w:numPr>
          <w:ilvl w:val="0"/>
          <w:numId w:val="36"/>
        </w:numPr>
        <w:spacing w:after="120"/>
        <w:rPr>
          <w:lang w:val="fr-CA"/>
        </w:rPr>
      </w:pPr>
      <w:r w:rsidRPr="00C07DD2">
        <w:rPr>
          <w:lang w:val="fr-CA"/>
        </w:rPr>
        <w:t xml:space="preserve">Les employés des 4 cas restants sont en congé prolongé et le calcul de la période de 12 mois a été suspendu. </w:t>
      </w:r>
    </w:p>
    <w:p w14:paraId="77849C86" w14:textId="77777777" w:rsidR="0084204D" w:rsidRPr="00C07DD2" w:rsidRDefault="0084204D" w:rsidP="007059AC">
      <w:pPr>
        <w:pStyle w:val="Titre2"/>
        <w:spacing w:after="120" w:line="240" w:lineRule="auto"/>
        <w:rPr>
          <w:lang w:val="fr-CA"/>
        </w:rPr>
      </w:pPr>
      <w:r w:rsidRPr="00C07DD2">
        <w:rPr>
          <w:lang w:val="fr-CA"/>
        </w:rPr>
        <w:t>R</w:t>
      </w:r>
      <w:r w:rsidR="00733B03" w:rsidRPr="00C07DD2">
        <w:rPr>
          <w:lang w:val="fr-CA"/>
        </w:rPr>
        <w:t>ecomma</w:t>
      </w:r>
      <w:r w:rsidR="008347A3" w:rsidRPr="00C07DD2">
        <w:rPr>
          <w:lang w:val="fr-CA"/>
        </w:rPr>
        <w:t>ndation</w:t>
      </w:r>
    </w:p>
    <w:p w14:paraId="3575B7AB" w14:textId="535C641E" w:rsidR="00906DD0" w:rsidRPr="00C07DD2" w:rsidRDefault="0052105A" w:rsidP="007059AC">
      <w:pPr>
        <w:autoSpaceDE w:val="0"/>
        <w:autoSpaceDN w:val="0"/>
        <w:adjustRightInd w:val="0"/>
        <w:spacing w:after="120" w:line="240" w:lineRule="auto"/>
        <w:rPr>
          <w:rFonts w:ascii="Segoe UI Semilight" w:hAnsi="Times New Roman" w:cs="Segoe UI Semilight"/>
          <w:kern w:val="24"/>
          <w:lang w:val="fr-CA"/>
        </w:rPr>
      </w:pPr>
      <w:r w:rsidRPr="00C07DD2">
        <w:rPr>
          <w:rFonts w:ascii="Segoe UI Semilight" w:hAnsi="Times New Roman" w:cs="Segoe UI Semilight"/>
          <w:kern w:val="24"/>
          <w:lang w:val="fr-CA"/>
        </w:rPr>
        <w:t>La D</w:t>
      </w:r>
      <w:r w:rsidR="009A37D8">
        <w:rPr>
          <w:rFonts w:ascii="Segoe UI Semilight" w:hAnsi="Times New Roman" w:cs="Segoe UI Semilight"/>
          <w:kern w:val="24"/>
          <w:lang w:val="fr-CA"/>
        </w:rPr>
        <w:t>ivision des politiques</w:t>
      </w:r>
      <w:r w:rsidRPr="00C07DD2">
        <w:rPr>
          <w:rFonts w:ascii="Segoe UI Semilight" w:hAnsi="Times New Roman" w:cs="Segoe UI Semilight"/>
          <w:kern w:val="24"/>
          <w:lang w:val="fr-CA"/>
        </w:rPr>
        <w:t xml:space="preserve"> et la D</w:t>
      </w:r>
      <w:r w:rsidR="009A37D8">
        <w:rPr>
          <w:rFonts w:ascii="Segoe UI Semilight" w:hAnsi="Times New Roman" w:cs="Segoe UI Semilight"/>
          <w:kern w:val="24"/>
          <w:lang w:val="fr-CA"/>
        </w:rPr>
        <w:t>ivision du soutien en dotation</w:t>
      </w:r>
      <w:r w:rsidRPr="00C07DD2">
        <w:rPr>
          <w:rFonts w:ascii="Segoe UI Semilight" w:hAnsi="Times New Roman" w:cs="Segoe UI Semilight"/>
          <w:kern w:val="24"/>
          <w:lang w:val="fr-CA"/>
        </w:rPr>
        <w:t xml:space="preserve"> doivent continuer de travailler avec les organisations qui pr</w:t>
      </w:r>
      <w:r w:rsidRPr="00C07DD2">
        <w:rPr>
          <w:rFonts w:ascii="Segoe UI Semilight" w:hAnsi="Times New Roman" w:cs="Segoe UI Semilight"/>
          <w:kern w:val="24"/>
          <w:lang w:val="fr-CA"/>
        </w:rPr>
        <w:t>é</w:t>
      </w:r>
      <w:r w:rsidRPr="00C07DD2">
        <w:rPr>
          <w:rFonts w:ascii="Segoe UI Semilight" w:hAnsi="Times New Roman" w:cs="Segoe UI Semilight"/>
          <w:kern w:val="24"/>
          <w:lang w:val="fr-CA"/>
        </w:rPr>
        <w:t>sentent des cas non r</w:t>
      </w:r>
      <w:r w:rsidRPr="00C07DD2">
        <w:rPr>
          <w:rFonts w:ascii="Segoe UI Semilight" w:hAnsi="Times New Roman" w:cs="Segoe UI Semilight"/>
          <w:kern w:val="24"/>
          <w:lang w:val="fr-CA"/>
        </w:rPr>
        <w:t>é</w:t>
      </w:r>
      <w:r w:rsidRPr="00C07DD2">
        <w:rPr>
          <w:rFonts w:ascii="Segoe UI Semilight" w:hAnsi="Times New Roman" w:cs="Segoe UI Semilight"/>
          <w:kern w:val="24"/>
          <w:lang w:val="fr-CA"/>
        </w:rPr>
        <w:t>gl</w:t>
      </w:r>
      <w:r w:rsidRPr="00C07DD2">
        <w:rPr>
          <w:rFonts w:ascii="Segoe UI Semilight" w:hAnsi="Times New Roman" w:cs="Segoe UI Semilight"/>
          <w:kern w:val="24"/>
          <w:lang w:val="fr-CA"/>
        </w:rPr>
        <w:t>é</w:t>
      </w:r>
      <w:r w:rsidRPr="00C07DD2">
        <w:rPr>
          <w:rFonts w:ascii="Segoe UI Semilight" w:hAnsi="Times New Roman" w:cs="Segoe UI Semilight"/>
          <w:kern w:val="24"/>
          <w:lang w:val="fr-CA"/>
        </w:rPr>
        <w:t>s et non conformes jusqu</w:t>
      </w:r>
      <w:r w:rsidRPr="00C07DD2">
        <w:rPr>
          <w:rFonts w:ascii="Segoe UI Semilight" w:hAnsi="Times New Roman" w:cs="Segoe UI Semilight"/>
          <w:kern w:val="24"/>
          <w:lang w:val="fr-CA"/>
        </w:rPr>
        <w:t>’à</w:t>
      </w:r>
      <w:r w:rsidRPr="00C07DD2">
        <w:rPr>
          <w:rFonts w:ascii="Segoe UI Semilight" w:hAnsi="Times New Roman" w:cs="Segoe UI Semilight"/>
          <w:kern w:val="24"/>
          <w:lang w:val="fr-CA"/>
        </w:rPr>
        <w:t xml:space="preserve"> ce qu</w:t>
      </w:r>
      <w:r w:rsidRPr="00C07DD2">
        <w:rPr>
          <w:rFonts w:ascii="Segoe UI Semilight" w:hAnsi="Times New Roman" w:cs="Segoe UI Semilight"/>
          <w:kern w:val="24"/>
          <w:lang w:val="fr-CA"/>
        </w:rPr>
        <w:t>’</w:t>
      </w:r>
      <w:r w:rsidRPr="00C07DD2">
        <w:rPr>
          <w:rFonts w:ascii="Segoe UI Semilight" w:hAnsi="Times New Roman" w:cs="Segoe UI Semilight"/>
          <w:kern w:val="24"/>
          <w:lang w:val="fr-CA"/>
        </w:rPr>
        <w:t>ils soient tous r</w:t>
      </w:r>
      <w:r w:rsidRPr="00C07DD2">
        <w:rPr>
          <w:rFonts w:ascii="Segoe UI Semilight" w:hAnsi="Times New Roman" w:cs="Segoe UI Semilight"/>
          <w:kern w:val="24"/>
          <w:lang w:val="fr-CA"/>
        </w:rPr>
        <w:t>é</w:t>
      </w:r>
      <w:r w:rsidRPr="00C07DD2">
        <w:rPr>
          <w:rFonts w:ascii="Segoe UI Semilight" w:hAnsi="Times New Roman" w:cs="Segoe UI Semilight"/>
          <w:kern w:val="24"/>
          <w:lang w:val="fr-CA"/>
        </w:rPr>
        <w:t>gl</w:t>
      </w:r>
      <w:r w:rsidRPr="00C07DD2">
        <w:rPr>
          <w:rFonts w:ascii="Segoe UI Semilight" w:hAnsi="Times New Roman" w:cs="Segoe UI Semilight"/>
          <w:kern w:val="24"/>
          <w:lang w:val="fr-CA"/>
        </w:rPr>
        <w:t>é</w:t>
      </w:r>
      <w:r w:rsidRPr="00C07DD2">
        <w:rPr>
          <w:rFonts w:ascii="Segoe UI Semilight" w:hAnsi="Times New Roman" w:cs="Segoe UI Semilight"/>
          <w:kern w:val="24"/>
          <w:lang w:val="fr-CA"/>
        </w:rPr>
        <w:t>s.</w:t>
      </w:r>
    </w:p>
    <w:p w14:paraId="0013DFAF" w14:textId="77777777" w:rsidR="0084204D" w:rsidRPr="00C07DD2" w:rsidRDefault="00906DD0" w:rsidP="007059AC">
      <w:pPr>
        <w:pStyle w:val="Titre1"/>
        <w:spacing w:after="120" w:line="240" w:lineRule="auto"/>
        <w:rPr>
          <w:lang w:val="fr-CA"/>
        </w:rPr>
      </w:pPr>
      <w:r w:rsidRPr="00C07DD2">
        <w:rPr>
          <w:lang w:val="fr-CA"/>
        </w:rPr>
        <w:lastRenderedPageBreak/>
        <w:t>Évaluations cycliques</w:t>
      </w:r>
    </w:p>
    <w:p w14:paraId="1578F7C5" w14:textId="77777777" w:rsidR="00AE5027" w:rsidRPr="00C07DD2" w:rsidRDefault="00906DD0" w:rsidP="007059AC">
      <w:pPr>
        <w:pStyle w:val="Titre2"/>
        <w:spacing w:after="120" w:line="240" w:lineRule="auto"/>
        <w:rPr>
          <w:lang w:val="fr-CA"/>
        </w:rPr>
      </w:pPr>
      <w:r w:rsidRPr="00C07DD2">
        <w:rPr>
          <w:lang w:val="fr-CA"/>
        </w:rPr>
        <w:t>Contexte</w:t>
      </w:r>
    </w:p>
    <w:p w14:paraId="5CC60713" w14:textId="77777777" w:rsidR="00906DD0" w:rsidRPr="00C07DD2" w:rsidRDefault="0052105A" w:rsidP="0052105A">
      <w:pPr>
        <w:spacing w:after="120"/>
        <w:rPr>
          <w:lang w:val="fr-CA"/>
        </w:rPr>
      </w:pPr>
      <w:r w:rsidRPr="00C07DD2">
        <w:rPr>
          <w:lang w:val="fr-CA"/>
        </w:rPr>
        <w:t>Dans le cadre des exigences en matière de rapport de l’Instrument de délégation et de responsabilisation en matière de nomination (IDRN), les organisations doivent soumettre une évaluation cyclique au moins tous les 5 ans. Le tableau suivant présente le</w:t>
      </w:r>
      <w:r w:rsidR="005054BB">
        <w:rPr>
          <w:lang w:val="fr-CA"/>
        </w:rPr>
        <w:t>s</w:t>
      </w:r>
      <w:r w:rsidRPr="00C07DD2">
        <w:rPr>
          <w:lang w:val="fr-CA"/>
        </w:rPr>
        <w:t xml:space="preserve"> soumissions de rapports cycliques</w:t>
      </w:r>
      <w:r w:rsidR="005054BB">
        <w:rPr>
          <w:lang w:val="fr-CA"/>
        </w:rPr>
        <w:t xml:space="preserve"> reçues</w:t>
      </w:r>
      <w:r w:rsidRPr="00C07DD2">
        <w:rPr>
          <w:lang w:val="fr-CA"/>
        </w:rPr>
        <w:t xml:space="preserve"> pour 2018-2019.</w:t>
      </w:r>
    </w:p>
    <w:p w14:paraId="340A487A" w14:textId="77777777" w:rsidR="00711C61" w:rsidRPr="00C07DD2" w:rsidRDefault="00711C61" w:rsidP="0095348E">
      <w:pPr>
        <w:pStyle w:val="Lgende"/>
        <w:keepNext/>
        <w:spacing w:after="0"/>
        <w:rPr>
          <w:i w:val="0"/>
          <w:color w:val="auto"/>
          <w:lang w:val="fr-CA"/>
        </w:rPr>
      </w:pPr>
      <w:r w:rsidRPr="00C07DD2">
        <w:rPr>
          <w:i w:val="0"/>
          <w:color w:val="auto"/>
          <w:lang w:val="fr-CA"/>
        </w:rPr>
        <w:t xml:space="preserve">Table </w:t>
      </w:r>
      <w:r w:rsidRPr="00C07DD2">
        <w:rPr>
          <w:i w:val="0"/>
          <w:color w:val="auto"/>
          <w:lang w:val="fr-CA"/>
        </w:rPr>
        <w:fldChar w:fldCharType="begin"/>
      </w:r>
      <w:r w:rsidRPr="00C07DD2">
        <w:rPr>
          <w:i w:val="0"/>
          <w:color w:val="auto"/>
          <w:lang w:val="fr-CA"/>
        </w:rPr>
        <w:instrText xml:space="preserve"> SEQ Table \* ARABIC </w:instrText>
      </w:r>
      <w:r w:rsidRPr="00C07DD2">
        <w:rPr>
          <w:i w:val="0"/>
          <w:color w:val="auto"/>
          <w:lang w:val="fr-CA"/>
        </w:rPr>
        <w:fldChar w:fldCharType="separate"/>
      </w:r>
      <w:r w:rsidR="007B56A5" w:rsidRPr="00C07DD2">
        <w:rPr>
          <w:i w:val="0"/>
          <w:noProof/>
          <w:color w:val="auto"/>
          <w:lang w:val="fr-CA"/>
        </w:rPr>
        <w:t>6</w:t>
      </w:r>
      <w:r w:rsidRPr="00C07DD2">
        <w:rPr>
          <w:i w:val="0"/>
          <w:color w:val="auto"/>
          <w:lang w:val="fr-CA"/>
        </w:rPr>
        <w:fldChar w:fldCharType="end"/>
      </w:r>
      <w:r w:rsidRPr="00C07DD2">
        <w:rPr>
          <w:i w:val="0"/>
          <w:color w:val="auto"/>
          <w:lang w:val="fr-CA"/>
        </w:rPr>
        <w:t xml:space="preserve"> </w:t>
      </w:r>
      <w:r w:rsidR="00906DD0" w:rsidRPr="00C07DD2">
        <w:rPr>
          <w:i w:val="0"/>
          <w:color w:val="auto"/>
          <w:lang w:val="fr-CA"/>
        </w:rPr>
        <w:t>–</w:t>
      </w:r>
      <w:r w:rsidRPr="00C07DD2">
        <w:rPr>
          <w:i w:val="0"/>
          <w:color w:val="auto"/>
          <w:lang w:val="fr-CA"/>
        </w:rPr>
        <w:t xml:space="preserve"> </w:t>
      </w:r>
      <w:r w:rsidR="00906DD0" w:rsidRPr="00C07DD2">
        <w:rPr>
          <w:i w:val="0"/>
          <w:color w:val="auto"/>
          <w:lang w:val="fr-CA"/>
        </w:rPr>
        <w:t>Évaluations cycliques</w:t>
      </w:r>
    </w:p>
    <w:tbl>
      <w:tblPr>
        <w:tblStyle w:val="Grilledutableau"/>
        <w:tblW w:w="0" w:type="auto"/>
        <w:jc w:val="center"/>
        <w:tblLook w:val="04A0" w:firstRow="1" w:lastRow="0" w:firstColumn="1" w:lastColumn="0" w:noHBand="0" w:noVBand="1"/>
        <w:tblDescription w:val="Nombre d'évaluations cycliques soumis par organisation pour 2018-2019"/>
      </w:tblPr>
      <w:tblGrid>
        <w:gridCol w:w="2060"/>
        <w:gridCol w:w="1904"/>
        <w:gridCol w:w="5386"/>
      </w:tblGrid>
      <w:tr w:rsidR="00711C61" w:rsidRPr="00C07DD2" w14:paraId="76F5985F" w14:textId="77777777" w:rsidTr="008867B6">
        <w:trPr>
          <w:cantSplit/>
          <w:trHeight w:val="471"/>
          <w:tblHeader/>
          <w:jc w:val="center"/>
        </w:trPr>
        <w:tc>
          <w:tcPr>
            <w:tcW w:w="0" w:type="auto"/>
            <w:shd w:val="clear" w:color="auto" w:fill="54575A" w:themeFill="text1"/>
          </w:tcPr>
          <w:p w14:paraId="098B3927" w14:textId="77777777" w:rsidR="00711C61" w:rsidRPr="00C07DD2" w:rsidRDefault="00906DD0" w:rsidP="00711C61">
            <w:pPr>
              <w:pStyle w:val="TableTitle"/>
              <w:rPr>
                <w:rFonts w:cs="Segoe UI Semibold"/>
                <w:color w:val="FFFFFF" w:themeColor="background1"/>
                <w:lang w:val="fr-CA"/>
              </w:rPr>
            </w:pPr>
            <w:r w:rsidRPr="00C07DD2">
              <w:rPr>
                <w:rFonts w:cs="Segoe UI Semibold"/>
                <w:color w:val="FFFFFF" w:themeColor="background1"/>
                <w:lang w:val="fr-CA"/>
              </w:rPr>
              <w:t>Organis</w:t>
            </w:r>
            <w:r w:rsidR="00711C61" w:rsidRPr="00C07DD2">
              <w:rPr>
                <w:rFonts w:cs="Segoe UI Semibold"/>
                <w:color w:val="FFFFFF" w:themeColor="background1"/>
                <w:lang w:val="fr-CA"/>
              </w:rPr>
              <w:t>ations</w:t>
            </w:r>
          </w:p>
        </w:tc>
        <w:tc>
          <w:tcPr>
            <w:tcW w:w="1904" w:type="dxa"/>
            <w:shd w:val="clear" w:color="auto" w:fill="54575A" w:themeFill="text1"/>
          </w:tcPr>
          <w:p w14:paraId="3D1C55ED" w14:textId="77777777" w:rsidR="00711C61" w:rsidRPr="00C07DD2" w:rsidRDefault="00906DD0" w:rsidP="00906DD0">
            <w:pPr>
              <w:pStyle w:val="TableTitle"/>
              <w:rPr>
                <w:rFonts w:cs="Segoe UI Semibold"/>
                <w:color w:val="FFFFFF" w:themeColor="background1"/>
                <w:lang w:val="fr-CA"/>
              </w:rPr>
            </w:pPr>
            <w:r w:rsidRPr="00C07DD2">
              <w:rPr>
                <w:rFonts w:cs="Segoe UI Semibold"/>
                <w:color w:val="FFFFFF" w:themeColor="background1"/>
                <w:lang w:val="fr-CA"/>
              </w:rPr>
              <w:t>Cycle de rapports</w:t>
            </w:r>
          </w:p>
        </w:tc>
        <w:tc>
          <w:tcPr>
            <w:tcW w:w="5386" w:type="dxa"/>
            <w:shd w:val="clear" w:color="auto" w:fill="54575A" w:themeFill="text1"/>
          </w:tcPr>
          <w:p w14:paraId="031926E4" w14:textId="77777777" w:rsidR="00711C61" w:rsidRPr="00C07DD2" w:rsidRDefault="00711C61" w:rsidP="00711C61">
            <w:pPr>
              <w:pStyle w:val="TableTitle"/>
              <w:rPr>
                <w:rFonts w:cs="Segoe UI Semibold"/>
                <w:color w:val="FFFFFF" w:themeColor="background1"/>
                <w:lang w:val="fr-CA"/>
              </w:rPr>
            </w:pPr>
            <w:r w:rsidRPr="00C07DD2">
              <w:rPr>
                <w:rFonts w:cs="Segoe UI Semibold"/>
                <w:color w:val="FFFFFF" w:themeColor="background1"/>
                <w:lang w:val="fr-CA"/>
              </w:rPr>
              <w:t>Notes</w:t>
            </w:r>
          </w:p>
        </w:tc>
      </w:tr>
      <w:tr w:rsidR="00711C61" w:rsidRPr="0060539D" w14:paraId="6190FA8C" w14:textId="77777777" w:rsidTr="00906DD0">
        <w:trPr>
          <w:cantSplit/>
          <w:trHeight w:val="807"/>
          <w:tblHeader/>
          <w:jc w:val="center"/>
        </w:trPr>
        <w:tc>
          <w:tcPr>
            <w:tcW w:w="0" w:type="auto"/>
            <w:shd w:val="clear" w:color="auto" w:fill="54575A" w:themeFill="text1"/>
          </w:tcPr>
          <w:p w14:paraId="46E36069" w14:textId="77777777" w:rsidR="00711C61" w:rsidRPr="00C07DD2" w:rsidRDefault="00906DD0" w:rsidP="00215FA4">
            <w:pPr>
              <w:spacing w:before="120" w:after="120"/>
              <w:rPr>
                <w:rFonts w:cstheme="minorHAnsi"/>
                <w:color w:val="FFFFFF" w:themeColor="background1"/>
                <w:lang w:val="fr-CA"/>
              </w:rPr>
            </w:pPr>
            <w:r w:rsidRPr="00C07DD2">
              <w:rPr>
                <w:rFonts w:cstheme="minorHAnsi"/>
                <w:color w:val="FFFFFF" w:themeColor="background1"/>
                <w:lang w:val="fr-CA"/>
              </w:rPr>
              <w:t xml:space="preserve">Commission de la </w:t>
            </w:r>
            <w:r w:rsidR="0052105A" w:rsidRPr="00C07DD2">
              <w:rPr>
                <w:rFonts w:cstheme="minorHAnsi"/>
                <w:color w:val="FFFFFF" w:themeColor="background1"/>
                <w:lang w:val="fr-CA"/>
              </w:rPr>
              <w:t>fo</w:t>
            </w:r>
            <w:r w:rsidRPr="00C07DD2">
              <w:rPr>
                <w:rFonts w:cstheme="minorHAnsi"/>
                <w:color w:val="FFFFFF" w:themeColor="background1"/>
                <w:lang w:val="fr-CA"/>
              </w:rPr>
              <w:t>nction publique</w:t>
            </w:r>
          </w:p>
        </w:tc>
        <w:tc>
          <w:tcPr>
            <w:tcW w:w="1904" w:type="dxa"/>
          </w:tcPr>
          <w:p w14:paraId="1BF67C48" w14:textId="77777777" w:rsidR="00711C61" w:rsidRPr="00C07DD2" w:rsidRDefault="00711C61" w:rsidP="00215FA4">
            <w:pPr>
              <w:spacing w:before="120" w:after="120"/>
              <w:rPr>
                <w:rFonts w:cstheme="minorHAnsi"/>
                <w:lang w:val="fr-CA"/>
              </w:rPr>
            </w:pPr>
            <w:r w:rsidRPr="00C07DD2">
              <w:rPr>
                <w:rFonts w:cstheme="minorHAnsi"/>
                <w:lang w:val="fr-CA"/>
              </w:rPr>
              <w:t>2018-2019</w:t>
            </w:r>
          </w:p>
        </w:tc>
        <w:tc>
          <w:tcPr>
            <w:tcW w:w="5386" w:type="dxa"/>
          </w:tcPr>
          <w:p w14:paraId="5A0A8B5B" w14:textId="77777777" w:rsidR="00711C61" w:rsidRPr="00C07DD2" w:rsidRDefault="00906DD0" w:rsidP="00906DD0">
            <w:pPr>
              <w:spacing w:before="120" w:after="120"/>
              <w:rPr>
                <w:rFonts w:cstheme="minorHAnsi"/>
                <w:lang w:val="fr-CA"/>
              </w:rPr>
            </w:pPr>
            <w:r w:rsidRPr="00C07DD2">
              <w:rPr>
                <w:rFonts w:cstheme="minorHAnsi"/>
                <w:lang w:val="fr-CA"/>
              </w:rPr>
              <w:t>Soumission reçue dans le cadre du cycle de rapports de l’Annexe D.</w:t>
            </w:r>
          </w:p>
        </w:tc>
      </w:tr>
      <w:tr w:rsidR="00711C61" w:rsidRPr="0060539D" w14:paraId="257C5AD5" w14:textId="77777777" w:rsidTr="00906DD0">
        <w:trPr>
          <w:cantSplit/>
          <w:trHeight w:val="683"/>
          <w:tblHeader/>
          <w:jc w:val="center"/>
        </w:trPr>
        <w:tc>
          <w:tcPr>
            <w:tcW w:w="0" w:type="auto"/>
            <w:shd w:val="clear" w:color="auto" w:fill="54575A" w:themeFill="text1"/>
          </w:tcPr>
          <w:p w14:paraId="11E8BA8F" w14:textId="77777777" w:rsidR="00711C61" w:rsidRPr="00C07DD2" w:rsidRDefault="00906DD0" w:rsidP="00215FA4">
            <w:pPr>
              <w:spacing w:before="120" w:after="120"/>
              <w:rPr>
                <w:rFonts w:cstheme="minorHAnsi"/>
                <w:color w:val="FFFFFF" w:themeColor="background1"/>
                <w:lang w:val="fr-CA"/>
              </w:rPr>
            </w:pPr>
            <w:r w:rsidRPr="00C07DD2">
              <w:rPr>
                <w:rFonts w:cstheme="minorHAnsi"/>
                <w:color w:val="FFFFFF" w:themeColor="background1"/>
                <w:lang w:val="fr-CA"/>
              </w:rPr>
              <w:t>Sécurité publique Canada</w:t>
            </w:r>
          </w:p>
        </w:tc>
        <w:tc>
          <w:tcPr>
            <w:tcW w:w="1904" w:type="dxa"/>
          </w:tcPr>
          <w:p w14:paraId="2849B06E" w14:textId="77777777" w:rsidR="00711C61" w:rsidRPr="00C07DD2" w:rsidRDefault="00711C61" w:rsidP="00215FA4">
            <w:pPr>
              <w:spacing w:before="120" w:after="120"/>
              <w:rPr>
                <w:rFonts w:cstheme="minorHAnsi"/>
                <w:lang w:val="fr-CA"/>
              </w:rPr>
            </w:pPr>
            <w:r w:rsidRPr="00C07DD2">
              <w:rPr>
                <w:rFonts w:cstheme="minorHAnsi"/>
                <w:lang w:val="fr-CA"/>
              </w:rPr>
              <w:t>2018-2019</w:t>
            </w:r>
          </w:p>
        </w:tc>
        <w:tc>
          <w:tcPr>
            <w:tcW w:w="5386" w:type="dxa"/>
          </w:tcPr>
          <w:p w14:paraId="2E023372" w14:textId="77777777" w:rsidR="00711C61" w:rsidRPr="00C07DD2" w:rsidRDefault="00906DD0" w:rsidP="00906DD0">
            <w:pPr>
              <w:spacing w:before="120" w:after="120"/>
              <w:rPr>
                <w:rFonts w:cstheme="minorHAnsi"/>
                <w:i/>
                <w:lang w:val="fr-CA"/>
              </w:rPr>
            </w:pPr>
            <w:r w:rsidRPr="00C07DD2">
              <w:rPr>
                <w:rFonts w:cstheme="minorHAnsi"/>
                <w:lang w:val="fr-CA"/>
              </w:rPr>
              <w:t>Soumission reçue dans le cadre du cycle de rapports de l’annexe D. Cette organisation a choisi de produire un rapport cyclique chaque année.</w:t>
            </w:r>
          </w:p>
        </w:tc>
      </w:tr>
    </w:tbl>
    <w:p w14:paraId="2EB55C9F" w14:textId="77777777" w:rsidR="00906DD0" w:rsidRPr="00C07DD2" w:rsidRDefault="00906DD0" w:rsidP="004A0E72">
      <w:pPr>
        <w:spacing w:before="120" w:after="120" w:line="240" w:lineRule="auto"/>
        <w:rPr>
          <w:lang w:val="fr-CA"/>
        </w:rPr>
      </w:pPr>
      <w:r w:rsidRPr="00C07DD2">
        <w:rPr>
          <w:lang w:val="fr-CA"/>
        </w:rPr>
        <w:t>Pour le cycle de 2018-2019, 75* organisations ont dû présenter des rapports.</w:t>
      </w:r>
    </w:p>
    <w:p w14:paraId="7EAEFEEC" w14:textId="77777777" w:rsidR="00906DD0" w:rsidRPr="00C07DD2" w:rsidRDefault="00906DD0" w:rsidP="00906DD0">
      <w:pPr>
        <w:spacing w:after="120" w:line="240" w:lineRule="auto"/>
        <w:rPr>
          <w:lang w:val="fr-CA"/>
        </w:rPr>
      </w:pPr>
      <w:r w:rsidRPr="00C07DD2">
        <w:rPr>
          <w:lang w:val="fr-CA"/>
        </w:rPr>
        <w:t>Les organisations actives au moment de la mise en œuvre de la Nouvelle orientation en dotation (NOD) ont une échéance de 5 ans pour soumettre leur rapport, soit d’ici le 1</w:t>
      </w:r>
      <w:r w:rsidRPr="00C07DD2">
        <w:rPr>
          <w:vertAlign w:val="superscript"/>
          <w:lang w:val="fr-CA"/>
        </w:rPr>
        <w:t>er</w:t>
      </w:r>
      <w:r w:rsidRPr="00C07DD2">
        <w:rPr>
          <w:lang w:val="fr-CA"/>
        </w:rPr>
        <w:t> mai 2021.</w:t>
      </w:r>
    </w:p>
    <w:p w14:paraId="1A76A8A9" w14:textId="77777777" w:rsidR="00906DD0" w:rsidRPr="00C07DD2" w:rsidRDefault="00906DD0" w:rsidP="00906DD0">
      <w:pPr>
        <w:spacing w:after="120" w:line="240" w:lineRule="auto"/>
        <w:rPr>
          <w:lang w:val="fr-CA"/>
        </w:rPr>
      </w:pPr>
      <w:r w:rsidRPr="00C07DD2">
        <w:rPr>
          <w:lang w:val="fr-CA"/>
        </w:rPr>
        <w:t>La réception des rapports d’évaluation cyclique a été harmonisée avec celle du cycle de rapports de l’Annexe D.</w:t>
      </w:r>
    </w:p>
    <w:p w14:paraId="553117DC" w14:textId="77777777" w:rsidR="00906DD0" w:rsidRPr="00C07DD2" w:rsidRDefault="00906DD0" w:rsidP="00906DD0">
      <w:pPr>
        <w:spacing w:after="120" w:line="240" w:lineRule="auto"/>
        <w:rPr>
          <w:iCs/>
          <w:lang w:val="fr-CA"/>
        </w:rPr>
      </w:pPr>
      <w:r w:rsidRPr="00C07DD2">
        <w:rPr>
          <w:iCs/>
          <w:lang w:val="fr-CA"/>
        </w:rPr>
        <w:t>* Nombre d’organisations en date du 1</w:t>
      </w:r>
      <w:r w:rsidRPr="00C07DD2">
        <w:rPr>
          <w:iCs/>
          <w:vertAlign w:val="superscript"/>
          <w:lang w:val="fr-CA"/>
        </w:rPr>
        <w:t>er</w:t>
      </w:r>
      <w:r w:rsidRPr="00C07DD2">
        <w:rPr>
          <w:iCs/>
          <w:lang w:val="fr-CA"/>
        </w:rPr>
        <w:t> mai 2019 (cycle de rapports de 2018-2019).</w:t>
      </w:r>
    </w:p>
    <w:p w14:paraId="576D432A" w14:textId="77777777" w:rsidR="0084204D" w:rsidRPr="00C07DD2" w:rsidRDefault="0084204D" w:rsidP="008867B6">
      <w:pPr>
        <w:pStyle w:val="Titre2"/>
        <w:spacing w:after="120" w:line="240" w:lineRule="auto"/>
        <w:rPr>
          <w:lang w:val="fr-CA"/>
        </w:rPr>
      </w:pPr>
      <w:r w:rsidRPr="00C07DD2">
        <w:rPr>
          <w:lang w:val="fr-CA"/>
        </w:rPr>
        <w:t>O</w:t>
      </w:r>
      <w:r w:rsidR="008347A3" w:rsidRPr="00C07DD2">
        <w:rPr>
          <w:lang w:val="fr-CA"/>
        </w:rPr>
        <w:t>bservations</w:t>
      </w:r>
    </w:p>
    <w:p w14:paraId="15B67FD9" w14:textId="47A7F0DE" w:rsidR="00906DD0" w:rsidRPr="00C07DD2" w:rsidRDefault="00906DD0" w:rsidP="00906DD0">
      <w:pPr>
        <w:autoSpaceDE w:val="0"/>
        <w:autoSpaceDN w:val="0"/>
        <w:adjustRightInd w:val="0"/>
        <w:spacing w:after="120" w:line="240" w:lineRule="auto"/>
        <w:rPr>
          <w:rFonts w:cstheme="minorHAnsi"/>
          <w:kern w:val="24"/>
          <w:lang w:val="fr-CA"/>
        </w:rPr>
      </w:pPr>
      <w:r w:rsidRPr="00C07DD2">
        <w:rPr>
          <w:rFonts w:cstheme="minorHAnsi"/>
          <w:kern w:val="24"/>
          <w:lang w:val="fr-CA"/>
        </w:rPr>
        <w:t>Depuis la mise en œuvre de la N</w:t>
      </w:r>
      <w:r w:rsidR="0060539D">
        <w:rPr>
          <w:rFonts w:cstheme="minorHAnsi"/>
          <w:kern w:val="24"/>
          <w:lang w:val="fr-CA"/>
        </w:rPr>
        <w:t xml:space="preserve">ouvelle </w:t>
      </w:r>
      <w:r w:rsidRPr="00C07DD2">
        <w:rPr>
          <w:rFonts w:cstheme="minorHAnsi"/>
          <w:kern w:val="24"/>
          <w:lang w:val="fr-CA"/>
        </w:rPr>
        <w:t>O</w:t>
      </w:r>
      <w:r w:rsidR="0060539D">
        <w:rPr>
          <w:rFonts w:cstheme="minorHAnsi"/>
          <w:kern w:val="24"/>
          <w:lang w:val="fr-CA"/>
        </w:rPr>
        <w:t xml:space="preserve">rientation en </w:t>
      </w:r>
      <w:r w:rsidRPr="00C07DD2">
        <w:rPr>
          <w:rFonts w:cstheme="minorHAnsi"/>
          <w:kern w:val="24"/>
          <w:lang w:val="fr-CA"/>
        </w:rPr>
        <w:t>D</w:t>
      </w:r>
      <w:r w:rsidR="0060539D">
        <w:rPr>
          <w:rFonts w:cstheme="minorHAnsi"/>
          <w:kern w:val="24"/>
          <w:lang w:val="fr-CA"/>
        </w:rPr>
        <w:t>otation (NOD)</w:t>
      </w:r>
      <w:r w:rsidRPr="00C07DD2">
        <w:rPr>
          <w:rFonts w:cstheme="minorHAnsi"/>
          <w:kern w:val="24"/>
          <w:lang w:val="fr-CA"/>
        </w:rPr>
        <w:t>, 8</w:t>
      </w:r>
      <w:r w:rsidR="00145C76">
        <w:rPr>
          <w:rFonts w:cstheme="minorHAnsi"/>
          <w:kern w:val="24"/>
          <w:lang w:val="fr-CA"/>
        </w:rPr>
        <w:t>*</w:t>
      </w:r>
      <w:r w:rsidRPr="00C07DD2">
        <w:rPr>
          <w:rFonts w:cstheme="minorHAnsi"/>
          <w:kern w:val="24"/>
          <w:lang w:val="fr-CA"/>
        </w:rPr>
        <w:t xml:space="preserve"> des 75 organisations (12 %) ont soumis au moins un rapport d’évaluation cyclique (5 sont issus du cycle de rapports de 2017‐2018).</w:t>
      </w:r>
    </w:p>
    <w:p w14:paraId="1553564A" w14:textId="77777777" w:rsidR="00906DD0" w:rsidRPr="00C07DD2" w:rsidRDefault="00906DD0" w:rsidP="00906DD0">
      <w:pPr>
        <w:autoSpaceDE w:val="0"/>
        <w:autoSpaceDN w:val="0"/>
        <w:adjustRightInd w:val="0"/>
        <w:spacing w:after="120" w:line="240" w:lineRule="auto"/>
        <w:rPr>
          <w:rFonts w:cstheme="minorHAnsi"/>
          <w:kern w:val="24"/>
          <w:lang w:val="fr-CA"/>
        </w:rPr>
      </w:pPr>
      <w:r w:rsidRPr="00C07DD2">
        <w:rPr>
          <w:rFonts w:cstheme="minorHAnsi"/>
          <w:kern w:val="24"/>
          <w:lang w:val="fr-CA"/>
        </w:rPr>
        <w:t>Même si plus de 88 % des rapports d’évaluation cyclique seront soumis au cours des deux prochaines années, les répercussions seront compensées par le projet pilote sur les rapports d’évaluation cyclique pour les organisations de petite et de très petite taille pris en charge par la Direction de la vérification.</w:t>
      </w:r>
    </w:p>
    <w:p w14:paraId="39222009" w14:textId="77777777" w:rsidR="00906DD0" w:rsidRPr="00C07DD2" w:rsidRDefault="00906DD0" w:rsidP="00906DD0">
      <w:pPr>
        <w:autoSpaceDE w:val="0"/>
        <w:autoSpaceDN w:val="0"/>
        <w:adjustRightInd w:val="0"/>
        <w:spacing w:after="120" w:line="240" w:lineRule="auto"/>
        <w:rPr>
          <w:rFonts w:cstheme="minorHAnsi"/>
          <w:kern w:val="24"/>
          <w:lang w:val="fr-CA"/>
        </w:rPr>
      </w:pPr>
      <w:r w:rsidRPr="00C07DD2">
        <w:rPr>
          <w:rFonts w:cstheme="minorHAnsi"/>
          <w:kern w:val="24"/>
          <w:lang w:val="fr-CA"/>
        </w:rPr>
        <w:t>* Soit 9 rapports provenant de 8 organisations</w:t>
      </w:r>
    </w:p>
    <w:p w14:paraId="6D33DA39" w14:textId="77777777" w:rsidR="0084204D" w:rsidRPr="00C07DD2" w:rsidRDefault="0084204D" w:rsidP="008867B6">
      <w:pPr>
        <w:pStyle w:val="Titre2"/>
        <w:spacing w:after="120" w:line="240" w:lineRule="auto"/>
        <w:rPr>
          <w:lang w:val="fr-CA"/>
        </w:rPr>
      </w:pPr>
      <w:r w:rsidRPr="00C07DD2">
        <w:rPr>
          <w:lang w:val="fr-CA"/>
        </w:rPr>
        <w:t>R</w:t>
      </w:r>
      <w:r w:rsidR="0075477F">
        <w:rPr>
          <w:lang w:val="fr-CA"/>
        </w:rPr>
        <w:t>ecomma</w:t>
      </w:r>
      <w:r w:rsidR="008347A3" w:rsidRPr="00C07DD2">
        <w:rPr>
          <w:lang w:val="fr-CA"/>
        </w:rPr>
        <w:t>ndations</w:t>
      </w:r>
      <w:r w:rsidRPr="00C07DD2">
        <w:rPr>
          <w:lang w:val="fr-CA"/>
        </w:rPr>
        <w:t xml:space="preserve"> </w:t>
      </w:r>
    </w:p>
    <w:p w14:paraId="7947BE8E" w14:textId="4DD0BD6F" w:rsidR="00906DD0" w:rsidRPr="00C07DD2" w:rsidRDefault="00906DD0" w:rsidP="00906DD0">
      <w:pPr>
        <w:autoSpaceDE w:val="0"/>
        <w:autoSpaceDN w:val="0"/>
        <w:adjustRightInd w:val="0"/>
        <w:spacing w:after="120" w:line="240" w:lineRule="auto"/>
        <w:rPr>
          <w:rFonts w:cstheme="minorHAnsi"/>
          <w:kern w:val="24"/>
          <w:lang w:val="fr-CA"/>
        </w:rPr>
      </w:pPr>
      <w:r w:rsidRPr="00C07DD2">
        <w:rPr>
          <w:rFonts w:cstheme="minorHAnsi"/>
          <w:kern w:val="24"/>
          <w:lang w:val="fr-CA"/>
        </w:rPr>
        <w:t>La D</w:t>
      </w:r>
      <w:r w:rsidR="0060539D">
        <w:rPr>
          <w:rFonts w:cstheme="minorHAnsi"/>
          <w:kern w:val="24"/>
          <w:lang w:val="fr-CA"/>
        </w:rPr>
        <w:t>ivision du soutien en dotation (D</w:t>
      </w:r>
      <w:r w:rsidRPr="00C07DD2">
        <w:rPr>
          <w:rFonts w:cstheme="minorHAnsi"/>
          <w:kern w:val="24"/>
          <w:lang w:val="fr-CA"/>
        </w:rPr>
        <w:t>SD</w:t>
      </w:r>
      <w:r w:rsidR="0060539D">
        <w:rPr>
          <w:rFonts w:cstheme="minorHAnsi"/>
          <w:kern w:val="24"/>
          <w:lang w:val="fr-CA"/>
        </w:rPr>
        <w:t>)</w:t>
      </w:r>
      <w:r w:rsidRPr="00C07DD2">
        <w:rPr>
          <w:rFonts w:cstheme="minorHAnsi"/>
          <w:kern w:val="24"/>
          <w:lang w:val="fr-CA"/>
        </w:rPr>
        <w:t xml:space="preserve"> doit continuer de travailler avec la Direction de la vérification pour gérer la quantité de rapports qui seront reçus au cours des deux prochains cycles.</w:t>
      </w:r>
    </w:p>
    <w:p w14:paraId="5066458C" w14:textId="77777777" w:rsidR="00906DD0" w:rsidRPr="00C07DD2" w:rsidRDefault="00906DD0" w:rsidP="00906DD0">
      <w:pPr>
        <w:autoSpaceDE w:val="0"/>
        <w:autoSpaceDN w:val="0"/>
        <w:adjustRightInd w:val="0"/>
        <w:spacing w:after="120" w:line="240" w:lineRule="auto"/>
        <w:rPr>
          <w:rFonts w:cstheme="minorHAnsi"/>
          <w:kern w:val="24"/>
          <w:lang w:val="fr-CA"/>
        </w:rPr>
      </w:pPr>
      <w:r w:rsidRPr="00C07DD2">
        <w:rPr>
          <w:rFonts w:cstheme="minorHAnsi"/>
          <w:kern w:val="24"/>
          <w:lang w:val="fr-CA"/>
        </w:rPr>
        <w:lastRenderedPageBreak/>
        <w:t>La DSD doit continuer de simplifier le processus de rapport d’évaluation cyclique afin d’améliorer l’efficacité de la réception et de l’examen par la CFP.</w:t>
      </w:r>
    </w:p>
    <w:p w14:paraId="7E86DE5A" w14:textId="77777777" w:rsidR="0084204D" w:rsidRPr="00C07DD2" w:rsidRDefault="00906DD0" w:rsidP="008867B6">
      <w:pPr>
        <w:pStyle w:val="Titre1"/>
        <w:spacing w:after="120" w:line="240" w:lineRule="auto"/>
        <w:rPr>
          <w:lang w:val="fr-CA"/>
        </w:rPr>
      </w:pPr>
      <w:r w:rsidRPr="00C07DD2">
        <w:rPr>
          <w:lang w:val="fr-CA"/>
        </w:rPr>
        <w:t>Prochaines étapes</w:t>
      </w:r>
    </w:p>
    <w:p w14:paraId="170D2260" w14:textId="77777777" w:rsidR="0084204D" w:rsidRPr="00C07DD2" w:rsidRDefault="001C5887" w:rsidP="008867B6">
      <w:pPr>
        <w:pStyle w:val="Titre2"/>
        <w:spacing w:after="120" w:line="240" w:lineRule="auto"/>
        <w:rPr>
          <w:lang w:val="fr-CA"/>
        </w:rPr>
      </w:pPr>
      <w:r>
        <w:rPr>
          <w:lang w:val="fr-CA"/>
        </w:rPr>
        <w:t>Gabarits de</w:t>
      </w:r>
      <w:r w:rsidR="007C44FA" w:rsidRPr="00C07DD2">
        <w:rPr>
          <w:lang w:val="fr-CA"/>
        </w:rPr>
        <w:t xml:space="preserve"> rapports de l’</w:t>
      </w:r>
      <w:r w:rsidR="0084204D" w:rsidRPr="00C07DD2">
        <w:rPr>
          <w:lang w:val="fr-CA"/>
        </w:rPr>
        <w:t xml:space="preserve">Annexe D </w:t>
      </w:r>
    </w:p>
    <w:p w14:paraId="6DEC8421" w14:textId="77777777" w:rsidR="00057E50" w:rsidRPr="00C07DD2" w:rsidRDefault="00057E50" w:rsidP="0052105A">
      <w:pPr>
        <w:spacing w:after="120"/>
        <w:rPr>
          <w:lang w:val="fr-CA"/>
        </w:rPr>
      </w:pPr>
      <w:r w:rsidRPr="00C07DD2">
        <w:rPr>
          <w:lang w:val="fr-CA"/>
        </w:rPr>
        <w:t>Proposer une a</w:t>
      </w:r>
      <w:r w:rsidR="001C5887">
        <w:rPr>
          <w:lang w:val="fr-CA"/>
        </w:rPr>
        <w:t>ttestation</w:t>
      </w:r>
      <w:r w:rsidRPr="00C07DD2">
        <w:rPr>
          <w:lang w:val="fr-CA"/>
        </w:rPr>
        <w:t xml:space="preserve"> par l’administrateur général (AG) plus complète afin de faciliter l’exigence d’approbation des rapports d’évaluation cyclique, conformément au </w:t>
      </w:r>
      <w:r w:rsidR="00145C76">
        <w:rPr>
          <w:lang w:val="fr-CA"/>
        </w:rPr>
        <w:t>gabarit</w:t>
      </w:r>
      <w:r w:rsidRPr="00C07DD2">
        <w:rPr>
          <w:lang w:val="fr-CA"/>
        </w:rPr>
        <w:t xml:space="preserve"> actuel de présentation de rapports de l’Annexe D.</w:t>
      </w:r>
    </w:p>
    <w:p w14:paraId="2595DC3A" w14:textId="77777777" w:rsidR="00057E50" w:rsidRPr="00C07DD2" w:rsidRDefault="00057E50" w:rsidP="0052105A">
      <w:pPr>
        <w:spacing w:after="0"/>
        <w:rPr>
          <w:lang w:val="fr-CA"/>
        </w:rPr>
      </w:pPr>
      <w:r w:rsidRPr="00C07DD2">
        <w:rPr>
          <w:lang w:val="fr-CA"/>
        </w:rPr>
        <w:t>Examiner la possibilité de recueillir des données sur le nombre de nominations non impératives du prochain modèle de présentation de rapports, étant donné que ces renseignements ne sont actuellement pas recueillis.</w:t>
      </w:r>
    </w:p>
    <w:p w14:paraId="012E68D4" w14:textId="77777777" w:rsidR="00E7222B" w:rsidRPr="00C07DD2" w:rsidRDefault="0052105A" w:rsidP="0052105A">
      <w:pPr>
        <w:numPr>
          <w:ilvl w:val="0"/>
          <w:numId w:val="39"/>
        </w:numPr>
        <w:spacing w:after="0"/>
        <w:rPr>
          <w:lang w:val="fr-CA"/>
        </w:rPr>
      </w:pPr>
      <w:r w:rsidRPr="00C07DD2">
        <w:rPr>
          <w:lang w:val="fr-CA"/>
        </w:rPr>
        <w:t>Cela permettrait de dresser un meilleur portrait du nombre de personnes qui ne respectent pas les exigences en matière de langues officielles.</w:t>
      </w:r>
    </w:p>
    <w:p w14:paraId="6C7832A1" w14:textId="77777777" w:rsidR="00E7222B" w:rsidRPr="00C07DD2" w:rsidRDefault="0052105A" w:rsidP="0052105A">
      <w:pPr>
        <w:numPr>
          <w:ilvl w:val="0"/>
          <w:numId w:val="39"/>
        </w:numPr>
        <w:spacing w:after="120"/>
        <w:rPr>
          <w:lang w:val="fr-CA"/>
        </w:rPr>
      </w:pPr>
      <w:r w:rsidRPr="00C07DD2">
        <w:rPr>
          <w:lang w:val="fr-CA"/>
        </w:rPr>
        <w:t>Les données sur les nominations non impératives sont étroitement liées à celles des exemptions.</w:t>
      </w:r>
    </w:p>
    <w:p w14:paraId="5A3B2B5F" w14:textId="77777777" w:rsidR="0084204D" w:rsidRPr="00C07DD2" w:rsidRDefault="00057E50" w:rsidP="008867B6">
      <w:pPr>
        <w:pStyle w:val="Titre2"/>
        <w:spacing w:after="120" w:line="240" w:lineRule="auto"/>
        <w:rPr>
          <w:lang w:val="fr-CA"/>
        </w:rPr>
      </w:pPr>
      <w:r w:rsidRPr="00C07DD2">
        <w:rPr>
          <w:lang w:val="fr-CA"/>
        </w:rPr>
        <w:t>Prochain cycle</w:t>
      </w:r>
      <w:r w:rsidR="00711C61" w:rsidRPr="00C07DD2">
        <w:rPr>
          <w:lang w:val="fr-CA"/>
        </w:rPr>
        <w:t xml:space="preserve"> 2019-2020</w:t>
      </w:r>
    </w:p>
    <w:p w14:paraId="2AFBBBA5" w14:textId="77777777" w:rsidR="00057E50" w:rsidRPr="00C07DD2" w:rsidRDefault="00057E50" w:rsidP="00057E50">
      <w:pPr>
        <w:autoSpaceDE w:val="0"/>
        <w:autoSpaceDN w:val="0"/>
        <w:adjustRightInd w:val="0"/>
        <w:spacing w:after="120" w:line="240" w:lineRule="auto"/>
        <w:rPr>
          <w:rFonts w:ascii="Segoe UI Semilight" w:hAnsi="Times New Roman" w:cs="Segoe UI Semilight"/>
          <w:kern w:val="24"/>
          <w:lang w:val="fr-CA"/>
        </w:rPr>
      </w:pPr>
      <w:r w:rsidRPr="00C07DD2">
        <w:rPr>
          <w:rFonts w:ascii="Segoe UI Semilight" w:hAnsi="Times New Roman" w:cs="Segoe UI Semilight"/>
          <w:kern w:val="24"/>
          <w:lang w:val="fr-CA"/>
        </w:rPr>
        <w:t xml:space="preserve">La Division du soutien en dotation </w:t>
      </w:r>
      <w:r w:rsidRPr="00C07DD2">
        <w:rPr>
          <w:rFonts w:ascii="Segoe UI Semilight" w:hAnsi="Times New Roman" w:cs="Segoe UI Semilight"/>
          <w:kern w:val="24"/>
          <w:lang w:val="fr-CA"/>
        </w:rPr>
        <w:t>é</w:t>
      </w:r>
      <w:r w:rsidRPr="00C07DD2">
        <w:rPr>
          <w:rFonts w:ascii="Segoe UI Semilight" w:hAnsi="Times New Roman" w:cs="Segoe UI Semilight"/>
          <w:kern w:val="24"/>
          <w:lang w:val="fr-CA"/>
        </w:rPr>
        <w:t>laborera une strat</w:t>
      </w:r>
      <w:r w:rsidRPr="00C07DD2">
        <w:rPr>
          <w:rFonts w:ascii="Segoe UI Semilight" w:hAnsi="Times New Roman" w:cs="Segoe UI Semilight"/>
          <w:kern w:val="24"/>
          <w:lang w:val="fr-CA"/>
        </w:rPr>
        <w:t>é</w:t>
      </w:r>
      <w:r w:rsidRPr="00C07DD2">
        <w:rPr>
          <w:rFonts w:ascii="Segoe UI Semilight" w:hAnsi="Times New Roman" w:cs="Segoe UI Semilight"/>
          <w:kern w:val="24"/>
          <w:lang w:val="fr-CA"/>
        </w:rPr>
        <w:t xml:space="preserve">gie de communication qui tiendra compte des </w:t>
      </w:r>
      <w:r w:rsidR="00145C76">
        <w:rPr>
          <w:rFonts w:ascii="Segoe UI Semilight" w:hAnsi="Times New Roman" w:cs="Segoe UI Semilight"/>
          <w:kern w:val="24"/>
          <w:lang w:val="fr-CA"/>
        </w:rPr>
        <w:t>gabarits</w:t>
      </w:r>
      <w:r w:rsidRPr="00C07DD2">
        <w:rPr>
          <w:rFonts w:ascii="Segoe UI Semilight" w:hAnsi="Times New Roman" w:cs="Segoe UI Semilight"/>
          <w:kern w:val="24"/>
          <w:lang w:val="fr-CA"/>
        </w:rPr>
        <w:t xml:space="preserve"> r</w:t>
      </w:r>
      <w:r w:rsidRPr="00C07DD2">
        <w:rPr>
          <w:rFonts w:ascii="Segoe UI Semilight" w:hAnsi="Times New Roman" w:cs="Segoe UI Semilight"/>
          <w:kern w:val="24"/>
          <w:lang w:val="fr-CA"/>
        </w:rPr>
        <w:t>é</w:t>
      </w:r>
      <w:r w:rsidRPr="00C07DD2">
        <w:rPr>
          <w:rFonts w:ascii="Segoe UI Semilight" w:hAnsi="Times New Roman" w:cs="Segoe UI Semilight"/>
          <w:kern w:val="24"/>
          <w:lang w:val="fr-CA"/>
        </w:rPr>
        <w:t>vis</w:t>
      </w:r>
      <w:r w:rsidRPr="00C07DD2">
        <w:rPr>
          <w:rFonts w:ascii="Segoe UI Semilight" w:hAnsi="Times New Roman" w:cs="Segoe UI Semilight"/>
          <w:kern w:val="24"/>
          <w:lang w:val="fr-CA"/>
        </w:rPr>
        <w:t>é</w:t>
      </w:r>
      <w:r w:rsidRPr="00C07DD2">
        <w:rPr>
          <w:rFonts w:ascii="Segoe UI Semilight" w:hAnsi="Times New Roman" w:cs="Segoe UI Semilight"/>
          <w:kern w:val="24"/>
          <w:lang w:val="fr-CA"/>
        </w:rPr>
        <w:t xml:space="preserve">s (conditionnels </w:t>
      </w:r>
      <w:r w:rsidRPr="00C07DD2">
        <w:rPr>
          <w:rFonts w:ascii="Segoe UI Semilight" w:hAnsi="Times New Roman" w:cs="Segoe UI Semilight"/>
          <w:kern w:val="24"/>
          <w:lang w:val="fr-CA"/>
        </w:rPr>
        <w:t>à</w:t>
      </w:r>
      <w:r w:rsidRPr="00C07DD2">
        <w:rPr>
          <w:rFonts w:ascii="Segoe UI Semilight" w:hAnsi="Times New Roman" w:cs="Segoe UI Semilight"/>
          <w:kern w:val="24"/>
          <w:lang w:val="fr-CA"/>
        </w:rPr>
        <w:t xml:space="preserve"> l</w:t>
      </w:r>
      <w:r w:rsidRPr="00C07DD2">
        <w:rPr>
          <w:rFonts w:ascii="Segoe UI Semilight" w:hAnsi="Times New Roman" w:cs="Segoe UI Semilight"/>
          <w:kern w:val="24"/>
          <w:lang w:val="fr-CA"/>
        </w:rPr>
        <w:t>’</w:t>
      </w:r>
      <w:r w:rsidRPr="00C07DD2">
        <w:rPr>
          <w:rFonts w:ascii="Segoe UI Semilight" w:hAnsi="Times New Roman" w:cs="Segoe UI Semilight"/>
          <w:kern w:val="24"/>
          <w:lang w:val="fr-CA"/>
        </w:rPr>
        <w:t xml:space="preserve">approbation) pour le prochain cycle de rapports, qui commencera </w:t>
      </w:r>
      <w:r w:rsidRPr="00C07DD2">
        <w:rPr>
          <w:rFonts w:ascii="Segoe UI Semilight" w:hAnsi="Times New Roman" w:cs="Segoe UI Semilight"/>
          <w:kern w:val="24"/>
          <w:lang w:val="fr-CA"/>
        </w:rPr>
        <w:t>à</w:t>
      </w:r>
      <w:r w:rsidRPr="00C07DD2">
        <w:rPr>
          <w:rFonts w:ascii="Segoe UI Semilight" w:hAnsi="Times New Roman" w:cs="Segoe UI Semilight"/>
          <w:kern w:val="24"/>
          <w:lang w:val="fr-CA"/>
        </w:rPr>
        <w:t xml:space="preserve"> l</w:t>
      </w:r>
      <w:r w:rsidRPr="00C07DD2">
        <w:rPr>
          <w:rFonts w:ascii="Segoe UI Semilight" w:hAnsi="Times New Roman" w:cs="Segoe UI Semilight"/>
          <w:kern w:val="24"/>
          <w:lang w:val="fr-CA"/>
        </w:rPr>
        <w:t>’</w:t>
      </w:r>
      <w:r w:rsidRPr="00C07DD2">
        <w:rPr>
          <w:rFonts w:ascii="Segoe UI Semilight" w:hAnsi="Times New Roman" w:cs="Segoe UI Semilight"/>
          <w:kern w:val="24"/>
          <w:lang w:val="fr-CA"/>
        </w:rPr>
        <w:t>hiver 2019.</w:t>
      </w:r>
    </w:p>
    <w:sectPr w:rsidR="00057E50" w:rsidRPr="00C07DD2" w:rsidSect="0084204D">
      <w:pgSz w:w="12240" w:h="15840"/>
      <w:pgMar w:top="1985" w:right="1440" w:bottom="1440"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AE577" w14:textId="77777777" w:rsidR="003B5E44" w:rsidRDefault="003B5E44" w:rsidP="0051557E">
      <w:pPr>
        <w:spacing w:after="0" w:line="240" w:lineRule="auto"/>
      </w:pPr>
      <w:r>
        <w:separator/>
      </w:r>
    </w:p>
  </w:endnote>
  <w:endnote w:type="continuationSeparator" w:id="0">
    <w:p w14:paraId="45B75112" w14:textId="77777777" w:rsidR="003B5E44" w:rsidRDefault="003B5E44" w:rsidP="00515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179664"/>
      <w:docPartObj>
        <w:docPartGallery w:val="Page Numbers (Bottom of Page)"/>
        <w:docPartUnique/>
      </w:docPartObj>
    </w:sdtPr>
    <w:sdtEndPr>
      <w:rPr>
        <w:noProof/>
      </w:rPr>
    </w:sdtEndPr>
    <w:sdtContent>
      <w:p w14:paraId="41C909F6" w14:textId="77777777" w:rsidR="00244CD0" w:rsidRDefault="00244CD0">
        <w:pPr>
          <w:pStyle w:val="Pieddepage"/>
          <w:jc w:val="right"/>
        </w:pPr>
        <w:r>
          <w:fldChar w:fldCharType="begin"/>
        </w:r>
        <w:r>
          <w:instrText xml:space="preserve"> PAGE   \* MERGEFORMAT </w:instrText>
        </w:r>
        <w:r>
          <w:fldChar w:fldCharType="separate"/>
        </w:r>
        <w:r w:rsidR="000678AB">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9618575"/>
      <w:docPartObj>
        <w:docPartGallery w:val="Page Numbers (Bottom of Page)"/>
        <w:docPartUnique/>
      </w:docPartObj>
    </w:sdtPr>
    <w:sdtEndPr/>
    <w:sdtContent>
      <w:p w14:paraId="27104BD3" w14:textId="77777777" w:rsidR="003B69DA" w:rsidRDefault="00711C61">
        <w:pPr>
          <w:pStyle w:val="Pieddepage"/>
          <w:jc w:val="right"/>
        </w:pPr>
        <w:r>
          <w:fldChar w:fldCharType="begin"/>
        </w:r>
        <w:r>
          <w:instrText xml:space="preserve"> PAGE   \* MERGEFORMAT </w:instrText>
        </w:r>
        <w:r>
          <w:fldChar w:fldCharType="separate"/>
        </w:r>
        <w:r w:rsidR="000678AB">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A8482" w14:textId="77777777" w:rsidR="003B5E44" w:rsidRDefault="003B5E44" w:rsidP="0051557E">
      <w:pPr>
        <w:spacing w:after="0" w:line="240" w:lineRule="auto"/>
      </w:pPr>
      <w:r>
        <w:separator/>
      </w:r>
    </w:p>
  </w:footnote>
  <w:footnote w:type="continuationSeparator" w:id="0">
    <w:p w14:paraId="18FE6765" w14:textId="77777777" w:rsidR="003B5E44" w:rsidRDefault="003B5E44" w:rsidP="00515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75056F8"/>
    <w:lvl w:ilvl="0">
      <w:numFmt w:val="bullet"/>
      <w:lvlText w:val="*"/>
      <w:lvlJc w:val="left"/>
    </w:lvl>
  </w:abstractNum>
  <w:abstractNum w:abstractNumId="1" w15:restartNumberingAfterBreak="0">
    <w:nsid w:val="016E7AAC"/>
    <w:multiLevelType w:val="hybridMultilevel"/>
    <w:tmpl w:val="B2E0E184"/>
    <w:lvl w:ilvl="0" w:tplc="1F30D972">
      <w:start w:val="1"/>
      <w:numFmt w:val="bullet"/>
      <w:lvlText w:val="•"/>
      <w:lvlJc w:val="left"/>
      <w:pPr>
        <w:tabs>
          <w:tab w:val="num" w:pos="720"/>
        </w:tabs>
        <w:ind w:left="720" w:hanging="360"/>
      </w:pPr>
      <w:rPr>
        <w:rFonts w:ascii="Arial" w:hAnsi="Arial" w:hint="default"/>
      </w:rPr>
    </w:lvl>
    <w:lvl w:ilvl="1" w:tplc="61C65A04">
      <w:start w:val="206"/>
      <w:numFmt w:val="bullet"/>
      <w:lvlText w:val="•"/>
      <w:lvlJc w:val="left"/>
      <w:pPr>
        <w:tabs>
          <w:tab w:val="num" w:pos="1440"/>
        </w:tabs>
        <w:ind w:left="1440" w:hanging="360"/>
      </w:pPr>
      <w:rPr>
        <w:rFonts w:ascii="Arial" w:hAnsi="Arial" w:hint="default"/>
      </w:rPr>
    </w:lvl>
    <w:lvl w:ilvl="2" w:tplc="DB82A5F2" w:tentative="1">
      <w:start w:val="1"/>
      <w:numFmt w:val="bullet"/>
      <w:lvlText w:val="•"/>
      <w:lvlJc w:val="left"/>
      <w:pPr>
        <w:tabs>
          <w:tab w:val="num" w:pos="2160"/>
        </w:tabs>
        <w:ind w:left="2160" w:hanging="360"/>
      </w:pPr>
      <w:rPr>
        <w:rFonts w:ascii="Arial" w:hAnsi="Arial" w:hint="default"/>
      </w:rPr>
    </w:lvl>
    <w:lvl w:ilvl="3" w:tplc="AB98608A" w:tentative="1">
      <w:start w:val="1"/>
      <w:numFmt w:val="bullet"/>
      <w:lvlText w:val="•"/>
      <w:lvlJc w:val="left"/>
      <w:pPr>
        <w:tabs>
          <w:tab w:val="num" w:pos="2880"/>
        </w:tabs>
        <w:ind w:left="2880" w:hanging="360"/>
      </w:pPr>
      <w:rPr>
        <w:rFonts w:ascii="Arial" w:hAnsi="Arial" w:hint="default"/>
      </w:rPr>
    </w:lvl>
    <w:lvl w:ilvl="4" w:tplc="2432103A" w:tentative="1">
      <w:start w:val="1"/>
      <w:numFmt w:val="bullet"/>
      <w:lvlText w:val="•"/>
      <w:lvlJc w:val="left"/>
      <w:pPr>
        <w:tabs>
          <w:tab w:val="num" w:pos="3600"/>
        </w:tabs>
        <w:ind w:left="3600" w:hanging="360"/>
      </w:pPr>
      <w:rPr>
        <w:rFonts w:ascii="Arial" w:hAnsi="Arial" w:hint="default"/>
      </w:rPr>
    </w:lvl>
    <w:lvl w:ilvl="5" w:tplc="E4B455A2" w:tentative="1">
      <w:start w:val="1"/>
      <w:numFmt w:val="bullet"/>
      <w:lvlText w:val="•"/>
      <w:lvlJc w:val="left"/>
      <w:pPr>
        <w:tabs>
          <w:tab w:val="num" w:pos="4320"/>
        </w:tabs>
        <w:ind w:left="4320" w:hanging="360"/>
      </w:pPr>
      <w:rPr>
        <w:rFonts w:ascii="Arial" w:hAnsi="Arial" w:hint="default"/>
      </w:rPr>
    </w:lvl>
    <w:lvl w:ilvl="6" w:tplc="7DBC243E" w:tentative="1">
      <w:start w:val="1"/>
      <w:numFmt w:val="bullet"/>
      <w:lvlText w:val="•"/>
      <w:lvlJc w:val="left"/>
      <w:pPr>
        <w:tabs>
          <w:tab w:val="num" w:pos="5040"/>
        </w:tabs>
        <w:ind w:left="5040" w:hanging="360"/>
      </w:pPr>
      <w:rPr>
        <w:rFonts w:ascii="Arial" w:hAnsi="Arial" w:hint="default"/>
      </w:rPr>
    </w:lvl>
    <w:lvl w:ilvl="7" w:tplc="CF546AE6" w:tentative="1">
      <w:start w:val="1"/>
      <w:numFmt w:val="bullet"/>
      <w:lvlText w:val="•"/>
      <w:lvlJc w:val="left"/>
      <w:pPr>
        <w:tabs>
          <w:tab w:val="num" w:pos="5760"/>
        </w:tabs>
        <w:ind w:left="5760" w:hanging="360"/>
      </w:pPr>
      <w:rPr>
        <w:rFonts w:ascii="Arial" w:hAnsi="Arial" w:hint="default"/>
      </w:rPr>
    </w:lvl>
    <w:lvl w:ilvl="8" w:tplc="94F864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663866"/>
    <w:multiLevelType w:val="hybridMultilevel"/>
    <w:tmpl w:val="BAA4C394"/>
    <w:lvl w:ilvl="0" w:tplc="88884106">
      <w:start w:val="1"/>
      <w:numFmt w:val="bullet"/>
      <w:lvlText w:val="•"/>
      <w:lvlJc w:val="left"/>
      <w:pPr>
        <w:tabs>
          <w:tab w:val="num" w:pos="720"/>
        </w:tabs>
        <w:ind w:left="720" w:hanging="360"/>
      </w:pPr>
      <w:rPr>
        <w:rFonts w:ascii="Arial" w:hAnsi="Arial" w:hint="default"/>
      </w:rPr>
    </w:lvl>
    <w:lvl w:ilvl="1" w:tplc="EABA6882" w:tentative="1">
      <w:start w:val="1"/>
      <w:numFmt w:val="bullet"/>
      <w:lvlText w:val="•"/>
      <w:lvlJc w:val="left"/>
      <w:pPr>
        <w:tabs>
          <w:tab w:val="num" w:pos="1440"/>
        </w:tabs>
        <w:ind w:left="1440" w:hanging="360"/>
      </w:pPr>
      <w:rPr>
        <w:rFonts w:ascii="Arial" w:hAnsi="Arial" w:hint="default"/>
      </w:rPr>
    </w:lvl>
    <w:lvl w:ilvl="2" w:tplc="E08257CA" w:tentative="1">
      <w:start w:val="1"/>
      <w:numFmt w:val="bullet"/>
      <w:lvlText w:val="•"/>
      <w:lvlJc w:val="left"/>
      <w:pPr>
        <w:tabs>
          <w:tab w:val="num" w:pos="2160"/>
        </w:tabs>
        <w:ind w:left="2160" w:hanging="360"/>
      </w:pPr>
      <w:rPr>
        <w:rFonts w:ascii="Arial" w:hAnsi="Arial" w:hint="default"/>
      </w:rPr>
    </w:lvl>
    <w:lvl w:ilvl="3" w:tplc="5470D6A2" w:tentative="1">
      <w:start w:val="1"/>
      <w:numFmt w:val="bullet"/>
      <w:lvlText w:val="•"/>
      <w:lvlJc w:val="left"/>
      <w:pPr>
        <w:tabs>
          <w:tab w:val="num" w:pos="2880"/>
        </w:tabs>
        <w:ind w:left="2880" w:hanging="360"/>
      </w:pPr>
      <w:rPr>
        <w:rFonts w:ascii="Arial" w:hAnsi="Arial" w:hint="default"/>
      </w:rPr>
    </w:lvl>
    <w:lvl w:ilvl="4" w:tplc="8E18D6CC" w:tentative="1">
      <w:start w:val="1"/>
      <w:numFmt w:val="bullet"/>
      <w:lvlText w:val="•"/>
      <w:lvlJc w:val="left"/>
      <w:pPr>
        <w:tabs>
          <w:tab w:val="num" w:pos="3600"/>
        </w:tabs>
        <w:ind w:left="3600" w:hanging="360"/>
      </w:pPr>
      <w:rPr>
        <w:rFonts w:ascii="Arial" w:hAnsi="Arial" w:hint="default"/>
      </w:rPr>
    </w:lvl>
    <w:lvl w:ilvl="5" w:tplc="E6A28962" w:tentative="1">
      <w:start w:val="1"/>
      <w:numFmt w:val="bullet"/>
      <w:lvlText w:val="•"/>
      <w:lvlJc w:val="left"/>
      <w:pPr>
        <w:tabs>
          <w:tab w:val="num" w:pos="4320"/>
        </w:tabs>
        <w:ind w:left="4320" w:hanging="360"/>
      </w:pPr>
      <w:rPr>
        <w:rFonts w:ascii="Arial" w:hAnsi="Arial" w:hint="default"/>
      </w:rPr>
    </w:lvl>
    <w:lvl w:ilvl="6" w:tplc="F078E8D2" w:tentative="1">
      <w:start w:val="1"/>
      <w:numFmt w:val="bullet"/>
      <w:lvlText w:val="•"/>
      <w:lvlJc w:val="left"/>
      <w:pPr>
        <w:tabs>
          <w:tab w:val="num" w:pos="5040"/>
        </w:tabs>
        <w:ind w:left="5040" w:hanging="360"/>
      </w:pPr>
      <w:rPr>
        <w:rFonts w:ascii="Arial" w:hAnsi="Arial" w:hint="default"/>
      </w:rPr>
    </w:lvl>
    <w:lvl w:ilvl="7" w:tplc="6478CE5A" w:tentative="1">
      <w:start w:val="1"/>
      <w:numFmt w:val="bullet"/>
      <w:lvlText w:val="•"/>
      <w:lvlJc w:val="left"/>
      <w:pPr>
        <w:tabs>
          <w:tab w:val="num" w:pos="5760"/>
        </w:tabs>
        <w:ind w:left="5760" w:hanging="360"/>
      </w:pPr>
      <w:rPr>
        <w:rFonts w:ascii="Arial" w:hAnsi="Arial" w:hint="default"/>
      </w:rPr>
    </w:lvl>
    <w:lvl w:ilvl="8" w:tplc="E534BA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1A190B"/>
    <w:multiLevelType w:val="hybridMultilevel"/>
    <w:tmpl w:val="DB62C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7C2665"/>
    <w:multiLevelType w:val="hybridMultilevel"/>
    <w:tmpl w:val="739221E6"/>
    <w:lvl w:ilvl="0" w:tplc="C9DC87AC">
      <w:start w:val="1"/>
      <w:numFmt w:val="bullet"/>
      <w:lvlText w:val="•"/>
      <w:lvlJc w:val="left"/>
      <w:pPr>
        <w:tabs>
          <w:tab w:val="num" w:pos="720"/>
        </w:tabs>
        <w:ind w:left="720" w:hanging="360"/>
      </w:pPr>
      <w:rPr>
        <w:rFonts w:ascii="Arial" w:hAnsi="Arial" w:hint="default"/>
      </w:rPr>
    </w:lvl>
    <w:lvl w:ilvl="1" w:tplc="7774417C" w:tentative="1">
      <w:start w:val="1"/>
      <w:numFmt w:val="bullet"/>
      <w:lvlText w:val="•"/>
      <w:lvlJc w:val="left"/>
      <w:pPr>
        <w:tabs>
          <w:tab w:val="num" w:pos="1440"/>
        </w:tabs>
        <w:ind w:left="1440" w:hanging="360"/>
      </w:pPr>
      <w:rPr>
        <w:rFonts w:ascii="Arial" w:hAnsi="Arial" w:hint="default"/>
      </w:rPr>
    </w:lvl>
    <w:lvl w:ilvl="2" w:tplc="A0380D6C" w:tentative="1">
      <w:start w:val="1"/>
      <w:numFmt w:val="bullet"/>
      <w:lvlText w:val="•"/>
      <w:lvlJc w:val="left"/>
      <w:pPr>
        <w:tabs>
          <w:tab w:val="num" w:pos="2160"/>
        </w:tabs>
        <w:ind w:left="2160" w:hanging="360"/>
      </w:pPr>
      <w:rPr>
        <w:rFonts w:ascii="Arial" w:hAnsi="Arial" w:hint="default"/>
      </w:rPr>
    </w:lvl>
    <w:lvl w:ilvl="3" w:tplc="2A100852" w:tentative="1">
      <w:start w:val="1"/>
      <w:numFmt w:val="bullet"/>
      <w:lvlText w:val="•"/>
      <w:lvlJc w:val="left"/>
      <w:pPr>
        <w:tabs>
          <w:tab w:val="num" w:pos="2880"/>
        </w:tabs>
        <w:ind w:left="2880" w:hanging="360"/>
      </w:pPr>
      <w:rPr>
        <w:rFonts w:ascii="Arial" w:hAnsi="Arial" w:hint="default"/>
      </w:rPr>
    </w:lvl>
    <w:lvl w:ilvl="4" w:tplc="933A82C0" w:tentative="1">
      <w:start w:val="1"/>
      <w:numFmt w:val="bullet"/>
      <w:lvlText w:val="•"/>
      <w:lvlJc w:val="left"/>
      <w:pPr>
        <w:tabs>
          <w:tab w:val="num" w:pos="3600"/>
        </w:tabs>
        <w:ind w:left="3600" w:hanging="360"/>
      </w:pPr>
      <w:rPr>
        <w:rFonts w:ascii="Arial" w:hAnsi="Arial" w:hint="default"/>
      </w:rPr>
    </w:lvl>
    <w:lvl w:ilvl="5" w:tplc="6C3E04CC" w:tentative="1">
      <w:start w:val="1"/>
      <w:numFmt w:val="bullet"/>
      <w:lvlText w:val="•"/>
      <w:lvlJc w:val="left"/>
      <w:pPr>
        <w:tabs>
          <w:tab w:val="num" w:pos="4320"/>
        </w:tabs>
        <w:ind w:left="4320" w:hanging="360"/>
      </w:pPr>
      <w:rPr>
        <w:rFonts w:ascii="Arial" w:hAnsi="Arial" w:hint="default"/>
      </w:rPr>
    </w:lvl>
    <w:lvl w:ilvl="6" w:tplc="749615CC" w:tentative="1">
      <w:start w:val="1"/>
      <w:numFmt w:val="bullet"/>
      <w:lvlText w:val="•"/>
      <w:lvlJc w:val="left"/>
      <w:pPr>
        <w:tabs>
          <w:tab w:val="num" w:pos="5040"/>
        </w:tabs>
        <w:ind w:left="5040" w:hanging="360"/>
      </w:pPr>
      <w:rPr>
        <w:rFonts w:ascii="Arial" w:hAnsi="Arial" w:hint="default"/>
      </w:rPr>
    </w:lvl>
    <w:lvl w:ilvl="7" w:tplc="7B889D78" w:tentative="1">
      <w:start w:val="1"/>
      <w:numFmt w:val="bullet"/>
      <w:lvlText w:val="•"/>
      <w:lvlJc w:val="left"/>
      <w:pPr>
        <w:tabs>
          <w:tab w:val="num" w:pos="5760"/>
        </w:tabs>
        <w:ind w:left="5760" w:hanging="360"/>
      </w:pPr>
      <w:rPr>
        <w:rFonts w:ascii="Arial" w:hAnsi="Arial" w:hint="default"/>
      </w:rPr>
    </w:lvl>
    <w:lvl w:ilvl="8" w:tplc="A9BE5B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4C0E56"/>
    <w:multiLevelType w:val="hybridMultilevel"/>
    <w:tmpl w:val="49B64412"/>
    <w:lvl w:ilvl="0" w:tplc="10090001">
      <w:start w:val="1"/>
      <w:numFmt w:val="bullet"/>
      <w:lvlText w:val=""/>
      <w:lvlJc w:val="left"/>
      <w:pPr>
        <w:tabs>
          <w:tab w:val="num" w:pos="720"/>
        </w:tabs>
        <w:ind w:left="720" w:hanging="360"/>
      </w:pPr>
      <w:rPr>
        <w:rFonts w:ascii="Symbol" w:hAnsi="Symbol" w:hint="default"/>
      </w:rPr>
    </w:lvl>
    <w:lvl w:ilvl="1" w:tplc="1CA43636" w:tentative="1">
      <w:start w:val="1"/>
      <w:numFmt w:val="decimal"/>
      <w:lvlText w:val="%2."/>
      <w:lvlJc w:val="left"/>
      <w:pPr>
        <w:tabs>
          <w:tab w:val="num" w:pos="1440"/>
        </w:tabs>
        <w:ind w:left="1440" w:hanging="360"/>
      </w:pPr>
    </w:lvl>
    <w:lvl w:ilvl="2" w:tplc="0C84A8F8" w:tentative="1">
      <w:start w:val="1"/>
      <w:numFmt w:val="decimal"/>
      <w:lvlText w:val="%3."/>
      <w:lvlJc w:val="left"/>
      <w:pPr>
        <w:tabs>
          <w:tab w:val="num" w:pos="2160"/>
        </w:tabs>
        <w:ind w:left="2160" w:hanging="360"/>
      </w:pPr>
    </w:lvl>
    <w:lvl w:ilvl="3" w:tplc="BD4A4624" w:tentative="1">
      <w:start w:val="1"/>
      <w:numFmt w:val="decimal"/>
      <w:lvlText w:val="%4."/>
      <w:lvlJc w:val="left"/>
      <w:pPr>
        <w:tabs>
          <w:tab w:val="num" w:pos="2880"/>
        </w:tabs>
        <w:ind w:left="2880" w:hanging="360"/>
      </w:pPr>
    </w:lvl>
    <w:lvl w:ilvl="4" w:tplc="57548F58" w:tentative="1">
      <w:start w:val="1"/>
      <w:numFmt w:val="decimal"/>
      <w:lvlText w:val="%5."/>
      <w:lvlJc w:val="left"/>
      <w:pPr>
        <w:tabs>
          <w:tab w:val="num" w:pos="3600"/>
        </w:tabs>
        <w:ind w:left="3600" w:hanging="360"/>
      </w:pPr>
    </w:lvl>
    <w:lvl w:ilvl="5" w:tplc="AC886D94" w:tentative="1">
      <w:start w:val="1"/>
      <w:numFmt w:val="decimal"/>
      <w:lvlText w:val="%6."/>
      <w:lvlJc w:val="left"/>
      <w:pPr>
        <w:tabs>
          <w:tab w:val="num" w:pos="4320"/>
        </w:tabs>
        <w:ind w:left="4320" w:hanging="360"/>
      </w:pPr>
    </w:lvl>
    <w:lvl w:ilvl="6" w:tplc="4BC8A46C" w:tentative="1">
      <w:start w:val="1"/>
      <w:numFmt w:val="decimal"/>
      <w:lvlText w:val="%7."/>
      <w:lvlJc w:val="left"/>
      <w:pPr>
        <w:tabs>
          <w:tab w:val="num" w:pos="5040"/>
        </w:tabs>
        <w:ind w:left="5040" w:hanging="360"/>
      </w:pPr>
    </w:lvl>
    <w:lvl w:ilvl="7" w:tplc="4E101B8A" w:tentative="1">
      <w:start w:val="1"/>
      <w:numFmt w:val="decimal"/>
      <w:lvlText w:val="%8."/>
      <w:lvlJc w:val="left"/>
      <w:pPr>
        <w:tabs>
          <w:tab w:val="num" w:pos="5760"/>
        </w:tabs>
        <w:ind w:left="5760" w:hanging="360"/>
      </w:pPr>
    </w:lvl>
    <w:lvl w:ilvl="8" w:tplc="0082BC90" w:tentative="1">
      <w:start w:val="1"/>
      <w:numFmt w:val="decimal"/>
      <w:lvlText w:val="%9."/>
      <w:lvlJc w:val="left"/>
      <w:pPr>
        <w:tabs>
          <w:tab w:val="num" w:pos="6480"/>
        </w:tabs>
        <w:ind w:left="6480" w:hanging="360"/>
      </w:pPr>
    </w:lvl>
  </w:abstractNum>
  <w:abstractNum w:abstractNumId="6" w15:restartNumberingAfterBreak="0">
    <w:nsid w:val="16503054"/>
    <w:multiLevelType w:val="hybridMultilevel"/>
    <w:tmpl w:val="73F05CA6"/>
    <w:lvl w:ilvl="0" w:tplc="B03C95EE">
      <w:start w:val="1"/>
      <w:numFmt w:val="bullet"/>
      <w:lvlText w:val="•"/>
      <w:lvlJc w:val="left"/>
      <w:pPr>
        <w:tabs>
          <w:tab w:val="num" w:pos="720"/>
        </w:tabs>
        <w:ind w:left="720" w:hanging="360"/>
      </w:pPr>
      <w:rPr>
        <w:rFonts w:ascii="Arial" w:hAnsi="Arial" w:hint="default"/>
      </w:rPr>
    </w:lvl>
    <w:lvl w:ilvl="1" w:tplc="39E0D9F0" w:tentative="1">
      <w:start w:val="1"/>
      <w:numFmt w:val="bullet"/>
      <w:lvlText w:val="•"/>
      <w:lvlJc w:val="left"/>
      <w:pPr>
        <w:tabs>
          <w:tab w:val="num" w:pos="1440"/>
        </w:tabs>
        <w:ind w:left="1440" w:hanging="360"/>
      </w:pPr>
      <w:rPr>
        <w:rFonts w:ascii="Arial" w:hAnsi="Arial" w:hint="default"/>
      </w:rPr>
    </w:lvl>
    <w:lvl w:ilvl="2" w:tplc="81B8EC14" w:tentative="1">
      <w:start w:val="1"/>
      <w:numFmt w:val="bullet"/>
      <w:lvlText w:val="•"/>
      <w:lvlJc w:val="left"/>
      <w:pPr>
        <w:tabs>
          <w:tab w:val="num" w:pos="2160"/>
        </w:tabs>
        <w:ind w:left="2160" w:hanging="360"/>
      </w:pPr>
      <w:rPr>
        <w:rFonts w:ascii="Arial" w:hAnsi="Arial" w:hint="default"/>
      </w:rPr>
    </w:lvl>
    <w:lvl w:ilvl="3" w:tplc="4D764040" w:tentative="1">
      <w:start w:val="1"/>
      <w:numFmt w:val="bullet"/>
      <w:lvlText w:val="•"/>
      <w:lvlJc w:val="left"/>
      <w:pPr>
        <w:tabs>
          <w:tab w:val="num" w:pos="2880"/>
        </w:tabs>
        <w:ind w:left="2880" w:hanging="360"/>
      </w:pPr>
      <w:rPr>
        <w:rFonts w:ascii="Arial" w:hAnsi="Arial" w:hint="default"/>
      </w:rPr>
    </w:lvl>
    <w:lvl w:ilvl="4" w:tplc="59AA21A2" w:tentative="1">
      <w:start w:val="1"/>
      <w:numFmt w:val="bullet"/>
      <w:lvlText w:val="•"/>
      <w:lvlJc w:val="left"/>
      <w:pPr>
        <w:tabs>
          <w:tab w:val="num" w:pos="3600"/>
        </w:tabs>
        <w:ind w:left="3600" w:hanging="360"/>
      </w:pPr>
      <w:rPr>
        <w:rFonts w:ascii="Arial" w:hAnsi="Arial" w:hint="default"/>
      </w:rPr>
    </w:lvl>
    <w:lvl w:ilvl="5" w:tplc="A58C71DA" w:tentative="1">
      <w:start w:val="1"/>
      <w:numFmt w:val="bullet"/>
      <w:lvlText w:val="•"/>
      <w:lvlJc w:val="left"/>
      <w:pPr>
        <w:tabs>
          <w:tab w:val="num" w:pos="4320"/>
        </w:tabs>
        <w:ind w:left="4320" w:hanging="360"/>
      </w:pPr>
      <w:rPr>
        <w:rFonts w:ascii="Arial" w:hAnsi="Arial" w:hint="default"/>
      </w:rPr>
    </w:lvl>
    <w:lvl w:ilvl="6" w:tplc="1F26502C" w:tentative="1">
      <w:start w:val="1"/>
      <w:numFmt w:val="bullet"/>
      <w:lvlText w:val="•"/>
      <w:lvlJc w:val="left"/>
      <w:pPr>
        <w:tabs>
          <w:tab w:val="num" w:pos="5040"/>
        </w:tabs>
        <w:ind w:left="5040" w:hanging="360"/>
      </w:pPr>
      <w:rPr>
        <w:rFonts w:ascii="Arial" w:hAnsi="Arial" w:hint="default"/>
      </w:rPr>
    </w:lvl>
    <w:lvl w:ilvl="7" w:tplc="17AEF65C" w:tentative="1">
      <w:start w:val="1"/>
      <w:numFmt w:val="bullet"/>
      <w:lvlText w:val="•"/>
      <w:lvlJc w:val="left"/>
      <w:pPr>
        <w:tabs>
          <w:tab w:val="num" w:pos="5760"/>
        </w:tabs>
        <w:ind w:left="5760" w:hanging="360"/>
      </w:pPr>
      <w:rPr>
        <w:rFonts w:ascii="Arial" w:hAnsi="Arial" w:hint="default"/>
      </w:rPr>
    </w:lvl>
    <w:lvl w:ilvl="8" w:tplc="B2444E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EA7241"/>
    <w:multiLevelType w:val="hybridMultilevel"/>
    <w:tmpl w:val="CCEE81AA"/>
    <w:lvl w:ilvl="0" w:tplc="FFB45886">
      <w:start w:val="1"/>
      <w:numFmt w:val="bullet"/>
      <w:lvlText w:val="•"/>
      <w:lvlJc w:val="left"/>
      <w:pPr>
        <w:tabs>
          <w:tab w:val="num" w:pos="720"/>
        </w:tabs>
        <w:ind w:left="720" w:hanging="360"/>
      </w:pPr>
      <w:rPr>
        <w:rFonts w:ascii="Arial" w:hAnsi="Arial" w:hint="default"/>
      </w:rPr>
    </w:lvl>
    <w:lvl w:ilvl="1" w:tplc="702A647E">
      <w:start w:val="1"/>
      <w:numFmt w:val="bullet"/>
      <w:lvlText w:val="•"/>
      <w:lvlJc w:val="left"/>
      <w:pPr>
        <w:tabs>
          <w:tab w:val="num" w:pos="1440"/>
        </w:tabs>
        <w:ind w:left="1440" w:hanging="360"/>
      </w:pPr>
      <w:rPr>
        <w:rFonts w:ascii="Arial" w:hAnsi="Arial" w:hint="default"/>
      </w:rPr>
    </w:lvl>
    <w:lvl w:ilvl="2" w:tplc="B15C88C6">
      <w:start w:val="206"/>
      <w:numFmt w:val="bullet"/>
      <w:lvlText w:val="•"/>
      <w:lvlJc w:val="left"/>
      <w:pPr>
        <w:tabs>
          <w:tab w:val="num" w:pos="2160"/>
        </w:tabs>
        <w:ind w:left="2160" w:hanging="360"/>
      </w:pPr>
      <w:rPr>
        <w:rFonts w:ascii="Arial" w:hAnsi="Arial" w:hint="default"/>
      </w:rPr>
    </w:lvl>
    <w:lvl w:ilvl="3" w:tplc="83F6D554" w:tentative="1">
      <w:start w:val="1"/>
      <w:numFmt w:val="bullet"/>
      <w:lvlText w:val="•"/>
      <w:lvlJc w:val="left"/>
      <w:pPr>
        <w:tabs>
          <w:tab w:val="num" w:pos="2880"/>
        </w:tabs>
        <w:ind w:left="2880" w:hanging="360"/>
      </w:pPr>
      <w:rPr>
        <w:rFonts w:ascii="Arial" w:hAnsi="Arial" w:hint="default"/>
      </w:rPr>
    </w:lvl>
    <w:lvl w:ilvl="4" w:tplc="ABB0F596" w:tentative="1">
      <w:start w:val="1"/>
      <w:numFmt w:val="bullet"/>
      <w:lvlText w:val="•"/>
      <w:lvlJc w:val="left"/>
      <w:pPr>
        <w:tabs>
          <w:tab w:val="num" w:pos="3600"/>
        </w:tabs>
        <w:ind w:left="3600" w:hanging="360"/>
      </w:pPr>
      <w:rPr>
        <w:rFonts w:ascii="Arial" w:hAnsi="Arial" w:hint="default"/>
      </w:rPr>
    </w:lvl>
    <w:lvl w:ilvl="5" w:tplc="39B67E20" w:tentative="1">
      <w:start w:val="1"/>
      <w:numFmt w:val="bullet"/>
      <w:lvlText w:val="•"/>
      <w:lvlJc w:val="left"/>
      <w:pPr>
        <w:tabs>
          <w:tab w:val="num" w:pos="4320"/>
        </w:tabs>
        <w:ind w:left="4320" w:hanging="360"/>
      </w:pPr>
      <w:rPr>
        <w:rFonts w:ascii="Arial" w:hAnsi="Arial" w:hint="default"/>
      </w:rPr>
    </w:lvl>
    <w:lvl w:ilvl="6" w:tplc="F7087874" w:tentative="1">
      <w:start w:val="1"/>
      <w:numFmt w:val="bullet"/>
      <w:lvlText w:val="•"/>
      <w:lvlJc w:val="left"/>
      <w:pPr>
        <w:tabs>
          <w:tab w:val="num" w:pos="5040"/>
        </w:tabs>
        <w:ind w:left="5040" w:hanging="360"/>
      </w:pPr>
      <w:rPr>
        <w:rFonts w:ascii="Arial" w:hAnsi="Arial" w:hint="default"/>
      </w:rPr>
    </w:lvl>
    <w:lvl w:ilvl="7" w:tplc="64E8A638" w:tentative="1">
      <w:start w:val="1"/>
      <w:numFmt w:val="bullet"/>
      <w:lvlText w:val="•"/>
      <w:lvlJc w:val="left"/>
      <w:pPr>
        <w:tabs>
          <w:tab w:val="num" w:pos="5760"/>
        </w:tabs>
        <w:ind w:left="5760" w:hanging="360"/>
      </w:pPr>
      <w:rPr>
        <w:rFonts w:ascii="Arial" w:hAnsi="Arial" w:hint="default"/>
      </w:rPr>
    </w:lvl>
    <w:lvl w:ilvl="8" w:tplc="44B2AD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3755A2"/>
    <w:multiLevelType w:val="hybridMultilevel"/>
    <w:tmpl w:val="CCF08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E710FF"/>
    <w:multiLevelType w:val="hybridMultilevel"/>
    <w:tmpl w:val="6F5211AC"/>
    <w:lvl w:ilvl="0" w:tplc="309E786C">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2C6BF6"/>
    <w:multiLevelType w:val="hybridMultilevel"/>
    <w:tmpl w:val="56FA14D2"/>
    <w:lvl w:ilvl="0" w:tplc="3FAE77F8">
      <w:numFmt w:val="bullet"/>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F177B8"/>
    <w:multiLevelType w:val="hybridMultilevel"/>
    <w:tmpl w:val="545A7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6080896"/>
    <w:multiLevelType w:val="hybridMultilevel"/>
    <w:tmpl w:val="17CC54DE"/>
    <w:lvl w:ilvl="0" w:tplc="2BDCED60">
      <w:start w:val="1"/>
      <w:numFmt w:val="bullet"/>
      <w:lvlText w:val="•"/>
      <w:lvlJc w:val="left"/>
      <w:pPr>
        <w:tabs>
          <w:tab w:val="num" w:pos="720"/>
        </w:tabs>
        <w:ind w:left="720" w:hanging="360"/>
      </w:pPr>
      <w:rPr>
        <w:rFonts w:ascii="Arial" w:hAnsi="Arial" w:hint="default"/>
      </w:rPr>
    </w:lvl>
    <w:lvl w:ilvl="1" w:tplc="40E63E4A" w:tentative="1">
      <w:start w:val="1"/>
      <w:numFmt w:val="bullet"/>
      <w:lvlText w:val="•"/>
      <w:lvlJc w:val="left"/>
      <w:pPr>
        <w:tabs>
          <w:tab w:val="num" w:pos="1440"/>
        </w:tabs>
        <w:ind w:left="1440" w:hanging="360"/>
      </w:pPr>
      <w:rPr>
        <w:rFonts w:ascii="Arial" w:hAnsi="Arial" w:hint="default"/>
      </w:rPr>
    </w:lvl>
    <w:lvl w:ilvl="2" w:tplc="24C857DC" w:tentative="1">
      <w:start w:val="1"/>
      <w:numFmt w:val="bullet"/>
      <w:lvlText w:val="•"/>
      <w:lvlJc w:val="left"/>
      <w:pPr>
        <w:tabs>
          <w:tab w:val="num" w:pos="2160"/>
        </w:tabs>
        <w:ind w:left="2160" w:hanging="360"/>
      </w:pPr>
      <w:rPr>
        <w:rFonts w:ascii="Arial" w:hAnsi="Arial" w:hint="default"/>
      </w:rPr>
    </w:lvl>
    <w:lvl w:ilvl="3" w:tplc="1CCE929E" w:tentative="1">
      <w:start w:val="1"/>
      <w:numFmt w:val="bullet"/>
      <w:lvlText w:val="•"/>
      <w:lvlJc w:val="left"/>
      <w:pPr>
        <w:tabs>
          <w:tab w:val="num" w:pos="2880"/>
        </w:tabs>
        <w:ind w:left="2880" w:hanging="360"/>
      </w:pPr>
      <w:rPr>
        <w:rFonts w:ascii="Arial" w:hAnsi="Arial" w:hint="default"/>
      </w:rPr>
    </w:lvl>
    <w:lvl w:ilvl="4" w:tplc="4018332A" w:tentative="1">
      <w:start w:val="1"/>
      <w:numFmt w:val="bullet"/>
      <w:lvlText w:val="•"/>
      <w:lvlJc w:val="left"/>
      <w:pPr>
        <w:tabs>
          <w:tab w:val="num" w:pos="3600"/>
        </w:tabs>
        <w:ind w:left="3600" w:hanging="360"/>
      </w:pPr>
      <w:rPr>
        <w:rFonts w:ascii="Arial" w:hAnsi="Arial" w:hint="default"/>
      </w:rPr>
    </w:lvl>
    <w:lvl w:ilvl="5" w:tplc="643E1EB4" w:tentative="1">
      <w:start w:val="1"/>
      <w:numFmt w:val="bullet"/>
      <w:lvlText w:val="•"/>
      <w:lvlJc w:val="left"/>
      <w:pPr>
        <w:tabs>
          <w:tab w:val="num" w:pos="4320"/>
        </w:tabs>
        <w:ind w:left="4320" w:hanging="360"/>
      </w:pPr>
      <w:rPr>
        <w:rFonts w:ascii="Arial" w:hAnsi="Arial" w:hint="default"/>
      </w:rPr>
    </w:lvl>
    <w:lvl w:ilvl="6" w:tplc="59CE9EC0" w:tentative="1">
      <w:start w:val="1"/>
      <w:numFmt w:val="bullet"/>
      <w:lvlText w:val="•"/>
      <w:lvlJc w:val="left"/>
      <w:pPr>
        <w:tabs>
          <w:tab w:val="num" w:pos="5040"/>
        </w:tabs>
        <w:ind w:left="5040" w:hanging="360"/>
      </w:pPr>
      <w:rPr>
        <w:rFonts w:ascii="Arial" w:hAnsi="Arial" w:hint="default"/>
      </w:rPr>
    </w:lvl>
    <w:lvl w:ilvl="7" w:tplc="D0D408C6" w:tentative="1">
      <w:start w:val="1"/>
      <w:numFmt w:val="bullet"/>
      <w:lvlText w:val="•"/>
      <w:lvlJc w:val="left"/>
      <w:pPr>
        <w:tabs>
          <w:tab w:val="num" w:pos="5760"/>
        </w:tabs>
        <w:ind w:left="5760" w:hanging="360"/>
      </w:pPr>
      <w:rPr>
        <w:rFonts w:ascii="Arial" w:hAnsi="Arial" w:hint="default"/>
      </w:rPr>
    </w:lvl>
    <w:lvl w:ilvl="8" w:tplc="0EE6CF8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B01569D"/>
    <w:multiLevelType w:val="hybridMultilevel"/>
    <w:tmpl w:val="04B4CEAE"/>
    <w:lvl w:ilvl="0" w:tplc="5F6631A6">
      <w:start w:val="1"/>
      <w:numFmt w:val="bullet"/>
      <w:lvlText w:val="•"/>
      <w:lvlJc w:val="left"/>
      <w:pPr>
        <w:tabs>
          <w:tab w:val="num" w:pos="720"/>
        </w:tabs>
        <w:ind w:left="720" w:hanging="360"/>
      </w:pPr>
      <w:rPr>
        <w:rFonts w:ascii="Arial" w:hAnsi="Arial" w:hint="default"/>
      </w:rPr>
    </w:lvl>
    <w:lvl w:ilvl="1" w:tplc="16CA8D26">
      <w:start w:val="1"/>
      <w:numFmt w:val="bullet"/>
      <w:lvlText w:val="•"/>
      <w:lvlJc w:val="left"/>
      <w:pPr>
        <w:tabs>
          <w:tab w:val="num" w:pos="1440"/>
        </w:tabs>
        <w:ind w:left="1440" w:hanging="360"/>
      </w:pPr>
      <w:rPr>
        <w:rFonts w:ascii="Arial" w:hAnsi="Arial" w:hint="default"/>
      </w:rPr>
    </w:lvl>
    <w:lvl w:ilvl="2" w:tplc="97C048B4" w:tentative="1">
      <w:start w:val="1"/>
      <w:numFmt w:val="bullet"/>
      <w:lvlText w:val="•"/>
      <w:lvlJc w:val="left"/>
      <w:pPr>
        <w:tabs>
          <w:tab w:val="num" w:pos="2160"/>
        </w:tabs>
        <w:ind w:left="2160" w:hanging="360"/>
      </w:pPr>
      <w:rPr>
        <w:rFonts w:ascii="Arial" w:hAnsi="Arial" w:hint="default"/>
      </w:rPr>
    </w:lvl>
    <w:lvl w:ilvl="3" w:tplc="B462A72C" w:tentative="1">
      <w:start w:val="1"/>
      <w:numFmt w:val="bullet"/>
      <w:lvlText w:val="•"/>
      <w:lvlJc w:val="left"/>
      <w:pPr>
        <w:tabs>
          <w:tab w:val="num" w:pos="2880"/>
        </w:tabs>
        <w:ind w:left="2880" w:hanging="360"/>
      </w:pPr>
      <w:rPr>
        <w:rFonts w:ascii="Arial" w:hAnsi="Arial" w:hint="default"/>
      </w:rPr>
    </w:lvl>
    <w:lvl w:ilvl="4" w:tplc="D34A4C42" w:tentative="1">
      <w:start w:val="1"/>
      <w:numFmt w:val="bullet"/>
      <w:lvlText w:val="•"/>
      <w:lvlJc w:val="left"/>
      <w:pPr>
        <w:tabs>
          <w:tab w:val="num" w:pos="3600"/>
        </w:tabs>
        <w:ind w:left="3600" w:hanging="360"/>
      </w:pPr>
      <w:rPr>
        <w:rFonts w:ascii="Arial" w:hAnsi="Arial" w:hint="default"/>
      </w:rPr>
    </w:lvl>
    <w:lvl w:ilvl="5" w:tplc="F24E38EA" w:tentative="1">
      <w:start w:val="1"/>
      <w:numFmt w:val="bullet"/>
      <w:lvlText w:val="•"/>
      <w:lvlJc w:val="left"/>
      <w:pPr>
        <w:tabs>
          <w:tab w:val="num" w:pos="4320"/>
        </w:tabs>
        <w:ind w:left="4320" w:hanging="360"/>
      </w:pPr>
      <w:rPr>
        <w:rFonts w:ascii="Arial" w:hAnsi="Arial" w:hint="default"/>
      </w:rPr>
    </w:lvl>
    <w:lvl w:ilvl="6" w:tplc="DD9AFA5A" w:tentative="1">
      <w:start w:val="1"/>
      <w:numFmt w:val="bullet"/>
      <w:lvlText w:val="•"/>
      <w:lvlJc w:val="left"/>
      <w:pPr>
        <w:tabs>
          <w:tab w:val="num" w:pos="5040"/>
        </w:tabs>
        <w:ind w:left="5040" w:hanging="360"/>
      </w:pPr>
      <w:rPr>
        <w:rFonts w:ascii="Arial" w:hAnsi="Arial" w:hint="default"/>
      </w:rPr>
    </w:lvl>
    <w:lvl w:ilvl="7" w:tplc="D586257A" w:tentative="1">
      <w:start w:val="1"/>
      <w:numFmt w:val="bullet"/>
      <w:lvlText w:val="•"/>
      <w:lvlJc w:val="left"/>
      <w:pPr>
        <w:tabs>
          <w:tab w:val="num" w:pos="5760"/>
        </w:tabs>
        <w:ind w:left="5760" w:hanging="360"/>
      </w:pPr>
      <w:rPr>
        <w:rFonts w:ascii="Arial" w:hAnsi="Arial" w:hint="default"/>
      </w:rPr>
    </w:lvl>
    <w:lvl w:ilvl="8" w:tplc="22823C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A4068C"/>
    <w:multiLevelType w:val="hybridMultilevel"/>
    <w:tmpl w:val="A9CA1D64"/>
    <w:lvl w:ilvl="0" w:tplc="EA9CFDCC">
      <w:start w:val="1"/>
      <w:numFmt w:val="bullet"/>
      <w:lvlText w:val="•"/>
      <w:lvlJc w:val="left"/>
      <w:pPr>
        <w:tabs>
          <w:tab w:val="num" w:pos="720"/>
        </w:tabs>
        <w:ind w:left="720" w:hanging="360"/>
      </w:pPr>
      <w:rPr>
        <w:rFonts w:ascii="Arial" w:hAnsi="Arial" w:hint="default"/>
      </w:rPr>
    </w:lvl>
    <w:lvl w:ilvl="1" w:tplc="3BA48790" w:tentative="1">
      <w:start w:val="1"/>
      <w:numFmt w:val="bullet"/>
      <w:lvlText w:val="•"/>
      <w:lvlJc w:val="left"/>
      <w:pPr>
        <w:tabs>
          <w:tab w:val="num" w:pos="1440"/>
        </w:tabs>
        <w:ind w:left="1440" w:hanging="360"/>
      </w:pPr>
      <w:rPr>
        <w:rFonts w:ascii="Arial" w:hAnsi="Arial" w:hint="default"/>
      </w:rPr>
    </w:lvl>
    <w:lvl w:ilvl="2" w:tplc="42EE15FA" w:tentative="1">
      <w:start w:val="1"/>
      <w:numFmt w:val="bullet"/>
      <w:lvlText w:val="•"/>
      <w:lvlJc w:val="left"/>
      <w:pPr>
        <w:tabs>
          <w:tab w:val="num" w:pos="2160"/>
        </w:tabs>
        <w:ind w:left="2160" w:hanging="360"/>
      </w:pPr>
      <w:rPr>
        <w:rFonts w:ascii="Arial" w:hAnsi="Arial" w:hint="default"/>
      </w:rPr>
    </w:lvl>
    <w:lvl w:ilvl="3" w:tplc="92E24D8C" w:tentative="1">
      <w:start w:val="1"/>
      <w:numFmt w:val="bullet"/>
      <w:lvlText w:val="•"/>
      <w:lvlJc w:val="left"/>
      <w:pPr>
        <w:tabs>
          <w:tab w:val="num" w:pos="2880"/>
        </w:tabs>
        <w:ind w:left="2880" w:hanging="360"/>
      </w:pPr>
      <w:rPr>
        <w:rFonts w:ascii="Arial" w:hAnsi="Arial" w:hint="default"/>
      </w:rPr>
    </w:lvl>
    <w:lvl w:ilvl="4" w:tplc="551691F8" w:tentative="1">
      <w:start w:val="1"/>
      <w:numFmt w:val="bullet"/>
      <w:lvlText w:val="•"/>
      <w:lvlJc w:val="left"/>
      <w:pPr>
        <w:tabs>
          <w:tab w:val="num" w:pos="3600"/>
        </w:tabs>
        <w:ind w:left="3600" w:hanging="360"/>
      </w:pPr>
      <w:rPr>
        <w:rFonts w:ascii="Arial" w:hAnsi="Arial" w:hint="default"/>
      </w:rPr>
    </w:lvl>
    <w:lvl w:ilvl="5" w:tplc="686C6DAE" w:tentative="1">
      <w:start w:val="1"/>
      <w:numFmt w:val="bullet"/>
      <w:lvlText w:val="•"/>
      <w:lvlJc w:val="left"/>
      <w:pPr>
        <w:tabs>
          <w:tab w:val="num" w:pos="4320"/>
        </w:tabs>
        <w:ind w:left="4320" w:hanging="360"/>
      </w:pPr>
      <w:rPr>
        <w:rFonts w:ascii="Arial" w:hAnsi="Arial" w:hint="default"/>
      </w:rPr>
    </w:lvl>
    <w:lvl w:ilvl="6" w:tplc="0FD0EB0C" w:tentative="1">
      <w:start w:val="1"/>
      <w:numFmt w:val="bullet"/>
      <w:lvlText w:val="•"/>
      <w:lvlJc w:val="left"/>
      <w:pPr>
        <w:tabs>
          <w:tab w:val="num" w:pos="5040"/>
        </w:tabs>
        <w:ind w:left="5040" w:hanging="360"/>
      </w:pPr>
      <w:rPr>
        <w:rFonts w:ascii="Arial" w:hAnsi="Arial" w:hint="default"/>
      </w:rPr>
    </w:lvl>
    <w:lvl w:ilvl="7" w:tplc="D7686BD4" w:tentative="1">
      <w:start w:val="1"/>
      <w:numFmt w:val="bullet"/>
      <w:lvlText w:val="•"/>
      <w:lvlJc w:val="left"/>
      <w:pPr>
        <w:tabs>
          <w:tab w:val="num" w:pos="5760"/>
        </w:tabs>
        <w:ind w:left="5760" w:hanging="360"/>
      </w:pPr>
      <w:rPr>
        <w:rFonts w:ascii="Arial" w:hAnsi="Arial" w:hint="default"/>
      </w:rPr>
    </w:lvl>
    <w:lvl w:ilvl="8" w:tplc="0BAAE75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E8228C"/>
    <w:multiLevelType w:val="hybridMultilevel"/>
    <w:tmpl w:val="0A12D7F2"/>
    <w:lvl w:ilvl="0" w:tplc="20560674">
      <w:start w:val="1"/>
      <w:numFmt w:val="bullet"/>
      <w:lvlText w:val="•"/>
      <w:lvlJc w:val="left"/>
      <w:pPr>
        <w:tabs>
          <w:tab w:val="num" w:pos="720"/>
        </w:tabs>
        <w:ind w:left="720" w:hanging="360"/>
      </w:pPr>
      <w:rPr>
        <w:rFonts w:ascii="Arial" w:hAnsi="Arial" w:hint="default"/>
      </w:rPr>
    </w:lvl>
    <w:lvl w:ilvl="1" w:tplc="CC48618C">
      <w:start w:val="152"/>
      <w:numFmt w:val="bullet"/>
      <w:lvlText w:val="•"/>
      <w:lvlJc w:val="left"/>
      <w:pPr>
        <w:tabs>
          <w:tab w:val="num" w:pos="1440"/>
        </w:tabs>
        <w:ind w:left="1440" w:hanging="360"/>
      </w:pPr>
      <w:rPr>
        <w:rFonts w:ascii="Arial" w:hAnsi="Arial" w:hint="default"/>
      </w:rPr>
    </w:lvl>
    <w:lvl w:ilvl="2" w:tplc="9326897E">
      <w:start w:val="152"/>
      <w:numFmt w:val="bullet"/>
      <w:lvlText w:val="•"/>
      <w:lvlJc w:val="left"/>
      <w:pPr>
        <w:tabs>
          <w:tab w:val="num" w:pos="2160"/>
        </w:tabs>
        <w:ind w:left="2160" w:hanging="360"/>
      </w:pPr>
      <w:rPr>
        <w:rFonts w:ascii="Arial" w:hAnsi="Arial" w:hint="default"/>
      </w:rPr>
    </w:lvl>
    <w:lvl w:ilvl="3" w:tplc="07A0BE14" w:tentative="1">
      <w:start w:val="1"/>
      <w:numFmt w:val="bullet"/>
      <w:lvlText w:val="•"/>
      <w:lvlJc w:val="left"/>
      <w:pPr>
        <w:tabs>
          <w:tab w:val="num" w:pos="2880"/>
        </w:tabs>
        <w:ind w:left="2880" w:hanging="360"/>
      </w:pPr>
      <w:rPr>
        <w:rFonts w:ascii="Arial" w:hAnsi="Arial" w:hint="default"/>
      </w:rPr>
    </w:lvl>
    <w:lvl w:ilvl="4" w:tplc="BA1E9F14" w:tentative="1">
      <w:start w:val="1"/>
      <w:numFmt w:val="bullet"/>
      <w:lvlText w:val="•"/>
      <w:lvlJc w:val="left"/>
      <w:pPr>
        <w:tabs>
          <w:tab w:val="num" w:pos="3600"/>
        </w:tabs>
        <w:ind w:left="3600" w:hanging="360"/>
      </w:pPr>
      <w:rPr>
        <w:rFonts w:ascii="Arial" w:hAnsi="Arial" w:hint="default"/>
      </w:rPr>
    </w:lvl>
    <w:lvl w:ilvl="5" w:tplc="71D6ABD8" w:tentative="1">
      <w:start w:val="1"/>
      <w:numFmt w:val="bullet"/>
      <w:lvlText w:val="•"/>
      <w:lvlJc w:val="left"/>
      <w:pPr>
        <w:tabs>
          <w:tab w:val="num" w:pos="4320"/>
        </w:tabs>
        <w:ind w:left="4320" w:hanging="360"/>
      </w:pPr>
      <w:rPr>
        <w:rFonts w:ascii="Arial" w:hAnsi="Arial" w:hint="default"/>
      </w:rPr>
    </w:lvl>
    <w:lvl w:ilvl="6" w:tplc="0A4C7D26" w:tentative="1">
      <w:start w:val="1"/>
      <w:numFmt w:val="bullet"/>
      <w:lvlText w:val="•"/>
      <w:lvlJc w:val="left"/>
      <w:pPr>
        <w:tabs>
          <w:tab w:val="num" w:pos="5040"/>
        </w:tabs>
        <w:ind w:left="5040" w:hanging="360"/>
      </w:pPr>
      <w:rPr>
        <w:rFonts w:ascii="Arial" w:hAnsi="Arial" w:hint="default"/>
      </w:rPr>
    </w:lvl>
    <w:lvl w:ilvl="7" w:tplc="936623EE" w:tentative="1">
      <w:start w:val="1"/>
      <w:numFmt w:val="bullet"/>
      <w:lvlText w:val="•"/>
      <w:lvlJc w:val="left"/>
      <w:pPr>
        <w:tabs>
          <w:tab w:val="num" w:pos="5760"/>
        </w:tabs>
        <w:ind w:left="5760" w:hanging="360"/>
      </w:pPr>
      <w:rPr>
        <w:rFonts w:ascii="Arial" w:hAnsi="Arial" w:hint="default"/>
      </w:rPr>
    </w:lvl>
    <w:lvl w:ilvl="8" w:tplc="E6587B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4B5C6C"/>
    <w:multiLevelType w:val="hybridMultilevel"/>
    <w:tmpl w:val="DCD6B232"/>
    <w:lvl w:ilvl="0" w:tplc="9EEA177A">
      <w:start w:val="1"/>
      <w:numFmt w:val="bullet"/>
      <w:lvlText w:val="•"/>
      <w:lvlJc w:val="left"/>
      <w:pPr>
        <w:tabs>
          <w:tab w:val="num" w:pos="720"/>
        </w:tabs>
        <w:ind w:left="720" w:hanging="360"/>
      </w:pPr>
      <w:rPr>
        <w:rFonts w:ascii="Arial" w:hAnsi="Arial" w:hint="default"/>
      </w:rPr>
    </w:lvl>
    <w:lvl w:ilvl="1" w:tplc="1B4EE1E4" w:tentative="1">
      <w:start w:val="1"/>
      <w:numFmt w:val="bullet"/>
      <w:lvlText w:val="•"/>
      <w:lvlJc w:val="left"/>
      <w:pPr>
        <w:tabs>
          <w:tab w:val="num" w:pos="1440"/>
        </w:tabs>
        <w:ind w:left="1440" w:hanging="360"/>
      </w:pPr>
      <w:rPr>
        <w:rFonts w:ascii="Arial" w:hAnsi="Arial" w:hint="default"/>
      </w:rPr>
    </w:lvl>
    <w:lvl w:ilvl="2" w:tplc="8138CB22" w:tentative="1">
      <w:start w:val="1"/>
      <w:numFmt w:val="bullet"/>
      <w:lvlText w:val="•"/>
      <w:lvlJc w:val="left"/>
      <w:pPr>
        <w:tabs>
          <w:tab w:val="num" w:pos="2160"/>
        </w:tabs>
        <w:ind w:left="2160" w:hanging="360"/>
      </w:pPr>
      <w:rPr>
        <w:rFonts w:ascii="Arial" w:hAnsi="Arial" w:hint="default"/>
      </w:rPr>
    </w:lvl>
    <w:lvl w:ilvl="3" w:tplc="4B4ABAC6" w:tentative="1">
      <w:start w:val="1"/>
      <w:numFmt w:val="bullet"/>
      <w:lvlText w:val="•"/>
      <w:lvlJc w:val="left"/>
      <w:pPr>
        <w:tabs>
          <w:tab w:val="num" w:pos="2880"/>
        </w:tabs>
        <w:ind w:left="2880" w:hanging="360"/>
      </w:pPr>
      <w:rPr>
        <w:rFonts w:ascii="Arial" w:hAnsi="Arial" w:hint="default"/>
      </w:rPr>
    </w:lvl>
    <w:lvl w:ilvl="4" w:tplc="CEBA6564" w:tentative="1">
      <w:start w:val="1"/>
      <w:numFmt w:val="bullet"/>
      <w:lvlText w:val="•"/>
      <w:lvlJc w:val="left"/>
      <w:pPr>
        <w:tabs>
          <w:tab w:val="num" w:pos="3600"/>
        </w:tabs>
        <w:ind w:left="3600" w:hanging="360"/>
      </w:pPr>
      <w:rPr>
        <w:rFonts w:ascii="Arial" w:hAnsi="Arial" w:hint="default"/>
      </w:rPr>
    </w:lvl>
    <w:lvl w:ilvl="5" w:tplc="03A8AA86" w:tentative="1">
      <w:start w:val="1"/>
      <w:numFmt w:val="bullet"/>
      <w:lvlText w:val="•"/>
      <w:lvlJc w:val="left"/>
      <w:pPr>
        <w:tabs>
          <w:tab w:val="num" w:pos="4320"/>
        </w:tabs>
        <w:ind w:left="4320" w:hanging="360"/>
      </w:pPr>
      <w:rPr>
        <w:rFonts w:ascii="Arial" w:hAnsi="Arial" w:hint="default"/>
      </w:rPr>
    </w:lvl>
    <w:lvl w:ilvl="6" w:tplc="666CD5A0" w:tentative="1">
      <w:start w:val="1"/>
      <w:numFmt w:val="bullet"/>
      <w:lvlText w:val="•"/>
      <w:lvlJc w:val="left"/>
      <w:pPr>
        <w:tabs>
          <w:tab w:val="num" w:pos="5040"/>
        </w:tabs>
        <w:ind w:left="5040" w:hanging="360"/>
      </w:pPr>
      <w:rPr>
        <w:rFonts w:ascii="Arial" w:hAnsi="Arial" w:hint="default"/>
      </w:rPr>
    </w:lvl>
    <w:lvl w:ilvl="7" w:tplc="07DCBE8C" w:tentative="1">
      <w:start w:val="1"/>
      <w:numFmt w:val="bullet"/>
      <w:lvlText w:val="•"/>
      <w:lvlJc w:val="left"/>
      <w:pPr>
        <w:tabs>
          <w:tab w:val="num" w:pos="5760"/>
        </w:tabs>
        <w:ind w:left="5760" w:hanging="360"/>
      </w:pPr>
      <w:rPr>
        <w:rFonts w:ascii="Arial" w:hAnsi="Arial" w:hint="default"/>
      </w:rPr>
    </w:lvl>
    <w:lvl w:ilvl="8" w:tplc="96DA933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443FD2"/>
    <w:multiLevelType w:val="hybridMultilevel"/>
    <w:tmpl w:val="40F67FD0"/>
    <w:lvl w:ilvl="0" w:tplc="F41C7454">
      <w:start w:val="1"/>
      <w:numFmt w:val="decimal"/>
      <w:lvlText w:val="%1."/>
      <w:lvlJc w:val="left"/>
      <w:pPr>
        <w:tabs>
          <w:tab w:val="num" w:pos="720"/>
        </w:tabs>
        <w:ind w:left="720" w:hanging="360"/>
      </w:pPr>
    </w:lvl>
    <w:lvl w:ilvl="1" w:tplc="1CA43636" w:tentative="1">
      <w:start w:val="1"/>
      <w:numFmt w:val="decimal"/>
      <w:lvlText w:val="%2."/>
      <w:lvlJc w:val="left"/>
      <w:pPr>
        <w:tabs>
          <w:tab w:val="num" w:pos="1440"/>
        </w:tabs>
        <w:ind w:left="1440" w:hanging="360"/>
      </w:pPr>
    </w:lvl>
    <w:lvl w:ilvl="2" w:tplc="0C84A8F8" w:tentative="1">
      <w:start w:val="1"/>
      <w:numFmt w:val="decimal"/>
      <w:lvlText w:val="%3."/>
      <w:lvlJc w:val="left"/>
      <w:pPr>
        <w:tabs>
          <w:tab w:val="num" w:pos="2160"/>
        </w:tabs>
        <w:ind w:left="2160" w:hanging="360"/>
      </w:pPr>
    </w:lvl>
    <w:lvl w:ilvl="3" w:tplc="BD4A4624" w:tentative="1">
      <w:start w:val="1"/>
      <w:numFmt w:val="decimal"/>
      <w:lvlText w:val="%4."/>
      <w:lvlJc w:val="left"/>
      <w:pPr>
        <w:tabs>
          <w:tab w:val="num" w:pos="2880"/>
        </w:tabs>
        <w:ind w:left="2880" w:hanging="360"/>
      </w:pPr>
    </w:lvl>
    <w:lvl w:ilvl="4" w:tplc="57548F58" w:tentative="1">
      <w:start w:val="1"/>
      <w:numFmt w:val="decimal"/>
      <w:lvlText w:val="%5."/>
      <w:lvlJc w:val="left"/>
      <w:pPr>
        <w:tabs>
          <w:tab w:val="num" w:pos="3600"/>
        </w:tabs>
        <w:ind w:left="3600" w:hanging="360"/>
      </w:pPr>
    </w:lvl>
    <w:lvl w:ilvl="5" w:tplc="AC886D94" w:tentative="1">
      <w:start w:val="1"/>
      <w:numFmt w:val="decimal"/>
      <w:lvlText w:val="%6."/>
      <w:lvlJc w:val="left"/>
      <w:pPr>
        <w:tabs>
          <w:tab w:val="num" w:pos="4320"/>
        </w:tabs>
        <w:ind w:left="4320" w:hanging="360"/>
      </w:pPr>
    </w:lvl>
    <w:lvl w:ilvl="6" w:tplc="4BC8A46C" w:tentative="1">
      <w:start w:val="1"/>
      <w:numFmt w:val="decimal"/>
      <w:lvlText w:val="%7."/>
      <w:lvlJc w:val="left"/>
      <w:pPr>
        <w:tabs>
          <w:tab w:val="num" w:pos="5040"/>
        </w:tabs>
        <w:ind w:left="5040" w:hanging="360"/>
      </w:pPr>
    </w:lvl>
    <w:lvl w:ilvl="7" w:tplc="4E101B8A" w:tentative="1">
      <w:start w:val="1"/>
      <w:numFmt w:val="decimal"/>
      <w:lvlText w:val="%8."/>
      <w:lvlJc w:val="left"/>
      <w:pPr>
        <w:tabs>
          <w:tab w:val="num" w:pos="5760"/>
        </w:tabs>
        <w:ind w:left="5760" w:hanging="360"/>
      </w:pPr>
    </w:lvl>
    <w:lvl w:ilvl="8" w:tplc="0082BC90" w:tentative="1">
      <w:start w:val="1"/>
      <w:numFmt w:val="decimal"/>
      <w:lvlText w:val="%9."/>
      <w:lvlJc w:val="left"/>
      <w:pPr>
        <w:tabs>
          <w:tab w:val="num" w:pos="6480"/>
        </w:tabs>
        <w:ind w:left="6480" w:hanging="360"/>
      </w:pPr>
    </w:lvl>
  </w:abstractNum>
  <w:abstractNum w:abstractNumId="18" w15:restartNumberingAfterBreak="0">
    <w:nsid w:val="4C5B7712"/>
    <w:multiLevelType w:val="hybridMultilevel"/>
    <w:tmpl w:val="369A21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BF4BC2"/>
    <w:multiLevelType w:val="hybridMultilevel"/>
    <w:tmpl w:val="06F2EA6A"/>
    <w:lvl w:ilvl="0" w:tplc="8D80DA84">
      <w:start w:val="1"/>
      <w:numFmt w:val="bullet"/>
      <w:lvlText w:val="•"/>
      <w:lvlJc w:val="left"/>
      <w:pPr>
        <w:tabs>
          <w:tab w:val="num" w:pos="720"/>
        </w:tabs>
        <w:ind w:left="720" w:hanging="360"/>
      </w:pPr>
      <w:rPr>
        <w:rFonts w:ascii="Arial" w:hAnsi="Arial" w:hint="default"/>
      </w:rPr>
    </w:lvl>
    <w:lvl w:ilvl="1" w:tplc="99FE3328" w:tentative="1">
      <w:start w:val="1"/>
      <w:numFmt w:val="bullet"/>
      <w:lvlText w:val="•"/>
      <w:lvlJc w:val="left"/>
      <w:pPr>
        <w:tabs>
          <w:tab w:val="num" w:pos="1440"/>
        </w:tabs>
        <w:ind w:left="1440" w:hanging="360"/>
      </w:pPr>
      <w:rPr>
        <w:rFonts w:ascii="Arial" w:hAnsi="Arial" w:hint="default"/>
      </w:rPr>
    </w:lvl>
    <w:lvl w:ilvl="2" w:tplc="D0222110" w:tentative="1">
      <w:start w:val="1"/>
      <w:numFmt w:val="bullet"/>
      <w:lvlText w:val="•"/>
      <w:lvlJc w:val="left"/>
      <w:pPr>
        <w:tabs>
          <w:tab w:val="num" w:pos="2160"/>
        </w:tabs>
        <w:ind w:left="2160" w:hanging="360"/>
      </w:pPr>
      <w:rPr>
        <w:rFonts w:ascii="Arial" w:hAnsi="Arial" w:hint="default"/>
      </w:rPr>
    </w:lvl>
    <w:lvl w:ilvl="3" w:tplc="D0BC53E8" w:tentative="1">
      <w:start w:val="1"/>
      <w:numFmt w:val="bullet"/>
      <w:lvlText w:val="•"/>
      <w:lvlJc w:val="left"/>
      <w:pPr>
        <w:tabs>
          <w:tab w:val="num" w:pos="2880"/>
        </w:tabs>
        <w:ind w:left="2880" w:hanging="360"/>
      </w:pPr>
      <w:rPr>
        <w:rFonts w:ascii="Arial" w:hAnsi="Arial" w:hint="default"/>
      </w:rPr>
    </w:lvl>
    <w:lvl w:ilvl="4" w:tplc="4C2CB702" w:tentative="1">
      <w:start w:val="1"/>
      <w:numFmt w:val="bullet"/>
      <w:lvlText w:val="•"/>
      <w:lvlJc w:val="left"/>
      <w:pPr>
        <w:tabs>
          <w:tab w:val="num" w:pos="3600"/>
        </w:tabs>
        <w:ind w:left="3600" w:hanging="360"/>
      </w:pPr>
      <w:rPr>
        <w:rFonts w:ascii="Arial" w:hAnsi="Arial" w:hint="default"/>
      </w:rPr>
    </w:lvl>
    <w:lvl w:ilvl="5" w:tplc="35EAAABA" w:tentative="1">
      <w:start w:val="1"/>
      <w:numFmt w:val="bullet"/>
      <w:lvlText w:val="•"/>
      <w:lvlJc w:val="left"/>
      <w:pPr>
        <w:tabs>
          <w:tab w:val="num" w:pos="4320"/>
        </w:tabs>
        <w:ind w:left="4320" w:hanging="360"/>
      </w:pPr>
      <w:rPr>
        <w:rFonts w:ascii="Arial" w:hAnsi="Arial" w:hint="default"/>
      </w:rPr>
    </w:lvl>
    <w:lvl w:ilvl="6" w:tplc="142E7AEC" w:tentative="1">
      <w:start w:val="1"/>
      <w:numFmt w:val="bullet"/>
      <w:lvlText w:val="•"/>
      <w:lvlJc w:val="left"/>
      <w:pPr>
        <w:tabs>
          <w:tab w:val="num" w:pos="5040"/>
        </w:tabs>
        <w:ind w:left="5040" w:hanging="360"/>
      </w:pPr>
      <w:rPr>
        <w:rFonts w:ascii="Arial" w:hAnsi="Arial" w:hint="default"/>
      </w:rPr>
    </w:lvl>
    <w:lvl w:ilvl="7" w:tplc="210AF7C2" w:tentative="1">
      <w:start w:val="1"/>
      <w:numFmt w:val="bullet"/>
      <w:lvlText w:val="•"/>
      <w:lvlJc w:val="left"/>
      <w:pPr>
        <w:tabs>
          <w:tab w:val="num" w:pos="5760"/>
        </w:tabs>
        <w:ind w:left="5760" w:hanging="360"/>
      </w:pPr>
      <w:rPr>
        <w:rFonts w:ascii="Arial" w:hAnsi="Arial" w:hint="default"/>
      </w:rPr>
    </w:lvl>
    <w:lvl w:ilvl="8" w:tplc="90EE6B3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1207F17"/>
    <w:multiLevelType w:val="hybridMultilevel"/>
    <w:tmpl w:val="B31E1618"/>
    <w:lvl w:ilvl="0" w:tplc="F15028CC">
      <w:start w:val="1"/>
      <w:numFmt w:val="bullet"/>
      <w:lvlText w:val="•"/>
      <w:lvlJc w:val="left"/>
      <w:pPr>
        <w:tabs>
          <w:tab w:val="num" w:pos="720"/>
        </w:tabs>
        <w:ind w:left="720" w:hanging="360"/>
      </w:pPr>
      <w:rPr>
        <w:rFonts w:ascii="Arial" w:hAnsi="Arial" w:hint="default"/>
      </w:rPr>
    </w:lvl>
    <w:lvl w:ilvl="1" w:tplc="775452A2" w:tentative="1">
      <w:start w:val="1"/>
      <w:numFmt w:val="bullet"/>
      <w:lvlText w:val="•"/>
      <w:lvlJc w:val="left"/>
      <w:pPr>
        <w:tabs>
          <w:tab w:val="num" w:pos="1440"/>
        </w:tabs>
        <w:ind w:left="1440" w:hanging="360"/>
      </w:pPr>
      <w:rPr>
        <w:rFonts w:ascii="Arial" w:hAnsi="Arial" w:hint="default"/>
      </w:rPr>
    </w:lvl>
    <w:lvl w:ilvl="2" w:tplc="897248E6" w:tentative="1">
      <w:start w:val="1"/>
      <w:numFmt w:val="bullet"/>
      <w:lvlText w:val="•"/>
      <w:lvlJc w:val="left"/>
      <w:pPr>
        <w:tabs>
          <w:tab w:val="num" w:pos="2160"/>
        </w:tabs>
        <w:ind w:left="2160" w:hanging="360"/>
      </w:pPr>
      <w:rPr>
        <w:rFonts w:ascii="Arial" w:hAnsi="Arial" w:hint="default"/>
      </w:rPr>
    </w:lvl>
    <w:lvl w:ilvl="3" w:tplc="2DC07B0C" w:tentative="1">
      <w:start w:val="1"/>
      <w:numFmt w:val="bullet"/>
      <w:lvlText w:val="•"/>
      <w:lvlJc w:val="left"/>
      <w:pPr>
        <w:tabs>
          <w:tab w:val="num" w:pos="2880"/>
        </w:tabs>
        <w:ind w:left="2880" w:hanging="360"/>
      </w:pPr>
      <w:rPr>
        <w:rFonts w:ascii="Arial" w:hAnsi="Arial" w:hint="default"/>
      </w:rPr>
    </w:lvl>
    <w:lvl w:ilvl="4" w:tplc="F8D498B2" w:tentative="1">
      <w:start w:val="1"/>
      <w:numFmt w:val="bullet"/>
      <w:lvlText w:val="•"/>
      <w:lvlJc w:val="left"/>
      <w:pPr>
        <w:tabs>
          <w:tab w:val="num" w:pos="3600"/>
        </w:tabs>
        <w:ind w:left="3600" w:hanging="360"/>
      </w:pPr>
      <w:rPr>
        <w:rFonts w:ascii="Arial" w:hAnsi="Arial" w:hint="default"/>
      </w:rPr>
    </w:lvl>
    <w:lvl w:ilvl="5" w:tplc="5F18958A" w:tentative="1">
      <w:start w:val="1"/>
      <w:numFmt w:val="bullet"/>
      <w:lvlText w:val="•"/>
      <w:lvlJc w:val="left"/>
      <w:pPr>
        <w:tabs>
          <w:tab w:val="num" w:pos="4320"/>
        </w:tabs>
        <w:ind w:left="4320" w:hanging="360"/>
      </w:pPr>
      <w:rPr>
        <w:rFonts w:ascii="Arial" w:hAnsi="Arial" w:hint="default"/>
      </w:rPr>
    </w:lvl>
    <w:lvl w:ilvl="6" w:tplc="7AF2FED4" w:tentative="1">
      <w:start w:val="1"/>
      <w:numFmt w:val="bullet"/>
      <w:lvlText w:val="•"/>
      <w:lvlJc w:val="left"/>
      <w:pPr>
        <w:tabs>
          <w:tab w:val="num" w:pos="5040"/>
        </w:tabs>
        <w:ind w:left="5040" w:hanging="360"/>
      </w:pPr>
      <w:rPr>
        <w:rFonts w:ascii="Arial" w:hAnsi="Arial" w:hint="default"/>
      </w:rPr>
    </w:lvl>
    <w:lvl w:ilvl="7" w:tplc="BF908ED4" w:tentative="1">
      <w:start w:val="1"/>
      <w:numFmt w:val="bullet"/>
      <w:lvlText w:val="•"/>
      <w:lvlJc w:val="left"/>
      <w:pPr>
        <w:tabs>
          <w:tab w:val="num" w:pos="5760"/>
        </w:tabs>
        <w:ind w:left="5760" w:hanging="360"/>
      </w:pPr>
      <w:rPr>
        <w:rFonts w:ascii="Arial" w:hAnsi="Arial" w:hint="default"/>
      </w:rPr>
    </w:lvl>
    <w:lvl w:ilvl="8" w:tplc="C5DC0B0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432FFA"/>
    <w:multiLevelType w:val="hybridMultilevel"/>
    <w:tmpl w:val="8F7E6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C131E78"/>
    <w:multiLevelType w:val="hybridMultilevel"/>
    <w:tmpl w:val="26BA3ADE"/>
    <w:lvl w:ilvl="0" w:tplc="C73E4578">
      <w:start w:val="1"/>
      <w:numFmt w:val="bullet"/>
      <w:lvlText w:val="•"/>
      <w:lvlJc w:val="left"/>
      <w:pPr>
        <w:tabs>
          <w:tab w:val="num" w:pos="720"/>
        </w:tabs>
        <w:ind w:left="720" w:hanging="360"/>
      </w:pPr>
      <w:rPr>
        <w:rFonts w:ascii="Arial" w:hAnsi="Arial" w:hint="default"/>
      </w:rPr>
    </w:lvl>
    <w:lvl w:ilvl="1" w:tplc="705609A4">
      <w:start w:val="1"/>
      <w:numFmt w:val="bullet"/>
      <w:lvlText w:val="•"/>
      <w:lvlJc w:val="left"/>
      <w:pPr>
        <w:tabs>
          <w:tab w:val="num" w:pos="1440"/>
        </w:tabs>
        <w:ind w:left="1440" w:hanging="360"/>
      </w:pPr>
      <w:rPr>
        <w:rFonts w:ascii="Arial" w:hAnsi="Arial" w:hint="default"/>
      </w:rPr>
    </w:lvl>
    <w:lvl w:ilvl="2" w:tplc="53DC8DCC" w:tentative="1">
      <w:start w:val="1"/>
      <w:numFmt w:val="bullet"/>
      <w:lvlText w:val="•"/>
      <w:lvlJc w:val="left"/>
      <w:pPr>
        <w:tabs>
          <w:tab w:val="num" w:pos="2160"/>
        </w:tabs>
        <w:ind w:left="2160" w:hanging="360"/>
      </w:pPr>
      <w:rPr>
        <w:rFonts w:ascii="Arial" w:hAnsi="Arial" w:hint="default"/>
      </w:rPr>
    </w:lvl>
    <w:lvl w:ilvl="3" w:tplc="6C64A968" w:tentative="1">
      <w:start w:val="1"/>
      <w:numFmt w:val="bullet"/>
      <w:lvlText w:val="•"/>
      <w:lvlJc w:val="left"/>
      <w:pPr>
        <w:tabs>
          <w:tab w:val="num" w:pos="2880"/>
        </w:tabs>
        <w:ind w:left="2880" w:hanging="360"/>
      </w:pPr>
      <w:rPr>
        <w:rFonts w:ascii="Arial" w:hAnsi="Arial" w:hint="default"/>
      </w:rPr>
    </w:lvl>
    <w:lvl w:ilvl="4" w:tplc="72940534" w:tentative="1">
      <w:start w:val="1"/>
      <w:numFmt w:val="bullet"/>
      <w:lvlText w:val="•"/>
      <w:lvlJc w:val="left"/>
      <w:pPr>
        <w:tabs>
          <w:tab w:val="num" w:pos="3600"/>
        </w:tabs>
        <w:ind w:left="3600" w:hanging="360"/>
      </w:pPr>
      <w:rPr>
        <w:rFonts w:ascii="Arial" w:hAnsi="Arial" w:hint="default"/>
      </w:rPr>
    </w:lvl>
    <w:lvl w:ilvl="5" w:tplc="097C5DFC" w:tentative="1">
      <w:start w:val="1"/>
      <w:numFmt w:val="bullet"/>
      <w:lvlText w:val="•"/>
      <w:lvlJc w:val="left"/>
      <w:pPr>
        <w:tabs>
          <w:tab w:val="num" w:pos="4320"/>
        </w:tabs>
        <w:ind w:left="4320" w:hanging="360"/>
      </w:pPr>
      <w:rPr>
        <w:rFonts w:ascii="Arial" w:hAnsi="Arial" w:hint="default"/>
      </w:rPr>
    </w:lvl>
    <w:lvl w:ilvl="6" w:tplc="185A8274" w:tentative="1">
      <w:start w:val="1"/>
      <w:numFmt w:val="bullet"/>
      <w:lvlText w:val="•"/>
      <w:lvlJc w:val="left"/>
      <w:pPr>
        <w:tabs>
          <w:tab w:val="num" w:pos="5040"/>
        </w:tabs>
        <w:ind w:left="5040" w:hanging="360"/>
      </w:pPr>
      <w:rPr>
        <w:rFonts w:ascii="Arial" w:hAnsi="Arial" w:hint="default"/>
      </w:rPr>
    </w:lvl>
    <w:lvl w:ilvl="7" w:tplc="196A3800" w:tentative="1">
      <w:start w:val="1"/>
      <w:numFmt w:val="bullet"/>
      <w:lvlText w:val="•"/>
      <w:lvlJc w:val="left"/>
      <w:pPr>
        <w:tabs>
          <w:tab w:val="num" w:pos="5760"/>
        </w:tabs>
        <w:ind w:left="5760" w:hanging="360"/>
      </w:pPr>
      <w:rPr>
        <w:rFonts w:ascii="Arial" w:hAnsi="Arial" w:hint="default"/>
      </w:rPr>
    </w:lvl>
    <w:lvl w:ilvl="8" w:tplc="D12C3A1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891C58"/>
    <w:multiLevelType w:val="hybridMultilevel"/>
    <w:tmpl w:val="0E0AF828"/>
    <w:lvl w:ilvl="0" w:tplc="C46E654C">
      <w:start w:val="1"/>
      <w:numFmt w:val="bullet"/>
      <w:lvlText w:val="•"/>
      <w:lvlJc w:val="left"/>
      <w:pPr>
        <w:tabs>
          <w:tab w:val="num" w:pos="720"/>
        </w:tabs>
        <w:ind w:left="720" w:hanging="360"/>
      </w:pPr>
      <w:rPr>
        <w:rFonts w:ascii="Arial" w:hAnsi="Arial" w:hint="default"/>
      </w:rPr>
    </w:lvl>
    <w:lvl w:ilvl="1" w:tplc="81704134" w:tentative="1">
      <w:start w:val="1"/>
      <w:numFmt w:val="bullet"/>
      <w:lvlText w:val="•"/>
      <w:lvlJc w:val="left"/>
      <w:pPr>
        <w:tabs>
          <w:tab w:val="num" w:pos="1440"/>
        </w:tabs>
        <w:ind w:left="1440" w:hanging="360"/>
      </w:pPr>
      <w:rPr>
        <w:rFonts w:ascii="Arial" w:hAnsi="Arial" w:hint="default"/>
      </w:rPr>
    </w:lvl>
    <w:lvl w:ilvl="2" w:tplc="DFE85C1C" w:tentative="1">
      <w:start w:val="1"/>
      <w:numFmt w:val="bullet"/>
      <w:lvlText w:val="•"/>
      <w:lvlJc w:val="left"/>
      <w:pPr>
        <w:tabs>
          <w:tab w:val="num" w:pos="2160"/>
        </w:tabs>
        <w:ind w:left="2160" w:hanging="360"/>
      </w:pPr>
      <w:rPr>
        <w:rFonts w:ascii="Arial" w:hAnsi="Arial" w:hint="default"/>
      </w:rPr>
    </w:lvl>
    <w:lvl w:ilvl="3" w:tplc="2B4C8288" w:tentative="1">
      <w:start w:val="1"/>
      <w:numFmt w:val="bullet"/>
      <w:lvlText w:val="•"/>
      <w:lvlJc w:val="left"/>
      <w:pPr>
        <w:tabs>
          <w:tab w:val="num" w:pos="2880"/>
        </w:tabs>
        <w:ind w:left="2880" w:hanging="360"/>
      </w:pPr>
      <w:rPr>
        <w:rFonts w:ascii="Arial" w:hAnsi="Arial" w:hint="default"/>
      </w:rPr>
    </w:lvl>
    <w:lvl w:ilvl="4" w:tplc="FECA4AC2" w:tentative="1">
      <w:start w:val="1"/>
      <w:numFmt w:val="bullet"/>
      <w:lvlText w:val="•"/>
      <w:lvlJc w:val="left"/>
      <w:pPr>
        <w:tabs>
          <w:tab w:val="num" w:pos="3600"/>
        </w:tabs>
        <w:ind w:left="3600" w:hanging="360"/>
      </w:pPr>
      <w:rPr>
        <w:rFonts w:ascii="Arial" w:hAnsi="Arial" w:hint="default"/>
      </w:rPr>
    </w:lvl>
    <w:lvl w:ilvl="5" w:tplc="701408B6" w:tentative="1">
      <w:start w:val="1"/>
      <w:numFmt w:val="bullet"/>
      <w:lvlText w:val="•"/>
      <w:lvlJc w:val="left"/>
      <w:pPr>
        <w:tabs>
          <w:tab w:val="num" w:pos="4320"/>
        </w:tabs>
        <w:ind w:left="4320" w:hanging="360"/>
      </w:pPr>
      <w:rPr>
        <w:rFonts w:ascii="Arial" w:hAnsi="Arial" w:hint="default"/>
      </w:rPr>
    </w:lvl>
    <w:lvl w:ilvl="6" w:tplc="8018AB7C" w:tentative="1">
      <w:start w:val="1"/>
      <w:numFmt w:val="bullet"/>
      <w:lvlText w:val="•"/>
      <w:lvlJc w:val="left"/>
      <w:pPr>
        <w:tabs>
          <w:tab w:val="num" w:pos="5040"/>
        </w:tabs>
        <w:ind w:left="5040" w:hanging="360"/>
      </w:pPr>
      <w:rPr>
        <w:rFonts w:ascii="Arial" w:hAnsi="Arial" w:hint="default"/>
      </w:rPr>
    </w:lvl>
    <w:lvl w:ilvl="7" w:tplc="31444F3C" w:tentative="1">
      <w:start w:val="1"/>
      <w:numFmt w:val="bullet"/>
      <w:lvlText w:val="•"/>
      <w:lvlJc w:val="left"/>
      <w:pPr>
        <w:tabs>
          <w:tab w:val="num" w:pos="5760"/>
        </w:tabs>
        <w:ind w:left="5760" w:hanging="360"/>
      </w:pPr>
      <w:rPr>
        <w:rFonts w:ascii="Arial" w:hAnsi="Arial" w:hint="default"/>
      </w:rPr>
    </w:lvl>
    <w:lvl w:ilvl="8" w:tplc="213C53E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2E46EF"/>
    <w:multiLevelType w:val="hybridMultilevel"/>
    <w:tmpl w:val="2016709C"/>
    <w:lvl w:ilvl="0" w:tplc="9ABCB212">
      <w:start w:val="1"/>
      <w:numFmt w:val="bullet"/>
      <w:lvlText w:val="•"/>
      <w:lvlJc w:val="left"/>
      <w:pPr>
        <w:tabs>
          <w:tab w:val="num" w:pos="720"/>
        </w:tabs>
        <w:ind w:left="720" w:hanging="360"/>
      </w:pPr>
      <w:rPr>
        <w:rFonts w:ascii="Arial" w:hAnsi="Arial" w:hint="default"/>
      </w:rPr>
    </w:lvl>
    <w:lvl w:ilvl="1" w:tplc="0E1230B0">
      <w:start w:val="1"/>
      <w:numFmt w:val="bullet"/>
      <w:lvlText w:val="•"/>
      <w:lvlJc w:val="left"/>
      <w:pPr>
        <w:tabs>
          <w:tab w:val="num" w:pos="1440"/>
        </w:tabs>
        <w:ind w:left="1440" w:hanging="360"/>
      </w:pPr>
      <w:rPr>
        <w:rFonts w:ascii="Arial" w:hAnsi="Arial" w:hint="default"/>
      </w:rPr>
    </w:lvl>
    <w:lvl w:ilvl="2" w:tplc="34FC308E" w:tentative="1">
      <w:start w:val="1"/>
      <w:numFmt w:val="bullet"/>
      <w:lvlText w:val="•"/>
      <w:lvlJc w:val="left"/>
      <w:pPr>
        <w:tabs>
          <w:tab w:val="num" w:pos="2160"/>
        </w:tabs>
        <w:ind w:left="2160" w:hanging="360"/>
      </w:pPr>
      <w:rPr>
        <w:rFonts w:ascii="Arial" w:hAnsi="Arial" w:hint="default"/>
      </w:rPr>
    </w:lvl>
    <w:lvl w:ilvl="3" w:tplc="4360106C" w:tentative="1">
      <w:start w:val="1"/>
      <w:numFmt w:val="bullet"/>
      <w:lvlText w:val="•"/>
      <w:lvlJc w:val="left"/>
      <w:pPr>
        <w:tabs>
          <w:tab w:val="num" w:pos="2880"/>
        </w:tabs>
        <w:ind w:left="2880" w:hanging="360"/>
      </w:pPr>
      <w:rPr>
        <w:rFonts w:ascii="Arial" w:hAnsi="Arial" w:hint="default"/>
      </w:rPr>
    </w:lvl>
    <w:lvl w:ilvl="4" w:tplc="720A67BE" w:tentative="1">
      <w:start w:val="1"/>
      <w:numFmt w:val="bullet"/>
      <w:lvlText w:val="•"/>
      <w:lvlJc w:val="left"/>
      <w:pPr>
        <w:tabs>
          <w:tab w:val="num" w:pos="3600"/>
        </w:tabs>
        <w:ind w:left="3600" w:hanging="360"/>
      </w:pPr>
      <w:rPr>
        <w:rFonts w:ascii="Arial" w:hAnsi="Arial" w:hint="default"/>
      </w:rPr>
    </w:lvl>
    <w:lvl w:ilvl="5" w:tplc="8452D1DE" w:tentative="1">
      <w:start w:val="1"/>
      <w:numFmt w:val="bullet"/>
      <w:lvlText w:val="•"/>
      <w:lvlJc w:val="left"/>
      <w:pPr>
        <w:tabs>
          <w:tab w:val="num" w:pos="4320"/>
        </w:tabs>
        <w:ind w:left="4320" w:hanging="360"/>
      </w:pPr>
      <w:rPr>
        <w:rFonts w:ascii="Arial" w:hAnsi="Arial" w:hint="default"/>
      </w:rPr>
    </w:lvl>
    <w:lvl w:ilvl="6" w:tplc="C17642F4" w:tentative="1">
      <w:start w:val="1"/>
      <w:numFmt w:val="bullet"/>
      <w:lvlText w:val="•"/>
      <w:lvlJc w:val="left"/>
      <w:pPr>
        <w:tabs>
          <w:tab w:val="num" w:pos="5040"/>
        </w:tabs>
        <w:ind w:left="5040" w:hanging="360"/>
      </w:pPr>
      <w:rPr>
        <w:rFonts w:ascii="Arial" w:hAnsi="Arial" w:hint="default"/>
      </w:rPr>
    </w:lvl>
    <w:lvl w:ilvl="7" w:tplc="E118DCD4" w:tentative="1">
      <w:start w:val="1"/>
      <w:numFmt w:val="bullet"/>
      <w:lvlText w:val="•"/>
      <w:lvlJc w:val="left"/>
      <w:pPr>
        <w:tabs>
          <w:tab w:val="num" w:pos="5760"/>
        </w:tabs>
        <w:ind w:left="5760" w:hanging="360"/>
      </w:pPr>
      <w:rPr>
        <w:rFonts w:ascii="Arial" w:hAnsi="Arial" w:hint="default"/>
      </w:rPr>
    </w:lvl>
    <w:lvl w:ilvl="8" w:tplc="391E9D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1D73190"/>
    <w:multiLevelType w:val="hybridMultilevel"/>
    <w:tmpl w:val="3336019E"/>
    <w:lvl w:ilvl="0" w:tplc="613E23BE">
      <w:start w:val="1"/>
      <w:numFmt w:val="bullet"/>
      <w:lvlText w:val="•"/>
      <w:lvlJc w:val="left"/>
      <w:pPr>
        <w:tabs>
          <w:tab w:val="num" w:pos="720"/>
        </w:tabs>
        <w:ind w:left="720" w:hanging="360"/>
      </w:pPr>
      <w:rPr>
        <w:rFonts w:ascii="Arial" w:hAnsi="Arial" w:hint="default"/>
      </w:rPr>
    </w:lvl>
    <w:lvl w:ilvl="1" w:tplc="B63C94B4">
      <w:start w:val="1"/>
      <w:numFmt w:val="bullet"/>
      <w:lvlText w:val="•"/>
      <w:lvlJc w:val="left"/>
      <w:pPr>
        <w:tabs>
          <w:tab w:val="num" w:pos="1440"/>
        </w:tabs>
        <w:ind w:left="1440" w:hanging="360"/>
      </w:pPr>
      <w:rPr>
        <w:rFonts w:ascii="Arial" w:hAnsi="Arial" w:hint="default"/>
      </w:rPr>
    </w:lvl>
    <w:lvl w:ilvl="2" w:tplc="4EE6476A">
      <w:start w:val="1"/>
      <w:numFmt w:val="bullet"/>
      <w:lvlText w:val="•"/>
      <w:lvlJc w:val="left"/>
      <w:pPr>
        <w:tabs>
          <w:tab w:val="num" w:pos="2160"/>
        </w:tabs>
        <w:ind w:left="2160" w:hanging="360"/>
      </w:pPr>
      <w:rPr>
        <w:rFonts w:ascii="Arial" w:hAnsi="Arial" w:hint="default"/>
      </w:rPr>
    </w:lvl>
    <w:lvl w:ilvl="3" w:tplc="35927B8E" w:tentative="1">
      <w:start w:val="1"/>
      <w:numFmt w:val="bullet"/>
      <w:lvlText w:val="•"/>
      <w:lvlJc w:val="left"/>
      <w:pPr>
        <w:tabs>
          <w:tab w:val="num" w:pos="2880"/>
        </w:tabs>
        <w:ind w:left="2880" w:hanging="360"/>
      </w:pPr>
      <w:rPr>
        <w:rFonts w:ascii="Arial" w:hAnsi="Arial" w:hint="default"/>
      </w:rPr>
    </w:lvl>
    <w:lvl w:ilvl="4" w:tplc="8E70061C" w:tentative="1">
      <w:start w:val="1"/>
      <w:numFmt w:val="bullet"/>
      <w:lvlText w:val="•"/>
      <w:lvlJc w:val="left"/>
      <w:pPr>
        <w:tabs>
          <w:tab w:val="num" w:pos="3600"/>
        </w:tabs>
        <w:ind w:left="3600" w:hanging="360"/>
      </w:pPr>
      <w:rPr>
        <w:rFonts w:ascii="Arial" w:hAnsi="Arial" w:hint="default"/>
      </w:rPr>
    </w:lvl>
    <w:lvl w:ilvl="5" w:tplc="98FA1DB0" w:tentative="1">
      <w:start w:val="1"/>
      <w:numFmt w:val="bullet"/>
      <w:lvlText w:val="•"/>
      <w:lvlJc w:val="left"/>
      <w:pPr>
        <w:tabs>
          <w:tab w:val="num" w:pos="4320"/>
        </w:tabs>
        <w:ind w:left="4320" w:hanging="360"/>
      </w:pPr>
      <w:rPr>
        <w:rFonts w:ascii="Arial" w:hAnsi="Arial" w:hint="default"/>
      </w:rPr>
    </w:lvl>
    <w:lvl w:ilvl="6" w:tplc="46A82F74" w:tentative="1">
      <w:start w:val="1"/>
      <w:numFmt w:val="bullet"/>
      <w:lvlText w:val="•"/>
      <w:lvlJc w:val="left"/>
      <w:pPr>
        <w:tabs>
          <w:tab w:val="num" w:pos="5040"/>
        </w:tabs>
        <w:ind w:left="5040" w:hanging="360"/>
      </w:pPr>
      <w:rPr>
        <w:rFonts w:ascii="Arial" w:hAnsi="Arial" w:hint="default"/>
      </w:rPr>
    </w:lvl>
    <w:lvl w:ilvl="7" w:tplc="E2603D88" w:tentative="1">
      <w:start w:val="1"/>
      <w:numFmt w:val="bullet"/>
      <w:lvlText w:val="•"/>
      <w:lvlJc w:val="left"/>
      <w:pPr>
        <w:tabs>
          <w:tab w:val="num" w:pos="5760"/>
        </w:tabs>
        <w:ind w:left="5760" w:hanging="360"/>
      </w:pPr>
      <w:rPr>
        <w:rFonts w:ascii="Arial" w:hAnsi="Arial" w:hint="default"/>
      </w:rPr>
    </w:lvl>
    <w:lvl w:ilvl="8" w:tplc="F224D92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30A35F6"/>
    <w:multiLevelType w:val="hybridMultilevel"/>
    <w:tmpl w:val="9D74114A"/>
    <w:lvl w:ilvl="0" w:tplc="C9987340">
      <w:start w:val="1"/>
      <w:numFmt w:val="bullet"/>
      <w:lvlText w:val="•"/>
      <w:lvlJc w:val="left"/>
      <w:pPr>
        <w:tabs>
          <w:tab w:val="num" w:pos="720"/>
        </w:tabs>
        <w:ind w:left="720" w:hanging="360"/>
      </w:pPr>
      <w:rPr>
        <w:rFonts w:ascii="Arial" w:hAnsi="Arial" w:hint="default"/>
      </w:rPr>
    </w:lvl>
    <w:lvl w:ilvl="1" w:tplc="EEE2D23C">
      <w:start w:val="1"/>
      <w:numFmt w:val="bullet"/>
      <w:lvlText w:val="•"/>
      <w:lvlJc w:val="left"/>
      <w:pPr>
        <w:tabs>
          <w:tab w:val="num" w:pos="1440"/>
        </w:tabs>
        <w:ind w:left="1440" w:hanging="360"/>
      </w:pPr>
      <w:rPr>
        <w:rFonts w:ascii="Arial" w:hAnsi="Arial" w:hint="default"/>
      </w:rPr>
    </w:lvl>
    <w:lvl w:ilvl="2" w:tplc="C39AA6C2" w:tentative="1">
      <w:start w:val="1"/>
      <w:numFmt w:val="bullet"/>
      <w:lvlText w:val="•"/>
      <w:lvlJc w:val="left"/>
      <w:pPr>
        <w:tabs>
          <w:tab w:val="num" w:pos="2160"/>
        </w:tabs>
        <w:ind w:left="2160" w:hanging="360"/>
      </w:pPr>
      <w:rPr>
        <w:rFonts w:ascii="Arial" w:hAnsi="Arial" w:hint="default"/>
      </w:rPr>
    </w:lvl>
    <w:lvl w:ilvl="3" w:tplc="D20218DC" w:tentative="1">
      <w:start w:val="1"/>
      <w:numFmt w:val="bullet"/>
      <w:lvlText w:val="•"/>
      <w:lvlJc w:val="left"/>
      <w:pPr>
        <w:tabs>
          <w:tab w:val="num" w:pos="2880"/>
        </w:tabs>
        <w:ind w:left="2880" w:hanging="360"/>
      </w:pPr>
      <w:rPr>
        <w:rFonts w:ascii="Arial" w:hAnsi="Arial" w:hint="default"/>
      </w:rPr>
    </w:lvl>
    <w:lvl w:ilvl="4" w:tplc="0CDA4EC8" w:tentative="1">
      <w:start w:val="1"/>
      <w:numFmt w:val="bullet"/>
      <w:lvlText w:val="•"/>
      <w:lvlJc w:val="left"/>
      <w:pPr>
        <w:tabs>
          <w:tab w:val="num" w:pos="3600"/>
        </w:tabs>
        <w:ind w:left="3600" w:hanging="360"/>
      </w:pPr>
      <w:rPr>
        <w:rFonts w:ascii="Arial" w:hAnsi="Arial" w:hint="default"/>
      </w:rPr>
    </w:lvl>
    <w:lvl w:ilvl="5" w:tplc="D33676C8" w:tentative="1">
      <w:start w:val="1"/>
      <w:numFmt w:val="bullet"/>
      <w:lvlText w:val="•"/>
      <w:lvlJc w:val="left"/>
      <w:pPr>
        <w:tabs>
          <w:tab w:val="num" w:pos="4320"/>
        </w:tabs>
        <w:ind w:left="4320" w:hanging="360"/>
      </w:pPr>
      <w:rPr>
        <w:rFonts w:ascii="Arial" w:hAnsi="Arial" w:hint="default"/>
      </w:rPr>
    </w:lvl>
    <w:lvl w:ilvl="6" w:tplc="58DC6B84" w:tentative="1">
      <w:start w:val="1"/>
      <w:numFmt w:val="bullet"/>
      <w:lvlText w:val="•"/>
      <w:lvlJc w:val="left"/>
      <w:pPr>
        <w:tabs>
          <w:tab w:val="num" w:pos="5040"/>
        </w:tabs>
        <w:ind w:left="5040" w:hanging="360"/>
      </w:pPr>
      <w:rPr>
        <w:rFonts w:ascii="Arial" w:hAnsi="Arial" w:hint="default"/>
      </w:rPr>
    </w:lvl>
    <w:lvl w:ilvl="7" w:tplc="0D527FC0" w:tentative="1">
      <w:start w:val="1"/>
      <w:numFmt w:val="bullet"/>
      <w:lvlText w:val="•"/>
      <w:lvlJc w:val="left"/>
      <w:pPr>
        <w:tabs>
          <w:tab w:val="num" w:pos="5760"/>
        </w:tabs>
        <w:ind w:left="5760" w:hanging="360"/>
      </w:pPr>
      <w:rPr>
        <w:rFonts w:ascii="Arial" w:hAnsi="Arial" w:hint="default"/>
      </w:rPr>
    </w:lvl>
    <w:lvl w:ilvl="8" w:tplc="70EA396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365520"/>
    <w:multiLevelType w:val="hybridMultilevel"/>
    <w:tmpl w:val="FFD41D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74010D6A"/>
    <w:multiLevelType w:val="hybridMultilevel"/>
    <w:tmpl w:val="B6CA0D9E"/>
    <w:lvl w:ilvl="0" w:tplc="375056F8">
      <w:numFmt w:val="bullet"/>
      <w:lvlText w:val="•"/>
      <w:lvlJc w:val="left"/>
      <w:pPr>
        <w:ind w:left="1080" w:hanging="360"/>
      </w:pPr>
      <w:rPr>
        <w:rFonts w:ascii="Arial" w:hAnsi="Arial" w:cs="Arial" w:hint="default"/>
        <w:sz w:val="25"/>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74BF1377"/>
    <w:multiLevelType w:val="hybridMultilevel"/>
    <w:tmpl w:val="0338E6EA"/>
    <w:lvl w:ilvl="0" w:tplc="23BAE068">
      <w:start w:val="1"/>
      <w:numFmt w:val="bullet"/>
      <w:lvlText w:val="•"/>
      <w:lvlJc w:val="left"/>
      <w:pPr>
        <w:tabs>
          <w:tab w:val="num" w:pos="720"/>
        </w:tabs>
        <w:ind w:left="720" w:hanging="360"/>
      </w:pPr>
      <w:rPr>
        <w:rFonts w:ascii="Arial" w:hAnsi="Arial" w:hint="default"/>
      </w:rPr>
    </w:lvl>
    <w:lvl w:ilvl="1" w:tplc="B3ECF5FE" w:tentative="1">
      <w:start w:val="1"/>
      <w:numFmt w:val="bullet"/>
      <w:lvlText w:val="•"/>
      <w:lvlJc w:val="left"/>
      <w:pPr>
        <w:tabs>
          <w:tab w:val="num" w:pos="1440"/>
        </w:tabs>
        <w:ind w:left="1440" w:hanging="360"/>
      </w:pPr>
      <w:rPr>
        <w:rFonts w:ascii="Arial" w:hAnsi="Arial" w:hint="default"/>
      </w:rPr>
    </w:lvl>
    <w:lvl w:ilvl="2" w:tplc="DB888F58" w:tentative="1">
      <w:start w:val="1"/>
      <w:numFmt w:val="bullet"/>
      <w:lvlText w:val="•"/>
      <w:lvlJc w:val="left"/>
      <w:pPr>
        <w:tabs>
          <w:tab w:val="num" w:pos="2160"/>
        </w:tabs>
        <w:ind w:left="2160" w:hanging="360"/>
      </w:pPr>
      <w:rPr>
        <w:rFonts w:ascii="Arial" w:hAnsi="Arial" w:hint="default"/>
      </w:rPr>
    </w:lvl>
    <w:lvl w:ilvl="3" w:tplc="ADD4269C" w:tentative="1">
      <w:start w:val="1"/>
      <w:numFmt w:val="bullet"/>
      <w:lvlText w:val="•"/>
      <w:lvlJc w:val="left"/>
      <w:pPr>
        <w:tabs>
          <w:tab w:val="num" w:pos="2880"/>
        </w:tabs>
        <w:ind w:left="2880" w:hanging="360"/>
      </w:pPr>
      <w:rPr>
        <w:rFonts w:ascii="Arial" w:hAnsi="Arial" w:hint="default"/>
      </w:rPr>
    </w:lvl>
    <w:lvl w:ilvl="4" w:tplc="86107FF4" w:tentative="1">
      <w:start w:val="1"/>
      <w:numFmt w:val="bullet"/>
      <w:lvlText w:val="•"/>
      <w:lvlJc w:val="left"/>
      <w:pPr>
        <w:tabs>
          <w:tab w:val="num" w:pos="3600"/>
        </w:tabs>
        <w:ind w:left="3600" w:hanging="360"/>
      </w:pPr>
      <w:rPr>
        <w:rFonts w:ascii="Arial" w:hAnsi="Arial" w:hint="default"/>
      </w:rPr>
    </w:lvl>
    <w:lvl w:ilvl="5" w:tplc="1DFE23FA" w:tentative="1">
      <w:start w:val="1"/>
      <w:numFmt w:val="bullet"/>
      <w:lvlText w:val="•"/>
      <w:lvlJc w:val="left"/>
      <w:pPr>
        <w:tabs>
          <w:tab w:val="num" w:pos="4320"/>
        </w:tabs>
        <w:ind w:left="4320" w:hanging="360"/>
      </w:pPr>
      <w:rPr>
        <w:rFonts w:ascii="Arial" w:hAnsi="Arial" w:hint="default"/>
      </w:rPr>
    </w:lvl>
    <w:lvl w:ilvl="6" w:tplc="9DB0CFC0" w:tentative="1">
      <w:start w:val="1"/>
      <w:numFmt w:val="bullet"/>
      <w:lvlText w:val="•"/>
      <w:lvlJc w:val="left"/>
      <w:pPr>
        <w:tabs>
          <w:tab w:val="num" w:pos="5040"/>
        </w:tabs>
        <w:ind w:left="5040" w:hanging="360"/>
      </w:pPr>
      <w:rPr>
        <w:rFonts w:ascii="Arial" w:hAnsi="Arial" w:hint="default"/>
      </w:rPr>
    </w:lvl>
    <w:lvl w:ilvl="7" w:tplc="B5B09A12" w:tentative="1">
      <w:start w:val="1"/>
      <w:numFmt w:val="bullet"/>
      <w:lvlText w:val="•"/>
      <w:lvlJc w:val="left"/>
      <w:pPr>
        <w:tabs>
          <w:tab w:val="num" w:pos="5760"/>
        </w:tabs>
        <w:ind w:left="5760" w:hanging="360"/>
      </w:pPr>
      <w:rPr>
        <w:rFonts w:ascii="Arial" w:hAnsi="Arial" w:hint="default"/>
      </w:rPr>
    </w:lvl>
    <w:lvl w:ilvl="8" w:tplc="3300CD3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E071E32"/>
    <w:multiLevelType w:val="hybridMultilevel"/>
    <w:tmpl w:val="2BFE1F40"/>
    <w:lvl w:ilvl="0" w:tplc="4E326446">
      <w:start w:val="1"/>
      <w:numFmt w:val="bullet"/>
      <w:lvlText w:val="•"/>
      <w:lvlJc w:val="left"/>
      <w:pPr>
        <w:tabs>
          <w:tab w:val="num" w:pos="720"/>
        </w:tabs>
        <w:ind w:left="720" w:hanging="360"/>
      </w:pPr>
      <w:rPr>
        <w:rFonts w:ascii="Arial" w:hAnsi="Arial" w:hint="default"/>
      </w:rPr>
    </w:lvl>
    <w:lvl w:ilvl="1" w:tplc="4970C22A" w:tentative="1">
      <w:start w:val="1"/>
      <w:numFmt w:val="bullet"/>
      <w:lvlText w:val="•"/>
      <w:lvlJc w:val="left"/>
      <w:pPr>
        <w:tabs>
          <w:tab w:val="num" w:pos="1440"/>
        </w:tabs>
        <w:ind w:left="1440" w:hanging="360"/>
      </w:pPr>
      <w:rPr>
        <w:rFonts w:ascii="Arial" w:hAnsi="Arial" w:hint="default"/>
      </w:rPr>
    </w:lvl>
    <w:lvl w:ilvl="2" w:tplc="7EC83C78" w:tentative="1">
      <w:start w:val="1"/>
      <w:numFmt w:val="bullet"/>
      <w:lvlText w:val="•"/>
      <w:lvlJc w:val="left"/>
      <w:pPr>
        <w:tabs>
          <w:tab w:val="num" w:pos="2160"/>
        </w:tabs>
        <w:ind w:left="2160" w:hanging="360"/>
      </w:pPr>
      <w:rPr>
        <w:rFonts w:ascii="Arial" w:hAnsi="Arial" w:hint="default"/>
      </w:rPr>
    </w:lvl>
    <w:lvl w:ilvl="3" w:tplc="4EBC1896" w:tentative="1">
      <w:start w:val="1"/>
      <w:numFmt w:val="bullet"/>
      <w:lvlText w:val="•"/>
      <w:lvlJc w:val="left"/>
      <w:pPr>
        <w:tabs>
          <w:tab w:val="num" w:pos="2880"/>
        </w:tabs>
        <w:ind w:left="2880" w:hanging="360"/>
      </w:pPr>
      <w:rPr>
        <w:rFonts w:ascii="Arial" w:hAnsi="Arial" w:hint="default"/>
      </w:rPr>
    </w:lvl>
    <w:lvl w:ilvl="4" w:tplc="77E87D6A" w:tentative="1">
      <w:start w:val="1"/>
      <w:numFmt w:val="bullet"/>
      <w:lvlText w:val="•"/>
      <w:lvlJc w:val="left"/>
      <w:pPr>
        <w:tabs>
          <w:tab w:val="num" w:pos="3600"/>
        </w:tabs>
        <w:ind w:left="3600" w:hanging="360"/>
      </w:pPr>
      <w:rPr>
        <w:rFonts w:ascii="Arial" w:hAnsi="Arial" w:hint="default"/>
      </w:rPr>
    </w:lvl>
    <w:lvl w:ilvl="5" w:tplc="E4B0E368" w:tentative="1">
      <w:start w:val="1"/>
      <w:numFmt w:val="bullet"/>
      <w:lvlText w:val="•"/>
      <w:lvlJc w:val="left"/>
      <w:pPr>
        <w:tabs>
          <w:tab w:val="num" w:pos="4320"/>
        </w:tabs>
        <w:ind w:left="4320" w:hanging="360"/>
      </w:pPr>
      <w:rPr>
        <w:rFonts w:ascii="Arial" w:hAnsi="Arial" w:hint="default"/>
      </w:rPr>
    </w:lvl>
    <w:lvl w:ilvl="6" w:tplc="CDBA170E" w:tentative="1">
      <w:start w:val="1"/>
      <w:numFmt w:val="bullet"/>
      <w:lvlText w:val="•"/>
      <w:lvlJc w:val="left"/>
      <w:pPr>
        <w:tabs>
          <w:tab w:val="num" w:pos="5040"/>
        </w:tabs>
        <w:ind w:left="5040" w:hanging="360"/>
      </w:pPr>
      <w:rPr>
        <w:rFonts w:ascii="Arial" w:hAnsi="Arial" w:hint="default"/>
      </w:rPr>
    </w:lvl>
    <w:lvl w:ilvl="7" w:tplc="DC880C10" w:tentative="1">
      <w:start w:val="1"/>
      <w:numFmt w:val="bullet"/>
      <w:lvlText w:val="•"/>
      <w:lvlJc w:val="left"/>
      <w:pPr>
        <w:tabs>
          <w:tab w:val="num" w:pos="5760"/>
        </w:tabs>
        <w:ind w:left="5760" w:hanging="360"/>
      </w:pPr>
      <w:rPr>
        <w:rFonts w:ascii="Arial" w:hAnsi="Arial" w:hint="default"/>
      </w:rPr>
    </w:lvl>
    <w:lvl w:ilvl="8" w:tplc="394812E4"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9"/>
  </w:num>
  <w:num w:numId="3">
    <w:abstractNumId w:val="0"/>
    <w:lvlOverride w:ilvl="0">
      <w:lvl w:ilvl="0">
        <w:numFmt w:val="bullet"/>
        <w:lvlText w:val="•"/>
        <w:legacy w:legacy="1" w:legacySpace="0" w:legacyIndent="0"/>
        <w:lvlJc w:val="left"/>
        <w:rPr>
          <w:rFonts w:ascii="Arial" w:hAnsi="Arial" w:cs="Arial" w:hint="default"/>
          <w:sz w:val="80"/>
        </w:rPr>
      </w:lvl>
    </w:lvlOverride>
  </w:num>
  <w:num w:numId="4">
    <w:abstractNumId w:val="0"/>
    <w:lvlOverride w:ilvl="0">
      <w:lvl w:ilvl="0">
        <w:numFmt w:val="bullet"/>
        <w:lvlText w:val="•"/>
        <w:legacy w:legacy="1" w:legacySpace="0" w:legacyIndent="0"/>
        <w:lvlJc w:val="left"/>
        <w:rPr>
          <w:rFonts w:ascii="Arial" w:hAnsi="Arial" w:cs="Arial" w:hint="default"/>
          <w:sz w:val="56"/>
        </w:rPr>
      </w:lvl>
    </w:lvlOverride>
  </w:num>
  <w:num w:numId="5">
    <w:abstractNumId w:val="0"/>
    <w:lvlOverride w:ilvl="0">
      <w:lvl w:ilvl="0">
        <w:numFmt w:val="bullet"/>
        <w:lvlText w:val="•"/>
        <w:legacy w:legacy="1" w:legacySpace="0" w:legacyIndent="0"/>
        <w:lvlJc w:val="left"/>
        <w:rPr>
          <w:rFonts w:ascii="Arial" w:hAnsi="Arial" w:cs="Arial" w:hint="default"/>
          <w:sz w:val="36"/>
        </w:rPr>
      </w:lvl>
    </w:lvlOverride>
  </w:num>
  <w:num w:numId="6">
    <w:abstractNumId w:val="0"/>
    <w:lvlOverride w:ilvl="0">
      <w:lvl w:ilvl="0">
        <w:numFmt w:val="bullet"/>
        <w:lvlText w:val="•"/>
        <w:legacy w:legacy="1" w:legacySpace="0" w:legacyIndent="0"/>
        <w:lvlJc w:val="left"/>
        <w:rPr>
          <w:rFonts w:ascii="Arial" w:hAnsi="Arial" w:cs="Arial" w:hint="default"/>
          <w:sz w:val="30"/>
        </w:rPr>
      </w:lvl>
    </w:lvlOverride>
  </w:num>
  <w:num w:numId="7">
    <w:abstractNumId w:val="0"/>
    <w:lvlOverride w:ilvl="0">
      <w:lvl w:ilvl="0">
        <w:numFmt w:val="bullet"/>
        <w:lvlText w:val="•"/>
        <w:legacy w:legacy="1" w:legacySpace="0" w:legacyIndent="0"/>
        <w:lvlJc w:val="left"/>
        <w:rPr>
          <w:rFonts w:ascii="Arial" w:hAnsi="Arial" w:cs="Arial" w:hint="default"/>
          <w:sz w:val="32"/>
        </w:rPr>
      </w:lvl>
    </w:lvlOverride>
  </w:num>
  <w:num w:numId="8">
    <w:abstractNumId w:val="0"/>
    <w:lvlOverride w:ilvl="0">
      <w:lvl w:ilvl="0">
        <w:numFmt w:val="bullet"/>
        <w:lvlText w:val="•"/>
        <w:legacy w:legacy="1" w:legacySpace="0" w:legacyIndent="0"/>
        <w:lvlJc w:val="left"/>
        <w:rPr>
          <w:rFonts w:ascii="Arial" w:hAnsi="Arial" w:cs="Arial" w:hint="default"/>
          <w:sz w:val="72"/>
        </w:rPr>
      </w:lvl>
    </w:lvlOverride>
  </w:num>
  <w:num w:numId="9">
    <w:abstractNumId w:val="0"/>
    <w:lvlOverride w:ilvl="0">
      <w:lvl w:ilvl="0">
        <w:numFmt w:val="bullet"/>
        <w:lvlText w:val="•"/>
        <w:legacy w:legacy="1" w:legacySpace="0" w:legacyIndent="0"/>
        <w:lvlJc w:val="left"/>
        <w:rPr>
          <w:rFonts w:ascii="Arial" w:hAnsi="Arial" w:cs="Arial" w:hint="default"/>
          <w:sz w:val="64"/>
        </w:rPr>
      </w:lvl>
    </w:lvlOverride>
  </w:num>
  <w:num w:numId="10">
    <w:abstractNumId w:val="0"/>
    <w:lvlOverride w:ilvl="0">
      <w:lvl w:ilvl="0">
        <w:numFmt w:val="bullet"/>
        <w:lvlText w:val="•"/>
        <w:legacy w:legacy="1" w:legacySpace="0" w:legacyIndent="0"/>
        <w:lvlJc w:val="left"/>
        <w:rPr>
          <w:rFonts w:ascii="Arial" w:hAnsi="Arial" w:cs="Arial" w:hint="default"/>
          <w:sz w:val="44"/>
        </w:rPr>
      </w:lvl>
    </w:lvlOverride>
  </w:num>
  <w:num w:numId="11">
    <w:abstractNumId w:val="0"/>
    <w:lvlOverride w:ilvl="0">
      <w:lvl w:ilvl="0">
        <w:numFmt w:val="bullet"/>
        <w:lvlText w:val="•"/>
        <w:legacy w:legacy="1" w:legacySpace="0" w:legacyIndent="0"/>
        <w:lvlJc w:val="left"/>
        <w:rPr>
          <w:rFonts w:ascii="Arial" w:hAnsi="Arial" w:cs="Arial" w:hint="default"/>
          <w:sz w:val="33"/>
        </w:rPr>
      </w:lvl>
    </w:lvlOverride>
  </w:num>
  <w:num w:numId="12">
    <w:abstractNumId w:val="0"/>
    <w:lvlOverride w:ilvl="0">
      <w:lvl w:ilvl="0">
        <w:numFmt w:val="bullet"/>
        <w:lvlText w:val="•"/>
        <w:legacy w:legacy="1" w:legacySpace="0" w:legacyIndent="0"/>
        <w:lvlJc w:val="left"/>
        <w:rPr>
          <w:rFonts w:ascii="Arial" w:hAnsi="Arial" w:cs="Arial" w:hint="default"/>
          <w:sz w:val="25"/>
        </w:rPr>
      </w:lvl>
    </w:lvlOverride>
  </w:num>
  <w:num w:numId="13">
    <w:abstractNumId w:val="15"/>
  </w:num>
  <w:num w:numId="14">
    <w:abstractNumId w:val="2"/>
  </w:num>
  <w:num w:numId="15">
    <w:abstractNumId w:val="18"/>
  </w:num>
  <w:num w:numId="16">
    <w:abstractNumId w:val="19"/>
  </w:num>
  <w:num w:numId="17">
    <w:abstractNumId w:val="11"/>
  </w:num>
  <w:num w:numId="18">
    <w:abstractNumId w:val="8"/>
  </w:num>
  <w:num w:numId="19">
    <w:abstractNumId w:val="21"/>
  </w:num>
  <w:num w:numId="20">
    <w:abstractNumId w:val="28"/>
  </w:num>
  <w:num w:numId="21">
    <w:abstractNumId w:val="3"/>
  </w:num>
  <w:num w:numId="22">
    <w:abstractNumId w:val="27"/>
  </w:num>
  <w:num w:numId="23">
    <w:abstractNumId w:val="16"/>
  </w:num>
  <w:num w:numId="24">
    <w:abstractNumId w:val="6"/>
  </w:num>
  <w:num w:numId="25">
    <w:abstractNumId w:val="4"/>
  </w:num>
  <w:num w:numId="26">
    <w:abstractNumId w:val="1"/>
  </w:num>
  <w:num w:numId="27">
    <w:abstractNumId w:val="12"/>
  </w:num>
  <w:num w:numId="28">
    <w:abstractNumId w:val="24"/>
  </w:num>
  <w:num w:numId="29">
    <w:abstractNumId w:val="13"/>
  </w:num>
  <w:num w:numId="30">
    <w:abstractNumId w:val="23"/>
  </w:num>
  <w:num w:numId="31">
    <w:abstractNumId w:val="29"/>
  </w:num>
  <w:num w:numId="32">
    <w:abstractNumId w:val="17"/>
  </w:num>
  <w:num w:numId="33">
    <w:abstractNumId w:val="30"/>
  </w:num>
  <w:num w:numId="34">
    <w:abstractNumId w:val="7"/>
  </w:num>
  <w:num w:numId="35">
    <w:abstractNumId w:val="26"/>
  </w:num>
  <w:num w:numId="36">
    <w:abstractNumId w:val="22"/>
  </w:num>
  <w:num w:numId="37">
    <w:abstractNumId w:val="14"/>
  </w:num>
  <w:num w:numId="38">
    <w:abstractNumId w:val="20"/>
  </w:num>
  <w:num w:numId="39">
    <w:abstractNumId w:val="2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04D"/>
    <w:rsid w:val="00057E50"/>
    <w:rsid w:val="000678AB"/>
    <w:rsid w:val="000C2042"/>
    <w:rsid w:val="000E0FAE"/>
    <w:rsid w:val="00145C76"/>
    <w:rsid w:val="00170B03"/>
    <w:rsid w:val="001C5887"/>
    <w:rsid w:val="001C71F2"/>
    <w:rsid w:val="001F061A"/>
    <w:rsid w:val="00210749"/>
    <w:rsid w:val="00215FA4"/>
    <w:rsid w:val="00244CD0"/>
    <w:rsid w:val="00284BC2"/>
    <w:rsid w:val="00294759"/>
    <w:rsid w:val="002B3636"/>
    <w:rsid w:val="002C5A1D"/>
    <w:rsid w:val="002D412D"/>
    <w:rsid w:val="003018FB"/>
    <w:rsid w:val="00354B27"/>
    <w:rsid w:val="00372B8C"/>
    <w:rsid w:val="003A40BE"/>
    <w:rsid w:val="003A448C"/>
    <w:rsid w:val="003A516C"/>
    <w:rsid w:val="003B5E44"/>
    <w:rsid w:val="003B69DA"/>
    <w:rsid w:val="003E7CFA"/>
    <w:rsid w:val="004213DC"/>
    <w:rsid w:val="004563A3"/>
    <w:rsid w:val="004602B9"/>
    <w:rsid w:val="00491D4E"/>
    <w:rsid w:val="004A0E72"/>
    <w:rsid w:val="004D178A"/>
    <w:rsid w:val="004D5516"/>
    <w:rsid w:val="00500C50"/>
    <w:rsid w:val="0050327B"/>
    <w:rsid w:val="005054BB"/>
    <w:rsid w:val="0051557E"/>
    <w:rsid w:val="0052105A"/>
    <w:rsid w:val="00527A41"/>
    <w:rsid w:val="00533EF2"/>
    <w:rsid w:val="00571A84"/>
    <w:rsid w:val="00587F44"/>
    <w:rsid w:val="0060539D"/>
    <w:rsid w:val="0061491A"/>
    <w:rsid w:val="00690697"/>
    <w:rsid w:val="006C588C"/>
    <w:rsid w:val="007059AC"/>
    <w:rsid w:val="00711C61"/>
    <w:rsid w:val="00733B03"/>
    <w:rsid w:val="00735B31"/>
    <w:rsid w:val="0075477F"/>
    <w:rsid w:val="007A1E8D"/>
    <w:rsid w:val="007B56A5"/>
    <w:rsid w:val="007C44FA"/>
    <w:rsid w:val="007E17D1"/>
    <w:rsid w:val="007F7F23"/>
    <w:rsid w:val="008347A3"/>
    <w:rsid w:val="00840B4D"/>
    <w:rsid w:val="0084204D"/>
    <w:rsid w:val="008867B6"/>
    <w:rsid w:val="008D115E"/>
    <w:rsid w:val="008E0599"/>
    <w:rsid w:val="00906DD0"/>
    <w:rsid w:val="00914083"/>
    <w:rsid w:val="00940589"/>
    <w:rsid w:val="0095348E"/>
    <w:rsid w:val="00971162"/>
    <w:rsid w:val="00996E73"/>
    <w:rsid w:val="00997D3F"/>
    <w:rsid w:val="009A37D8"/>
    <w:rsid w:val="009C4CC1"/>
    <w:rsid w:val="009F3ACF"/>
    <w:rsid w:val="00A01BA6"/>
    <w:rsid w:val="00A3677B"/>
    <w:rsid w:val="00A77330"/>
    <w:rsid w:val="00A9539C"/>
    <w:rsid w:val="00AD7DD4"/>
    <w:rsid w:val="00AE29B7"/>
    <w:rsid w:val="00AE5027"/>
    <w:rsid w:val="00B4393D"/>
    <w:rsid w:val="00B71CAE"/>
    <w:rsid w:val="00C07DD2"/>
    <w:rsid w:val="00C552CF"/>
    <w:rsid w:val="00C562F1"/>
    <w:rsid w:val="00D10780"/>
    <w:rsid w:val="00DA26A5"/>
    <w:rsid w:val="00E65ADE"/>
    <w:rsid w:val="00E7222B"/>
    <w:rsid w:val="00E80719"/>
    <w:rsid w:val="00ED7F0A"/>
    <w:rsid w:val="00F55F64"/>
    <w:rsid w:val="00F70D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7BA3D3"/>
  <w15:chartTrackingRefBased/>
  <w15:docId w15:val="{7A95B9F5-599B-4D31-93B3-70B76295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04D"/>
  </w:style>
  <w:style w:type="paragraph" w:styleId="Titre1">
    <w:name w:val="heading 1"/>
    <w:basedOn w:val="Normal"/>
    <w:next w:val="Normal"/>
    <w:link w:val="Titre1Car"/>
    <w:uiPriority w:val="9"/>
    <w:qFormat/>
    <w:rsid w:val="00210749"/>
    <w:pPr>
      <w:keepNext/>
      <w:spacing w:before="240" w:after="0"/>
      <w:outlineLvl w:val="0"/>
    </w:pPr>
    <w:rPr>
      <w:rFonts w:asciiTheme="majorHAnsi" w:eastAsiaTheme="majorEastAsia" w:hAnsiTheme="majorHAnsi" w:cstheme="majorBidi"/>
      <w:sz w:val="48"/>
      <w:szCs w:val="48"/>
    </w:rPr>
  </w:style>
  <w:style w:type="paragraph" w:styleId="Titre2">
    <w:name w:val="heading 2"/>
    <w:basedOn w:val="Normal"/>
    <w:next w:val="Normal"/>
    <w:link w:val="Titre2Car"/>
    <w:uiPriority w:val="9"/>
    <w:unhideWhenUsed/>
    <w:qFormat/>
    <w:rsid w:val="00210749"/>
    <w:pPr>
      <w:keepNext/>
      <w:spacing w:before="40" w:after="0"/>
      <w:outlineLvl w:val="1"/>
    </w:pPr>
    <w:rPr>
      <w:rFonts w:ascii="Segoe UI" w:eastAsiaTheme="majorEastAsia" w:hAnsi="Segoe UI" w:cs="Segoe UI"/>
      <w:b/>
      <w:color w:val="5B315E" w:themeColor="accent2"/>
      <w:sz w:val="32"/>
      <w:szCs w:val="32"/>
    </w:rPr>
  </w:style>
  <w:style w:type="paragraph" w:styleId="Titre3">
    <w:name w:val="heading 3"/>
    <w:basedOn w:val="Normal"/>
    <w:next w:val="Normal"/>
    <w:link w:val="Titre3Car"/>
    <w:uiPriority w:val="9"/>
    <w:unhideWhenUsed/>
    <w:qFormat/>
    <w:rsid w:val="00210749"/>
    <w:pPr>
      <w:keepNext/>
      <w:spacing w:before="40" w:after="0"/>
      <w:outlineLvl w:val="2"/>
    </w:pPr>
    <w:rPr>
      <w:rFonts w:ascii="Segoe UI Semibold" w:eastAsiaTheme="majorEastAsia" w:hAnsi="Segoe UI Semibold" w:cs="Segoe UI Semibold"/>
      <w:sz w:val="24"/>
      <w:szCs w:val="24"/>
    </w:rPr>
  </w:style>
  <w:style w:type="paragraph" w:styleId="Titre4">
    <w:name w:val="heading 4"/>
    <w:basedOn w:val="Normal"/>
    <w:next w:val="Normal"/>
    <w:link w:val="Titre4Car"/>
    <w:uiPriority w:val="9"/>
    <w:unhideWhenUsed/>
    <w:qFormat/>
    <w:rsid w:val="00210749"/>
    <w:pPr>
      <w:keepNext/>
      <w:spacing w:before="40" w:after="0"/>
      <w:outlineLvl w:val="3"/>
    </w:pPr>
    <w:rPr>
      <w:rFonts w:asciiTheme="majorHAnsi" w:eastAsiaTheme="majorEastAsia" w:hAnsiTheme="majorHAnsi" w:cstheme="majorBidi"/>
      <w:iCs/>
      <w:color w:val="54575A" w:themeColor="text2"/>
    </w:rPr>
  </w:style>
  <w:style w:type="paragraph" w:styleId="Titre5">
    <w:name w:val="heading 5"/>
    <w:basedOn w:val="Normal"/>
    <w:next w:val="Normal"/>
    <w:link w:val="Titre5Car"/>
    <w:uiPriority w:val="9"/>
    <w:unhideWhenUsed/>
    <w:qFormat/>
    <w:rsid w:val="00210749"/>
    <w:pPr>
      <w:keepNext/>
      <w:spacing w:before="40" w:after="0"/>
      <w:outlineLvl w:val="4"/>
    </w:pPr>
    <w:rPr>
      <w:rFonts w:asciiTheme="majorHAnsi" w:eastAsiaTheme="majorEastAsia" w:hAnsiTheme="majorHAnsi" w:cstheme="majorBidi"/>
      <w:color w:val="9F0040"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0749"/>
    <w:pPr>
      <w:tabs>
        <w:tab w:val="center" w:pos="4680"/>
        <w:tab w:val="right" w:pos="9360"/>
      </w:tabs>
      <w:spacing w:after="0" w:line="240" w:lineRule="auto"/>
    </w:pPr>
  </w:style>
  <w:style w:type="character" w:customStyle="1" w:styleId="En-tteCar">
    <w:name w:val="En-tête Car"/>
    <w:basedOn w:val="Policepardfaut"/>
    <w:link w:val="En-tte"/>
    <w:uiPriority w:val="99"/>
    <w:rsid w:val="00210749"/>
    <w:rPr>
      <w:color w:val="54575A" w:themeColor="text1"/>
      <w:lang w:val="fr-CA"/>
    </w:rPr>
  </w:style>
  <w:style w:type="paragraph" w:styleId="Pieddepage">
    <w:name w:val="footer"/>
    <w:basedOn w:val="Normal"/>
    <w:link w:val="PieddepageCar"/>
    <w:uiPriority w:val="99"/>
    <w:unhideWhenUsed/>
    <w:rsid w:val="0021074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10749"/>
    <w:rPr>
      <w:color w:val="54575A" w:themeColor="text1"/>
      <w:lang w:val="fr-CA"/>
    </w:rPr>
  </w:style>
  <w:style w:type="paragraph" w:styleId="Textedebulles">
    <w:name w:val="Balloon Text"/>
    <w:basedOn w:val="Normal"/>
    <w:link w:val="TextedebullesCar"/>
    <w:uiPriority w:val="99"/>
    <w:semiHidden/>
    <w:unhideWhenUsed/>
    <w:rsid w:val="002107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0749"/>
    <w:rPr>
      <w:rFonts w:ascii="Segoe UI" w:hAnsi="Segoe UI" w:cs="Segoe UI"/>
      <w:color w:val="54575A" w:themeColor="text1"/>
      <w:sz w:val="18"/>
      <w:szCs w:val="18"/>
      <w:lang w:val="fr-CA"/>
    </w:rPr>
  </w:style>
  <w:style w:type="paragraph" w:customStyle="1" w:styleId="ColumnTitle">
    <w:name w:val="Column Title"/>
    <w:basedOn w:val="Normal"/>
    <w:qFormat/>
    <w:rsid w:val="00210749"/>
    <w:pPr>
      <w:spacing w:after="0" w:line="240" w:lineRule="auto"/>
    </w:pPr>
    <w:rPr>
      <w:rFonts w:ascii="Segoe UI Semibold" w:hAnsi="Segoe UI Semibold" w:cs="Segoe UI Semibold"/>
      <w:color w:val="F2F2F2" w:themeColor="background2"/>
      <w:sz w:val="24"/>
      <w:szCs w:val="24"/>
    </w:rPr>
  </w:style>
  <w:style w:type="paragraph" w:customStyle="1" w:styleId="DataText">
    <w:name w:val="Data Text"/>
    <w:basedOn w:val="Normal"/>
    <w:qFormat/>
    <w:rsid w:val="00210749"/>
    <w:pPr>
      <w:spacing w:after="0" w:line="240" w:lineRule="auto"/>
    </w:pPr>
  </w:style>
  <w:style w:type="character" w:styleId="Appelnotedebasdep">
    <w:name w:val="footnote reference"/>
    <w:basedOn w:val="Policepardfaut"/>
    <w:uiPriority w:val="99"/>
    <w:semiHidden/>
    <w:unhideWhenUsed/>
    <w:rsid w:val="00210749"/>
    <w:rPr>
      <w:vertAlign w:val="superscript"/>
    </w:rPr>
  </w:style>
  <w:style w:type="paragraph" w:styleId="Notedebasdepage">
    <w:name w:val="footnote text"/>
    <w:basedOn w:val="Normal"/>
    <w:link w:val="NotedebasdepageCar"/>
    <w:uiPriority w:val="99"/>
    <w:unhideWhenUsed/>
    <w:rsid w:val="00210749"/>
    <w:pPr>
      <w:spacing w:after="0" w:line="240" w:lineRule="auto"/>
    </w:pPr>
    <w:rPr>
      <w:sz w:val="20"/>
      <w:szCs w:val="20"/>
    </w:rPr>
  </w:style>
  <w:style w:type="character" w:customStyle="1" w:styleId="NotedebasdepageCar">
    <w:name w:val="Note de bas de page Car"/>
    <w:basedOn w:val="Policepardfaut"/>
    <w:link w:val="Notedebasdepage"/>
    <w:uiPriority w:val="99"/>
    <w:rsid w:val="00210749"/>
    <w:rPr>
      <w:color w:val="54575A" w:themeColor="text1"/>
      <w:sz w:val="20"/>
      <w:szCs w:val="20"/>
      <w:lang w:val="fr-CA"/>
    </w:rPr>
  </w:style>
  <w:style w:type="character" w:customStyle="1" w:styleId="Titre1Car">
    <w:name w:val="Titre 1 Car"/>
    <w:basedOn w:val="Policepardfaut"/>
    <w:link w:val="Titre1"/>
    <w:uiPriority w:val="9"/>
    <w:rsid w:val="00210749"/>
    <w:rPr>
      <w:rFonts w:asciiTheme="majorHAnsi" w:eastAsiaTheme="majorEastAsia" w:hAnsiTheme="majorHAnsi" w:cstheme="majorBidi"/>
      <w:color w:val="54575A" w:themeColor="text1"/>
      <w:sz w:val="48"/>
      <w:szCs w:val="48"/>
      <w:lang w:val="fr-CA"/>
    </w:rPr>
  </w:style>
  <w:style w:type="character" w:customStyle="1" w:styleId="Titre2Car">
    <w:name w:val="Titre 2 Car"/>
    <w:basedOn w:val="Policepardfaut"/>
    <w:link w:val="Titre2"/>
    <w:uiPriority w:val="9"/>
    <w:rsid w:val="00210749"/>
    <w:rPr>
      <w:rFonts w:ascii="Segoe UI" w:eastAsiaTheme="majorEastAsia" w:hAnsi="Segoe UI" w:cs="Segoe UI"/>
      <w:b/>
      <w:color w:val="5B315E" w:themeColor="accent2"/>
      <w:sz w:val="32"/>
      <w:szCs w:val="32"/>
      <w:lang w:val="fr-CA"/>
    </w:rPr>
  </w:style>
  <w:style w:type="character" w:customStyle="1" w:styleId="Titre3Car">
    <w:name w:val="Titre 3 Car"/>
    <w:basedOn w:val="Policepardfaut"/>
    <w:link w:val="Titre3"/>
    <w:uiPriority w:val="9"/>
    <w:rsid w:val="00210749"/>
    <w:rPr>
      <w:rFonts w:ascii="Segoe UI Semibold" w:eastAsiaTheme="majorEastAsia" w:hAnsi="Segoe UI Semibold" w:cs="Segoe UI Semibold"/>
      <w:color w:val="54575A" w:themeColor="text1"/>
      <w:sz w:val="24"/>
      <w:szCs w:val="24"/>
      <w:lang w:val="fr-CA"/>
    </w:rPr>
  </w:style>
  <w:style w:type="paragraph" w:customStyle="1" w:styleId="Heading3forBox">
    <w:name w:val="Heading 3 for Box"/>
    <w:basedOn w:val="Normal"/>
    <w:qFormat/>
    <w:rsid w:val="00210749"/>
    <w:rPr>
      <w:rFonts w:ascii="Segoe UI Semibold" w:eastAsiaTheme="majorEastAsia" w:hAnsi="Segoe UI Semibold" w:cs="Segoe UI Semibold"/>
      <w:color w:val="FFFFFF" w:themeColor="background1"/>
      <w:sz w:val="24"/>
      <w:szCs w:val="24"/>
    </w:rPr>
  </w:style>
  <w:style w:type="character" w:customStyle="1" w:styleId="Titre4Car">
    <w:name w:val="Titre 4 Car"/>
    <w:basedOn w:val="Policepardfaut"/>
    <w:link w:val="Titre4"/>
    <w:uiPriority w:val="9"/>
    <w:rsid w:val="00210749"/>
    <w:rPr>
      <w:rFonts w:asciiTheme="majorHAnsi" w:eastAsiaTheme="majorEastAsia" w:hAnsiTheme="majorHAnsi" w:cstheme="majorBidi"/>
      <w:iCs/>
      <w:color w:val="54575A" w:themeColor="text2"/>
      <w:lang w:val="fr-CA"/>
    </w:rPr>
  </w:style>
  <w:style w:type="character" w:customStyle="1" w:styleId="Titre5Car">
    <w:name w:val="Titre 5 Car"/>
    <w:basedOn w:val="Policepardfaut"/>
    <w:link w:val="Titre5"/>
    <w:uiPriority w:val="9"/>
    <w:rsid w:val="00210749"/>
    <w:rPr>
      <w:rFonts w:asciiTheme="majorHAnsi" w:eastAsiaTheme="majorEastAsia" w:hAnsiTheme="majorHAnsi" w:cstheme="majorBidi"/>
      <w:color w:val="9F0040" w:themeColor="accent1" w:themeShade="BF"/>
      <w:lang w:val="fr-CA"/>
    </w:rPr>
  </w:style>
  <w:style w:type="paragraph" w:styleId="Paragraphedeliste">
    <w:name w:val="List Paragraph"/>
    <w:basedOn w:val="Normal"/>
    <w:uiPriority w:val="34"/>
    <w:qFormat/>
    <w:rsid w:val="00210749"/>
    <w:pPr>
      <w:spacing w:after="320"/>
      <w:contextualSpacing/>
    </w:pPr>
  </w:style>
  <w:style w:type="paragraph" w:customStyle="1" w:styleId="NormalWhiteforBox">
    <w:name w:val="Normal White for Box"/>
    <w:basedOn w:val="Normal"/>
    <w:qFormat/>
    <w:rsid w:val="00210749"/>
  </w:style>
  <w:style w:type="paragraph" w:customStyle="1" w:styleId="Numberedlist">
    <w:name w:val="Numbered list"/>
    <w:basedOn w:val="Paragraphedeliste"/>
    <w:qFormat/>
    <w:rsid w:val="00210749"/>
  </w:style>
  <w:style w:type="paragraph" w:styleId="Sous-titre">
    <w:name w:val="Subtitle"/>
    <w:basedOn w:val="Normal"/>
    <w:next w:val="Normal"/>
    <w:link w:val="Sous-titreCar"/>
    <w:uiPriority w:val="11"/>
    <w:qFormat/>
    <w:rsid w:val="00210749"/>
    <w:rPr>
      <w:rFonts w:ascii="Segoe UI Light" w:hAnsi="Segoe UI Light" w:cs="Segoe UI Light"/>
      <w:sz w:val="36"/>
      <w:szCs w:val="36"/>
    </w:rPr>
  </w:style>
  <w:style w:type="character" w:customStyle="1" w:styleId="Sous-titreCar">
    <w:name w:val="Sous-titre Car"/>
    <w:basedOn w:val="Policepardfaut"/>
    <w:link w:val="Sous-titre"/>
    <w:uiPriority w:val="11"/>
    <w:rsid w:val="00210749"/>
    <w:rPr>
      <w:rFonts w:ascii="Segoe UI Light" w:hAnsi="Segoe UI Light" w:cs="Segoe UI Light"/>
      <w:color w:val="54575A" w:themeColor="text1"/>
      <w:sz w:val="36"/>
      <w:szCs w:val="36"/>
      <w:lang w:val="fr-CA"/>
    </w:rPr>
  </w:style>
  <w:style w:type="table" w:styleId="Grilledutableau">
    <w:name w:val="Table Grid"/>
    <w:basedOn w:val="TableauNormal"/>
    <w:uiPriority w:val="39"/>
    <w:rsid w:val="0021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Titre2"/>
    <w:qFormat/>
    <w:rsid w:val="004602B9"/>
    <w:rPr>
      <w:rFonts w:ascii="Segoe UI Semibold" w:hAnsi="Segoe UI Semibold"/>
      <w:b w:val="0"/>
      <w:color w:val="auto"/>
      <w:sz w:val="22"/>
    </w:rPr>
  </w:style>
  <w:style w:type="paragraph" w:styleId="Titre">
    <w:name w:val="Title"/>
    <w:basedOn w:val="Normal"/>
    <w:next w:val="Normal"/>
    <w:link w:val="TitreCar"/>
    <w:autoRedefine/>
    <w:uiPriority w:val="10"/>
    <w:qFormat/>
    <w:rsid w:val="00C07DD2"/>
    <w:pPr>
      <w:spacing w:after="240" w:line="240" w:lineRule="auto"/>
    </w:pPr>
    <w:rPr>
      <w:rFonts w:ascii="Segoe UI Light" w:eastAsiaTheme="majorEastAsia" w:hAnsi="Segoe UI Light" w:cs="Segoe UI Light"/>
      <w:spacing w:val="-10"/>
      <w:kern w:val="28"/>
      <w:sz w:val="52"/>
      <w:szCs w:val="120"/>
      <w:lang w:val="fr-CA"/>
    </w:rPr>
  </w:style>
  <w:style w:type="character" w:customStyle="1" w:styleId="TitreCar">
    <w:name w:val="Titre Car"/>
    <w:basedOn w:val="Policepardfaut"/>
    <w:link w:val="Titre"/>
    <w:uiPriority w:val="10"/>
    <w:rsid w:val="00C07DD2"/>
    <w:rPr>
      <w:rFonts w:ascii="Segoe UI Light" w:eastAsiaTheme="majorEastAsia" w:hAnsi="Segoe UI Light" w:cs="Segoe UI Light"/>
      <w:spacing w:val="-10"/>
      <w:kern w:val="28"/>
      <w:sz w:val="52"/>
      <w:szCs w:val="120"/>
      <w:lang w:val="fr-CA"/>
    </w:rPr>
  </w:style>
  <w:style w:type="paragraph" w:styleId="NormalWeb">
    <w:name w:val="Normal (Web)"/>
    <w:basedOn w:val="Normal"/>
    <w:uiPriority w:val="99"/>
    <w:unhideWhenUsed/>
    <w:rsid w:val="00A01BA6"/>
    <w:pPr>
      <w:spacing w:before="100" w:beforeAutospacing="1" w:after="100" w:afterAutospacing="1" w:line="240" w:lineRule="auto"/>
    </w:pPr>
    <w:rPr>
      <w:rFonts w:ascii="Times New Roman" w:eastAsiaTheme="minorEastAsia" w:hAnsi="Times New Roman" w:cs="Times New Roman"/>
      <w:sz w:val="24"/>
      <w:szCs w:val="24"/>
      <w:lang w:eastAsia="en-CA"/>
    </w:rPr>
  </w:style>
  <w:style w:type="table" w:styleId="TableauGrille1Clair">
    <w:name w:val="Grid Table 1 Light"/>
    <w:basedOn w:val="TableauNormal"/>
    <w:uiPriority w:val="46"/>
    <w:rsid w:val="00E65ADE"/>
    <w:pPr>
      <w:spacing w:after="0" w:line="240" w:lineRule="auto"/>
    </w:pPr>
    <w:tblPr>
      <w:tblStyleRowBandSize w:val="1"/>
      <w:tblStyleColBandSize w:val="1"/>
      <w:tblBorders>
        <w:top w:val="single" w:sz="4" w:space="0" w:color="B9BBBE" w:themeColor="text1" w:themeTint="66"/>
        <w:left w:val="single" w:sz="4" w:space="0" w:color="B9BBBE" w:themeColor="text1" w:themeTint="66"/>
        <w:bottom w:val="single" w:sz="4" w:space="0" w:color="B9BBBE" w:themeColor="text1" w:themeTint="66"/>
        <w:right w:val="single" w:sz="4" w:space="0" w:color="B9BBBE" w:themeColor="text1" w:themeTint="66"/>
        <w:insideH w:val="single" w:sz="4" w:space="0" w:color="B9BBBE" w:themeColor="text1" w:themeTint="66"/>
        <w:insideV w:val="single" w:sz="4" w:space="0" w:color="B9BBBE" w:themeColor="text1" w:themeTint="66"/>
      </w:tblBorders>
    </w:tblPr>
    <w:tblStylePr w:type="firstRow">
      <w:rPr>
        <w:b/>
        <w:bCs/>
      </w:rPr>
      <w:tblPr/>
      <w:tcPr>
        <w:tcBorders>
          <w:bottom w:val="single" w:sz="12" w:space="0" w:color="969A9D" w:themeColor="text1" w:themeTint="99"/>
        </w:tcBorders>
      </w:tcPr>
    </w:tblStylePr>
    <w:tblStylePr w:type="lastRow">
      <w:rPr>
        <w:b/>
        <w:bCs/>
      </w:rPr>
      <w:tblPr/>
      <w:tcPr>
        <w:tcBorders>
          <w:top w:val="double" w:sz="2" w:space="0" w:color="969A9D" w:themeColor="text1" w:themeTint="99"/>
        </w:tcBorders>
      </w:tcPr>
    </w:tblStylePr>
    <w:tblStylePr w:type="firstCol">
      <w:rPr>
        <w:b/>
        <w:bCs/>
      </w:rPr>
    </w:tblStylePr>
    <w:tblStylePr w:type="lastCol">
      <w:rPr>
        <w:b/>
        <w:bCs/>
      </w:rPr>
    </w:tblStylePr>
  </w:style>
  <w:style w:type="paragraph" w:styleId="Lgende">
    <w:name w:val="caption"/>
    <w:basedOn w:val="Normal"/>
    <w:next w:val="Normal"/>
    <w:uiPriority w:val="35"/>
    <w:unhideWhenUsed/>
    <w:qFormat/>
    <w:rsid w:val="004602B9"/>
    <w:pPr>
      <w:spacing w:after="200" w:line="240" w:lineRule="auto"/>
    </w:pPr>
    <w:rPr>
      <w:i/>
      <w:iCs/>
      <w:color w:val="54575A" w:themeColor="text2"/>
      <w:sz w:val="18"/>
      <w:szCs w:val="18"/>
    </w:rPr>
  </w:style>
  <w:style w:type="character" w:styleId="lev">
    <w:name w:val="Strong"/>
    <w:basedOn w:val="Policepardfaut"/>
    <w:uiPriority w:val="22"/>
    <w:qFormat/>
    <w:rsid w:val="003A516C"/>
    <w:rPr>
      <w:rFonts w:asciiTheme="minorHAnsi" w:hAnsiTheme="minorHAnsi"/>
      <w:b/>
      <w:bCs/>
      <w:color w:val="auto"/>
      <w:sz w:val="22"/>
    </w:rPr>
  </w:style>
  <w:style w:type="character" w:styleId="Accentuation">
    <w:name w:val="Emphasis"/>
    <w:basedOn w:val="Policepardfaut"/>
    <w:uiPriority w:val="20"/>
    <w:qFormat/>
    <w:rsid w:val="008E05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8628">
      <w:bodyDiv w:val="1"/>
      <w:marLeft w:val="0"/>
      <w:marRight w:val="0"/>
      <w:marTop w:val="0"/>
      <w:marBottom w:val="0"/>
      <w:divBdr>
        <w:top w:val="none" w:sz="0" w:space="0" w:color="auto"/>
        <w:left w:val="none" w:sz="0" w:space="0" w:color="auto"/>
        <w:bottom w:val="none" w:sz="0" w:space="0" w:color="auto"/>
        <w:right w:val="none" w:sz="0" w:space="0" w:color="auto"/>
      </w:divBdr>
    </w:div>
    <w:div w:id="38819029">
      <w:bodyDiv w:val="1"/>
      <w:marLeft w:val="0"/>
      <w:marRight w:val="0"/>
      <w:marTop w:val="0"/>
      <w:marBottom w:val="0"/>
      <w:divBdr>
        <w:top w:val="none" w:sz="0" w:space="0" w:color="auto"/>
        <w:left w:val="none" w:sz="0" w:space="0" w:color="auto"/>
        <w:bottom w:val="none" w:sz="0" w:space="0" w:color="auto"/>
        <w:right w:val="none" w:sz="0" w:space="0" w:color="auto"/>
      </w:divBdr>
      <w:divsChild>
        <w:div w:id="966471997">
          <w:marLeft w:val="1080"/>
          <w:marRight w:val="0"/>
          <w:marTop w:val="100"/>
          <w:marBottom w:val="0"/>
          <w:divBdr>
            <w:top w:val="none" w:sz="0" w:space="0" w:color="auto"/>
            <w:left w:val="none" w:sz="0" w:space="0" w:color="auto"/>
            <w:bottom w:val="none" w:sz="0" w:space="0" w:color="auto"/>
            <w:right w:val="none" w:sz="0" w:space="0" w:color="auto"/>
          </w:divBdr>
        </w:div>
        <w:div w:id="1243905043">
          <w:marLeft w:val="1080"/>
          <w:marRight w:val="0"/>
          <w:marTop w:val="100"/>
          <w:marBottom w:val="0"/>
          <w:divBdr>
            <w:top w:val="none" w:sz="0" w:space="0" w:color="auto"/>
            <w:left w:val="none" w:sz="0" w:space="0" w:color="auto"/>
            <w:bottom w:val="none" w:sz="0" w:space="0" w:color="auto"/>
            <w:right w:val="none" w:sz="0" w:space="0" w:color="auto"/>
          </w:divBdr>
        </w:div>
      </w:divsChild>
    </w:div>
    <w:div w:id="91901403">
      <w:bodyDiv w:val="1"/>
      <w:marLeft w:val="0"/>
      <w:marRight w:val="0"/>
      <w:marTop w:val="0"/>
      <w:marBottom w:val="0"/>
      <w:divBdr>
        <w:top w:val="none" w:sz="0" w:space="0" w:color="auto"/>
        <w:left w:val="none" w:sz="0" w:space="0" w:color="auto"/>
        <w:bottom w:val="none" w:sz="0" w:space="0" w:color="auto"/>
        <w:right w:val="none" w:sz="0" w:space="0" w:color="auto"/>
      </w:divBdr>
    </w:div>
    <w:div w:id="93862402">
      <w:bodyDiv w:val="1"/>
      <w:marLeft w:val="0"/>
      <w:marRight w:val="0"/>
      <w:marTop w:val="0"/>
      <w:marBottom w:val="0"/>
      <w:divBdr>
        <w:top w:val="none" w:sz="0" w:space="0" w:color="auto"/>
        <w:left w:val="none" w:sz="0" w:space="0" w:color="auto"/>
        <w:bottom w:val="none" w:sz="0" w:space="0" w:color="auto"/>
        <w:right w:val="none" w:sz="0" w:space="0" w:color="auto"/>
      </w:divBdr>
      <w:divsChild>
        <w:div w:id="211310780">
          <w:marLeft w:val="360"/>
          <w:marRight w:val="0"/>
          <w:marTop w:val="200"/>
          <w:marBottom w:val="0"/>
          <w:divBdr>
            <w:top w:val="none" w:sz="0" w:space="0" w:color="auto"/>
            <w:left w:val="none" w:sz="0" w:space="0" w:color="auto"/>
            <w:bottom w:val="none" w:sz="0" w:space="0" w:color="auto"/>
            <w:right w:val="none" w:sz="0" w:space="0" w:color="auto"/>
          </w:divBdr>
        </w:div>
        <w:div w:id="1088582334">
          <w:marLeft w:val="360"/>
          <w:marRight w:val="0"/>
          <w:marTop w:val="200"/>
          <w:marBottom w:val="0"/>
          <w:divBdr>
            <w:top w:val="none" w:sz="0" w:space="0" w:color="auto"/>
            <w:left w:val="none" w:sz="0" w:space="0" w:color="auto"/>
            <w:bottom w:val="none" w:sz="0" w:space="0" w:color="auto"/>
            <w:right w:val="none" w:sz="0" w:space="0" w:color="auto"/>
          </w:divBdr>
        </w:div>
      </w:divsChild>
    </w:div>
    <w:div w:id="145981089">
      <w:bodyDiv w:val="1"/>
      <w:marLeft w:val="0"/>
      <w:marRight w:val="0"/>
      <w:marTop w:val="0"/>
      <w:marBottom w:val="0"/>
      <w:divBdr>
        <w:top w:val="none" w:sz="0" w:space="0" w:color="auto"/>
        <w:left w:val="none" w:sz="0" w:space="0" w:color="auto"/>
        <w:bottom w:val="none" w:sz="0" w:space="0" w:color="auto"/>
        <w:right w:val="none" w:sz="0" w:space="0" w:color="auto"/>
      </w:divBdr>
    </w:div>
    <w:div w:id="183832640">
      <w:bodyDiv w:val="1"/>
      <w:marLeft w:val="0"/>
      <w:marRight w:val="0"/>
      <w:marTop w:val="0"/>
      <w:marBottom w:val="0"/>
      <w:divBdr>
        <w:top w:val="none" w:sz="0" w:space="0" w:color="auto"/>
        <w:left w:val="none" w:sz="0" w:space="0" w:color="auto"/>
        <w:bottom w:val="none" w:sz="0" w:space="0" w:color="auto"/>
        <w:right w:val="none" w:sz="0" w:space="0" w:color="auto"/>
      </w:divBdr>
    </w:div>
    <w:div w:id="205530525">
      <w:bodyDiv w:val="1"/>
      <w:marLeft w:val="0"/>
      <w:marRight w:val="0"/>
      <w:marTop w:val="0"/>
      <w:marBottom w:val="0"/>
      <w:divBdr>
        <w:top w:val="none" w:sz="0" w:space="0" w:color="auto"/>
        <w:left w:val="none" w:sz="0" w:space="0" w:color="auto"/>
        <w:bottom w:val="none" w:sz="0" w:space="0" w:color="auto"/>
        <w:right w:val="none" w:sz="0" w:space="0" w:color="auto"/>
      </w:divBdr>
    </w:div>
    <w:div w:id="210533539">
      <w:bodyDiv w:val="1"/>
      <w:marLeft w:val="0"/>
      <w:marRight w:val="0"/>
      <w:marTop w:val="0"/>
      <w:marBottom w:val="0"/>
      <w:divBdr>
        <w:top w:val="none" w:sz="0" w:space="0" w:color="auto"/>
        <w:left w:val="none" w:sz="0" w:space="0" w:color="auto"/>
        <w:bottom w:val="none" w:sz="0" w:space="0" w:color="auto"/>
        <w:right w:val="none" w:sz="0" w:space="0" w:color="auto"/>
      </w:divBdr>
      <w:divsChild>
        <w:div w:id="251286053">
          <w:marLeft w:val="446"/>
          <w:marRight w:val="0"/>
          <w:marTop w:val="0"/>
          <w:marBottom w:val="0"/>
          <w:divBdr>
            <w:top w:val="none" w:sz="0" w:space="0" w:color="auto"/>
            <w:left w:val="none" w:sz="0" w:space="0" w:color="auto"/>
            <w:bottom w:val="none" w:sz="0" w:space="0" w:color="auto"/>
            <w:right w:val="none" w:sz="0" w:space="0" w:color="auto"/>
          </w:divBdr>
        </w:div>
        <w:div w:id="222258797">
          <w:marLeft w:val="446"/>
          <w:marRight w:val="0"/>
          <w:marTop w:val="200"/>
          <w:marBottom w:val="0"/>
          <w:divBdr>
            <w:top w:val="none" w:sz="0" w:space="0" w:color="auto"/>
            <w:left w:val="none" w:sz="0" w:space="0" w:color="auto"/>
            <w:bottom w:val="none" w:sz="0" w:space="0" w:color="auto"/>
            <w:right w:val="none" w:sz="0" w:space="0" w:color="auto"/>
          </w:divBdr>
        </w:div>
      </w:divsChild>
    </w:div>
    <w:div w:id="227810494">
      <w:bodyDiv w:val="1"/>
      <w:marLeft w:val="0"/>
      <w:marRight w:val="0"/>
      <w:marTop w:val="0"/>
      <w:marBottom w:val="0"/>
      <w:divBdr>
        <w:top w:val="none" w:sz="0" w:space="0" w:color="auto"/>
        <w:left w:val="none" w:sz="0" w:space="0" w:color="auto"/>
        <w:bottom w:val="none" w:sz="0" w:space="0" w:color="auto"/>
        <w:right w:val="none" w:sz="0" w:space="0" w:color="auto"/>
      </w:divBdr>
    </w:div>
    <w:div w:id="245579735">
      <w:bodyDiv w:val="1"/>
      <w:marLeft w:val="0"/>
      <w:marRight w:val="0"/>
      <w:marTop w:val="0"/>
      <w:marBottom w:val="0"/>
      <w:divBdr>
        <w:top w:val="none" w:sz="0" w:space="0" w:color="auto"/>
        <w:left w:val="none" w:sz="0" w:space="0" w:color="auto"/>
        <w:bottom w:val="none" w:sz="0" w:space="0" w:color="auto"/>
        <w:right w:val="none" w:sz="0" w:space="0" w:color="auto"/>
      </w:divBdr>
      <w:divsChild>
        <w:div w:id="273025836">
          <w:marLeft w:val="360"/>
          <w:marRight w:val="0"/>
          <w:marTop w:val="0"/>
          <w:marBottom w:val="0"/>
          <w:divBdr>
            <w:top w:val="none" w:sz="0" w:space="0" w:color="auto"/>
            <w:left w:val="none" w:sz="0" w:space="0" w:color="auto"/>
            <w:bottom w:val="none" w:sz="0" w:space="0" w:color="auto"/>
            <w:right w:val="none" w:sz="0" w:space="0" w:color="auto"/>
          </w:divBdr>
        </w:div>
        <w:div w:id="1332950315">
          <w:marLeft w:val="1080"/>
          <w:marRight w:val="0"/>
          <w:marTop w:val="0"/>
          <w:marBottom w:val="0"/>
          <w:divBdr>
            <w:top w:val="none" w:sz="0" w:space="0" w:color="auto"/>
            <w:left w:val="none" w:sz="0" w:space="0" w:color="auto"/>
            <w:bottom w:val="none" w:sz="0" w:space="0" w:color="auto"/>
            <w:right w:val="none" w:sz="0" w:space="0" w:color="auto"/>
          </w:divBdr>
        </w:div>
        <w:div w:id="275604881">
          <w:marLeft w:val="1080"/>
          <w:marRight w:val="0"/>
          <w:marTop w:val="0"/>
          <w:marBottom w:val="0"/>
          <w:divBdr>
            <w:top w:val="none" w:sz="0" w:space="0" w:color="auto"/>
            <w:left w:val="none" w:sz="0" w:space="0" w:color="auto"/>
            <w:bottom w:val="none" w:sz="0" w:space="0" w:color="auto"/>
            <w:right w:val="none" w:sz="0" w:space="0" w:color="auto"/>
          </w:divBdr>
        </w:div>
      </w:divsChild>
    </w:div>
    <w:div w:id="462775152">
      <w:bodyDiv w:val="1"/>
      <w:marLeft w:val="0"/>
      <w:marRight w:val="0"/>
      <w:marTop w:val="0"/>
      <w:marBottom w:val="0"/>
      <w:divBdr>
        <w:top w:val="none" w:sz="0" w:space="0" w:color="auto"/>
        <w:left w:val="none" w:sz="0" w:space="0" w:color="auto"/>
        <w:bottom w:val="none" w:sz="0" w:space="0" w:color="auto"/>
        <w:right w:val="none" w:sz="0" w:space="0" w:color="auto"/>
      </w:divBdr>
    </w:div>
    <w:div w:id="495415076">
      <w:bodyDiv w:val="1"/>
      <w:marLeft w:val="0"/>
      <w:marRight w:val="0"/>
      <w:marTop w:val="0"/>
      <w:marBottom w:val="0"/>
      <w:divBdr>
        <w:top w:val="none" w:sz="0" w:space="0" w:color="auto"/>
        <w:left w:val="none" w:sz="0" w:space="0" w:color="auto"/>
        <w:bottom w:val="none" w:sz="0" w:space="0" w:color="auto"/>
        <w:right w:val="none" w:sz="0" w:space="0" w:color="auto"/>
      </w:divBdr>
    </w:div>
    <w:div w:id="496965637">
      <w:bodyDiv w:val="1"/>
      <w:marLeft w:val="0"/>
      <w:marRight w:val="0"/>
      <w:marTop w:val="0"/>
      <w:marBottom w:val="0"/>
      <w:divBdr>
        <w:top w:val="none" w:sz="0" w:space="0" w:color="auto"/>
        <w:left w:val="none" w:sz="0" w:space="0" w:color="auto"/>
        <w:bottom w:val="none" w:sz="0" w:space="0" w:color="auto"/>
        <w:right w:val="none" w:sz="0" w:space="0" w:color="auto"/>
      </w:divBdr>
      <w:divsChild>
        <w:div w:id="63914713">
          <w:marLeft w:val="360"/>
          <w:marRight w:val="0"/>
          <w:marTop w:val="200"/>
          <w:marBottom w:val="0"/>
          <w:divBdr>
            <w:top w:val="none" w:sz="0" w:space="0" w:color="auto"/>
            <w:left w:val="none" w:sz="0" w:space="0" w:color="auto"/>
            <w:bottom w:val="none" w:sz="0" w:space="0" w:color="auto"/>
            <w:right w:val="none" w:sz="0" w:space="0" w:color="auto"/>
          </w:divBdr>
        </w:div>
      </w:divsChild>
    </w:div>
    <w:div w:id="642807327">
      <w:bodyDiv w:val="1"/>
      <w:marLeft w:val="0"/>
      <w:marRight w:val="0"/>
      <w:marTop w:val="0"/>
      <w:marBottom w:val="0"/>
      <w:divBdr>
        <w:top w:val="none" w:sz="0" w:space="0" w:color="auto"/>
        <w:left w:val="none" w:sz="0" w:space="0" w:color="auto"/>
        <w:bottom w:val="none" w:sz="0" w:space="0" w:color="auto"/>
        <w:right w:val="none" w:sz="0" w:space="0" w:color="auto"/>
      </w:divBdr>
    </w:div>
    <w:div w:id="676538682">
      <w:bodyDiv w:val="1"/>
      <w:marLeft w:val="0"/>
      <w:marRight w:val="0"/>
      <w:marTop w:val="0"/>
      <w:marBottom w:val="0"/>
      <w:divBdr>
        <w:top w:val="none" w:sz="0" w:space="0" w:color="auto"/>
        <w:left w:val="none" w:sz="0" w:space="0" w:color="auto"/>
        <w:bottom w:val="none" w:sz="0" w:space="0" w:color="auto"/>
        <w:right w:val="none" w:sz="0" w:space="0" w:color="auto"/>
      </w:divBdr>
    </w:div>
    <w:div w:id="744570634">
      <w:bodyDiv w:val="1"/>
      <w:marLeft w:val="0"/>
      <w:marRight w:val="0"/>
      <w:marTop w:val="0"/>
      <w:marBottom w:val="0"/>
      <w:divBdr>
        <w:top w:val="none" w:sz="0" w:space="0" w:color="auto"/>
        <w:left w:val="none" w:sz="0" w:space="0" w:color="auto"/>
        <w:bottom w:val="none" w:sz="0" w:space="0" w:color="auto"/>
        <w:right w:val="none" w:sz="0" w:space="0" w:color="auto"/>
      </w:divBdr>
    </w:div>
    <w:div w:id="859272665">
      <w:bodyDiv w:val="1"/>
      <w:marLeft w:val="0"/>
      <w:marRight w:val="0"/>
      <w:marTop w:val="0"/>
      <w:marBottom w:val="0"/>
      <w:divBdr>
        <w:top w:val="none" w:sz="0" w:space="0" w:color="auto"/>
        <w:left w:val="none" w:sz="0" w:space="0" w:color="auto"/>
        <w:bottom w:val="none" w:sz="0" w:space="0" w:color="auto"/>
        <w:right w:val="none" w:sz="0" w:space="0" w:color="auto"/>
      </w:divBdr>
    </w:div>
    <w:div w:id="883563597">
      <w:bodyDiv w:val="1"/>
      <w:marLeft w:val="0"/>
      <w:marRight w:val="0"/>
      <w:marTop w:val="0"/>
      <w:marBottom w:val="0"/>
      <w:divBdr>
        <w:top w:val="none" w:sz="0" w:space="0" w:color="auto"/>
        <w:left w:val="none" w:sz="0" w:space="0" w:color="auto"/>
        <w:bottom w:val="none" w:sz="0" w:space="0" w:color="auto"/>
        <w:right w:val="none" w:sz="0" w:space="0" w:color="auto"/>
      </w:divBdr>
      <w:divsChild>
        <w:div w:id="165095953">
          <w:marLeft w:val="547"/>
          <w:marRight w:val="0"/>
          <w:marTop w:val="0"/>
          <w:marBottom w:val="0"/>
          <w:divBdr>
            <w:top w:val="none" w:sz="0" w:space="0" w:color="auto"/>
            <w:left w:val="none" w:sz="0" w:space="0" w:color="auto"/>
            <w:bottom w:val="none" w:sz="0" w:space="0" w:color="auto"/>
            <w:right w:val="none" w:sz="0" w:space="0" w:color="auto"/>
          </w:divBdr>
        </w:div>
        <w:div w:id="60374308">
          <w:marLeft w:val="547"/>
          <w:marRight w:val="0"/>
          <w:marTop w:val="0"/>
          <w:marBottom w:val="0"/>
          <w:divBdr>
            <w:top w:val="none" w:sz="0" w:space="0" w:color="auto"/>
            <w:left w:val="none" w:sz="0" w:space="0" w:color="auto"/>
            <w:bottom w:val="none" w:sz="0" w:space="0" w:color="auto"/>
            <w:right w:val="none" w:sz="0" w:space="0" w:color="auto"/>
          </w:divBdr>
        </w:div>
      </w:divsChild>
    </w:div>
    <w:div w:id="977421520">
      <w:bodyDiv w:val="1"/>
      <w:marLeft w:val="0"/>
      <w:marRight w:val="0"/>
      <w:marTop w:val="0"/>
      <w:marBottom w:val="0"/>
      <w:divBdr>
        <w:top w:val="none" w:sz="0" w:space="0" w:color="auto"/>
        <w:left w:val="none" w:sz="0" w:space="0" w:color="auto"/>
        <w:bottom w:val="none" w:sz="0" w:space="0" w:color="auto"/>
        <w:right w:val="none" w:sz="0" w:space="0" w:color="auto"/>
      </w:divBdr>
    </w:div>
    <w:div w:id="982540643">
      <w:bodyDiv w:val="1"/>
      <w:marLeft w:val="0"/>
      <w:marRight w:val="0"/>
      <w:marTop w:val="0"/>
      <w:marBottom w:val="0"/>
      <w:divBdr>
        <w:top w:val="none" w:sz="0" w:space="0" w:color="auto"/>
        <w:left w:val="none" w:sz="0" w:space="0" w:color="auto"/>
        <w:bottom w:val="none" w:sz="0" w:space="0" w:color="auto"/>
        <w:right w:val="none" w:sz="0" w:space="0" w:color="auto"/>
      </w:divBdr>
    </w:div>
    <w:div w:id="1002507505">
      <w:bodyDiv w:val="1"/>
      <w:marLeft w:val="0"/>
      <w:marRight w:val="0"/>
      <w:marTop w:val="0"/>
      <w:marBottom w:val="0"/>
      <w:divBdr>
        <w:top w:val="none" w:sz="0" w:space="0" w:color="auto"/>
        <w:left w:val="none" w:sz="0" w:space="0" w:color="auto"/>
        <w:bottom w:val="none" w:sz="0" w:space="0" w:color="auto"/>
        <w:right w:val="none" w:sz="0" w:space="0" w:color="auto"/>
      </w:divBdr>
    </w:div>
    <w:div w:id="1064258502">
      <w:bodyDiv w:val="1"/>
      <w:marLeft w:val="0"/>
      <w:marRight w:val="0"/>
      <w:marTop w:val="0"/>
      <w:marBottom w:val="0"/>
      <w:divBdr>
        <w:top w:val="none" w:sz="0" w:space="0" w:color="auto"/>
        <w:left w:val="none" w:sz="0" w:space="0" w:color="auto"/>
        <w:bottom w:val="none" w:sz="0" w:space="0" w:color="auto"/>
        <w:right w:val="none" w:sz="0" w:space="0" w:color="auto"/>
      </w:divBdr>
    </w:div>
    <w:div w:id="1073048744">
      <w:bodyDiv w:val="1"/>
      <w:marLeft w:val="0"/>
      <w:marRight w:val="0"/>
      <w:marTop w:val="0"/>
      <w:marBottom w:val="0"/>
      <w:divBdr>
        <w:top w:val="none" w:sz="0" w:space="0" w:color="auto"/>
        <w:left w:val="none" w:sz="0" w:space="0" w:color="auto"/>
        <w:bottom w:val="none" w:sz="0" w:space="0" w:color="auto"/>
        <w:right w:val="none" w:sz="0" w:space="0" w:color="auto"/>
      </w:divBdr>
      <w:divsChild>
        <w:div w:id="1146362293">
          <w:marLeft w:val="1800"/>
          <w:marRight w:val="0"/>
          <w:marTop w:val="100"/>
          <w:marBottom w:val="0"/>
          <w:divBdr>
            <w:top w:val="none" w:sz="0" w:space="0" w:color="auto"/>
            <w:left w:val="none" w:sz="0" w:space="0" w:color="auto"/>
            <w:bottom w:val="none" w:sz="0" w:space="0" w:color="auto"/>
            <w:right w:val="none" w:sz="0" w:space="0" w:color="auto"/>
          </w:divBdr>
        </w:div>
        <w:div w:id="594092072">
          <w:marLeft w:val="1800"/>
          <w:marRight w:val="0"/>
          <w:marTop w:val="100"/>
          <w:marBottom w:val="0"/>
          <w:divBdr>
            <w:top w:val="none" w:sz="0" w:space="0" w:color="auto"/>
            <w:left w:val="none" w:sz="0" w:space="0" w:color="auto"/>
            <w:bottom w:val="none" w:sz="0" w:space="0" w:color="auto"/>
            <w:right w:val="none" w:sz="0" w:space="0" w:color="auto"/>
          </w:divBdr>
        </w:div>
      </w:divsChild>
    </w:div>
    <w:div w:id="1139804779">
      <w:bodyDiv w:val="1"/>
      <w:marLeft w:val="0"/>
      <w:marRight w:val="0"/>
      <w:marTop w:val="0"/>
      <w:marBottom w:val="0"/>
      <w:divBdr>
        <w:top w:val="none" w:sz="0" w:space="0" w:color="auto"/>
        <w:left w:val="none" w:sz="0" w:space="0" w:color="auto"/>
        <w:bottom w:val="none" w:sz="0" w:space="0" w:color="auto"/>
        <w:right w:val="none" w:sz="0" w:space="0" w:color="auto"/>
      </w:divBdr>
      <w:divsChild>
        <w:div w:id="1789156491">
          <w:marLeft w:val="1080"/>
          <w:marRight w:val="0"/>
          <w:marTop w:val="100"/>
          <w:marBottom w:val="0"/>
          <w:divBdr>
            <w:top w:val="none" w:sz="0" w:space="0" w:color="auto"/>
            <w:left w:val="none" w:sz="0" w:space="0" w:color="auto"/>
            <w:bottom w:val="none" w:sz="0" w:space="0" w:color="auto"/>
            <w:right w:val="none" w:sz="0" w:space="0" w:color="auto"/>
          </w:divBdr>
        </w:div>
        <w:div w:id="1929655031">
          <w:marLeft w:val="1080"/>
          <w:marRight w:val="0"/>
          <w:marTop w:val="100"/>
          <w:marBottom w:val="0"/>
          <w:divBdr>
            <w:top w:val="none" w:sz="0" w:space="0" w:color="auto"/>
            <w:left w:val="none" w:sz="0" w:space="0" w:color="auto"/>
            <w:bottom w:val="none" w:sz="0" w:space="0" w:color="auto"/>
            <w:right w:val="none" w:sz="0" w:space="0" w:color="auto"/>
          </w:divBdr>
        </w:div>
        <w:div w:id="798575576">
          <w:marLeft w:val="1080"/>
          <w:marRight w:val="0"/>
          <w:marTop w:val="100"/>
          <w:marBottom w:val="0"/>
          <w:divBdr>
            <w:top w:val="none" w:sz="0" w:space="0" w:color="auto"/>
            <w:left w:val="none" w:sz="0" w:space="0" w:color="auto"/>
            <w:bottom w:val="none" w:sz="0" w:space="0" w:color="auto"/>
            <w:right w:val="none" w:sz="0" w:space="0" w:color="auto"/>
          </w:divBdr>
        </w:div>
      </w:divsChild>
    </w:div>
    <w:div w:id="1172989146">
      <w:bodyDiv w:val="1"/>
      <w:marLeft w:val="0"/>
      <w:marRight w:val="0"/>
      <w:marTop w:val="0"/>
      <w:marBottom w:val="0"/>
      <w:divBdr>
        <w:top w:val="none" w:sz="0" w:space="0" w:color="auto"/>
        <w:left w:val="none" w:sz="0" w:space="0" w:color="auto"/>
        <w:bottom w:val="none" w:sz="0" w:space="0" w:color="auto"/>
        <w:right w:val="none" w:sz="0" w:space="0" w:color="auto"/>
      </w:divBdr>
      <w:divsChild>
        <w:div w:id="2044358383">
          <w:marLeft w:val="1080"/>
          <w:marRight w:val="0"/>
          <w:marTop w:val="100"/>
          <w:marBottom w:val="0"/>
          <w:divBdr>
            <w:top w:val="none" w:sz="0" w:space="0" w:color="auto"/>
            <w:left w:val="none" w:sz="0" w:space="0" w:color="auto"/>
            <w:bottom w:val="none" w:sz="0" w:space="0" w:color="auto"/>
            <w:right w:val="none" w:sz="0" w:space="0" w:color="auto"/>
          </w:divBdr>
        </w:div>
        <w:div w:id="515117756">
          <w:marLeft w:val="1080"/>
          <w:marRight w:val="0"/>
          <w:marTop w:val="100"/>
          <w:marBottom w:val="0"/>
          <w:divBdr>
            <w:top w:val="none" w:sz="0" w:space="0" w:color="auto"/>
            <w:left w:val="none" w:sz="0" w:space="0" w:color="auto"/>
            <w:bottom w:val="none" w:sz="0" w:space="0" w:color="auto"/>
            <w:right w:val="none" w:sz="0" w:space="0" w:color="auto"/>
          </w:divBdr>
        </w:div>
      </w:divsChild>
    </w:div>
    <w:div w:id="1277055334">
      <w:bodyDiv w:val="1"/>
      <w:marLeft w:val="0"/>
      <w:marRight w:val="0"/>
      <w:marTop w:val="0"/>
      <w:marBottom w:val="0"/>
      <w:divBdr>
        <w:top w:val="none" w:sz="0" w:space="0" w:color="auto"/>
        <w:left w:val="none" w:sz="0" w:space="0" w:color="auto"/>
        <w:bottom w:val="none" w:sz="0" w:space="0" w:color="auto"/>
        <w:right w:val="none" w:sz="0" w:space="0" w:color="auto"/>
      </w:divBdr>
      <w:divsChild>
        <w:div w:id="1656641338">
          <w:marLeft w:val="360"/>
          <w:marRight w:val="0"/>
          <w:marTop w:val="0"/>
          <w:marBottom w:val="0"/>
          <w:divBdr>
            <w:top w:val="none" w:sz="0" w:space="0" w:color="auto"/>
            <w:left w:val="none" w:sz="0" w:space="0" w:color="auto"/>
            <w:bottom w:val="none" w:sz="0" w:space="0" w:color="auto"/>
            <w:right w:val="none" w:sz="0" w:space="0" w:color="auto"/>
          </w:divBdr>
        </w:div>
        <w:div w:id="1834179653">
          <w:marLeft w:val="360"/>
          <w:marRight w:val="0"/>
          <w:marTop w:val="0"/>
          <w:marBottom w:val="0"/>
          <w:divBdr>
            <w:top w:val="none" w:sz="0" w:space="0" w:color="auto"/>
            <w:left w:val="none" w:sz="0" w:space="0" w:color="auto"/>
            <w:bottom w:val="none" w:sz="0" w:space="0" w:color="auto"/>
            <w:right w:val="none" w:sz="0" w:space="0" w:color="auto"/>
          </w:divBdr>
        </w:div>
        <w:div w:id="1152327217">
          <w:marLeft w:val="360"/>
          <w:marRight w:val="0"/>
          <w:marTop w:val="0"/>
          <w:marBottom w:val="0"/>
          <w:divBdr>
            <w:top w:val="none" w:sz="0" w:space="0" w:color="auto"/>
            <w:left w:val="none" w:sz="0" w:space="0" w:color="auto"/>
            <w:bottom w:val="none" w:sz="0" w:space="0" w:color="auto"/>
            <w:right w:val="none" w:sz="0" w:space="0" w:color="auto"/>
          </w:divBdr>
        </w:div>
      </w:divsChild>
    </w:div>
    <w:div w:id="1312252114">
      <w:bodyDiv w:val="1"/>
      <w:marLeft w:val="0"/>
      <w:marRight w:val="0"/>
      <w:marTop w:val="0"/>
      <w:marBottom w:val="0"/>
      <w:divBdr>
        <w:top w:val="none" w:sz="0" w:space="0" w:color="auto"/>
        <w:left w:val="none" w:sz="0" w:space="0" w:color="auto"/>
        <w:bottom w:val="none" w:sz="0" w:space="0" w:color="auto"/>
        <w:right w:val="none" w:sz="0" w:space="0" w:color="auto"/>
      </w:divBdr>
      <w:divsChild>
        <w:div w:id="1537428127">
          <w:marLeft w:val="1166"/>
          <w:marRight w:val="0"/>
          <w:marTop w:val="0"/>
          <w:marBottom w:val="0"/>
          <w:divBdr>
            <w:top w:val="none" w:sz="0" w:space="0" w:color="auto"/>
            <w:left w:val="none" w:sz="0" w:space="0" w:color="auto"/>
            <w:bottom w:val="none" w:sz="0" w:space="0" w:color="auto"/>
            <w:right w:val="none" w:sz="0" w:space="0" w:color="auto"/>
          </w:divBdr>
        </w:div>
        <w:div w:id="1477994795">
          <w:marLeft w:val="1166"/>
          <w:marRight w:val="0"/>
          <w:marTop w:val="0"/>
          <w:marBottom w:val="0"/>
          <w:divBdr>
            <w:top w:val="none" w:sz="0" w:space="0" w:color="auto"/>
            <w:left w:val="none" w:sz="0" w:space="0" w:color="auto"/>
            <w:bottom w:val="none" w:sz="0" w:space="0" w:color="auto"/>
            <w:right w:val="none" w:sz="0" w:space="0" w:color="auto"/>
          </w:divBdr>
        </w:div>
        <w:div w:id="1448160077">
          <w:marLeft w:val="1886"/>
          <w:marRight w:val="0"/>
          <w:marTop w:val="0"/>
          <w:marBottom w:val="0"/>
          <w:divBdr>
            <w:top w:val="none" w:sz="0" w:space="0" w:color="auto"/>
            <w:left w:val="none" w:sz="0" w:space="0" w:color="auto"/>
            <w:bottom w:val="none" w:sz="0" w:space="0" w:color="auto"/>
            <w:right w:val="none" w:sz="0" w:space="0" w:color="auto"/>
          </w:divBdr>
        </w:div>
        <w:div w:id="1606302426">
          <w:marLeft w:val="1886"/>
          <w:marRight w:val="0"/>
          <w:marTop w:val="0"/>
          <w:marBottom w:val="0"/>
          <w:divBdr>
            <w:top w:val="none" w:sz="0" w:space="0" w:color="auto"/>
            <w:left w:val="none" w:sz="0" w:space="0" w:color="auto"/>
            <w:bottom w:val="none" w:sz="0" w:space="0" w:color="auto"/>
            <w:right w:val="none" w:sz="0" w:space="0" w:color="auto"/>
          </w:divBdr>
        </w:div>
      </w:divsChild>
    </w:div>
    <w:div w:id="1343507673">
      <w:bodyDiv w:val="1"/>
      <w:marLeft w:val="0"/>
      <w:marRight w:val="0"/>
      <w:marTop w:val="0"/>
      <w:marBottom w:val="0"/>
      <w:divBdr>
        <w:top w:val="none" w:sz="0" w:space="0" w:color="auto"/>
        <w:left w:val="none" w:sz="0" w:space="0" w:color="auto"/>
        <w:bottom w:val="none" w:sz="0" w:space="0" w:color="auto"/>
        <w:right w:val="none" w:sz="0" w:space="0" w:color="auto"/>
      </w:divBdr>
      <w:divsChild>
        <w:div w:id="1843816676">
          <w:marLeft w:val="360"/>
          <w:marRight w:val="0"/>
          <w:marTop w:val="0"/>
          <w:marBottom w:val="0"/>
          <w:divBdr>
            <w:top w:val="none" w:sz="0" w:space="0" w:color="auto"/>
            <w:left w:val="none" w:sz="0" w:space="0" w:color="auto"/>
            <w:bottom w:val="none" w:sz="0" w:space="0" w:color="auto"/>
            <w:right w:val="none" w:sz="0" w:space="0" w:color="auto"/>
          </w:divBdr>
        </w:div>
        <w:div w:id="1592162221">
          <w:marLeft w:val="1080"/>
          <w:marRight w:val="0"/>
          <w:marTop w:val="0"/>
          <w:marBottom w:val="0"/>
          <w:divBdr>
            <w:top w:val="none" w:sz="0" w:space="0" w:color="auto"/>
            <w:left w:val="none" w:sz="0" w:space="0" w:color="auto"/>
            <w:bottom w:val="none" w:sz="0" w:space="0" w:color="auto"/>
            <w:right w:val="none" w:sz="0" w:space="0" w:color="auto"/>
          </w:divBdr>
        </w:div>
        <w:div w:id="77102214">
          <w:marLeft w:val="1080"/>
          <w:marRight w:val="0"/>
          <w:marTop w:val="0"/>
          <w:marBottom w:val="0"/>
          <w:divBdr>
            <w:top w:val="none" w:sz="0" w:space="0" w:color="auto"/>
            <w:left w:val="none" w:sz="0" w:space="0" w:color="auto"/>
            <w:bottom w:val="none" w:sz="0" w:space="0" w:color="auto"/>
            <w:right w:val="none" w:sz="0" w:space="0" w:color="auto"/>
          </w:divBdr>
        </w:div>
      </w:divsChild>
    </w:div>
    <w:div w:id="1360281984">
      <w:bodyDiv w:val="1"/>
      <w:marLeft w:val="0"/>
      <w:marRight w:val="0"/>
      <w:marTop w:val="0"/>
      <w:marBottom w:val="0"/>
      <w:divBdr>
        <w:top w:val="none" w:sz="0" w:space="0" w:color="auto"/>
        <w:left w:val="none" w:sz="0" w:space="0" w:color="auto"/>
        <w:bottom w:val="none" w:sz="0" w:space="0" w:color="auto"/>
        <w:right w:val="none" w:sz="0" w:space="0" w:color="auto"/>
      </w:divBdr>
    </w:div>
    <w:div w:id="1382753075">
      <w:bodyDiv w:val="1"/>
      <w:marLeft w:val="0"/>
      <w:marRight w:val="0"/>
      <w:marTop w:val="0"/>
      <w:marBottom w:val="0"/>
      <w:divBdr>
        <w:top w:val="none" w:sz="0" w:space="0" w:color="auto"/>
        <w:left w:val="none" w:sz="0" w:space="0" w:color="auto"/>
        <w:bottom w:val="none" w:sz="0" w:space="0" w:color="auto"/>
        <w:right w:val="none" w:sz="0" w:space="0" w:color="auto"/>
      </w:divBdr>
    </w:div>
    <w:div w:id="1530338739">
      <w:bodyDiv w:val="1"/>
      <w:marLeft w:val="0"/>
      <w:marRight w:val="0"/>
      <w:marTop w:val="0"/>
      <w:marBottom w:val="0"/>
      <w:divBdr>
        <w:top w:val="none" w:sz="0" w:space="0" w:color="auto"/>
        <w:left w:val="none" w:sz="0" w:space="0" w:color="auto"/>
        <w:bottom w:val="none" w:sz="0" w:space="0" w:color="auto"/>
        <w:right w:val="none" w:sz="0" w:space="0" w:color="auto"/>
      </w:divBdr>
    </w:div>
    <w:div w:id="1562209850">
      <w:bodyDiv w:val="1"/>
      <w:marLeft w:val="0"/>
      <w:marRight w:val="0"/>
      <w:marTop w:val="0"/>
      <w:marBottom w:val="0"/>
      <w:divBdr>
        <w:top w:val="none" w:sz="0" w:space="0" w:color="auto"/>
        <w:left w:val="none" w:sz="0" w:space="0" w:color="auto"/>
        <w:bottom w:val="none" w:sz="0" w:space="0" w:color="auto"/>
        <w:right w:val="none" w:sz="0" w:space="0" w:color="auto"/>
      </w:divBdr>
    </w:div>
    <w:div w:id="1576821177">
      <w:bodyDiv w:val="1"/>
      <w:marLeft w:val="0"/>
      <w:marRight w:val="0"/>
      <w:marTop w:val="0"/>
      <w:marBottom w:val="0"/>
      <w:divBdr>
        <w:top w:val="none" w:sz="0" w:space="0" w:color="auto"/>
        <w:left w:val="none" w:sz="0" w:space="0" w:color="auto"/>
        <w:bottom w:val="none" w:sz="0" w:space="0" w:color="auto"/>
        <w:right w:val="none" w:sz="0" w:space="0" w:color="auto"/>
      </w:divBdr>
      <w:divsChild>
        <w:div w:id="1272711845">
          <w:marLeft w:val="360"/>
          <w:marRight w:val="0"/>
          <w:marTop w:val="200"/>
          <w:marBottom w:val="0"/>
          <w:divBdr>
            <w:top w:val="none" w:sz="0" w:space="0" w:color="auto"/>
            <w:left w:val="none" w:sz="0" w:space="0" w:color="auto"/>
            <w:bottom w:val="none" w:sz="0" w:space="0" w:color="auto"/>
            <w:right w:val="none" w:sz="0" w:space="0" w:color="auto"/>
          </w:divBdr>
        </w:div>
        <w:div w:id="2040231279">
          <w:marLeft w:val="360"/>
          <w:marRight w:val="0"/>
          <w:marTop w:val="200"/>
          <w:marBottom w:val="0"/>
          <w:divBdr>
            <w:top w:val="none" w:sz="0" w:space="0" w:color="auto"/>
            <w:left w:val="none" w:sz="0" w:space="0" w:color="auto"/>
            <w:bottom w:val="none" w:sz="0" w:space="0" w:color="auto"/>
            <w:right w:val="none" w:sz="0" w:space="0" w:color="auto"/>
          </w:divBdr>
        </w:div>
      </w:divsChild>
    </w:div>
    <w:div w:id="1681077295">
      <w:bodyDiv w:val="1"/>
      <w:marLeft w:val="0"/>
      <w:marRight w:val="0"/>
      <w:marTop w:val="0"/>
      <w:marBottom w:val="0"/>
      <w:divBdr>
        <w:top w:val="none" w:sz="0" w:space="0" w:color="auto"/>
        <w:left w:val="none" w:sz="0" w:space="0" w:color="auto"/>
        <w:bottom w:val="none" w:sz="0" w:space="0" w:color="auto"/>
        <w:right w:val="none" w:sz="0" w:space="0" w:color="auto"/>
      </w:divBdr>
      <w:divsChild>
        <w:div w:id="392436245">
          <w:marLeft w:val="1080"/>
          <w:marRight w:val="0"/>
          <w:marTop w:val="100"/>
          <w:marBottom w:val="0"/>
          <w:divBdr>
            <w:top w:val="none" w:sz="0" w:space="0" w:color="auto"/>
            <w:left w:val="none" w:sz="0" w:space="0" w:color="auto"/>
            <w:bottom w:val="none" w:sz="0" w:space="0" w:color="auto"/>
            <w:right w:val="none" w:sz="0" w:space="0" w:color="auto"/>
          </w:divBdr>
        </w:div>
        <w:div w:id="576669613">
          <w:marLeft w:val="1080"/>
          <w:marRight w:val="0"/>
          <w:marTop w:val="100"/>
          <w:marBottom w:val="0"/>
          <w:divBdr>
            <w:top w:val="none" w:sz="0" w:space="0" w:color="auto"/>
            <w:left w:val="none" w:sz="0" w:space="0" w:color="auto"/>
            <w:bottom w:val="none" w:sz="0" w:space="0" w:color="auto"/>
            <w:right w:val="none" w:sz="0" w:space="0" w:color="auto"/>
          </w:divBdr>
        </w:div>
      </w:divsChild>
    </w:div>
    <w:div w:id="1769035563">
      <w:bodyDiv w:val="1"/>
      <w:marLeft w:val="0"/>
      <w:marRight w:val="0"/>
      <w:marTop w:val="0"/>
      <w:marBottom w:val="0"/>
      <w:divBdr>
        <w:top w:val="none" w:sz="0" w:space="0" w:color="auto"/>
        <w:left w:val="none" w:sz="0" w:space="0" w:color="auto"/>
        <w:bottom w:val="none" w:sz="0" w:space="0" w:color="auto"/>
        <w:right w:val="none" w:sz="0" w:space="0" w:color="auto"/>
      </w:divBdr>
      <w:divsChild>
        <w:div w:id="1049768717">
          <w:marLeft w:val="446"/>
          <w:marRight w:val="0"/>
          <w:marTop w:val="0"/>
          <w:marBottom w:val="0"/>
          <w:divBdr>
            <w:top w:val="none" w:sz="0" w:space="0" w:color="auto"/>
            <w:left w:val="none" w:sz="0" w:space="0" w:color="auto"/>
            <w:bottom w:val="none" w:sz="0" w:space="0" w:color="auto"/>
            <w:right w:val="none" w:sz="0" w:space="0" w:color="auto"/>
          </w:divBdr>
        </w:div>
        <w:div w:id="148594211">
          <w:marLeft w:val="1166"/>
          <w:marRight w:val="0"/>
          <w:marTop w:val="0"/>
          <w:marBottom w:val="0"/>
          <w:divBdr>
            <w:top w:val="none" w:sz="0" w:space="0" w:color="auto"/>
            <w:left w:val="none" w:sz="0" w:space="0" w:color="auto"/>
            <w:bottom w:val="none" w:sz="0" w:space="0" w:color="auto"/>
            <w:right w:val="none" w:sz="0" w:space="0" w:color="auto"/>
          </w:divBdr>
        </w:div>
        <w:div w:id="1352949324">
          <w:marLeft w:val="1166"/>
          <w:marRight w:val="0"/>
          <w:marTop w:val="0"/>
          <w:marBottom w:val="0"/>
          <w:divBdr>
            <w:top w:val="none" w:sz="0" w:space="0" w:color="auto"/>
            <w:left w:val="none" w:sz="0" w:space="0" w:color="auto"/>
            <w:bottom w:val="none" w:sz="0" w:space="0" w:color="auto"/>
            <w:right w:val="none" w:sz="0" w:space="0" w:color="auto"/>
          </w:divBdr>
        </w:div>
        <w:div w:id="1129280322">
          <w:marLeft w:val="1886"/>
          <w:marRight w:val="0"/>
          <w:marTop w:val="0"/>
          <w:marBottom w:val="0"/>
          <w:divBdr>
            <w:top w:val="none" w:sz="0" w:space="0" w:color="auto"/>
            <w:left w:val="none" w:sz="0" w:space="0" w:color="auto"/>
            <w:bottom w:val="none" w:sz="0" w:space="0" w:color="auto"/>
            <w:right w:val="none" w:sz="0" w:space="0" w:color="auto"/>
          </w:divBdr>
        </w:div>
        <w:div w:id="568537850">
          <w:marLeft w:val="1886"/>
          <w:marRight w:val="0"/>
          <w:marTop w:val="0"/>
          <w:marBottom w:val="0"/>
          <w:divBdr>
            <w:top w:val="none" w:sz="0" w:space="0" w:color="auto"/>
            <w:left w:val="none" w:sz="0" w:space="0" w:color="auto"/>
            <w:bottom w:val="none" w:sz="0" w:space="0" w:color="auto"/>
            <w:right w:val="none" w:sz="0" w:space="0" w:color="auto"/>
          </w:divBdr>
        </w:div>
        <w:div w:id="638462722">
          <w:marLeft w:val="446"/>
          <w:marRight w:val="0"/>
          <w:marTop w:val="0"/>
          <w:marBottom w:val="0"/>
          <w:divBdr>
            <w:top w:val="none" w:sz="0" w:space="0" w:color="auto"/>
            <w:left w:val="none" w:sz="0" w:space="0" w:color="auto"/>
            <w:bottom w:val="none" w:sz="0" w:space="0" w:color="auto"/>
            <w:right w:val="none" w:sz="0" w:space="0" w:color="auto"/>
          </w:divBdr>
        </w:div>
        <w:div w:id="1349718357">
          <w:marLeft w:val="446"/>
          <w:marRight w:val="0"/>
          <w:marTop w:val="0"/>
          <w:marBottom w:val="0"/>
          <w:divBdr>
            <w:top w:val="none" w:sz="0" w:space="0" w:color="auto"/>
            <w:left w:val="none" w:sz="0" w:space="0" w:color="auto"/>
            <w:bottom w:val="none" w:sz="0" w:space="0" w:color="auto"/>
            <w:right w:val="none" w:sz="0" w:space="0" w:color="auto"/>
          </w:divBdr>
        </w:div>
      </w:divsChild>
    </w:div>
    <w:div w:id="1782064328">
      <w:bodyDiv w:val="1"/>
      <w:marLeft w:val="0"/>
      <w:marRight w:val="0"/>
      <w:marTop w:val="0"/>
      <w:marBottom w:val="0"/>
      <w:divBdr>
        <w:top w:val="none" w:sz="0" w:space="0" w:color="auto"/>
        <w:left w:val="none" w:sz="0" w:space="0" w:color="auto"/>
        <w:bottom w:val="none" w:sz="0" w:space="0" w:color="auto"/>
        <w:right w:val="none" w:sz="0" w:space="0" w:color="auto"/>
      </w:divBdr>
    </w:div>
    <w:div w:id="1784380956">
      <w:bodyDiv w:val="1"/>
      <w:marLeft w:val="0"/>
      <w:marRight w:val="0"/>
      <w:marTop w:val="0"/>
      <w:marBottom w:val="0"/>
      <w:divBdr>
        <w:top w:val="none" w:sz="0" w:space="0" w:color="auto"/>
        <w:left w:val="none" w:sz="0" w:space="0" w:color="auto"/>
        <w:bottom w:val="none" w:sz="0" w:space="0" w:color="auto"/>
        <w:right w:val="none" w:sz="0" w:space="0" w:color="auto"/>
      </w:divBdr>
      <w:divsChild>
        <w:div w:id="1238127728">
          <w:marLeft w:val="1080"/>
          <w:marRight w:val="0"/>
          <w:marTop w:val="0"/>
          <w:marBottom w:val="0"/>
          <w:divBdr>
            <w:top w:val="none" w:sz="0" w:space="0" w:color="auto"/>
            <w:left w:val="none" w:sz="0" w:space="0" w:color="auto"/>
            <w:bottom w:val="none" w:sz="0" w:space="0" w:color="auto"/>
            <w:right w:val="none" w:sz="0" w:space="0" w:color="auto"/>
          </w:divBdr>
        </w:div>
        <w:div w:id="591087344">
          <w:marLeft w:val="1080"/>
          <w:marRight w:val="0"/>
          <w:marTop w:val="0"/>
          <w:marBottom w:val="0"/>
          <w:divBdr>
            <w:top w:val="none" w:sz="0" w:space="0" w:color="auto"/>
            <w:left w:val="none" w:sz="0" w:space="0" w:color="auto"/>
            <w:bottom w:val="none" w:sz="0" w:space="0" w:color="auto"/>
            <w:right w:val="none" w:sz="0" w:space="0" w:color="auto"/>
          </w:divBdr>
        </w:div>
        <w:div w:id="1850101279">
          <w:marLeft w:val="1080"/>
          <w:marRight w:val="0"/>
          <w:marTop w:val="0"/>
          <w:marBottom w:val="0"/>
          <w:divBdr>
            <w:top w:val="none" w:sz="0" w:space="0" w:color="auto"/>
            <w:left w:val="none" w:sz="0" w:space="0" w:color="auto"/>
            <w:bottom w:val="none" w:sz="0" w:space="0" w:color="auto"/>
            <w:right w:val="none" w:sz="0" w:space="0" w:color="auto"/>
          </w:divBdr>
        </w:div>
        <w:div w:id="1655257228">
          <w:marLeft w:val="1080"/>
          <w:marRight w:val="0"/>
          <w:marTop w:val="0"/>
          <w:marBottom w:val="0"/>
          <w:divBdr>
            <w:top w:val="none" w:sz="0" w:space="0" w:color="auto"/>
            <w:left w:val="none" w:sz="0" w:space="0" w:color="auto"/>
            <w:bottom w:val="none" w:sz="0" w:space="0" w:color="auto"/>
            <w:right w:val="none" w:sz="0" w:space="0" w:color="auto"/>
          </w:divBdr>
        </w:div>
      </w:divsChild>
    </w:div>
    <w:div w:id="1785692066">
      <w:bodyDiv w:val="1"/>
      <w:marLeft w:val="0"/>
      <w:marRight w:val="0"/>
      <w:marTop w:val="0"/>
      <w:marBottom w:val="0"/>
      <w:divBdr>
        <w:top w:val="none" w:sz="0" w:space="0" w:color="auto"/>
        <w:left w:val="none" w:sz="0" w:space="0" w:color="auto"/>
        <w:bottom w:val="none" w:sz="0" w:space="0" w:color="auto"/>
        <w:right w:val="none" w:sz="0" w:space="0" w:color="auto"/>
      </w:divBdr>
    </w:div>
    <w:div w:id="1829906264">
      <w:bodyDiv w:val="1"/>
      <w:marLeft w:val="0"/>
      <w:marRight w:val="0"/>
      <w:marTop w:val="0"/>
      <w:marBottom w:val="0"/>
      <w:divBdr>
        <w:top w:val="none" w:sz="0" w:space="0" w:color="auto"/>
        <w:left w:val="none" w:sz="0" w:space="0" w:color="auto"/>
        <w:bottom w:val="none" w:sz="0" w:space="0" w:color="auto"/>
        <w:right w:val="none" w:sz="0" w:space="0" w:color="auto"/>
      </w:divBdr>
    </w:div>
    <w:div w:id="1859349868">
      <w:bodyDiv w:val="1"/>
      <w:marLeft w:val="0"/>
      <w:marRight w:val="0"/>
      <w:marTop w:val="0"/>
      <w:marBottom w:val="0"/>
      <w:divBdr>
        <w:top w:val="none" w:sz="0" w:space="0" w:color="auto"/>
        <w:left w:val="none" w:sz="0" w:space="0" w:color="auto"/>
        <w:bottom w:val="none" w:sz="0" w:space="0" w:color="auto"/>
        <w:right w:val="none" w:sz="0" w:space="0" w:color="auto"/>
      </w:divBdr>
      <w:divsChild>
        <w:div w:id="301271559">
          <w:marLeft w:val="360"/>
          <w:marRight w:val="0"/>
          <w:marTop w:val="200"/>
          <w:marBottom w:val="0"/>
          <w:divBdr>
            <w:top w:val="none" w:sz="0" w:space="0" w:color="auto"/>
            <w:left w:val="none" w:sz="0" w:space="0" w:color="auto"/>
            <w:bottom w:val="none" w:sz="0" w:space="0" w:color="auto"/>
            <w:right w:val="none" w:sz="0" w:space="0" w:color="auto"/>
          </w:divBdr>
        </w:div>
        <w:div w:id="1418987183">
          <w:marLeft w:val="360"/>
          <w:marRight w:val="0"/>
          <w:marTop w:val="200"/>
          <w:marBottom w:val="0"/>
          <w:divBdr>
            <w:top w:val="none" w:sz="0" w:space="0" w:color="auto"/>
            <w:left w:val="none" w:sz="0" w:space="0" w:color="auto"/>
            <w:bottom w:val="none" w:sz="0" w:space="0" w:color="auto"/>
            <w:right w:val="none" w:sz="0" w:space="0" w:color="auto"/>
          </w:divBdr>
        </w:div>
      </w:divsChild>
    </w:div>
    <w:div w:id="1909026967">
      <w:bodyDiv w:val="1"/>
      <w:marLeft w:val="0"/>
      <w:marRight w:val="0"/>
      <w:marTop w:val="0"/>
      <w:marBottom w:val="0"/>
      <w:divBdr>
        <w:top w:val="none" w:sz="0" w:space="0" w:color="auto"/>
        <w:left w:val="none" w:sz="0" w:space="0" w:color="auto"/>
        <w:bottom w:val="none" w:sz="0" w:space="0" w:color="auto"/>
        <w:right w:val="none" w:sz="0" w:space="0" w:color="auto"/>
      </w:divBdr>
      <w:divsChild>
        <w:div w:id="1906841095">
          <w:marLeft w:val="576"/>
          <w:marRight w:val="0"/>
          <w:marTop w:val="0"/>
          <w:marBottom w:val="120"/>
          <w:divBdr>
            <w:top w:val="none" w:sz="0" w:space="0" w:color="auto"/>
            <w:left w:val="none" w:sz="0" w:space="0" w:color="auto"/>
            <w:bottom w:val="none" w:sz="0" w:space="0" w:color="auto"/>
            <w:right w:val="none" w:sz="0" w:space="0" w:color="auto"/>
          </w:divBdr>
        </w:div>
        <w:div w:id="1768499836">
          <w:marLeft w:val="576"/>
          <w:marRight w:val="0"/>
          <w:marTop w:val="0"/>
          <w:marBottom w:val="0"/>
          <w:divBdr>
            <w:top w:val="none" w:sz="0" w:space="0" w:color="auto"/>
            <w:left w:val="none" w:sz="0" w:space="0" w:color="auto"/>
            <w:bottom w:val="none" w:sz="0" w:space="0" w:color="auto"/>
            <w:right w:val="none" w:sz="0" w:space="0" w:color="auto"/>
          </w:divBdr>
        </w:div>
      </w:divsChild>
    </w:div>
    <w:div w:id="1956326811">
      <w:bodyDiv w:val="1"/>
      <w:marLeft w:val="0"/>
      <w:marRight w:val="0"/>
      <w:marTop w:val="0"/>
      <w:marBottom w:val="0"/>
      <w:divBdr>
        <w:top w:val="none" w:sz="0" w:space="0" w:color="auto"/>
        <w:left w:val="none" w:sz="0" w:space="0" w:color="auto"/>
        <w:bottom w:val="none" w:sz="0" w:space="0" w:color="auto"/>
        <w:right w:val="none" w:sz="0" w:space="0" w:color="auto"/>
      </w:divBdr>
    </w:div>
    <w:div w:id="1963027605">
      <w:bodyDiv w:val="1"/>
      <w:marLeft w:val="0"/>
      <w:marRight w:val="0"/>
      <w:marTop w:val="0"/>
      <w:marBottom w:val="0"/>
      <w:divBdr>
        <w:top w:val="none" w:sz="0" w:space="0" w:color="auto"/>
        <w:left w:val="none" w:sz="0" w:space="0" w:color="auto"/>
        <w:bottom w:val="none" w:sz="0" w:space="0" w:color="auto"/>
        <w:right w:val="none" w:sz="0" w:space="0" w:color="auto"/>
      </w:divBdr>
    </w:div>
    <w:div w:id="1991277744">
      <w:bodyDiv w:val="1"/>
      <w:marLeft w:val="0"/>
      <w:marRight w:val="0"/>
      <w:marTop w:val="0"/>
      <w:marBottom w:val="0"/>
      <w:divBdr>
        <w:top w:val="none" w:sz="0" w:space="0" w:color="auto"/>
        <w:left w:val="none" w:sz="0" w:space="0" w:color="auto"/>
        <w:bottom w:val="none" w:sz="0" w:space="0" w:color="auto"/>
        <w:right w:val="none" w:sz="0" w:space="0" w:color="auto"/>
      </w:divBdr>
    </w:div>
    <w:div w:id="2037270190">
      <w:bodyDiv w:val="1"/>
      <w:marLeft w:val="0"/>
      <w:marRight w:val="0"/>
      <w:marTop w:val="0"/>
      <w:marBottom w:val="0"/>
      <w:divBdr>
        <w:top w:val="none" w:sz="0" w:space="0" w:color="auto"/>
        <w:left w:val="none" w:sz="0" w:space="0" w:color="auto"/>
        <w:bottom w:val="none" w:sz="0" w:space="0" w:color="auto"/>
        <w:right w:val="none" w:sz="0" w:space="0" w:color="auto"/>
      </w:divBdr>
    </w:div>
    <w:div w:id="2057653430">
      <w:bodyDiv w:val="1"/>
      <w:marLeft w:val="0"/>
      <w:marRight w:val="0"/>
      <w:marTop w:val="0"/>
      <w:marBottom w:val="0"/>
      <w:divBdr>
        <w:top w:val="none" w:sz="0" w:space="0" w:color="auto"/>
        <w:left w:val="none" w:sz="0" w:space="0" w:color="auto"/>
        <w:bottom w:val="none" w:sz="0" w:space="0" w:color="auto"/>
        <w:right w:val="none" w:sz="0" w:space="0" w:color="auto"/>
      </w:divBdr>
    </w:div>
    <w:div w:id="2073312855">
      <w:bodyDiv w:val="1"/>
      <w:marLeft w:val="0"/>
      <w:marRight w:val="0"/>
      <w:marTop w:val="0"/>
      <w:marBottom w:val="0"/>
      <w:divBdr>
        <w:top w:val="none" w:sz="0" w:space="0" w:color="auto"/>
        <w:left w:val="none" w:sz="0" w:space="0" w:color="auto"/>
        <w:bottom w:val="none" w:sz="0" w:space="0" w:color="auto"/>
        <w:right w:val="none" w:sz="0" w:space="0" w:color="auto"/>
      </w:divBdr>
    </w:div>
    <w:div w:id="2119175094">
      <w:bodyDiv w:val="1"/>
      <w:marLeft w:val="0"/>
      <w:marRight w:val="0"/>
      <w:marTop w:val="0"/>
      <w:marBottom w:val="0"/>
      <w:divBdr>
        <w:top w:val="none" w:sz="0" w:space="0" w:color="auto"/>
        <w:left w:val="none" w:sz="0" w:space="0" w:color="auto"/>
        <w:bottom w:val="none" w:sz="0" w:space="0" w:color="auto"/>
        <w:right w:val="none" w:sz="0" w:space="0" w:color="auto"/>
      </w:divBdr>
      <w:divsChild>
        <w:div w:id="255600098">
          <w:marLeft w:val="1166"/>
          <w:marRight w:val="0"/>
          <w:marTop w:val="200"/>
          <w:marBottom w:val="0"/>
          <w:divBdr>
            <w:top w:val="none" w:sz="0" w:space="0" w:color="auto"/>
            <w:left w:val="none" w:sz="0" w:space="0" w:color="auto"/>
            <w:bottom w:val="none" w:sz="0" w:space="0" w:color="auto"/>
            <w:right w:val="none" w:sz="0" w:space="0" w:color="auto"/>
          </w:divBdr>
        </w:div>
        <w:div w:id="749474116">
          <w:marLeft w:val="1166"/>
          <w:marRight w:val="0"/>
          <w:marTop w:val="200"/>
          <w:marBottom w:val="0"/>
          <w:divBdr>
            <w:top w:val="none" w:sz="0" w:space="0" w:color="auto"/>
            <w:left w:val="none" w:sz="0" w:space="0" w:color="auto"/>
            <w:bottom w:val="none" w:sz="0" w:space="0" w:color="auto"/>
            <w:right w:val="none" w:sz="0" w:space="0" w:color="auto"/>
          </w:divBdr>
        </w:div>
        <w:div w:id="290864099">
          <w:marLeft w:val="1166"/>
          <w:marRight w:val="0"/>
          <w:marTop w:val="200"/>
          <w:marBottom w:val="0"/>
          <w:divBdr>
            <w:top w:val="none" w:sz="0" w:space="0" w:color="auto"/>
            <w:left w:val="none" w:sz="0" w:space="0" w:color="auto"/>
            <w:bottom w:val="none" w:sz="0" w:space="0" w:color="auto"/>
            <w:right w:val="none" w:sz="0" w:space="0" w:color="auto"/>
          </w:divBdr>
        </w:div>
      </w:divsChild>
    </w:div>
    <w:div w:id="2129162611">
      <w:bodyDiv w:val="1"/>
      <w:marLeft w:val="0"/>
      <w:marRight w:val="0"/>
      <w:marTop w:val="0"/>
      <w:marBottom w:val="0"/>
      <w:divBdr>
        <w:top w:val="none" w:sz="0" w:space="0" w:color="auto"/>
        <w:left w:val="none" w:sz="0" w:space="0" w:color="auto"/>
        <w:bottom w:val="none" w:sz="0" w:space="0" w:color="auto"/>
        <w:right w:val="none" w:sz="0" w:space="0" w:color="auto"/>
      </w:divBdr>
    </w:div>
    <w:div w:id="2131821231">
      <w:bodyDiv w:val="1"/>
      <w:marLeft w:val="0"/>
      <w:marRight w:val="0"/>
      <w:marTop w:val="0"/>
      <w:marBottom w:val="0"/>
      <w:divBdr>
        <w:top w:val="none" w:sz="0" w:space="0" w:color="auto"/>
        <w:left w:val="none" w:sz="0" w:space="0" w:color="auto"/>
        <w:bottom w:val="none" w:sz="0" w:space="0" w:color="auto"/>
        <w:right w:val="none" w:sz="0" w:space="0" w:color="auto"/>
      </w:divBdr>
      <w:divsChild>
        <w:div w:id="306404071">
          <w:marLeft w:val="360"/>
          <w:marRight w:val="0"/>
          <w:marTop w:val="200"/>
          <w:marBottom w:val="0"/>
          <w:divBdr>
            <w:top w:val="none" w:sz="0" w:space="0" w:color="auto"/>
            <w:left w:val="none" w:sz="0" w:space="0" w:color="auto"/>
            <w:bottom w:val="none" w:sz="0" w:space="0" w:color="auto"/>
            <w:right w:val="none" w:sz="0" w:space="0" w:color="auto"/>
          </w:divBdr>
        </w:div>
      </w:divsChild>
    </w:div>
    <w:div w:id="2141221006">
      <w:bodyDiv w:val="1"/>
      <w:marLeft w:val="0"/>
      <w:marRight w:val="0"/>
      <w:marTop w:val="0"/>
      <w:marBottom w:val="0"/>
      <w:divBdr>
        <w:top w:val="none" w:sz="0" w:space="0" w:color="auto"/>
        <w:left w:val="none" w:sz="0" w:space="0" w:color="auto"/>
        <w:bottom w:val="none" w:sz="0" w:space="0" w:color="auto"/>
        <w:right w:val="none" w:sz="0" w:space="0" w:color="auto"/>
      </w:divBdr>
      <w:divsChild>
        <w:div w:id="1607887600">
          <w:marLeft w:val="446"/>
          <w:marRight w:val="0"/>
          <w:marTop w:val="0"/>
          <w:marBottom w:val="0"/>
          <w:divBdr>
            <w:top w:val="none" w:sz="0" w:space="0" w:color="auto"/>
            <w:left w:val="none" w:sz="0" w:space="0" w:color="auto"/>
            <w:bottom w:val="none" w:sz="0" w:space="0" w:color="auto"/>
            <w:right w:val="none" w:sz="0" w:space="0" w:color="auto"/>
          </w:divBdr>
        </w:div>
        <w:div w:id="449009930">
          <w:marLeft w:val="446"/>
          <w:marRight w:val="0"/>
          <w:marTop w:val="0"/>
          <w:marBottom w:val="0"/>
          <w:divBdr>
            <w:top w:val="none" w:sz="0" w:space="0" w:color="auto"/>
            <w:left w:val="none" w:sz="0" w:space="0" w:color="auto"/>
            <w:bottom w:val="none" w:sz="0" w:space="0" w:color="auto"/>
            <w:right w:val="none" w:sz="0" w:space="0" w:color="auto"/>
          </w:divBdr>
        </w:div>
        <w:div w:id="214553585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CFP-Entete-Corpo2019.dotx" TargetMode="External"/></Relationships>
</file>

<file path=word/theme/theme1.xml><?xml version="1.0" encoding="utf-8"?>
<a:theme xmlns:a="http://schemas.openxmlformats.org/drawingml/2006/main" name="CFP-PSC-Theme2019-fromWord">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0099A8"/>
      </a:hlink>
      <a:folHlink>
        <a:srgbClr val="A5A5A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5BB53-01FF-4CC5-9AC5-6C3601D6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CFP-Entete-Corpo2019.dotx</Template>
  <TotalTime>188</TotalTime>
  <Pages>10</Pages>
  <Words>2096</Words>
  <Characters>11949</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CFP-PSC</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Lefebvre</dc:creator>
  <cp:keywords/>
  <dc:description/>
  <cp:lastModifiedBy>Christine Vallières</cp:lastModifiedBy>
  <cp:revision>19</cp:revision>
  <dcterms:created xsi:type="dcterms:W3CDTF">2021-02-01T16:10:00Z</dcterms:created>
  <dcterms:modified xsi:type="dcterms:W3CDTF">2021-08-13T18:25:00Z</dcterms:modified>
</cp:coreProperties>
</file>