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88B" w:rsidRPr="00CC592F" w:rsidRDefault="0072388B" w:rsidP="00CF4CD4">
      <w:pPr>
        <w:pStyle w:val="Title"/>
        <w:jc w:val="center"/>
        <w:rPr>
          <w:sz w:val="52"/>
          <w:szCs w:val="52"/>
        </w:rPr>
      </w:pPr>
      <w:r w:rsidRPr="00CC592F">
        <w:rPr>
          <w:sz w:val="52"/>
          <w:szCs w:val="52"/>
        </w:rPr>
        <w:t>Réunion du Président avec M</w:t>
      </w:r>
      <w:r w:rsidRPr="00CC592F">
        <w:rPr>
          <w:sz w:val="52"/>
          <w:szCs w:val="52"/>
          <w:vertAlign w:val="superscript"/>
        </w:rPr>
        <w:t>me</w:t>
      </w:r>
      <w:r w:rsidRPr="00CC592F">
        <w:rPr>
          <w:sz w:val="52"/>
          <w:szCs w:val="52"/>
        </w:rPr>
        <w:t> </w:t>
      </w:r>
      <w:proofErr w:type="spellStart"/>
      <w:r w:rsidRPr="00CC592F">
        <w:rPr>
          <w:sz w:val="52"/>
          <w:szCs w:val="52"/>
        </w:rPr>
        <w:t>Catrina</w:t>
      </w:r>
      <w:proofErr w:type="spellEnd"/>
      <w:r w:rsidRPr="00CC592F">
        <w:rPr>
          <w:sz w:val="52"/>
          <w:szCs w:val="52"/>
        </w:rPr>
        <w:t xml:space="preserve"> </w:t>
      </w:r>
      <w:proofErr w:type="spellStart"/>
      <w:r w:rsidRPr="00CC592F">
        <w:rPr>
          <w:sz w:val="52"/>
          <w:szCs w:val="52"/>
        </w:rPr>
        <w:t>Tapley</w:t>
      </w:r>
      <w:proofErr w:type="spellEnd"/>
      <w:r w:rsidRPr="00CC592F">
        <w:rPr>
          <w:sz w:val="52"/>
          <w:szCs w:val="52"/>
        </w:rPr>
        <w:t>,</w:t>
      </w:r>
      <w:r w:rsidRPr="00CC592F">
        <w:rPr>
          <w:color w:val="auto"/>
          <w:sz w:val="52"/>
          <w:szCs w:val="52"/>
        </w:rPr>
        <w:t xml:space="preserve"> </w:t>
      </w:r>
      <w:r w:rsidRPr="00CC592F">
        <w:rPr>
          <w:sz w:val="52"/>
          <w:szCs w:val="52"/>
        </w:rPr>
        <w:t>sous-ministre d’Immigration, Réfugiés et Citoyenneté Canada</w:t>
      </w:r>
    </w:p>
    <w:p w:rsidR="0072388B" w:rsidRPr="00CC592F" w:rsidRDefault="0072388B" w:rsidP="00CF4CD4">
      <w:pPr>
        <w:pStyle w:val="Title"/>
        <w:jc w:val="center"/>
        <w:rPr>
          <w:sz w:val="52"/>
          <w:szCs w:val="52"/>
        </w:rPr>
      </w:pPr>
      <w:r w:rsidRPr="00CC592F">
        <w:rPr>
          <w:sz w:val="52"/>
          <w:szCs w:val="52"/>
        </w:rPr>
        <w:t>16 octobre 2019</w:t>
      </w:r>
    </w:p>
    <w:p w:rsidR="0072388B" w:rsidRPr="00CC592F" w:rsidRDefault="0072388B" w:rsidP="00811E93">
      <w:pPr>
        <w:pStyle w:val="Subtitle"/>
        <w:jc w:val="center"/>
      </w:pPr>
      <w:r w:rsidRPr="00CC592F">
        <w:rPr>
          <w:lang w:bidi="fr-FR"/>
        </w:rPr>
        <w:t>Renseignements vérifiés en date du 30 septembre 2019</w:t>
      </w:r>
    </w:p>
    <w:p w:rsidR="0072388B" w:rsidRPr="00CC592F" w:rsidRDefault="0072388B" w:rsidP="0072388B">
      <w:pPr>
        <w:pStyle w:val="Heading1"/>
      </w:pPr>
      <w:r w:rsidRPr="00CC592F">
        <w:rPr>
          <w:lang w:bidi="fr-FR"/>
        </w:rPr>
        <w:t>Introduction</w:t>
      </w:r>
    </w:p>
    <w:p w:rsidR="0072388B" w:rsidRPr="00CC592F" w:rsidRDefault="0072388B" w:rsidP="0072388B">
      <w:pPr>
        <w:autoSpaceDE w:val="0"/>
        <w:autoSpaceDN w:val="0"/>
        <w:adjustRightInd w:val="0"/>
        <w:ind w:right="50"/>
        <w:rPr>
          <w:rFonts w:ascii="Arial" w:hAnsi="Arial" w:cs="Arial"/>
          <w:b/>
        </w:rPr>
      </w:pPr>
    </w:p>
    <w:p w:rsidR="0072388B" w:rsidRPr="00CC592F" w:rsidRDefault="0072388B" w:rsidP="0072388B">
      <w:pPr>
        <w:pStyle w:val="Heading2"/>
      </w:pPr>
      <w:r w:rsidRPr="00CC592F">
        <w:rPr>
          <w:lang w:bidi="fr-FR"/>
        </w:rPr>
        <w:t>Administratrice générale</w:t>
      </w:r>
    </w:p>
    <w:p w:rsidR="0072388B" w:rsidRPr="00CC592F" w:rsidRDefault="0072388B" w:rsidP="0072388B">
      <w:pPr>
        <w:pStyle w:val="NormalWeb"/>
        <w:spacing w:before="0" w:beforeAutospacing="0" w:after="0" w:afterAutospacing="0"/>
        <w:rPr>
          <w:rFonts w:ascii="Arial" w:hAnsi="Arial" w:cs="Arial"/>
          <w:b/>
          <w:sz w:val="22"/>
          <w:szCs w:val="22"/>
          <w:lang w:val="fr-CA"/>
        </w:rPr>
      </w:pPr>
    </w:p>
    <w:p w:rsidR="0072388B" w:rsidRPr="00CC592F" w:rsidRDefault="0072388B" w:rsidP="0072388B">
      <w:pPr>
        <w:pStyle w:val="NoSpacing"/>
        <w:rPr>
          <w:rFonts w:ascii="Arial" w:hAnsi="Arial" w:cs="Arial"/>
          <w:sz w:val="22"/>
          <w:szCs w:val="22"/>
          <w:lang w:val="fr-CA" w:eastAsia="en-CA"/>
        </w:rPr>
      </w:pPr>
      <w:r w:rsidRPr="00CC592F">
        <w:rPr>
          <w:rFonts w:ascii="Arial" w:eastAsia="Arial" w:hAnsi="Arial" w:cs="Arial"/>
          <w:sz w:val="22"/>
          <w:szCs w:val="22"/>
          <w:lang w:val="fr-CA" w:bidi="fr-FR"/>
        </w:rPr>
        <w:t>M</w:t>
      </w:r>
      <w:r w:rsidRPr="00CC592F">
        <w:rPr>
          <w:rFonts w:ascii="Arial" w:eastAsia="Arial" w:hAnsi="Arial" w:cs="Arial"/>
          <w:sz w:val="22"/>
          <w:szCs w:val="22"/>
          <w:vertAlign w:val="superscript"/>
          <w:lang w:val="fr-CA" w:bidi="fr-FR"/>
        </w:rPr>
        <w:t>me</w:t>
      </w:r>
      <w:r w:rsidRPr="00CC592F">
        <w:rPr>
          <w:rFonts w:ascii="Arial" w:eastAsia="Arial" w:hAnsi="Arial" w:cs="Arial"/>
          <w:sz w:val="22"/>
          <w:szCs w:val="22"/>
          <w:lang w:val="fr-CA" w:bidi="fr-FR"/>
        </w:rPr>
        <w:t> </w:t>
      </w:r>
      <w:proofErr w:type="spellStart"/>
      <w:r w:rsidRPr="00CC592F">
        <w:rPr>
          <w:rFonts w:ascii="Arial" w:eastAsia="Arial" w:hAnsi="Arial" w:cs="Arial"/>
          <w:sz w:val="22"/>
          <w:szCs w:val="22"/>
          <w:lang w:val="fr-CA" w:bidi="fr-FR"/>
        </w:rPr>
        <w:t>Catrina</w:t>
      </w:r>
      <w:proofErr w:type="spellEnd"/>
      <w:r w:rsidRPr="00CC592F">
        <w:rPr>
          <w:rFonts w:ascii="Arial" w:eastAsia="Arial" w:hAnsi="Arial" w:cs="Arial"/>
          <w:sz w:val="22"/>
          <w:szCs w:val="22"/>
          <w:lang w:val="fr-CA" w:bidi="fr-FR"/>
        </w:rPr>
        <w:t> </w:t>
      </w:r>
      <w:proofErr w:type="spellStart"/>
      <w:r w:rsidRPr="00CC592F">
        <w:rPr>
          <w:rFonts w:ascii="Arial" w:eastAsia="Arial" w:hAnsi="Arial" w:cs="Arial"/>
          <w:sz w:val="22"/>
          <w:szCs w:val="22"/>
          <w:lang w:val="fr-CA" w:bidi="fr-FR"/>
        </w:rPr>
        <w:t>Tapley</w:t>
      </w:r>
      <w:proofErr w:type="spellEnd"/>
      <w:r w:rsidRPr="00CC592F">
        <w:rPr>
          <w:rFonts w:ascii="Arial" w:eastAsia="Arial" w:hAnsi="Arial" w:cs="Arial"/>
          <w:sz w:val="22"/>
          <w:szCs w:val="22"/>
          <w:lang w:val="fr-CA" w:bidi="fr-FR"/>
        </w:rPr>
        <w:t xml:space="preserve"> a été nommée sous-ministre d’Immigration, Réfugiés et Citoyenneté Canada (IRCC) le 19 août 2019.</w:t>
      </w:r>
    </w:p>
    <w:p w:rsidR="0072388B" w:rsidRPr="00CC592F" w:rsidRDefault="0072388B" w:rsidP="0072388B">
      <w:pPr>
        <w:pStyle w:val="NoSpacing"/>
        <w:rPr>
          <w:rFonts w:ascii="Arial" w:hAnsi="Arial" w:cs="Arial"/>
          <w:sz w:val="22"/>
          <w:szCs w:val="22"/>
          <w:lang w:val="fr-CA" w:eastAsia="en-CA"/>
        </w:rPr>
      </w:pPr>
    </w:p>
    <w:p w:rsidR="0072388B" w:rsidRPr="00CC592F" w:rsidRDefault="0072388B" w:rsidP="0072388B">
      <w:pPr>
        <w:autoSpaceDE w:val="0"/>
        <w:autoSpaceDN w:val="0"/>
        <w:adjustRightInd w:val="0"/>
        <w:ind w:right="50"/>
        <w:rPr>
          <w:rFonts w:ascii="Arial" w:eastAsia="Arial" w:hAnsi="Arial" w:cs="Arial"/>
          <w:lang w:bidi="fr-FR"/>
        </w:rPr>
      </w:pPr>
      <w:r w:rsidRPr="00CC592F">
        <w:rPr>
          <w:rFonts w:ascii="Arial" w:eastAsia="Arial" w:hAnsi="Arial" w:cs="Arial"/>
          <w:lang w:bidi="fr-FR"/>
        </w:rPr>
        <w:t>Sa biographie figure à l’</w:t>
      </w:r>
      <w:hyperlink w:anchor="AnnexA" w:history="1">
        <w:r w:rsidRPr="00CC592F">
          <w:rPr>
            <w:rStyle w:val="Hyperlink"/>
            <w:rFonts w:ascii="Arial" w:eastAsia="Arial" w:hAnsi="Arial" w:cs="Arial"/>
            <w:lang w:bidi="fr-FR"/>
          </w:rPr>
          <w:t>annexe A</w:t>
        </w:r>
      </w:hyperlink>
      <w:r w:rsidRPr="00CC592F">
        <w:rPr>
          <w:rFonts w:ascii="Arial" w:eastAsia="Arial" w:hAnsi="Arial" w:cs="Arial"/>
          <w:lang w:bidi="fr-FR"/>
        </w:rPr>
        <w:t>. Étant donné l’expérience de M</w:t>
      </w:r>
      <w:r w:rsidRPr="00CC592F">
        <w:rPr>
          <w:rFonts w:ascii="Arial" w:eastAsia="Arial" w:hAnsi="Arial" w:cs="Arial"/>
          <w:vertAlign w:val="superscript"/>
          <w:lang w:bidi="fr-FR"/>
        </w:rPr>
        <w:t>me</w:t>
      </w:r>
      <w:r w:rsidRPr="00CC592F">
        <w:rPr>
          <w:rFonts w:ascii="Arial" w:eastAsia="Arial" w:hAnsi="Arial" w:cs="Arial"/>
          <w:lang w:bidi="fr-FR"/>
        </w:rPr>
        <w:t> </w:t>
      </w:r>
      <w:proofErr w:type="spellStart"/>
      <w:r w:rsidRPr="00CC592F">
        <w:rPr>
          <w:rFonts w:ascii="Arial" w:eastAsia="Arial" w:hAnsi="Arial" w:cs="Arial"/>
          <w:lang w:bidi="fr-FR"/>
        </w:rPr>
        <w:t>Tapley</w:t>
      </w:r>
      <w:proofErr w:type="spellEnd"/>
      <w:r w:rsidRPr="00CC592F">
        <w:rPr>
          <w:rFonts w:ascii="Arial" w:eastAsia="Arial" w:hAnsi="Arial" w:cs="Arial"/>
          <w:lang w:bidi="fr-FR"/>
        </w:rPr>
        <w:t xml:space="preserve"> au sein de la fonction publique, il n’est pas nécessaire d’utiliser la documentation destinée aux nouveaux administrateurs généraux (AG). Vous trouverez les messages clés à communiquer à la nouvelle AG à l’</w:t>
      </w:r>
      <w:hyperlink w:anchor="AnnexB" w:history="1">
        <w:r w:rsidRPr="00CC592F">
          <w:rPr>
            <w:rStyle w:val="Hyperlink"/>
            <w:rFonts w:ascii="Arial" w:eastAsia="Arial" w:hAnsi="Arial" w:cs="Arial"/>
            <w:lang w:bidi="fr-FR"/>
          </w:rPr>
          <w:t>annexe B</w:t>
        </w:r>
      </w:hyperlink>
      <w:r w:rsidRPr="00CC592F">
        <w:rPr>
          <w:rFonts w:ascii="Arial" w:eastAsia="Arial" w:hAnsi="Arial" w:cs="Arial"/>
          <w:lang w:bidi="fr-FR"/>
        </w:rPr>
        <w:t>.</w:t>
      </w:r>
    </w:p>
    <w:p w:rsidR="0072388B" w:rsidRPr="00CC592F" w:rsidRDefault="0072388B" w:rsidP="0072388B">
      <w:pPr>
        <w:autoSpaceDE w:val="0"/>
        <w:autoSpaceDN w:val="0"/>
        <w:adjustRightInd w:val="0"/>
        <w:ind w:right="50"/>
        <w:rPr>
          <w:rFonts w:ascii="Arial" w:hAnsi="Arial" w:cs="Arial"/>
        </w:rPr>
      </w:pPr>
    </w:p>
    <w:p w:rsidR="0072388B" w:rsidRPr="00CC592F" w:rsidRDefault="0072388B" w:rsidP="0072388B">
      <w:pPr>
        <w:pStyle w:val="Heading2"/>
        <w:rPr>
          <w:u w:val="single"/>
        </w:rPr>
      </w:pPr>
      <w:r w:rsidRPr="00CC592F">
        <w:rPr>
          <w:lang w:bidi="fr-FR"/>
        </w:rPr>
        <w:t>Personne nommée exerçant pour la première fois les pouvoirs de la Commission de la fonction publique</w:t>
      </w:r>
    </w:p>
    <w:p w:rsidR="0072388B" w:rsidRPr="00CC592F" w:rsidRDefault="0072388B" w:rsidP="0072388B">
      <w:pPr>
        <w:rPr>
          <w:rFonts w:ascii="Arial" w:hAnsi="Arial" w:cs="Arial"/>
          <w:highlight w:val="yellow"/>
          <w:lang w:eastAsia="en-CA"/>
        </w:rPr>
      </w:pPr>
    </w:p>
    <w:p w:rsidR="0072388B" w:rsidRPr="00CC592F" w:rsidRDefault="0072388B" w:rsidP="0072388B">
      <w:pPr>
        <w:rPr>
          <w:rFonts w:ascii="Arial" w:hAnsi="Arial" w:cs="Arial"/>
          <w:lang w:eastAsia="en-CA"/>
        </w:rPr>
      </w:pPr>
      <w:r w:rsidRPr="00CC592F">
        <w:rPr>
          <w:rFonts w:ascii="Arial" w:eastAsia="Arial" w:hAnsi="Arial" w:cs="Arial"/>
          <w:lang w:bidi="fr-FR"/>
        </w:rPr>
        <w:t>Puisque M</w:t>
      </w:r>
      <w:r w:rsidRPr="00CC592F">
        <w:rPr>
          <w:rFonts w:ascii="Arial" w:eastAsia="Arial" w:hAnsi="Arial" w:cs="Arial"/>
          <w:vertAlign w:val="superscript"/>
          <w:lang w:bidi="fr-FR"/>
        </w:rPr>
        <w:t>me</w:t>
      </w:r>
      <w:r w:rsidRPr="00CC592F">
        <w:rPr>
          <w:rFonts w:ascii="Arial" w:eastAsia="Arial" w:hAnsi="Arial" w:cs="Arial"/>
          <w:lang w:bidi="fr-FR"/>
        </w:rPr>
        <w:t> </w:t>
      </w:r>
      <w:proofErr w:type="spellStart"/>
      <w:r w:rsidRPr="00CC592F">
        <w:rPr>
          <w:rFonts w:ascii="Arial" w:eastAsia="Arial" w:hAnsi="Arial" w:cs="Arial"/>
          <w:lang w:bidi="fr-FR"/>
        </w:rPr>
        <w:t>Tapley</w:t>
      </w:r>
      <w:proofErr w:type="spellEnd"/>
      <w:r w:rsidRPr="00CC592F">
        <w:rPr>
          <w:rFonts w:ascii="Arial" w:eastAsia="Arial" w:hAnsi="Arial" w:cs="Arial"/>
          <w:lang w:bidi="fr-FR"/>
        </w:rPr>
        <w:t xml:space="preserve"> exerce pour la première fois les pouvoirs de la Commission de la fonction publique (CFP) à titre d’AG, on recommande de lui communiquer le document sur la Nouvelle orientation en dotation. Une copie du document se trouve à l’</w:t>
      </w:r>
      <w:hyperlink w:anchor="AnnexC" w:history="1">
        <w:r w:rsidRPr="00CC592F">
          <w:rPr>
            <w:rStyle w:val="Hyperlink"/>
            <w:rFonts w:ascii="Arial" w:eastAsia="Arial" w:hAnsi="Arial" w:cs="Arial"/>
            <w:lang w:bidi="fr-FR"/>
          </w:rPr>
          <w:t>annexe C</w:t>
        </w:r>
      </w:hyperlink>
      <w:r w:rsidRPr="00CC592F">
        <w:rPr>
          <w:rFonts w:ascii="Arial" w:eastAsia="Arial" w:hAnsi="Arial" w:cs="Arial"/>
          <w:lang w:bidi="fr-FR"/>
        </w:rPr>
        <w:t>.</w:t>
      </w:r>
    </w:p>
    <w:p w:rsidR="0072388B" w:rsidRPr="00CC592F" w:rsidRDefault="0072388B" w:rsidP="0072388B">
      <w:pPr>
        <w:pStyle w:val="Heading1"/>
      </w:pPr>
      <w:r w:rsidRPr="00CC592F">
        <w:rPr>
          <w:lang w:bidi="fr-FR"/>
        </w:rPr>
        <w:t>Contexte organisationnel</w:t>
      </w:r>
    </w:p>
    <w:p w:rsidR="0072388B" w:rsidRPr="00CC592F" w:rsidRDefault="0072388B" w:rsidP="0072388B">
      <w:pPr>
        <w:rPr>
          <w:rFonts w:ascii="Arial" w:hAnsi="Arial" w:cs="Arial"/>
        </w:rPr>
      </w:pPr>
    </w:p>
    <w:p w:rsidR="0072388B" w:rsidRPr="00CC592F" w:rsidRDefault="0072388B" w:rsidP="0072388B">
      <w:pPr>
        <w:pStyle w:val="Heading2"/>
        <w:rPr>
          <w:u w:val="single"/>
        </w:rPr>
      </w:pPr>
      <w:r w:rsidRPr="00CC592F">
        <w:rPr>
          <w:lang w:bidi="fr-FR"/>
        </w:rPr>
        <w:t>Mandat</w:t>
      </w:r>
    </w:p>
    <w:p w:rsidR="0072388B" w:rsidRPr="00CC592F" w:rsidRDefault="0072388B" w:rsidP="0072388B">
      <w:pPr>
        <w:autoSpaceDE w:val="0"/>
        <w:autoSpaceDN w:val="0"/>
        <w:adjustRightInd w:val="0"/>
        <w:ind w:right="50"/>
        <w:rPr>
          <w:rFonts w:ascii="Arial" w:hAnsi="Arial" w:cs="Arial"/>
          <w:b/>
        </w:rPr>
      </w:pPr>
    </w:p>
    <w:p w:rsidR="0072388B" w:rsidRPr="00CC592F" w:rsidRDefault="0072388B" w:rsidP="0072388B">
      <w:pPr>
        <w:rPr>
          <w:rFonts w:ascii="Arial" w:hAnsi="Arial" w:cs="Arial"/>
        </w:rPr>
      </w:pPr>
      <w:r w:rsidRPr="00CC592F">
        <w:rPr>
          <w:rFonts w:ascii="Arial" w:eastAsia="Arial" w:hAnsi="Arial" w:cs="Arial"/>
          <w:lang w:bidi="fr-FR"/>
        </w:rPr>
        <w:t>IRCC sélectionne et accueille les nouveaux résidents permanents et temporaires et réunit par le fait même des familles. Il perpétue la tradition humanitaire du Canada en accueillant des réfugiés et d’autres personnes qui ont besoin de protection, ce qui lui permet de respecter ses obligations internationales et de préserver sa réputation à l’échelle mondiale.</w:t>
      </w:r>
    </w:p>
    <w:p w:rsidR="0072388B" w:rsidRPr="00CC592F" w:rsidRDefault="0072388B" w:rsidP="0072388B">
      <w:pPr>
        <w:rPr>
          <w:rFonts w:ascii="Arial" w:hAnsi="Arial" w:cs="Arial"/>
        </w:rPr>
      </w:pPr>
    </w:p>
    <w:p w:rsidR="0072388B" w:rsidRPr="00CC592F" w:rsidRDefault="0072388B" w:rsidP="0072388B">
      <w:pPr>
        <w:rPr>
          <w:rFonts w:ascii="Arial" w:hAnsi="Arial" w:cs="Arial"/>
        </w:rPr>
      </w:pPr>
      <w:r w:rsidRPr="00CC592F">
        <w:rPr>
          <w:rFonts w:ascii="Arial" w:eastAsia="Arial" w:hAnsi="Arial" w:cs="Arial"/>
          <w:lang w:bidi="fr-FR"/>
        </w:rPr>
        <w:lastRenderedPageBreak/>
        <w:t>IRCC est également responsable de la délivrance des cartes de citoyenneté et des passeports canadiens et d’autres documents qui facilitent l’identification et les déplacements des citoyens et des résidents canadiens.</w:t>
      </w:r>
    </w:p>
    <w:p w:rsidR="0072388B" w:rsidRPr="00CC592F" w:rsidRDefault="0072388B" w:rsidP="0072388B">
      <w:pPr>
        <w:rPr>
          <w:rFonts w:ascii="Arial" w:hAnsi="Arial" w:cs="Arial"/>
        </w:rPr>
      </w:pPr>
    </w:p>
    <w:p w:rsidR="0072388B" w:rsidRPr="00CC592F" w:rsidRDefault="0072388B" w:rsidP="0072388B">
      <w:pPr>
        <w:rPr>
          <w:rFonts w:ascii="Arial" w:hAnsi="Arial" w:cs="Arial"/>
        </w:rPr>
      </w:pPr>
      <w:r w:rsidRPr="00CC592F">
        <w:rPr>
          <w:rFonts w:ascii="Arial" w:eastAsia="Arial" w:hAnsi="Arial" w:cs="Arial"/>
          <w:lang w:bidi="fr-FR"/>
        </w:rPr>
        <w:t>IRCC offre ses services sur son site Web ainsi qu’à 25 points de service au Canada et 61 points de service répartis dans 50 pays. En novembre 2018, il y avait 152 centres de réception des demandes de visa dans 103 pays, 133 centres de soutien aux demandeurs</w:t>
      </w:r>
      <w:r w:rsidRPr="00CC592F">
        <w:rPr>
          <w:rStyle w:val="FootnoteReference"/>
          <w:rFonts w:ascii="Arial" w:eastAsia="Arial" w:hAnsi="Arial" w:cs="Arial"/>
          <w:lang w:bidi="fr-FR"/>
        </w:rPr>
        <w:footnoteReference w:id="1"/>
      </w:r>
      <w:r w:rsidRPr="00CC592F">
        <w:rPr>
          <w:rFonts w:ascii="Arial" w:eastAsia="Arial" w:hAnsi="Arial" w:cs="Arial"/>
          <w:lang w:bidi="fr-FR"/>
        </w:rPr>
        <w:t xml:space="preserve"> aux États-Unis, ainsi qu’un réseau de médecins désignés offrant leurs services partout dans le monde. Des services d’établissement et d’intégration sont offerts par l’intermédiaire d’un réseau de plus de 500 fournisseurs de services partout au Canada. IRCC est le principal partenaire d’Emploi et Développement social Canada en matière de délivrance de passeports au pays. Ce partenariat permet à IRCC de profiter d’un vaste réseau de centres de traitement des demandes de passeport et de centres offrant des services directs (34 bureaux des passeports et 315 Centres Service Canada). IRCC est également partenaire d’Affaires mondiales Canada, qui </w:t>
      </w:r>
      <w:proofErr w:type="gramStart"/>
      <w:r w:rsidRPr="00CC592F">
        <w:rPr>
          <w:rFonts w:ascii="Arial" w:eastAsia="Arial" w:hAnsi="Arial" w:cs="Arial"/>
          <w:lang w:bidi="fr-FR"/>
        </w:rPr>
        <w:t>assure</w:t>
      </w:r>
      <w:proofErr w:type="gramEnd"/>
      <w:r w:rsidRPr="00CC592F">
        <w:rPr>
          <w:rFonts w:ascii="Arial" w:eastAsia="Arial" w:hAnsi="Arial" w:cs="Arial"/>
          <w:lang w:bidi="fr-FR"/>
        </w:rPr>
        <w:t xml:space="preserve"> les services de passeport à l’étranger dans 206 endroits différents.</w:t>
      </w:r>
    </w:p>
    <w:p w:rsidR="0072388B" w:rsidRPr="00CC592F" w:rsidRDefault="0072388B" w:rsidP="0072388B">
      <w:pPr>
        <w:rPr>
          <w:rFonts w:ascii="Arial" w:hAnsi="Arial" w:cs="Arial"/>
        </w:rPr>
      </w:pPr>
    </w:p>
    <w:p w:rsidR="0072388B" w:rsidRPr="00CC592F" w:rsidRDefault="0072388B" w:rsidP="0072388B">
      <w:pPr>
        <w:pStyle w:val="Heading2"/>
        <w:rPr>
          <w:u w:val="single"/>
        </w:rPr>
      </w:pPr>
      <w:r w:rsidRPr="00CC592F">
        <w:rPr>
          <w:lang w:bidi="fr-FR"/>
        </w:rPr>
        <w:t>Enjeux</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rPr>
          <w:rFonts w:ascii="Arial" w:hAnsi="Arial" w:cs="Arial"/>
        </w:rPr>
      </w:pPr>
      <w:r w:rsidRPr="00CC592F">
        <w:rPr>
          <w:rFonts w:ascii="Arial" w:eastAsia="Arial" w:hAnsi="Arial" w:cs="Arial"/>
          <w:lang w:bidi="fr-FR"/>
        </w:rPr>
        <w:t>La stratégie ministérielle de gestion des personnes insiste beaucoup sur le recrutement et le renouvellement. IRCC cherche à se doter d’un effectif performant, adaptable et diversifié, et ce, grâce à un renouvellement dynamique appuyé par une planification saine des ressources humaines (RH) et des activités. IRCC a défini les mesures suivantes en vue d’améliorer le recrutement stratégique à l’appui des priorités ministérielles et du renouvellement de l’effectif :</w:t>
      </w:r>
    </w:p>
    <w:p w:rsidR="0072388B" w:rsidRPr="00CC592F" w:rsidRDefault="0072388B" w:rsidP="0072388B">
      <w:pPr>
        <w:rPr>
          <w:rFonts w:ascii="Arial" w:hAnsi="Arial" w:cs="Arial"/>
        </w:rPr>
      </w:pPr>
    </w:p>
    <w:p w:rsidR="0072388B" w:rsidRPr="00CC592F" w:rsidRDefault="0072388B" w:rsidP="0072388B">
      <w:pPr>
        <w:pStyle w:val="ListParagraph"/>
        <w:keepLines w:val="0"/>
        <w:numPr>
          <w:ilvl w:val="0"/>
          <w:numId w:val="7"/>
        </w:numPr>
        <w:spacing w:after="160"/>
        <w:rPr>
          <w:rFonts w:ascii="Arial" w:hAnsi="Arial" w:cs="Arial"/>
        </w:rPr>
      </w:pPr>
      <w:r w:rsidRPr="00CC592F">
        <w:rPr>
          <w:rFonts w:ascii="Arial" w:eastAsia="Arial" w:hAnsi="Arial" w:cs="Arial"/>
          <w:lang w:bidi="fr-FR"/>
        </w:rPr>
        <w:t>Améliorer le recrutement ciblé d’étudiants et de travailleurs exerçant un rôle spécialisé, à risque ou difficile;</w:t>
      </w:r>
    </w:p>
    <w:p w:rsidR="0072388B" w:rsidRPr="00CC592F" w:rsidRDefault="0072388B" w:rsidP="0072388B">
      <w:pPr>
        <w:pStyle w:val="ListParagraph"/>
        <w:keepLines w:val="0"/>
        <w:numPr>
          <w:ilvl w:val="0"/>
          <w:numId w:val="7"/>
        </w:numPr>
        <w:spacing w:after="160"/>
        <w:rPr>
          <w:rFonts w:ascii="Arial" w:hAnsi="Arial" w:cs="Arial"/>
        </w:rPr>
      </w:pPr>
      <w:r w:rsidRPr="00CC592F">
        <w:rPr>
          <w:rFonts w:ascii="Arial" w:eastAsia="Arial" w:hAnsi="Arial" w:cs="Arial"/>
          <w:lang w:bidi="fr-FR"/>
        </w:rPr>
        <w:t>Optimiser l’utilisation de la latitude disponible en matière de dotation et des mécanismes de recrutement en place;</w:t>
      </w:r>
    </w:p>
    <w:p w:rsidR="0072388B" w:rsidRPr="00CC592F" w:rsidRDefault="0072388B" w:rsidP="0072388B">
      <w:pPr>
        <w:pStyle w:val="ListParagraph"/>
        <w:keepLines w:val="0"/>
        <w:numPr>
          <w:ilvl w:val="0"/>
          <w:numId w:val="7"/>
        </w:numPr>
        <w:spacing w:after="160"/>
        <w:rPr>
          <w:rFonts w:ascii="Arial" w:hAnsi="Arial" w:cs="Arial"/>
        </w:rPr>
      </w:pPr>
      <w:r w:rsidRPr="00CC592F">
        <w:rPr>
          <w:rFonts w:ascii="Arial" w:eastAsia="Arial" w:hAnsi="Arial" w:cs="Arial"/>
          <w:lang w:bidi="fr-FR"/>
        </w:rPr>
        <w:t>Déterminer les habiletés et les compétences nécessaires pour assurer la réussite future au travail;</w:t>
      </w:r>
    </w:p>
    <w:p w:rsidR="0072388B" w:rsidRPr="00CC592F" w:rsidRDefault="0072388B" w:rsidP="0072388B">
      <w:pPr>
        <w:pStyle w:val="ListParagraph"/>
        <w:keepLines w:val="0"/>
        <w:numPr>
          <w:ilvl w:val="0"/>
          <w:numId w:val="7"/>
        </w:numPr>
        <w:spacing w:after="0"/>
        <w:rPr>
          <w:rFonts w:ascii="Arial" w:hAnsi="Arial" w:cs="Arial"/>
        </w:rPr>
      </w:pPr>
      <w:r w:rsidRPr="00CC592F">
        <w:rPr>
          <w:rFonts w:ascii="Arial" w:eastAsia="Arial" w:hAnsi="Arial" w:cs="Arial"/>
          <w:lang w:bidi="fr-FR"/>
        </w:rPr>
        <w:t>Déterminer à l’avance les bassins de talents disponibles et y recourir.</w:t>
      </w:r>
    </w:p>
    <w:p w:rsidR="0072388B" w:rsidRPr="00CC592F" w:rsidRDefault="0072388B" w:rsidP="0072388B">
      <w:pPr>
        <w:rPr>
          <w:rFonts w:ascii="Arial" w:hAnsi="Arial" w:cs="Arial"/>
        </w:rPr>
      </w:pPr>
    </w:p>
    <w:p w:rsidR="0072388B" w:rsidRPr="00CC592F" w:rsidRDefault="0072388B" w:rsidP="0072388B">
      <w:pPr>
        <w:rPr>
          <w:rFonts w:ascii="Arial" w:hAnsi="Arial" w:cs="Arial"/>
        </w:rPr>
      </w:pPr>
      <w:r w:rsidRPr="00CC592F">
        <w:rPr>
          <w:rFonts w:ascii="Arial" w:eastAsia="Arial" w:hAnsi="Arial" w:cs="Arial"/>
          <w:lang w:bidi="fr-FR"/>
        </w:rPr>
        <w:lastRenderedPageBreak/>
        <w:t>L’effectif d’IRCC a augmenté au cours des dernières années. Afin de répondre à cette forte croissance, IRCC a adopté des mesures pour se doter d’une main-d’œuvre mobile et passer d’une culture de gestion des postes vacants à une culture prête à accueillir les talents. Le recrutement ciblé est mis à profit pour les postes difficiles à doter, à roulement élevé et spécialisés (superviseurs bilingues en poste de jour comme de nuit, agents du soutien à la clientèle et analystes de données qui travaillent de nuit, p. ex.). Les bassins et répertoires sont de plus en plus exploités comme outil de gestion allégée pour pourvoir des postes à roulement élevé, en particulier au sein du Réseau centralisé. Le nombre de processus non annoncés utilisés à IRCC a augmenté, tandis que le nombre de processus annoncés a diminué. IRCC est, à l’égard du recours aux processus non annoncés, supérieur à la moyenne des organisations publiques de même taille.</w:t>
      </w:r>
    </w:p>
    <w:p w:rsidR="0072388B" w:rsidRPr="00CC592F" w:rsidRDefault="0072388B" w:rsidP="0072388B">
      <w:pPr>
        <w:rPr>
          <w:rFonts w:ascii="Arial" w:hAnsi="Arial" w:cs="Arial"/>
        </w:rPr>
      </w:pPr>
    </w:p>
    <w:p w:rsidR="0072388B" w:rsidRPr="00CC592F" w:rsidRDefault="0072388B" w:rsidP="0072388B">
      <w:pPr>
        <w:pStyle w:val="Heading2"/>
        <w:rPr>
          <w:u w:val="single"/>
        </w:rPr>
      </w:pPr>
      <w:r w:rsidRPr="00CC592F">
        <w:rPr>
          <w:lang w:bidi="fr-FR"/>
        </w:rPr>
        <w:t>Expérimentation</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rPr>
          <w:rFonts w:ascii="Arial" w:hAnsi="Arial" w:cs="Arial"/>
        </w:rPr>
      </w:pPr>
      <w:r w:rsidRPr="00CC592F">
        <w:rPr>
          <w:rFonts w:ascii="Arial" w:eastAsia="Arial" w:hAnsi="Arial" w:cs="Arial"/>
          <w:lang w:bidi="fr-FR"/>
        </w:rPr>
        <w:t>Depuis 2010, IRCC s’intéresse davantage aux données de dotations des systèmes disponibles, faisant ainsi évoluer ses capacités en analyse des RH et en reddition de compte. Fort de son expertise soutenue en prestation de données à valeur ajoutée et facilement accessibles, IRCC aspire à devenir l’un des chefs de file de la fonction publique pour la prise de décisions fondées sur des données dans le domaine des RH.</w:t>
      </w:r>
    </w:p>
    <w:p w:rsidR="0072388B" w:rsidRPr="00CC592F" w:rsidRDefault="0072388B" w:rsidP="0072388B">
      <w:pPr>
        <w:rPr>
          <w:rFonts w:ascii="Arial" w:hAnsi="Arial" w:cs="Arial"/>
        </w:rPr>
      </w:pPr>
    </w:p>
    <w:p w:rsidR="0072388B" w:rsidRPr="00CC592F" w:rsidRDefault="0072388B" w:rsidP="0072388B">
      <w:pPr>
        <w:rPr>
          <w:rFonts w:ascii="Arial" w:hAnsi="Arial" w:cs="Arial"/>
        </w:rPr>
      </w:pPr>
      <w:r w:rsidRPr="00CC592F">
        <w:rPr>
          <w:rFonts w:ascii="Arial" w:eastAsia="Arial" w:hAnsi="Arial" w:cs="Arial"/>
          <w:lang w:bidi="fr-FR"/>
        </w:rPr>
        <w:t>IRCC explore constamment les avenues de promotion du Programme fédéral de stage pour les nouveaux arrivants en vue d’encourager les nouvelles organisations fédérales, provinciales et municipales du Canada à offrir des possibilités d’emploi et de formation aux nouveaux arrivants.</w:t>
      </w:r>
    </w:p>
    <w:p w:rsidR="0072388B" w:rsidRPr="00CC592F" w:rsidRDefault="0072388B" w:rsidP="0072388B">
      <w:pPr>
        <w:rPr>
          <w:rFonts w:ascii="Arial" w:hAnsi="Arial" w:cs="Arial"/>
        </w:rPr>
      </w:pPr>
    </w:p>
    <w:p w:rsidR="0072388B" w:rsidRPr="00CC592F" w:rsidRDefault="0072388B" w:rsidP="0072388B">
      <w:pPr>
        <w:rPr>
          <w:rFonts w:ascii="Arial" w:hAnsi="Arial" w:cs="Arial"/>
        </w:rPr>
      </w:pPr>
      <w:r w:rsidRPr="00CC592F">
        <w:rPr>
          <w:rFonts w:ascii="Arial" w:eastAsia="Arial" w:hAnsi="Arial" w:cs="Arial"/>
          <w:lang w:bidi="fr-FR"/>
        </w:rPr>
        <w:t>Au cours de la dernière année, de nombreuses initiatives ont eu lieu afin d’attirer les talents grâce à l’utilisation stratégique des réseaux sociaux pour promouvoir les possibilités d’emploi. On a remarqué une augmentation de la fréquentation des salons d’emploi (46 événements dans 11 villes en 2018</w:t>
      </w:r>
      <w:r w:rsidRPr="00CC592F">
        <w:rPr>
          <w:rFonts w:ascii="Arial" w:eastAsia="Arial" w:hAnsi="Arial" w:cs="Arial"/>
          <w:lang w:bidi="fr-FR"/>
        </w:rPr>
        <w:noBreakHyphen/>
        <w:t>2019), et la présence d’IRCC sur la liste des 50 meilleurs employeurs du Canada en 2019 établie par Forbes a été largement médiatisée. Un projet pilote de salon de recrutement étudiant a eu lieu dans la région de la capitale nationale à l’hiver 2019 : il a mené à l’embauche de plus de 100 étudiants pour l’été, pour un total de 500 étudiants embauchés à l’été 2019. IRCC participe activement au projet pilote de programme d’embauche d’étudiants (PEE) du Secrétariat du Conseil du Trésor, qui favorise l’embauche de jeunes ayant une difficulté d’accès aux possibilités d’emploi dans la fonction publique fédérale. Le Réseau national a embauché quatre participants au PEE à des postes CR</w:t>
      </w:r>
      <w:r w:rsidRPr="00CC592F">
        <w:rPr>
          <w:rFonts w:ascii="Arial" w:eastAsia="Arial" w:hAnsi="Arial" w:cs="Arial"/>
          <w:lang w:bidi="fr-FR"/>
        </w:rPr>
        <w:noBreakHyphen/>
        <w:t>03 pour un an dans la région du Grand Toronto.</w:t>
      </w:r>
    </w:p>
    <w:p w:rsidR="0072388B" w:rsidRPr="00CC592F" w:rsidRDefault="0072388B" w:rsidP="0072388B">
      <w:pPr>
        <w:pStyle w:val="Heading1"/>
      </w:pPr>
      <w:r w:rsidRPr="00CC592F">
        <w:rPr>
          <w:lang w:bidi="fr-FR"/>
        </w:rPr>
        <w:t>Effectif et activités de dotation</w:t>
      </w:r>
    </w:p>
    <w:p w:rsidR="0072388B" w:rsidRPr="00CC592F" w:rsidRDefault="0072388B" w:rsidP="0072388B">
      <w:pPr>
        <w:rPr>
          <w:rFonts w:ascii="Arial" w:hAnsi="Arial" w:cs="Arial"/>
        </w:rPr>
      </w:pPr>
    </w:p>
    <w:p w:rsidR="0072388B" w:rsidRPr="00CC592F" w:rsidRDefault="0072388B" w:rsidP="0072388B">
      <w:pPr>
        <w:pStyle w:val="Heading2"/>
        <w:rPr>
          <w:u w:val="single"/>
        </w:rPr>
      </w:pPr>
      <w:r w:rsidRPr="00CC592F">
        <w:rPr>
          <w:lang w:bidi="fr-FR"/>
        </w:rPr>
        <w:t>Effectif</w:t>
      </w:r>
    </w:p>
    <w:p w:rsidR="0072388B" w:rsidRPr="00CC592F" w:rsidRDefault="0072388B" w:rsidP="0072388B">
      <w:pPr>
        <w:pStyle w:val="NormalWeb"/>
        <w:spacing w:before="0" w:beforeAutospacing="0" w:after="0" w:afterAutospacing="0"/>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IRCC est une grande organisation qui compte 7 938 employés (au 31 mars 2019).</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lastRenderedPageBreak/>
        <w:t>D’après IRCC, au 31 mai 2019, 31 % de son effectif était occasionnel (employés nommés pour une période déterminée, à temps partiel, occasionnels, etc.). Plusieurs centaines d’employés nommés pour une période déterminée pourraient devenir des employés permanents d’ici la fin de mars 2022 si leur période d’emploi est prolongée et qu’ils ne sont pas nommés pour une période indéterminée à mesure que des postes deviennent vacants. Afin de gérer cet effectif occasionnel, IRCC a établi des principes de gestion rigoureuse du financement des salaires temporaires et a préparé les dépenses pour le budget de 2019 afin d’assurer une stabilité financière continue et une capacité financière en matière d’effectif.</w:t>
      </w:r>
    </w:p>
    <w:p w:rsidR="0072388B" w:rsidRPr="00CC592F" w:rsidRDefault="0072388B" w:rsidP="0072388B">
      <w:pPr>
        <w:pStyle w:val="NoSpacing"/>
        <w:rPr>
          <w:rFonts w:ascii="Arial" w:hAnsi="Arial" w:cs="Arial"/>
          <w:sz w:val="22"/>
          <w:szCs w:val="22"/>
          <w:lang w:val="fr-CA" w:eastAsia="en-CA"/>
        </w:rPr>
      </w:pPr>
    </w:p>
    <w:p w:rsidR="0072388B" w:rsidRPr="00CC592F" w:rsidRDefault="0072388B" w:rsidP="0072388B">
      <w:pPr>
        <w:pStyle w:val="NoSpacing"/>
        <w:rPr>
          <w:rFonts w:ascii="Arial" w:hAnsi="Arial" w:cs="Arial"/>
          <w:sz w:val="22"/>
          <w:szCs w:val="22"/>
          <w:lang w:val="fr-CA" w:eastAsia="en-CA"/>
        </w:rPr>
      </w:pPr>
      <w:r w:rsidRPr="00CC592F">
        <w:rPr>
          <w:rFonts w:ascii="Arial" w:eastAsia="Arial" w:hAnsi="Arial" w:cs="Arial"/>
          <w:sz w:val="22"/>
          <w:szCs w:val="22"/>
          <w:lang w:val="fr-CA" w:bidi="fr-FR"/>
        </w:rPr>
        <w:t>Veuillez-vous référer à l’</w:t>
      </w:r>
      <w:hyperlink w:anchor="AnnexD" w:history="1">
        <w:r w:rsidRPr="00CC592F">
          <w:rPr>
            <w:rStyle w:val="Hyperlink"/>
            <w:rFonts w:ascii="Arial" w:eastAsia="Arial" w:hAnsi="Arial" w:cs="Arial"/>
            <w:sz w:val="22"/>
            <w:szCs w:val="22"/>
            <w:lang w:val="fr-CA" w:bidi="fr-FR"/>
          </w:rPr>
          <w:t>annexe D</w:t>
        </w:r>
      </w:hyperlink>
      <w:r w:rsidRPr="00CC592F">
        <w:rPr>
          <w:rFonts w:ascii="Arial" w:eastAsia="Arial" w:hAnsi="Arial" w:cs="Arial"/>
          <w:sz w:val="22"/>
          <w:szCs w:val="22"/>
          <w:lang w:val="fr-CA" w:bidi="fr-FR"/>
        </w:rPr>
        <w:t xml:space="preserve"> pour plus de détails.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Heading2"/>
        <w:rPr>
          <w:u w:val="single"/>
        </w:rPr>
      </w:pPr>
      <w:r w:rsidRPr="00CC592F">
        <w:rPr>
          <w:lang w:bidi="fr-FR"/>
        </w:rPr>
        <w:t>Activités de dotation</w:t>
      </w:r>
    </w:p>
    <w:p w:rsidR="0072388B" w:rsidRPr="00CC592F" w:rsidRDefault="0072388B" w:rsidP="0072388B">
      <w:pPr>
        <w:pStyle w:val="NormalWeb"/>
        <w:spacing w:before="0" w:beforeAutospacing="0" w:after="0" w:afterAutospacing="0"/>
        <w:rPr>
          <w:rFonts w:ascii="Arial" w:hAnsi="Arial" w:cs="Arial"/>
          <w:color w:val="000000"/>
          <w:sz w:val="22"/>
          <w:szCs w:val="22"/>
          <w:lang w:val="fr-CA"/>
        </w:rPr>
      </w:pPr>
    </w:p>
    <w:p w:rsidR="0072388B" w:rsidRPr="00CC592F" w:rsidRDefault="0072388B" w:rsidP="0072388B">
      <w:pPr>
        <w:rPr>
          <w:rFonts w:ascii="Arial" w:hAnsi="Arial" w:cs="Arial"/>
          <w:color w:val="000000"/>
        </w:rPr>
      </w:pPr>
      <w:r w:rsidRPr="00CC592F">
        <w:rPr>
          <w:rFonts w:ascii="Arial" w:eastAsia="Arial" w:hAnsi="Arial" w:cs="Arial"/>
          <w:color w:val="000000"/>
          <w:lang w:bidi="fr-FR"/>
        </w:rPr>
        <w:t>En 2018</w:t>
      </w:r>
      <w:r w:rsidRPr="00CC592F">
        <w:rPr>
          <w:rFonts w:ascii="Arial" w:eastAsia="Arial" w:hAnsi="Arial" w:cs="Arial"/>
          <w:color w:val="000000"/>
          <w:lang w:bidi="fr-FR"/>
        </w:rPr>
        <w:noBreakHyphen/>
        <w:t>2019, IRCC a effectué 7 472 activités de dotation :</w:t>
      </w:r>
    </w:p>
    <w:p w:rsidR="0072388B" w:rsidRPr="00CC592F" w:rsidRDefault="0072388B" w:rsidP="0072388B">
      <w:pPr>
        <w:rPr>
          <w:rFonts w:ascii="Arial" w:hAnsi="Arial" w:cs="Arial"/>
          <w:color w:val="000000"/>
        </w:rPr>
      </w:pP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3 697 nominations à la fonction publique (dont des travailleurs occasionnels et des étudiants);</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1 418 promotions;</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1 193 mutations latérales et régressives;</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1 164 nominations intérimaires.</w:t>
      </w:r>
    </w:p>
    <w:p w:rsidR="0072388B" w:rsidRPr="00CC592F" w:rsidRDefault="0072388B" w:rsidP="0072388B">
      <w:pPr>
        <w:ind w:left="360"/>
        <w:rPr>
          <w:rFonts w:ascii="Arial" w:hAnsi="Arial" w:cs="Arial"/>
          <w:color w:val="000000"/>
        </w:rPr>
      </w:pPr>
    </w:p>
    <w:p w:rsidR="0072388B" w:rsidRPr="00CC592F" w:rsidRDefault="0072388B" w:rsidP="0072388B">
      <w:pPr>
        <w:rPr>
          <w:rFonts w:ascii="Arial" w:hAnsi="Arial" w:cs="Arial"/>
          <w:color w:val="000000"/>
        </w:rPr>
      </w:pPr>
      <w:r w:rsidRPr="00CC592F">
        <w:rPr>
          <w:rFonts w:ascii="Arial" w:eastAsia="Arial" w:hAnsi="Arial" w:cs="Arial"/>
          <w:color w:val="000000"/>
          <w:lang w:bidi="fr-FR"/>
        </w:rPr>
        <w:t>Dotation selon la durée d’emploi :</w:t>
      </w:r>
    </w:p>
    <w:p w:rsidR="0072388B" w:rsidRPr="00CC592F" w:rsidRDefault="0072388B" w:rsidP="0072388B">
      <w:pPr>
        <w:rPr>
          <w:rFonts w:ascii="Arial" w:hAnsi="Arial" w:cs="Arial"/>
          <w:color w:val="000000"/>
        </w:rPr>
      </w:pP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3 370 employés nommés pour une période indéterminée;</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1 711 employés nommés pour une période déterminée;</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2 056 travailleurs occasionnels;</w:t>
      </w:r>
    </w:p>
    <w:p w:rsidR="0072388B" w:rsidRPr="00CC592F" w:rsidRDefault="0072388B" w:rsidP="0072388B">
      <w:pPr>
        <w:keepLines w:val="0"/>
        <w:numPr>
          <w:ilvl w:val="0"/>
          <w:numId w:val="5"/>
        </w:numPr>
        <w:spacing w:after="0" w:line="240" w:lineRule="auto"/>
        <w:rPr>
          <w:rFonts w:ascii="Arial" w:hAnsi="Arial" w:cs="Arial"/>
          <w:color w:val="000000"/>
        </w:rPr>
      </w:pPr>
      <w:r w:rsidRPr="00CC592F">
        <w:rPr>
          <w:rFonts w:ascii="Arial" w:eastAsia="Arial" w:hAnsi="Arial" w:cs="Arial"/>
          <w:color w:val="000000"/>
          <w:lang w:bidi="fr-FR"/>
        </w:rPr>
        <w:t>335 étudiants.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proofErr w:type="spellStart"/>
      <w:r w:rsidRPr="00CC592F">
        <w:rPr>
          <w:rFonts w:ascii="Arial" w:eastAsia="Arial" w:hAnsi="Arial" w:cs="Arial"/>
          <w:sz w:val="22"/>
          <w:szCs w:val="22"/>
          <w:lang w:val="fr-CA" w:bidi="fr-FR"/>
        </w:rPr>
        <w:t>Veuillez vous</w:t>
      </w:r>
      <w:proofErr w:type="spellEnd"/>
      <w:r w:rsidRPr="00CC592F">
        <w:rPr>
          <w:rFonts w:ascii="Arial" w:eastAsia="Arial" w:hAnsi="Arial" w:cs="Arial"/>
          <w:sz w:val="22"/>
          <w:szCs w:val="22"/>
          <w:lang w:val="fr-CA" w:bidi="fr-FR"/>
        </w:rPr>
        <w:t xml:space="preserve"> référer à l’</w:t>
      </w:r>
      <w:hyperlink w:anchor="AnnexD" w:history="1">
        <w:r w:rsidRPr="00CC592F">
          <w:rPr>
            <w:rStyle w:val="Hyperlink"/>
            <w:rFonts w:ascii="Arial" w:eastAsia="Arial" w:hAnsi="Arial" w:cs="Arial"/>
            <w:sz w:val="22"/>
            <w:szCs w:val="22"/>
            <w:lang w:val="fr-CA" w:bidi="fr-FR"/>
          </w:rPr>
          <w:t>annexe</w:t>
        </w:r>
      </w:hyperlink>
      <w:r w:rsidRPr="00CC592F">
        <w:rPr>
          <w:rStyle w:val="Hyperlink"/>
          <w:rFonts w:ascii="Arial" w:eastAsia="Arial" w:hAnsi="Arial" w:cs="Arial"/>
          <w:sz w:val="22"/>
          <w:szCs w:val="22"/>
          <w:lang w:val="fr-CA" w:bidi="fr-FR"/>
        </w:rPr>
        <w:t> E</w:t>
      </w:r>
      <w:r w:rsidRPr="00CC592F">
        <w:rPr>
          <w:rFonts w:ascii="Arial" w:eastAsia="Arial" w:hAnsi="Arial" w:cs="Arial"/>
          <w:sz w:val="22"/>
          <w:szCs w:val="22"/>
          <w:lang w:val="fr-CA" w:bidi="fr-FR"/>
        </w:rPr>
        <w:t xml:space="preserve"> pour plus de détails.</w:t>
      </w:r>
    </w:p>
    <w:p w:rsidR="0072388B" w:rsidRPr="00CC592F" w:rsidRDefault="0072388B" w:rsidP="0072388B">
      <w:pPr>
        <w:pStyle w:val="Heading1"/>
      </w:pPr>
      <w:r w:rsidRPr="00CC592F">
        <w:rPr>
          <w:lang w:bidi="fr-FR"/>
        </w:rPr>
        <w:t>Durée du processus de dotation</w:t>
      </w:r>
    </w:p>
    <w:p w:rsidR="0072388B" w:rsidRPr="00CC592F" w:rsidRDefault="0072388B" w:rsidP="0072388B">
      <w:pPr>
        <w:rPr>
          <w:rFonts w:ascii="Arial" w:hAnsi="Arial" w:cs="Arial"/>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 xml:space="preserve">IRCC </w:t>
      </w:r>
      <w:r w:rsidRPr="00CC592F">
        <w:rPr>
          <w:rFonts w:ascii="Arial" w:eastAsia="Arial" w:hAnsi="Arial" w:cs="Arial"/>
          <w:color w:val="222222"/>
          <w:sz w:val="22"/>
          <w:szCs w:val="22"/>
          <w:lang w:val="fr-CA" w:bidi="fr-FR"/>
        </w:rPr>
        <w:t>a un délai médian de 178 jours pour les nominations internes, ce qui est semblable à la médiane de 176 jours de la fonction publique.</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222222"/>
          <w:sz w:val="22"/>
          <w:szCs w:val="22"/>
          <w:lang w:val="fr-CA"/>
        </w:rPr>
      </w:pPr>
      <w:r w:rsidRPr="00CC592F">
        <w:rPr>
          <w:rFonts w:ascii="Arial" w:eastAsia="Arial" w:hAnsi="Arial" w:cs="Arial"/>
          <w:color w:val="222222"/>
          <w:sz w:val="22"/>
          <w:szCs w:val="22"/>
          <w:lang w:val="fr-CA" w:bidi="fr-FR"/>
        </w:rPr>
        <w:t>IRCC a un délai médian de 159 jours pour les nominations externes, ce qui est inférieur à la médiane de 186 jours de la fonction publique.</w:t>
      </w:r>
    </w:p>
    <w:p w:rsidR="0072388B" w:rsidRPr="00CC592F" w:rsidRDefault="0072388B" w:rsidP="0072388B">
      <w:pPr>
        <w:pStyle w:val="NoSpacing"/>
        <w:rPr>
          <w:rFonts w:ascii="Arial" w:hAnsi="Arial" w:cs="Arial"/>
          <w:color w:val="222222"/>
          <w:sz w:val="22"/>
          <w:szCs w:val="22"/>
          <w:lang w:val="fr-CA"/>
        </w:rPr>
      </w:pPr>
    </w:p>
    <w:p w:rsidR="0072388B" w:rsidRPr="00CC592F" w:rsidRDefault="0072388B" w:rsidP="0072388B">
      <w:pPr>
        <w:pStyle w:val="NoSpacing"/>
        <w:rPr>
          <w:rFonts w:ascii="Arial" w:hAnsi="Arial" w:cs="Arial"/>
          <w:sz w:val="22"/>
          <w:szCs w:val="22"/>
          <w:lang w:val="fr-CA" w:eastAsia="en-CA"/>
        </w:rPr>
      </w:pPr>
      <w:proofErr w:type="spellStart"/>
      <w:r w:rsidRPr="00CC592F">
        <w:rPr>
          <w:rFonts w:ascii="Arial" w:eastAsia="Arial" w:hAnsi="Arial" w:cs="Arial"/>
          <w:sz w:val="22"/>
          <w:szCs w:val="22"/>
          <w:lang w:val="fr-CA" w:bidi="fr-FR"/>
        </w:rPr>
        <w:t>Veuillez vous</w:t>
      </w:r>
      <w:proofErr w:type="spellEnd"/>
      <w:r w:rsidRPr="00CC592F">
        <w:rPr>
          <w:rFonts w:ascii="Arial" w:eastAsia="Arial" w:hAnsi="Arial" w:cs="Arial"/>
          <w:sz w:val="22"/>
          <w:szCs w:val="22"/>
          <w:lang w:val="fr-CA" w:bidi="fr-FR"/>
        </w:rPr>
        <w:t xml:space="preserve"> référer à l’</w:t>
      </w:r>
      <w:hyperlink w:anchor="AnnexD" w:history="1">
        <w:r w:rsidRPr="00CC592F">
          <w:rPr>
            <w:rStyle w:val="Hyperlink"/>
            <w:rFonts w:ascii="Arial" w:eastAsia="Arial" w:hAnsi="Arial" w:cs="Arial"/>
            <w:sz w:val="22"/>
            <w:szCs w:val="22"/>
            <w:lang w:val="fr-CA" w:bidi="fr-FR"/>
          </w:rPr>
          <w:t>annexe </w:t>
        </w:r>
      </w:hyperlink>
      <w:r w:rsidRPr="00CC592F">
        <w:rPr>
          <w:rStyle w:val="Hyperlink"/>
          <w:rFonts w:ascii="Arial" w:eastAsia="Arial" w:hAnsi="Arial" w:cs="Arial"/>
          <w:sz w:val="22"/>
          <w:szCs w:val="22"/>
          <w:lang w:val="fr-CA" w:bidi="fr-FR"/>
        </w:rPr>
        <w:t>F</w:t>
      </w:r>
      <w:r w:rsidRPr="00CC592F">
        <w:rPr>
          <w:rFonts w:ascii="Arial" w:eastAsia="Arial" w:hAnsi="Arial" w:cs="Arial"/>
          <w:sz w:val="22"/>
          <w:szCs w:val="22"/>
          <w:lang w:val="fr-CA" w:bidi="fr-FR"/>
        </w:rPr>
        <w:t xml:space="preserve"> pour plus de détails.</w:t>
      </w:r>
    </w:p>
    <w:p w:rsidR="002271FF" w:rsidRPr="00CC592F" w:rsidRDefault="002271FF">
      <w:pPr>
        <w:keepLines w:val="0"/>
        <w:rPr>
          <w:rFonts w:asciiTheme="majorHAnsi" w:eastAsiaTheme="majorEastAsia" w:hAnsiTheme="majorHAnsi" w:cstheme="majorBidi"/>
          <w:sz w:val="48"/>
          <w:szCs w:val="48"/>
          <w:lang w:bidi="fr-FR"/>
        </w:rPr>
      </w:pPr>
      <w:r w:rsidRPr="00CC592F">
        <w:rPr>
          <w:lang w:bidi="fr-FR"/>
        </w:rPr>
        <w:br w:type="page"/>
      </w:r>
    </w:p>
    <w:p w:rsidR="0072388B" w:rsidRPr="00CC592F" w:rsidRDefault="0072388B" w:rsidP="0072388B">
      <w:pPr>
        <w:pStyle w:val="Heading1"/>
      </w:pPr>
      <w:r w:rsidRPr="00CC592F">
        <w:rPr>
          <w:lang w:bidi="fr-FR"/>
        </w:rPr>
        <w:lastRenderedPageBreak/>
        <w:t>Cadre de dotation</w:t>
      </w:r>
    </w:p>
    <w:p w:rsidR="0072388B" w:rsidRPr="00CC592F" w:rsidRDefault="0072388B" w:rsidP="0072388B">
      <w:pPr>
        <w:rPr>
          <w:rFonts w:ascii="Arial" w:hAnsi="Arial" w:cs="Arial"/>
          <w:b/>
        </w:rPr>
      </w:pPr>
    </w:p>
    <w:p w:rsidR="0072388B" w:rsidRPr="00CC592F" w:rsidRDefault="0072388B" w:rsidP="0072388B">
      <w:pPr>
        <w:pStyle w:val="Heading2"/>
      </w:pPr>
      <w:r w:rsidRPr="00CC592F">
        <w:rPr>
          <w:lang w:bidi="fr-FR"/>
        </w:rPr>
        <w:t>Mise en œuvre de la Nouvelle orientation en dotation</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rPr>
          <w:rFonts w:ascii="Arial" w:hAnsi="Arial" w:cs="Arial"/>
          <w:color w:val="000000"/>
        </w:rPr>
      </w:pPr>
      <w:r w:rsidRPr="00CC592F">
        <w:rPr>
          <w:rFonts w:ascii="Arial" w:eastAsia="Arial" w:hAnsi="Arial" w:cs="Arial"/>
          <w:color w:val="000000"/>
          <w:lang w:bidi="fr-FR"/>
        </w:rPr>
        <w:t>IRCC a mis en place un nouvel instrument de subdélégation pour la mise en œuvre de la Nouvelle orientation en dotation en 2016.</w:t>
      </w:r>
    </w:p>
    <w:p w:rsidR="0072388B" w:rsidRPr="00CC592F" w:rsidRDefault="0072388B" w:rsidP="0072388B">
      <w:pPr>
        <w:rPr>
          <w:rFonts w:ascii="Arial" w:hAnsi="Arial" w:cs="Arial"/>
          <w:color w:val="000000"/>
        </w:rPr>
      </w:pPr>
    </w:p>
    <w:p w:rsidR="0072388B" w:rsidRPr="00CC592F" w:rsidRDefault="00724186" w:rsidP="0072388B">
      <w:pPr>
        <w:rPr>
          <w:rFonts w:ascii="Arial" w:hAnsi="Arial" w:cs="Arial"/>
          <w:color w:val="000000"/>
        </w:rPr>
      </w:pPr>
      <w:sdt>
        <w:sdtPr>
          <w:rPr>
            <w:rFonts w:ascii="Arial" w:hAnsi="Arial" w:cs="Arial"/>
            <w:color w:val="000000"/>
          </w:rPr>
          <w:id w:val="1695810522"/>
          <w:placeholder>
            <w:docPart w:val="49469B9FA50643CB9309AB4941F02E9C"/>
          </w:placeholder>
          <w15:appearance w15:val="hidden"/>
          <w:text w:multiLine="1"/>
        </w:sdtPr>
        <w:sdtEndPr/>
        <w:sdtContent>
          <w:r w:rsidR="0072388B" w:rsidRPr="00CC592F">
            <w:rPr>
              <w:rFonts w:ascii="Arial" w:hAnsi="Arial" w:cs="Arial"/>
              <w:color w:val="000000"/>
            </w:rPr>
            <w:t xml:space="preserve">Il a élaboré une ligne directrice sur la gestion de la dotation axée sur les risques et les résultats qui </w:t>
          </w:r>
          <w:proofErr w:type="gramStart"/>
          <w:r w:rsidR="0072388B" w:rsidRPr="00CC592F">
            <w:rPr>
              <w:rFonts w:ascii="Arial" w:hAnsi="Arial" w:cs="Arial"/>
              <w:color w:val="000000"/>
            </w:rPr>
            <w:t>est</w:t>
          </w:r>
          <w:proofErr w:type="gramEnd"/>
          <w:r w:rsidR="0072388B" w:rsidRPr="00CC592F">
            <w:rPr>
              <w:rFonts w:ascii="Arial" w:hAnsi="Arial" w:cs="Arial"/>
              <w:color w:val="000000"/>
            </w:rPr>
            <w:t xml:space="preserve"> entrée en vigueur le 1er avril 2016</w:t>
          </w:r>
        </w:sdtContent>
      </w:sdt>
      <w:r w:rsidR="0072388B" w:rsidRPr="00CC592F">
        <w:rPr>
          <w:rFonts w:ascii="Arial" w:hAnsi="Arial" w:cs="Arial"/>
          <w:color w:val="000000"/>
          <w:lang w:bidi="fr-FR"/>
        </w:rPr>
        <w:t>. Elle encadre le processus décisionnel concernant le choix du processus de dotation et prend la forme de différents documents d’orientation : un document sur l’établissement d’une zone nationale de sélection pour les processus internes, un formulaire d’attestation et un document présentant des étapes pour choisir le processus de dotation, les options de dotation et des exemples de considérations axées sur les risques et les résultats et de leur utilisation.</w:t>
      </w:r>
    </w:p>
    <w:p w:rsidR="0072388B" w:rsidRPr="00CC592F" w:rsidRDefault="0072388B" w:rsidP="0072388B">
      <w:pPr>
        <w:pStyle w:val="Heading1"/>
      </w:pPr>
      <w:r w:rsidRPr="00CC592F">
        <w:rPr>
          <w:lang w:bidi="fr-FR"/>
        </w:rPr>
        <w:t xml:space="preserve">Instrument de délégation et de responsabilisation en matière de nomination – </w:t>
      </w:r>
      <w:r w:rsidR="00811E93" w:rsidRPr="00CC592F">
        <w:rPr>
          <w:lang w:bidi="fr-FR"/>
        </w:rPr>
        <w:t>rapports de l’annexe </w:t>
      </w:r>
      <w:r w:rsidRPr="00CC592F">
        <w:rPr>
          <w:lang w:bidi="fr-FR"/>
        </w:rPr>
        <w:t>D</w:t>
      </w:r>
    </w:p>
    <w:p w:rsidR="0072388B" w:rsidRPr="00CC592F" w:rsidRDefault="0072388B" w:rsidP="0072388B">
      <w:pPr>
        <w:pStyle w:val="NormalWeb"/>
        <w:spacing w:before="0" w:beforeAutospacing="0" w:after="0" w:afterAutospacing="0"/>
        <w:rPr>
          <w:rFonts w:ascii="Arial" w:hAnsi="Arial" w:cs="Arial"/>
          <w:sz w:val="22"/>
          <w:szCs w:val="22"/>
          <w:lang w:val="fr-CA"/>
        </w:rPr>
      </w:pPr>
    </w:p>
    <w:p w:rsidR="0072388B" w:rsidRPr="00CC592F" w:rsidRDefault="0072388B" w:rsidP="0072388B">
      <w:pPr>
        <w:pStyle w:val="Heading2"/>
      </w:pPr>
      <w:r w:rsidRPr="00CC592F">
        <w:rPr>
          <w:iCs/>
          <w:lang w:bidi="fr-FR"/>
        </w:rPr>
        <w:t>Utilisation du</w:t>
      </w:r>
      <w:r w:rsidRPr="00CC592F">
        <w:rPr>
          <w:lang w:bidi="fr-FR"/>
        </w:rPr>
        <w:t xml:space="preserve"> Décret d’exemption concernant les langues officielles dans la fonction publique et du Règlement sur les langues officielles — nominations dans la fonction publique</w:t>
      </w:r>
    </w:p>
    <w:p w:rsidR="0072388B" w:rsidRPr="00CC592F" w:rsidRDefault="0072388B" w:rsidP="0072388B">
      <w:pPr>
        <w:pStyle w:val="NormalWeb"/>
        <w:spacing w:before="0" w:beforeAutospacing="0" w:after="0" w:afterAutospacing="0"/>
        <w:rPr>
          <w:rFonts w:ascii="Arial" w:hAnsi="Arial" w:cs="Arial"/>
          <w:color w:val="000000"/>
          <w:sz w:val="22"/>
          <w:szCs w:val="22"/>
          <w:lang w:val="fr-CA"/>
        </w:rPr>
      </w:pPr>
    </w:p>
    <w:p w:rsidR="0072388B" w:rsidRPr="00CC592F" w:rsidRDefault="0072388B" w:rsidP="0072388B">
      <w:pPr>
        <w:pStyle w:val="NoSpacing"/>
        <w:rPr>
          <w:rFonts w:ascii="Arial" w:hAnsi="Arial" w:cs="Arial"/>
          <w:color w:val="222222"/>
          <w:sz w:val="22"/>
          <w:szCs w:val="22"/>
          <w:lang w:val="fr-CA"/>
        </w:rPr>
      </w:pPr>
      <w:r w:rsidRPr="00CC592F">
        <w:rPr>
          <w:rFonts w:ascii="Arial" w:eastAsia="Arial" w:hAnsi="Arial" w:cs="Arial"/>
          <w:color w:val="222222"/>
          <w:sz w:val="22"/>
          <w:szCs w:val="22"/>
          <w:lang w:val="fr-CA" w:bidi="fr-FR"/>
        </w:rPr>
        <w:t>IRCC a signalé que, du 1</w:t>
      </w:r>
      <w:r w:rsidRPr="00CC592F">
        <w:rPr>
          <w:rFonts w:ascii="Arial" w:eastAsia="Arial" w:hAnsi="Arial" w:cs="Arial"/>
          <w:color w:val="222222"/>
          <w:sz w:val="22"/>
          <w:szCs w:val="22"/>
          <w:vertAlign w:val="superscript"/>
          <w:lang w:val="fr-CA" w:bidi="fr-FR"/>
        </w:rPr>
        <w:t>er</w:t>
      </w:r>
      <w:r w:rsidRPr="00CC592F">
        <w:rPr>
          <w:rFonts w:ascii="Arial" w:eastAsia="Arial" w:hAnsi="Arial" w:cs="Arial"/>
          <w:color w:val="222222"/>
          <w:sz w:val="22"/>
          <w:szCs w:val="22"/>
          <w:lang w:val="fr-CA" w:bidi="fr-FR"/>
        </w:rPr>
        <w:t xml:space="preserve"> avril 2018 au 31 mars 2019, l’organisation n’a pas utilisé le </w:t>
      </w:r>
      <w:r w:rsidRPr="00CC592F">
        <w:rPr>
          <w:rFonts w:ascii="Arial" w:eastAsia="Arial" w:hAnsi="Arial" w:cs="Arial"/>
          <w:i/>
          <w:color w:val="222222"/>
          <w:sz w:val="22"/>
          <w:szCs w:val="22"/>
          <w:lang w:val="fr-CA" w:bidi="fr-FR"/>
        </w:rPr>
        <w:t>Décret d’exemption concernant les langues officielles dans la fonction publique</w:t>
      </w:r>
      <w:r w:rsidRPr="00CC592F">
        <w:rPr>
          <w:rFonts w:ascii="Arial" w:eastAsia="Arial" w:hAnsi="Arial" w:cs="Arial"/>
          <w:color w:val="222222"/>
          <w:sz w:val="22"/>
          <w:szCs w:val="22"/>
          <w:lang w:val="fr-CA" w:bidi="fr-FR"/>
        </w:rPr>
        <w:t xml:space="preserve"> ni le </w:t>
      </w:r>
      <w:r w:rsidRPr="00CC592F">
        <w:rPr>
          <w:rFonts w:ascii="Arial" w:eastAsia="Arial" w:hAnsi="Arial" w:cs="Arial"/>
          <w:i/>
          <w:color w:val="222222"/>
          <w:sz w:val="22"/>
          <w:szCs w:val="22"/>
          <w:lang w:val="fr-CA" w:bidi="fr-FR"/>
        </w:rPr>
        <w:t>Règlement sur les langues officielles — nominations dans la fonction publique</w:t>
      </w:r>
      <w:r w:rsidRPr="00CC592F">
        <w:rPr>
          <w:rFonts w:ascii="Arial" w:eastAsia="Arial" w:hAnsi="Arial" w:cs="Arial"/>
          <w:color w:val="222222"/>
          <w:sz w:val="22"/>
          <w:szCs w:val="22"/>
          <w:lang w:val="fr-CA" w:bidi="fr-FR"/>
        </w:rPr>
        <w:t>.</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Heading3"/>
      </w:pPr>
      <w:r w:rsidRPr="00CC592F">
        <w:rPr>
          <w:lang w:bidi="fr-FR"/>
        </w:rPr>
        <w:t>Approbation par les administrateurs généraux des exceptions aux exigences relatives à la zone nationale de sélection dans le cadre du processus de nomination externe annoncé</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b/>
          <w:color w:val="222222"/>
          <w:sz w:val="22"/>
          <w:szCs w:val="22"/>
          <w:lang w:val="fr-CA"/>
        </w:rPr>
      </w:pPr>
      <w:r w:rsidRPr="00CC592F">
        <w:rPr>
          <w:rFonts w:ascii="Arial" w:eastAsia="Arial" w:hAnsi="Arial" w:cs="Arial"/>
          <w:color w:val="000000"/>
          <w:sz w:val="22"/>
          <w:szCs w:val="22"/>
          <w:lang w:val="fr-CA" w:bidi="fr-FR"/>
        </w:rPr>
        <w:t xml:space="preserve">IRCC </w:t>
      </w:r>
      <w:r w:rsidRPr="00CC592F">
        <w:rPr>
          <w:rFonts w:ascii="Arial" w:eastAsia="Arial" w:hAnsi="Arial" w:cs="Arial"/>
          <w:color w:val="222222"/>
          <w:sz w:val="22"/>
          <w:szCs w:val="22"/>
          <w:lang w:val="fr-CA" w:bidi="fr-FR"/>
        </w:rPr>
        <w:t>a signalé que l’AG n’a pas approuvé d’exception</w:t>
      </w:r>
      <w:r w:rsidRPr="00CC592F">
        <w:rPr>
          <w:rFonts w:ascii="Arial" w:eastAsia="Arial" w:hAnsi="Arial" w:cs="Arial"/>
          <w:color w:val="000000"/>
          <w:sz w:val="22"/>
          <w:szCs w:val="22"/>
          <w:lang w:val="fr-CA" w:bidi="fr-FR"/>
        </w:rPr>
        <w:t xml:space="preserve"> aux exigences relatives à la zone nationale de sélection.</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Heading2"/>
      </w:pPr>
      <w:r w:rsidRPr="00CC592F">
        <w:rPr>
          <w:lang w:bidi="fr-FR"/>
        </w:rPr>
        <w:t>Résultats de l’évaluation organisationnelle cyclique</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IRCC a révisé son cadre de surveillance afin de veiller à ce qu’il s’aligne sur la Nouvelle orientation en dotation, et l’organisation a adopté un cycle quinquennal de rapports (2016</w:t>
      </w:r>
      <w:r w:rsidRPr="00CC592F">
        <w:rPr>
          <w:rFonts w:ascii="Arial" w:eastAsia="Arial" w:hAnsi="Arial" w:cs="Arial"/>
          <w:color w:val="000000"/>
          <w:sz w:val="22"/>
          <w:szCs w:val="22"/>
          <w:lang w:val="fr-CA" w:bidi="fr-FR"/>
        </w:rPr>
        <w:noBreakHyphen/>
        <w:t>2021).</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lastRenderedPageBreak/>
        <w:t>La première évaluation cyclique aura lieu en mai 2021.</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Heading2"/>
      </w:pPr>
      <w:r w:rsidRPr="00CC592F">
        <w:rPr>
          <w:lang w:bidi="fr-FR"/>
        </w:rPr>
        <w:t>Demandes de renseignements et tendances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CF4CD4">
      <w:pPr>
        <w:pStyle w:val="NoSpacing"/>
        <w:spacing w:after="480"/>
        <w:rPr>
          <w:rFonts w:ascii="Arial" w:hAnsi="Arial" w:cs="Arial"/>
          <w:color w:val="000000"/>
          <w:sz w:val="22"/>
          <w:szCs w:val="22"/>
          <w:lang w:val="fr-CA"/>
        </w:rPr>
      </w:pPr>
      <w:r w:rsidRPr="00CC592F">
        <w:rPr>
          <w:rFonts w:ascii="Arial" w:eastAsia="Arial" w:hAnsi="Arial" w:cs="Arial"/>
          <w:color w:val="000000"/>
          <w:sz w:val="22"/>
          <w:szCs w:val="22"/>
          <w:lang w:val="fr-CA" w:bidi="fr-FR"/>
        </w:rPr>
        <w:t>Les demandes de renseignements d’IRCC sont très semblables à celles de la plupart des ministères et ont principalement trait aux évaluations et à la surveillance.</w:t>
      </w:r>
      <w:r w:rsidR="00CF4CD4" w:rsidRPr="00CC592F">
        <w:rPr>
          <w:rFonts w:ascii="Arial" w:hAnsi="Arial" w:cs="Arial"/>
          <w:color w:val="000000"/>
          <w:sz w:val="22"/>
          <w:szCs w:val="22"/>
          <w:lang w:val="fr-CA"/>
        </w:rPr>
        <w:t xml:space="preserve"> </w:t>
      </w:r>
    </w:p>
    <w:p w:rsidR="0072388B" w:rsidRPr="00CC592F" w:rsidRDefault="0072388B" w:rsidP="0072388B">
      <w:pPr>
        <w:pStyle w:val="Heading1"/>
      </w:pPr>
      <w:r w:rsidRPr="00CC592F">
        <w:rPr>
          <w:lang w:bidi="fr-FR"/>
        </w:rPr>
        <w:t>Surveillance</w:t>
      </w:r>
    </w:p>
    <w:p w:rsidR="0072388B" w:rsidRPr="00CC592F" w:rsidRDefault="0072388B" w:rsidP="0072388B">
      <w:pPr>
        <w:rPr>
          <w:rFonts w:ascii="Arial" w:hAnsi="Arial" w:cs="Arial"/>
          <w:color w:val="222222"/>
        </w:rPr>
      </w:pPr>
    </w:p>
    <w:p w:rsidR="0072388B" w:rsidRPr="00CC592F" w:rsidRDefault="0072388B" w:rsidP="0072388B">
      <w:pPr>
        <w:pStyle w:val="Heading2"/>
        <w:rPr>
          <w:u w:val="single"/>
        </w:rPr>
      </w:pPr>
      <w:r w:rsidRPr="00CC592F">
        <w:rPr>
          <w:lang w:bidi="fr-FR"/>
        </w:rPr>
        <w:t>Vérifications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 xml:space="preserve">IRCC était inclus dans le projet pilote de vérification de la dotation à l’échelle du système, </w:t>
      </w:r>
      <w:hyperlink r:id="rId8" w:history="1">
        <w:r w:rsidRPr="00CC592F">
          <w:rPr>
            <w:rFonts w:ascii="Arial" w:eastAsia="Arial" w:hAnsi="Arial" w:cs="Arial"/>
            <w:color w:val="000000"/>
            <w:sz w:val="22"/>
            <w:szCs w:val="22"/>
            <w:lang w:val="fr-CA" w:bidi="fr-FR"/>
          </w:rPr>
          <w:t>dont le rapport final</w:t>
        </w:r>
      </w:hyperlink>
      <w:r w:rsidRPr="00CC592F">
        <w:rPr>
          <w:rFonts w:ascii="Arial" w:eastAsia="Arial" w:hAnsi="Arial" w:cs="Arial"/>
          <w:color w:val="000000"/>
          <w:sz w:val="22"/>
          <w:szCs w:val="22"/>
          <w:lang w:val="fr-CA" w:bidi="fr-FR"/>
        </w:rPr>
        <w:t xml:space="preserve"> a été publié en décembre 2018. Il figurait également parmi les 15 organisations incluses dans la vérification horizontale de la validation des titres de compétences, dont le rapport final a été publié le 29 mai 2019.</w:t>
      </w:r>
    </w:p>
    <w:p w:rsidR="0072388B" w:rsidRPr="00CC592F" w:rsidRDefault="0072388B" w:rsidP="0072388B">
      <w:pPr>
        <w:rPr>
          <w:rFonts w:ascii="Arial" w:eastAsiaTheme="majorEastAsia" w:hAnsi="Arial" w:cstheme="majorBidi"/>
          <w:b/>
          <w:color w:val="009999"/>
          <w:szCs w:val="24"/>
        </w:rPr>
      </w:pPr>
    </w:p>
    <w:p w:rsidR="0072388B" w:rsidRPr="00CC592F" w:rsidRDefault="0072388B" w:rsidP="0072388B">
      <w:pPr>
        <w:pStyle w:val="Heading2"/>
        <w:rPr>
          <w:u w:val="single"/>
        </w:rPr>
      </w:pPr>
      <w:r w:rsidRPr="00CC592F">
        <w:rPr>
          <w:lang w:bidi="fr-FR"/>
        </w:rPr>
        <w:t>Enquêtes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sz w:val="22"/>
          <w:szCs w:val="22"/>
          <w:lang w:val="fr-CA" w:eastAsia="en-CA"/>
        </w:rPr>
      </w:pPr>
      <w:r w:rsidRPr="00CC592F">
        <w:rPr>
          <w:rFonts w:ascii="Arial" w:eastAsia="Arial" w:hAnsi="Arial" w:cs="Arial"/>
          <w:sz w:val="22"/>
          <w:szCs w:val="22"/>
          <w:lang w:val="fr-CA" w:bidi="fr-FR"/>
        </w:rPr>
        <w:t>La CFP a reçu 11 demandes d’enquêtes entre le 1</w:t>
      </w:r>
      <w:r w:rsidRPr="00CC592F">
        <w:rPr>
          <w:rFonts w:ascii="Arial" w:eastAsia="Arial" w:hAnsi="Arial" w:cs="Arial"/>
          <w:sz w:val="22"/>
          <w:szCs w:val="22"/>
          <w:vertAlign w:val="superscript"/>
          <w:lang w:val="fr-CA" w:bidi="fr-FR"/>
        </w:rPr>
        <w:t>er</w:t>
      </w:r>
      <w:r w:rsidRPr="00CC592F">
        <w:rPr>
          <w:rFonts w:ascii="Arial" w:eastAsia="Arial" w:hAnsi="Arial" w:cs="Arial"/>
          <w:sz w:val="22"/>
          <w:szCs w:val="22"/>
          <w:lang w:val="fr-CA" w:bidi="fr-FR"/>
        </w:rPr>
        <w:t> avril 2017 et le 10 février 2019 : sept sur les processus de nomination externes, deux sur des fraudes potentielles (l’une demandée par IRCC, l’une en raison d’une plainte) et deux sur des activités politiques. Parmi ces demandes, sept ont été refusées puis fermées, trois sont en cours et l’une est terminée et a été jugée non fondée. Veuillez-vous référer à l’</w:t>
      </w:r>
      <w:hyperlink w:anchor="AnnexG" w:history="1">
        <w:r w:rsidRPr="00CC592F">
          <w:rPr>
            <w:rStyle w:val="Hyperlink"/>
            <w:rFonts w:ascii="Arial" w:eastAsia="Arial" w:hAnsi="Arial" w:cs="Arial"/>
            <w:sz w:val="22"/>
            <w:szCs w:val="22"/>
            <w:lang w:val="fr-CA" w:bidi="fr-FR"/>
          </w:rPr>
          <w:t>annexe G</w:t>
        </w:r>
      </w:hyperlink>
      <w:r w:rsidRPr="00CC592F">
        <w:rPr>
          <w:rFonts w:ascii="Arial" w:eastAsia="Arial" w:hAnsi="Arial" w:cs="Arial"/>
          <w:sz w:val="22"/>
          <w:szCs w:val="22"/>
          <w:lang w:val="fr-CA" w:bidi="fr-FR"/>
        </w:rPr>
        <w:t xml:space="preserve"> pour plus de détails.</w:t>
      </w:r>
    </w:p>
    <w:p w:rsidR="0072388B" w:rsidRPr="00CC592F" w:rsidRDefault="0072388B" w:rsidP="0072388B">
      <w:pPr>
        <w:pStyle w:val="NoSpacing"/>
        <w:rPr>
          <w:rFonts w:ascii="Arial" w:hAnsi="Arial" w:cs="Arial"/>
          <w:sz w:val="22"/>
          <w:szCs w:val="22"/>
          <w:lang w:val="fr-CA" w:eastAsia="en-CA"/>
        </w:rPr>
      </w:pPr>
    </w:p>
    <w:p w:rsidR="0072388B" w:rsidRPr="00CC592F" w:rsidRDefault="0072388B" w:rsidP="0072388B">
      <w:pPr>
        <w:pStyle w:val="Heading2"/>
        <w:rPr>
          <w:u w:val="single"/>
        </w:rPr>
      </w:pPr>
      <w:r w:rsidRPr="00CC592F">
        <w:rPr>
          <w:lang w:bidi="fr-FR"/>
        </w:rPr>
        <w:t>Résultats du Sondage sur la dotation et l’impartialité politique</w:t>
      </w:r>
    </w:p>
    <w:p w:rsidR="0072388B" w:rsidRPr="00CC592F" w:rsidRDefault="0072388B" w:rsidP="0072388B">
      <w:pPr>
        <w:pStyle w:val="Style1"/>
        <w:pBdr>
          <w:bottom w:val="none" w:sz="0" w:space="0" w:color="auto"/>
        </w:pBdr>
        <w:rPr>
          <w:b w:val="0"/>
          <w:caps w:val="0"/>
          <w:color w:val="000000"/>
          <w:lang w:val="fr-CA"/>
        </w:rPr>
      </w:pPr>
    </w:p>
    <w:p w:rsidR="0072388B" w:rsidRPr="00CC592F" w:rsidRDefault="0072388B" w:rsidP="0072388B">
      <w:pPr>
        <w:contextualSpacing/>
        <w:rPr>
          <w:rFonts w:ascii="Arial" w:hAnsi="Arial" w:cs="Arial"/>
          <w:lang w:eastAsia="en-CA"/>
        </w:rPr>
      </w:pPr>
      <w:r w:rsidRPr="00CC592F">
        <w:rPr>
          <w:rFonts w:ascii="Arial" w:hAnsi="Arial" w:cs="Arial"/>
          <w:color w:val="000000"/>
          <w:lang w:bidi="fr-FR"/>
        </w:rPr>
        <w:t xml:space="preserve">Le taux de réponse final d’IRCC au Sondage sur la dotation et l’impartialité politique était de 50,5 %. Dans l’ensemble, les réponses d’IRCC </w:t>
      </w:r>
      <w:r w:rsidRPr="00CC592F">
        <w:rPr>
          <w:rFonts w:ascii="Arial" w:eastAsia="Arial" w:hAnsi="Arial" w:cs="Arial"/>
          <w:u w:val="single"/>
          <w:lang w:bidi="fr-FR"/>
        </w:rPr>
        <w:t>étaient plus positives</w:t>
      </w:r>
      <w:r w:rsidRPr="00CC592F">
        <w:rPr>
          <w:rFonts w:ascii="Arial" w:eastAsia="Arial" w:hAnsi="Arial" w:cs="Arial"/>
          <w:lang w:bidi="fr-FR"/>
        </w:rPr>
        <w:t xml:space="preserve"> que celles d’autres grandes organisations et de la fonction publique.</w:t>
      </w:r>
    </w:p>
    <w:p w:rsidR="0072388B" w:rsidRPr="00CC592F" w:rsidRDefault="0072388B" w:rsidP="0072388B">
      <w:pPr>
        <w:contextualSpacing/>
        <w:rPr>
          <w:rFonts w:ascii="Arial" w:hAnsi="Arial" w:cs="Arial"/>
          <w:lang w:eastAsia="en-CA"/>
        </w:rPr>
      </w:pPr>
    </w:p>
    <w:p w:rsidR="0072388B" w:rsidRPr="00CC592F" w:rsidRDefault="0072388B" w:rsidP="0072388B">
      <w:pPr>
        <w:contextualSpacing/>
        <w:rPr>
          <w:rFonts w:ascii="Arial" w:hAnsi="Arial" w:cs="Arial"/>
        </w:rPr>
      </w:pPr>
      <w:r w:rsidRPr="00CC592F">
        <w:rPr>
          <w:rFonts w:ascii="Arial" w:hAnsi="Arial" w:cs="Arial"/>
          <w:lang w:bidi="fr-FR"/>
        </w:rPr>
        <w:t>Voici les principales conclusions tirées des résultats du Sondage de 2018 pour l’IRCC :</w:t>
      </w:r>
    </w:p>
    <w:p w:rsidR="0072388B" w:rsidRPr="00CC592F" w:rsidRDefault="0072388B" w:rsidP="0072388B">
      <w:pPr>
        <w:pStyle w:val="Style1"/>
        <w:pBdr>
          <w:bottom w:val="none" w:sz="0" w:space="0" w:color="auto"/>
        </w:pBdr>
        <w:rPr>
          <w:b w:val="0"/>
          <w:caps w:val="0"/>
          <w:color w:val="000000"/>
          <w:highlight w:val="cyan"/>
          <w:lang w:val="fr-CA"/>
        </w:rPr>
      </w:pP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56 % des </w:t>
      </w:r>
      <w:r w:rsidRPr="00CC592F">
        <w:rPr>
          <w:rFonts w:ascii="Arial" w:hAnsi="Arial" w:cs="Arial"/>
          <w:b/>
          <w:i/>
          <w:lang w:bidi="fr-FR"/>
        </w:rPr>
        <w:t xml:space="preserve">employés </w:t>
      </w:r>
      <w:r w:rsidRPr="00CC592F">
        <w:rPr>
          <w:rFonts w:ascii="Arial" w:hAnsi="Arial" w:cs="Arial"/>
          <w:i/>
          <w:lang w:bidi="fr-FR"/>
        </w:rPr>
        <w:t>estiment que les personnes embauchées dans leur unité de travail peuvent faire leur travail, comparativement à 52,3 % dans les organisations de taille semblable et à 53,8 %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94,6 % des </w:t>
      </w:r>
      <w:r w:rsidRPr="00CC592F">
        <w:rPr>
          <w:rFonts w:ascii="Arial" w:hAnsi="Arial" w:cs="Arial"/>
          <w:b/>
          <w:i/>
          <w:lang w:bidi="fr-FR"/>
        </w:rPr>
        <w:t xml:space="preserve">gestionnaires </w:t>
      </w:r>
      <w:r w:rsidRPr="00CC592F">
        <w:rPr>
          <w:rFonts w:ascii="Arial" w:hAnsi="Arial" w:cs="Arial"/>
          <w:i/>
          <w:lang w:bidi="fr-FR"/>
        </w:rPr>
        <w:t>estiment que les personnes nommées s’intègrent bien dans l’équipe ou l’unité de travail, comparativement à 92,1 % dans les organisations de taille semblable et à 92,4 %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47,7 % des </w:t>
      </w:r>
      <w:r w:rsidRPr="00CC592F">
        <w:rPr>
          <w:rFonts w:ascii="Arial" w:hAnsi="Arial" w:cs="Arial"/>
          <w:b/>
          <w:i/>
          <w:lang w:bidi="fr-FR"/>
        </w:rPr>
        <w:t xml:space="preserve">employés </w:t>
      </w:r>
      <w:r w:rsidRPr="00CC592F">
        <w:rPr>
          <w:rFonts w:ascii="Arial" w:hAnsi="Arial" w:cs="Arial"/>
          <w:i/>
          <w:lang w:bidi="fr-FR"/>
        </w:rPr>
        <w:t>estiment que les activités de dotation sont menées de façon équitable dans leur unité de travail, comparativement à 45 % dans les organisations de taille semblable et à 46,4 %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lastRenderedPageBreak/>
        <w:t xml:space="preserve">100 % des </w:t>
      </w:r>
      <w:r w:rsidRPr="00CC592F">
        <w:rPr>
          <w:rFonts w:ascii="Arial" w:hAnsi="Arial" w:cs="Arial"/>
          <w:b/>
          <w:i/>
          <w:lang w:bidi="fr-FR"/>
        </w:rPr>
        <w:t>conseillers en dotation</w:t>
      </w:r>
      <w:r w:rsidRPr="00CC592F">
        <w:rPr>
          <w:rFonts w:ascii="Arial" w:hAnsi="Arial" w:cs="Arial"/>
          <w:i/>
          <w:lang w:bidi="fr-FR"/>
        </w:rPr>
        <w:t xml:space="preserve"> affirment pouvoir expliquer aux gestionnaires comment la mise en œuvre par leur organisation de la Nouvelle orientation en dotation est liée aux besoins de dotation des gestionnaires, comparativement à 92,6 % dans les organisations de taille semblable et à 93,3 %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64,3 % des </w:t>
      </w:r>
      <w:r w:rsidRPr="00CC592F">
        <w:rPr>
          <w:rFonts w:ascii="Arial" w:hAnsi="Arial" w:cs="Arial"/>
          <w:b/>
          <w:i/>
          <w:lang w:bidi="fr-FR"/>
        </w:rPr>
        <w:t xml:space="preserve">gestionnaires </w:t>
      </w:r>
      <w:r w:rsidRPr="00CC592F">
        <w:rPr>
          <w:rFonts w:ascii="Arial" w:hAnsi="Arial" w:cs="Arial"/>
          <w:i/>
          <w:lang w:bidi="fr-FR"/>
        </w:rPr>
        <w:t>comprennent la Nouvelle orientation en dotation, comparativement à 60,1 % dans les organisations de taille semblable et à 61,4 %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70,9 % des </w:t>
      </w:r>
      <w:r w:rsidRPr="00CC592F">
        <w:rPr>
          <w:rFonts w:ascii="Arial" w:hAnsi="Arial" w:cs="Arial"/>
          <w:b/>
          <w:i/>
          <w:lang w:bidi="fr-FR"/>
        </w:rPr>
        <w:t xml:space="preserve">gestionnaires </w:t>
      </w:r>
      <w:r w:rsidRPr="00CC592F">
        <w:rPr>
          <w:rFonts w:ascii="Arial" w:hAnsi="Arial" w:cs="Arial"/>
          <w:i/>
          <w:lang w:bidi="fr-FR"/>
        </w:rPr>
        <w:t>estiment que la Nouvelle orientation en dotation a amélioré les processus d’embauche et de nomination des candidats dans leur organisation, comparativement à 54,4 % dans les organisations de taille semblable et à 56,1 %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59 % des </w:t>
      </w:r>
      <w:r w:rsidRPr="00CC592F">
        <w:rPr>
          <w:rFonts w:ascii="Arial" w:hAnsi="Arial" w:cs="Arial"/>
          <w:b/>
          <w:i/>
          <w:lang w:bidi="fr-FR"/>
        </w:rPr>
        <w:t xml:space="preserve">gestionnaires </w:t>
      </w:r>
      <w:r w:rsidRPr="00CC592F">
        <w:rPr>
          <w:rFonts w:ascii="Arial" w:hAnsi="Arial" w:cs="Arial"/>
          <w:i/>
          <w:lang w:bidi="fr-FR"/>
        </w:rPr>
        <w:t>estiment que les options de dotation de leur organisation leur permettent de répondre à leurs besoins en dotation aussi rapidement que nécessaire, comparativement à 35,5 % dans les organisations de taille semblable et à 37,6 %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82,5 % des </w:t>
      </w:r>
      <w:r w:rsidRPr="00CC592F">
        <w:rPr>
          <w:rFonts w:ascii="Arial" w:hAnsi="Arial" w:cs="Arial"/>
          <w:b/>
          <w:i/>
          <w:lang w:bidi="fr-FR"/>
        </w:rPr>
        <w:t xml:space="preserve">gestionnaires </w:t>
      </w:r>
      <w:r w:rsidRPr="00CC592F">
        <w:rPr>
          <w:rFonts w:ascii="Arial" w:hAnsi="Arial" w:cs="Arial"/>
          <w:i/>
          <w:lang w:bidi="fr-FR"/>
        </w:rPr>
        <w:t>conviennent que les conseillers en dotation de leur organisation leur donnent des conseils utiles en matière de dotation, comparativement à 71,6 % dans les organisations de taille semblable et à 72,7 % dans l’ensemble des organisations de la fonction publique fédérale;</w:t>
      </w:r>
    </w:p>
    <w:p w:rsidR="0072388B" w:rsidRPr="00CC592F" w:rsidRDefault="0072388B" w:rsidP="0072388B">
      <w:pPr>
        <w:keepLines w:val="0"/>
        <w:numPr>
          <w:ilvl w:val="0"/>
          <w:numId w:val="8"/>
        </w:numPr>
        <w:rPr>
          <w:rFonts w:ascii="Arial" w:hAnsi="Arial" w:cs="Arial"/>
          <w:i/>
          <w:lang w:eastAsia="en-CA"/>
        </w:rPr>
      </w:pPr>
      <w:r w:rsidRPr="00CC592F">
        <w:rPr>
          <w:rFonts w:ascii="Arial" w:hAnsi="Arial" w:cs="Arial"/>
          <w:i/>
          <w:lang w:bidi="fr-FR"/>
        </w:rPr>
        <w:t xml:space="preserve">80,7 % des </w:t>
      </w:r>
      <w:r w:rsidRPr="00CC592F">
        <w:rPr>
          <w:rFonts w:ascii="Arial" w:hAnsi="Arial" w:cs="Arial"/>
          <w:b/>
          <w:i/>
          <w:lang w:bidi="fr-FR"/>
        </w:rPr>
        <w:t xml:space="preserve">gestionnaires </w:t>
      </w:r>
      <w:r w:rsidRPr="00CC592F">
        <w:rPr>
          <w:rFonts w:ascii="Arial" w:hAnsi="Arial" w:cs="Arial"/>
          <w:i/>
          <w:lang w:bidi="fr-FR"/>
        </w:rPr>
        <w:t>estiment qu’au sein de leur organisation, le processus administratif de dotation est fastidieux, comparativement à 88,6 % dans les organisations de taille semblable et à 87,9 % dans l’ensemble des organisations de la fonction publique fédérale.</w:t>
      </w:r>
    </w:p>
    <w:p w:rsidR="0072388B" w:rsidRPr="00CC592F" w:rsidRDefault="0072388B" w:rsidP="0072388B">
      <w:pPr>
        <w:pStyle w:val="Heading1"/>
      </w:pPr>
      <w:r w:rsidRPr="00CC592F">
        <w:rPr>
          <w:lang w:bidi="fr-FR"/>
        </w:rPr>
        <w:t>Profil de diversité</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IRCC dépasse la disponibilité au sein de la population active pour tous les groupes désignés. La représentativité des quatre groupes désignés devra être revue lorsque les nouvelles données sur la disponibilité au sein de la population active seront publiés en 2019.</w:t>
      </w:r>
    </w:p>
    <w:p w:rsidR="0072388B" w:rsidRPr="00CC592F" w:rsidRDefault="0072388B" w:rsidP="0072388B"/>
    <w:p w:rsidR="0072388B" w:rsidRPr="00CC592F" w:rsidRDefault="0072388B" w:rsidP="0072388B">
      <w:pPr>
        <w:rPr>
          <w:rFonts w:ascii="Arial" w:hAnsi="Arial" w:cs="Arial"/>
        </w:rPr>
      </w:pPr>
      <w:r w:rsidRPr="00CC592F">
        <w:rPr>
          <w:rFonts w:ascii="Arial" w:eastAsia="Arial" w:hAnsi="Arial" w:cs="Arial"/>
          <w:lang w:bidi="fr-FR"/>
        </w:rPr>
        <w:t>IRCC s’associe à divers ministères dans le cadre de l’initiative David C. </w:t>
      </w:r>
      <w:proofErr w:type="spellStart"/>
      <w:r w:rsidRPr="00CC592F">
        <w:rPr>
          <w:rFonts w:ascii="Arial" w:eastAsia="Arial" w:hAnsi="Arial" w:cs="Arial"/>
          <w:lang w:bidi="fr-FR"/>
        </w:rPr>
        <w:t>Onley</w:t>
      </w:r>
      <w:proofErr w:type="spellEnd"/>
      <w:r w:rsidRPr="00CC592F">
        <w:rPr>
          <w:rFonts w:ascii="Arial" w:eastAsia="Arial" w:hAnsi="Arial" w:cs="Arial"/>
          <w:lang w:bidi="fr-FR"/>
        </w:rPr>
        <w:t>, qui vise à aider les étudiants handicapés à se trouver un emploi valorisant et une carrière satisfaisante dans la fonction publique fédérale. L’un des employés d’IRCC participe à l’Initiative pour le développement du leadership autochtone, et l’organisation s’est engagée à participer au Programme avancé pour les analystes de politiques qui se tiendra prochainement pour les Autochtones. En outre, IRCC élabore actuellement un cours sur le genre, la diversité et l’inclusion afin d’outiller les gestionnaires pour la dotation et la gestion d’un effectif diversifié.</w:t>
      </w:r>
    </w:p>
    <w:p w:rsidR="0072388B" w:rsidRPr="00CC592F" w:rsidRDefault="0072388B" w:rsidP="0072388B">
      <w:pPr>
        <w:pStyle w:val="NoSpacing"/>
        <w:rPr>
          <w:rFonts w:ascii="Arial" w:hAnsi="Arial" w:cs="Arial"/>
          <w:sz w:val="22"/>
          <w:szCs w:val="22"/>
          <w:lang w:val="fr-CA" w:eastAsia="en-CA"/>
        </w:rPr>
      </w:pPr>
    </w:p>
    <w:p w:rsidR="0072388B" w:rsidRPr="00CC592F" w:rsidRDefault="0072388B" w:rsidP="0072388B">
      <w:pPr>
        <w:pStyle w:val="NoSpacing"/>
        <w:rPr>
          <w:rFonts w:ascii="Arial" w:hAnsi="Arial" w:cs="Arial"/>
          <w:sz w:val="22"/>
          <w:szCs w:val="22"/>
          <w:lang w:val="fr-CA" w:eastAsia="en-CA"/>
        </w:rPr>
      </w:pPr>
      <w:proofErr w:type="spellStart"/>
      <w:r w:rsidRPr="00CC592F">
        <w:rPr>
          <w:rFonts w:ascii="Arial" w:eastAsia="Arial" w:hAnsi="Arial" w:cs="Arial"/>
          <w:sz w:val="22"/>
          <w:szCs w:val="22"/>
          <w:lang w:val="fr-CA" w:bidi="fr-FR"/>
        </w:rPr>
        <w:t>Veuillez vous</w:t>
      </w:r>
      <w:proofErr w:type="spellEnd"/>
      <w:r w:rsidRPr="00CC592F">
        <w:rPr>
          <w:rFonts w:ascii="Arial" w:eastAsia="Arial" w:hAnsi="Arial" w:cs="Arial"/>
          <w:sz w:val="22"/>
          <w:szCs w:val="22"/>
          <w:lang w:val="fr-CA" w:bidi="fr-FR"/>
        </w:rPr>
        <w:t xml:space="preserve"> référer à l’</w:t>
      </w:r>
      <w:hyperlink w:anchor="AnnexH" w:history="1">
        <w:r w:rsidRPr="00CC592F">
          <w:rPr>
            <w:rStyle w:val="Hyperlink"/>
            <w:rFonts w:ascii="Arial" w:eastAsia="Arial" w:hAnsi="Arial" w:cs="Arial"/>
            <w:sz w:val="22"/>
            <w:szCs w:val="22"/>
            <w:lang w:val="fr-CA" w:bidi="fr-FR"/>
          </w:rPr>
          <w:t>annexe H</w:t>
        </w:r>
      </w:hyperlink>
      <w:r w:rsidRPr="00CC592F">
        <w:rPr>
          <w:rFonts w:ascii="Arial" w:eastAsia="Arial" w:hAnsi="Arial" w:cs="Arial"/>
          <w:sz w:val="22"/>
          <w:szCs w:val="22"/>
          <w:lang w:val="fr-CA" w:bidi="fr-FR"/>
        </w:rPr>
        <w:t xml:space="preserve"> pour plus de détails.</w:t>
      </w:r>
    </w:p>
    <w:p w:rsidR="002271FF" w:rsidRPr="00CC592F" w:rsidRDefault="002271FF">
      <w:pPr>
        <w:keepLines w:val="0"/>
        <w:rPr>
          <w:rFonts w:asciiTheme="majorHAnsi" w:eastAsiaTheme="majorEastAsia" w:hAnsiTheme="majorHAnsi" w:cstheme="majorBidi"/>
          <w:sz w:val="48"/>
          <w:szCs w:val="48"/>
          <w:lang w:bidi="fr-FR"/>
        </w:rPr>
      </w:pPr>
      <w:r w:rsidRPr="00CC592F">
        <w:rPr>
          <w:lang w:bidi="fr-FR"/>
        </w:rPr>
        <w:br w:type="page"/>
      </w:r>
    </w:p>
    <w:p w:rsidR="0072388B" w:rsidRPr="00CC592F" w:rsidRDefault="0072388B" w:rsidP="0072388B">
      <w:pPr>
        <w:pStyle w:val="Heading1"/>
      </w:pPr>
      <w:r w:rsidRPr="00CC592F">
        <w:rPr>
          <w:lang w:bidi="fr-FR"/>
        </w:rPr>
        <w:lastRenderedPageBreak/>
        <w:t>Droits de priorité et anciens combattants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Entre le 1</w:t>
      </w:r>
      <w:r w:rsidRPr="00CC592F">
        <w:rPr>
          <w:rFonts w:ascii="Arial" w:eastAsia="Arial" w:hAnsi="Arial" w:cs="Arial"/>
          <w:color w:val="000000"/>
          <w:sz w:val="22"/>
          <w:szCs w:val="22"/>
          <w:vertAlign w:val="superscript"/>
          <w:lang w:val="fr-CA" w:bidi="fr-FR"/>
        </w:rPr>
        <w:t>er</w:t>
      </w:r>
      <w:r w:rsidRPr="00CC592F">
        <w:rPr>
          <w:rFonts w:ascii="Arial" w:eastAsia="Arial" w:hAnsi="Arial" w:cs="Arial"/>
          <w:color w:val="000000"/>
          <w:sz w:val="22"/>
          <w:szCs w:val="22"/>
          <w:lang w:val="fr-CA" w:bidi="fr-FR"/>
        </w:rPr>
        <w:t> avril 2018 et le 24 juin 2019, IRCC a nommé 22 bénéficiaires de priorité.</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Les critères de mérite sont parfois restrictifs ou ne s’appliquent qu’à IRCC. La CFP a travaillé avec IRCC afin de le renseigner sur les différentes stratégies qui pourraient profiter à tous les types de bénéficiaires de priorité, plus particulièrement les anciens combattants.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Entre le 1</w:t>
      </w:r>
      <w:r w:rsidRPr="00CC592F">
        <w:rPr>
          <w:rFonts w:ascii="Arial" w:eastAsia="Arial" w:hAnsi="Arial" w:cs="Arial"/>
          <w:color w:val="000000"/>
          <w:sz w:val="22"/>
          <w:szCs w:val="22"/>
          <w:vertAlign w:val="superscript"/>
          <w:lang w:val="fr-CA" w:bidi="fr-FR"/>
        </w:rPr>
        <w:t>er</w:t>
      </w:r>
      <w:r w:rsidRPr="00CC592F">
        <w:rPr>
          <w:rFonts w:ascii="Arial" w:eastAsia="Arial" w:hAnsi="Arial" w:cs="Arial"/>
          <w:color w:val="000000"/>
          <w:sz w:val="22"/>
          <w:szCs w:val="22"/>
          <w:lang w:val="fr-CA" w:bidi="fr-FR"/>
        </w:rPr>
        <w:t> juin 2015 et le 31 mai 2019, IRCC a nommé cinq anciens combattants bénéficiant d’une priorité (trois priorités légales et deux réglementaires).</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proofErr w:type="spellStart"/>
      <w:r w:rsidRPr="00CC592F">
        <w:rPr>
          <w:rFonts w:ascii="Arial" w:eastAsia="Arial" w:hAnsi="Arial" w:cs="Arial"/>
          <w:sz w:val="22"/>
          <w:szCs w:val="22"/>
          <w:lang w:val="fr-CA" w:bidi="fr-FR"/>
        </w:rPr>
        <w:t>Veuillez vous</w:t>
      </w:r>
      <w:proofErr w:type="spellEnd"/>
      <w:r w:rsidRPr="00CC592F">
        <w:rPr>
          <w:rFonts w:ascii="Arial" w:eastAsia="Arial" w:hAnsi="Arial" w:cs="Arial"/>
          <w:sz w:val="22"/>
          <w:szCs w:val="22"/>
          <w:lang w:val="fr-CA" w:bidi="fr-FR"/>
        </w:rPr>
        <w:t xml:space="preserve"> référer à l’</w:t>
      </w:r>
      <w:hyperlink w:anchor="AnnexI" w:history="1">
        <w:r w:rsidRPr="00CC592F">
          <w:rPr>
            <w:rStyle w:val="Hyperlink"/>
            <w:rFonts w:ascii="Arial" w:eastAsia="Arial" w:hAnsi="Arial" w:cs="Arial"/>
            <w:sz w:val="22"/>
            <w:szCs w:val="22"/>
            <w:lang w:val="fr-CA" w:bidi="fr-FR"/>
          </w:rPr>
          <w:t>annexe I</w:t>
        </w:r>
      </w:hyperlink>
      <w:r w:rsidRPr="00CC592F">
        <w:rPr>
          <w:rFonts w:ascii="Arial" w:eastAsia="Arial" w:hAnsi="Arial" w:cs="Arial"/>
          <w:sz w:val="22"/>
          <w:szCs w:val="22"/>
          <w:lang w:val="fr-CA" w:bidi="fr-FR"/>
        </w:rPr>
        <w:t xml:space="preserve"> pour plus de détails.</w:t>
      </w:r>
    </w:p>
    <w:p w:rsidR="0072388B" w:rsidRPr="00CC592F" w:rsidRDefault="0072388B" w:rsidP="0072388B">
      <w:pPr>
        <w:pStyle w:val="Heading1"/>
      </w:pPr>
      <w:r w:rsidRPr="00CC592F">
        <w:rPr>
          <w:lang w:bidi="fr-FR"/>
        </w:rPr>
        <w:t>Impartialité politique dans la fonction publique</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La représentante désignée en matière d’activités politiques à IRCC est Josée Lapointe. Elle assure la liaison avec la CFP pour les questions liées aux activités politiques et à l’impartialité politique.</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Depuis avril 2015, dix employés d’IRCC ont demandé à la CFP la permission de se porter candidats à une élection (un pour une élection fédérale, deux pour une élection provinciale et sept pour une élection municipale). À l’heure actuelle, un employé a obtenu une permission et s’est porté candidat pour l’élection fédérale de 2019, et quatre employés sont des élus municipaux à temps partiel.</w:t>
      </w:r>
    </w:p>
    <w:p w:rsidR="0072388B" w:rsidRPr="00CC592F" w:rsidRDefault="0072388B" w:rsidP="0072388B">
      <w:pPr>
        <w:pStyle w:val="Heading1"/>
      </w:pPr>
      <w:r w:rsidRPr="00CC592F">
        <w:rPr>
          <w:lang w:bidi="fr-FR"/>
        </w:rPr>
        <w:t>Initiatives de la CFP</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72388B">
      <w:pPr>
        <w:pStyle w:val="NoSpacing"/>
        <w:rPr>
          <w:rFonts w:ascii="Arial" w:hAnsi="Arial" w:cs="Arial"/>
          <w:color w:val="000000"/>
          <w:sz w:val="22"/>
          <w:szCs w:val="22"/>
          <w:lang w:val="fr-CA"/>
        </w:rPr>
      </w:pPr>
      <w:r w:rsidRPr="00CC592F">
        <w:rPr>
          <w:rFonts w:ascii="Arial" w:eastAsia="Arial" w:hAnsi="Arial" w:cs="Arial"/>
          <w:color w:val="000000"/>
          <w:sz w:val="22"/>
          <w:szCs w:val="22"/>
          <w:lang w:val="fr-CA" w:bidi="fr-FR"/>
        </w:rPr>
        <w:t xml:space="preserve">IRCC est un intervenant clé dans le cadre de l’examen du </w:t>
      </w:r>
      <w:r w:rsidRPr="00CC592F">
        <w:rPr>
          <w:rFonts w:ascii="Arial" w:eastAsia="Arial" w:hAnsi="Arial" w:cs="Arial"/>
          <w:i/>
          <w:color w:val="000000"/>
          <w:sz w:val="22"/>
          <w:szCs w:val="22"/>
          <w:lang w:val="fr-CA" w:bidi="fr-FR"/>
        </w:rPr>
        <w:t>Règlement sur l’emploi dans la fonction publique</w:t>
      </w:r>
      <w:r w:rsidRPr="00CC592F">
        <w:rPr>
          <w:rFonts w:ascii="Arial" w:eastAsia="Arial" w:hAnsi="Arial" w:cs="Arial"/>
          <w:color w:val="000000"/>
          <w:sz w:val="22"/>
          <w:szCs w:val="22"/>
          <w:lang w:val="fr-CA" w:bidi="fr-FR"/>
        </w:rPr>
        <w:t xml:space="preserve"> mené par la CFP. Il est l’un des trois ministères auxquels s’applique exclusivement l’article 17 sur les postes de permutant. La mobilisation a débuté, et les consultations se poursuivront au cours des prochains mois.</w:t>
      </w:r>
    </w:p>
    <w:p w:rsidR="0072388B" w:rsidRPr="00CC592F" w:rsidRDefault="0072388B" w:rsidP="0072388B">
      <w:pPr>
        <w:pStyle w:val="Heading1"/>
      </w:pPr>
      <w:r w:rsidRPr="00CC592F">
        <w:rPr>
          <w:lang w:bidi="fr-FR"/>
        </w:rPr>
        <w:t>Soutien à la dotation</w:t>
      </w:r>
    </w:p>
    <w:p w:rsidR="0072388B" w:rsidRPr="00CC592F" w:rsidRDefault="0072388B" w:rsidP="0072388B">
      <w:pPr>
        <w:pStyle w:val="ListParagraph"/>
        <w:spacing w:after="0" w:line="240" w:lineRule="auto"/>
        <w:rPr>
          <w:rFonts w:ascii="Arial" w:hAnsi="Arial" w:cs="Arial"/>
        </w:rPr>
      </w:pPr>
    </w:p>
    <w:p w:rsidR="0072388B" w:rsidRPr="00CC592F" w:rsidRDefault="0072388B" w:rsidP="0072388B">
      <w:pPr>
        <w:pStyle w:val="Heading2"/>
        <w:rPr>
          <w:u w:val="single"/>
        </w:rPr>
      </w:pPr>
      <w:r w:rsidRPr="00CC592F">
        <w:rPr>
          <w:lang w:bidi="fr-FR"/>
        </w:rPr>
        <w:t>Représentants de la CFP et personnes-ressources d’IRCC</w:t>
      </w:r>
    </w:p>
    <w:p w:rsidR="0072388B" w:rsidRPr="00CC592F" w:rsidRDefault="0072388B" w:rsidP="0072388B">
      <w:pPr>
        <w:pStyle w:val="NoSpacing"/>
        <w:rPr>
          <w:rFonts w:ascii="Arial" w:hAnsi="Arial" w:cs="Arial"/>
          <w:color w:val="000000"/>
          <w:sz w:val="22"/>
          <w:szCs w:val="22"/>
          <w:lang w:val="fr-CA"/>
        </w:rPr>
      </w:pPr>
    </w:p>
    <w:p w:rsidR="0072388B" w:rsidRPr="00CC592F" w:rsidRDefault="0072388B" w:rsidP="0056577D">
      <w:pPr>
        <w:spacing w:after="480"/>
        <w:rPr>
          <w:rFonts w:ascii="Arial" w:hAnsi="Arial" w:cs="Arial"/>
          <w:lang w:eastAsia="en-CA"/>
        </w:rPr>
      </w:pPr>
      <w:r w:rsidRPr="00CC592F">
        <w:rPr>
          <w:rFonts w:ascii="Arial" w:eastAsia="Arial" w:hAnsi="Arial" w:cs="Arial"/>
          <w:lang w:bidi="fr-FR"/>
        </w:rPr>
        <w:t>La conseillère au soutien en dotation affectée à IRCC est Nathalie Crégheur. La dirigeante principale des RH est Holly </w:t>
      </w:r>
      <w:proofErr w:type="spellStart"/>
      <w:r w:rsidRPr="00CC592F">
        <w:rPr>
          <w:rFonts w:ascii="Arial" w:eastAsia="Arial" w:hAnsi="Arial" w:cs="Arial"/>
          <w:lang w:bidi="fr-FR"/>
        </w:rPr>
        <w:t>Flowers</w:t>
      </w:r>
      <w:proofErr w:type="spellEnd"/>
      <w:r w:rsidRPr="00CC592F">
        <w:rPr>
          <w:rFonts w:ascii="Arial" w:eastAsia="Arial" w:hAnsi="Arial" w:cs="Arial"/>
          <w:lang w:bidi="fr-FR"/>
        </w:rPr>
        <w:t> Code, et la personne-ressource principale est Paul Laflamme, directeur de la dotation, RH.</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b/>
          <w:lang w:bidi="fr-FR"/>
        </w:rPr>
        <w:t>PRÉPARÉ PAR :</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Nathalie Crégheur</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lastRenderedPageBreak/>
        <w:t>Conseillère au soutien en dotation</w:t>
      </w:r>
    </w:p>
    <w:p w:rsidR="0072388B" w:rsidRPr="00CC592F" w:rsidRDefault="0072388B" w:rsidP="0056577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0"/>
        <w:rPr>
          <w:rFonts w:ascii="Arial" w:eastAsia="Arial" w:hAnsi="Arial" w:cs="Arial"/>
          <w:b/>
          <w:lang w:bidi="fr-FR"/>
        </w:rPr>
        <w:sectPr w:rsidR="0072388B" w:rsidRPr="00CC592F" w:rsidSect="0072388B">
          <w:headerReference w:type="default" r:id="rId9"/>
          <w:footerReference w:type="even" r:id="rId10"/>
          <w:footerReference w:type="default" r:id="rId11"/>
          <w:footnotePr>
            <w:numFmt w:val="lowerLetter"/>
          </w:footnotePr>
          <w:endnotePr>
            <w:numFmt w:val="lowerLetter"/>
          </w:endnotePr>
          <w:pgSz w:w="12240" w:h="15840" w:code="1"/>
          <w:pgMar w:top="709" w:right="1304" w:bottom="1361" w:left="1304" w:header="284" w:footer="284" w:gutter="0"/>
          <w:pgNumType w:start="1"/>
          <w:cols w:space="720"/>
          <w:docGrid w:linePitch="326"/>
        </w:sectPr>
      </w:pPr>
      <w:r w:rsidRPr="00CC592F">
        <w:rPr>
          <w:rFonts w:ascii="Arial" w:eastAsia="Arial" w:hAnsi="Arial" w:cs="Arial"/>
          <w:b/>
          <w:lang w:bidi="fr-FR"/>
        </w:rPr>
        <w:br/>
        <w:t>APPROUVÉ PAR :</w:t>
      </w:r>
      <w:r w:rsidR="0056577D" w:rsidRPr="00CC592F">
        <w:rPr>
          <w:rFonts w:ascii="Arial" w:eastAsia="Arial" w:hAnsi="Arial" w:cs="Arial"/>
          <w:b/>
          <w:lang w:bidi="fr-FR"/>
        </w:rPr>
        <w:t xml:space="preserve"> </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_______________________</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Lynn Brault</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Directrice générale,</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lang w:bidi="fr-FR"/>
        </w:rPr>
      </w:pPr>
      <w:r w:rsidRPr="00CC592F">
        <w:rPr>
          <w:rFonts w:ascii="Arial" w:eastAsia="Arial" w:hAnsi="Arial" w:cs="Arial"/>
          <w:lang w:bidi="fr-FR"/>
        </w:rPr>
        <w:t>Direction du soutien en dotation, des priorités et des activités politiques</w:t>
      </w:r>
    </w:p>
    <w:p w:rsidR="0072388B" w:rsidRPr="00CC592F" w:rsidRDefault="0072388B" w:rsidP="0072388B">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lang w:bidi="fr-FR"/>
        </w:rPr>
      </w:pPr>
      <w:r w:rsidRPr="00CC592F">
        <w:rPr>
          <w:rFonts w:ascii="Arial" w:eastAsia="Arial" w:hAnsi="Arial" w:cs="Arial"/>
          <w:lang w:bidi="fr-FR"/>
        </w:rPr>
        <w:t>Secteur des politiques et des communications</w:t>
      </w:r>
    </w:p>
    <w:p w:rsidR="0072388B" w:rsidRPr="00CC592F" w:rsidRDefault="0056577D" w:rsidP="0072388B">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_______________________</w:t>
      </w:r>
    </w:p>
    <w:p w:rsidR="0056577D" w:rsidRPr="00CC592F" w:rsidRDefault="0072388B" w:rsidP="0056577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840"/>
        <w:rPr>
          <w:rFonts w:ascii="Arial" w:eastAsia="Arial" w:hAnsi="Arial" w:cs="Arial"/>
          <w:lang w:bidi="fr-FR"/>
        </w:rPr>
      </w:pPr>
      <w:r w:rsidRPr="00CC592F">
        <w:rPr>
          <w:rFonts w:ascii="Arial" w:eastAsia="Arial" w:hAnsi="Arial" w:cs="Arial"/>
          <w:lang w:bidi="fr-FR"/>
        </w:rPr>
        <w:t>Date</w:t>
      </w:r>
    </w:p>
    <w:p w:rsidR="0056577D" w:rsidRPr="00CC592F" w:rsidRDefault="0056577D" w:rsidP="0056577D">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C592F">
        <w:rPr>
          <w:rFonts w:ascii="Arial" w:eastAsia="Arial" w:hAnsi="Arial" w:cs="Arial"/>
          <w:lang w:bidi="fr-FR"/>
        </w:rPr>
        <w:t>________________________</w:t>
      </w:r>
    </w:p>
    <w:p w:rsidR="0056577D" w:rsidRPr="00CC592F" w:rsidRDefault="0056577D" w:rsidP="0056577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lang w:bidi="fr-FR"/>
        </w:rPr>
      </w:pPr>
      <w:r w:rsidRPr="00CC592F">
        <w:rPr>
          <w:rFonts w:ascii="Arial" w:eastAsia="Arial" w:hAnsi="Arial" w:cs="Arial"/>
          <w:lang w:bidi="fr-FR"/>
        </w:rPr>
        <w:t>Patricia </w:t>
      </w:r>
      <w:proofErr w:type="spellStart"/>
      <w:r w:rsidRPr="00CC592F">
        <w:rPr>
          <w:rFonts w:ascii="Arial" w:eastAsia="Arial" w:hAnsi="Arial" w:cs="Arial"/>
          <w:lang w:bidi="fr-FR"/>
        </w:rPr>
        <w:t>Jaton</w:t>
      </w:r>
      <w:proofErr w:type="spellEnd"/>
    </w:p>
    <w:p w:rsidR="0056577D" w:rsidRPr="00CC592F" w:rsidRDefault="0056577D" w:rsidP="0056577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Arial" w:hAnsi="Arial" w:cs="Arial"/>
        </w:rPr>
      </w:pPr>
      <w:r w:rsidRPr="00CC592F">
        <w:rPr>
          <w:rFonts w:ascii="Arial" w:eastAsia="Arial" w:hAnsi="Arial" w:cs="Arial"/>
          <w:lang w:bidi="fr-FR"/>
        </w:rPr>
        <w:t>Vice-présidente, Secteur des politiques et des communications</w:t>
      </w:r>
    </w:p>
    <w:p w:rsidR="0056577D" w:rsidRPr="00CC592F" w:rsidRDefault="0056577D" w:rsidP="0056577D">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lang w:bidi="fr-FR"/>
        </w:rPr>
      </w:pPr>
      <w:r w:rsidRPr="00CC592F">
        <w:rPr>
          <w:rFonts w:ascii="Arial" w:eastAsia="Arial" w:hAnsi="Arial" w:cs="Arial"/>
          <w:lang w:bidi="fr-FR"/>
        </w:rPr>
        <w:t>________________________</w:t>
      </w:r>
    </w:p>
    <w:p w:rsidR="0072388B" w:rsidRPr="00CC592F" w:rsidRDefault="0056577D" w:rsidP="0072388B">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lang w:bidi="fr-FR"/>
        </w:rPr>
      </w:pPr>
      <w:r w:rsidRPr="00CC592F">
        <w:rPr>
          <w:rFonts w:ascii="Arial" w:eastAsia="Arial" w:hAnsi="Arial" w:cs="Arial"/>
          <w:lang w:bidi="fr-FR"/>
        </w:rPr>
        <w:t>Date</w:t>
      </w:r>
    </w:p>
    <w:p w:rsidR="0056577D" w:rsidRPr="00CC592F" w:rsidRDefault="0056577D" w:rsidP="0072388B">
      <w:pPr>
        <w:numPr>
          <w:ilvl w:val="12"/>
          <w:numId w:val="0"/>
        </w:numPr>
        <w:tabs>
          <w:tab w:val="left" w:pos="-1326"/>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72388B" w:rsidRPr="00CC592F" w:rsidRDefault="0072388B" w:rsidP="00723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C592F">
        <w:rPr>
          <w:rFonts w:ascii="Arial" w:eastAsia="Arial" w:hAnsi="Arial" w:cs="Arial"/>
          <w:lang w:bidi="fr-FR"/>
        </w:rPr>
        <w:t>Annexes :</w:t>
      </w:r>
    </w:p>
    <w:p w:rsidR="0072388B" w:rsidRPr="00CC592F" w:rsidRDefault="0072388B" w:rsidP="00723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2388B" w:rsidRPr="00CC592F" w:rsidRDefault="00724186" w:rsidP="0072388B">
      <w:pPr>
        <w:keepLines w:val="0"/>
        <w:numPr>
          <w:ilvl w:val="0"/>
          <w:numId w:val="3"/>
        </w:numPr>
        <w:spacing w:after="0" w:line="240" w:lineRule="auto"/>
        <w:rPr>
          <w:rFonts w:ascii="Arial" w:hAnsi="Arial" w:cs="Arial"/>
          <w:bCs/>
          <w:color w:val="0563C1"/>
          <w:u w:val="single"/>
        </w:rPr>
      </w:pPr>
      <w:hyperlink w:anchor="AnnexA" w:history="1">
        <w:r w:rsidR="0072388B" w:rsidRPr="00CC592F">
          <w:rPr>
            <w:rFonts w:ascii="Arial" w:eastAsia="Arial" w:hAnsi="Arial" w:cs="Arial"/>
            <w:color w:val="0563C1"/>
            <w:u w:val="single"/>
            <w:lang w:bidi="fr-FR"/>
          </w:rPr>
          <w:t>Annexe A — Biographie</w:t>
        </w:r>
      </w:hyperlink>
    </w:p>
    <w:p w:rsidR="0072388B" w:rsidRPr="00CC592F" w:rsidRDefault="00724186" w:rsidP="0072388B">
      <w:pPr>
        <w:keepLines w:val="0"/>
        <w:numPr>
          <w:ilvl w:val="0"/>
          <w:numId w:val="3"/>
        </w:numPr>
        <w:spacing w:after="0" w:line="240" w:lineRule="auto"/>
        <w:rPr>
          <w:rFonts w:ascii="Arial" w:hAnsi="Arial" w:cs="Arial"/>
          <w:bCs/>
          <w:color w:val="0563C1"/>
          <w:u w:val="single"/>
        </w:rPr>
      </w:pPr>
      <w:hyperlink w:anchor="AnnexB" w:history="1">
        <w:r w:rsidR="0072388B" w:rsidRPr="00CC592F">
          <w:rPr>
            <w:rFonts w:ascii="Arial" w:eastAsia="Arial" w:hAnsi="Arial" w:cs="Arial"/>
            <w:color w:val="0563C1"/>
            <w:u w:val="single"/>
            <w:lang w:bidi="fr-FR"/>
          </w:rPr>
          <w:t>Annexe B — Messages clés</w:t>
        </w:r>
      </w:hyperlink>
    </w:p>
    <w:p w:rsidR="0072388B" w:rsidRPr="00CC592F" w:rsidRDefault="00724186" w:rsidP="0072388B">
      <w:pPr>
        <w:keepLines w:val="0"/>
        <w:numPr>
          <w:ilvl w:val="0"/>
          <w:numId w:val="3"/>
        </w:numPr>
        <w:spacing w:after="0" w:line="240" w:lineRule="auto"/>
        <w:rPr>
          <w:rFonts w:ascii="Arial" w:hAnsi="Arial" w:cs="Arial"/>
          <w:bCs/>
        </w:rPr>
      </w:pPr>
      <w:hyperlink w:anchor="AnnexC" w:history="1">
        <w:r w:rsidR="0072388B" w:rsidRPr="00CC592F">
          <w:rPr>
            <w:rFonts w:ascii="Arial" w:eastAsia="Arial" w:hAnsi="Arial" w:cs="Arial"/>
            <w:color w:val="0563C1"/>
            <w:u w:val="single"/>
            <w:lang w:bidi="fr-FR"/>
          </w:rPr>
          <w:t>Annexe C — Document à l’intention des administrateurs généraux sur les faits saillants de la Nouvelle orientation en dotation</w:t>
        </w:r>
      </w:hyperlink>
    </w:p>
    <w:p w:rsidR="0072388B" w:rsidRPr="00CC592F" w:rsidRDefault="00724186" w:rsidP="0072388B">
      <w:pPr>
        <w:keepLines w:val="0"/>
        <w:numPr>
          <w:ilvl w:val="0"/>
          <w:numId w:val="3"/>
        </w:numPr>
        <w:spacing w:after="0" w:line="240" w:lineRule="auto"/>
        <w:rPr>
          <w:rFonts w:ascii="Arial" w:hAnsi="Arial" w:cs="Arial"/>
          <w:bCs/>
          <w:strike/>
        </w:rPr>
      </w:pPr>
      <w:hyperlink w:anchor="AnnexD" w:history="1">
        <w:r w:rsidR="0072388B" w:rsidRPr="00CC592F">
          <w:rPr>
            <w:rFonts w:ascii="Arial" w:eastAsia="Arial" w:hAnsi="Arial" w:cs="Arial"/>
            <w:color w:val="0563C1"/>
            <w:u w:val="single"/>
            <w:lang w:bidi="fr-FR"/>
          </w:rPr>
          <w:t>Annexe D — Données sur l’effectif</w:t>
        </w:r>
      </w:hyperlink>
    </w:p>
    <w:p w:rsidR="0072388B" w:rsidRPr="00CC592F" w:rsidRDefault="00724186" w:rsidP="0072388B">
      <w:pPr>
        <w:keepLines w:val="0"/>
        <w:numPr>
          <w:ilvl w:val="0"/>
          <w:numId w:val="3"/>
        </w:numPr>
        <w:spacing w:after="0" w:line="240" w:lineRule="auto"/>
        <w:rPr>
          <w:rFonts w:ascii="Arial" w:hAnsi="Arial" w:cs="Arial"/>
          <w:bCs/>
          <w:strike/>
        </w:rPr>
      </w:pPr>
      <w:hyperlink w:anchor="AnnexE" w:history="1">
        <w:r w:rsidR="0072388B" w:rsidRPr="00CC592F">
          <w:rPr>
            <w:rFonts w:ascii="Arial" w:eastAsia="Arial" w:hAnsi="Arial" w:cs="Arial"/>
            <w:color w:val="0563C1"/>
            <w:u w:val="single"/>
            <w:lang w:bidi="fr-FR"/>
          </w:rPr>
          <w:t>Annexe E — Données sur les activités de dotation</w:t>
        </w:r>
      </w:hyperlink>
    </w:p>
    <w:p w:rsidR="0072388B" w:rsidRPr="00CC592F" w:rsidRDefault="0072388B" w:rsidP="0072388B">
      <w:pPr>
        <w:keepLines w:val="0"/>
        <w:numPr>
          <w:ilvl w:val="0"/>
          <w:numId w:val="3"/>
        </w:numPr>
        <w:spacing w:after="0" w:line="240" w:lineRule="auto"/>
        <w:rPr>
          <w:rFonts w:ascii="Arial" w:hAnsi="Arial" w:cs="Arial"/>
          <w:bCs/>
          <w:strike/>
          <w:color w:val="0563C1"/>
          <w:u w:val="single"/>
        </w:rPr>
      </w:pPr>
      <w:r w:rsidRPr="00CC592F">
        <w:rPr>
          <w:rFonts w:ascii="Arial" w:eastAsia="Arial" w:hAnsi="Arial" w:cs="Arial"/>
          <w:color w:val="0563C1"/>
          <w:u w:val="single"/>
          <w:lang w:bidi="fr-FR"/>
        </w:rPr>
        <w:fldChar w:fldCharType="begin"/>
      </w:r>
      <w:r w:rsidRPr="00CC592F">
        <w:rPr>
          <w:rFonts w:ascii="Arial" w:eastAsia="Arial" w:hAnsi="Arial" w:cs="Arial"/>
          <w:color w:val="0563C1"/>
          <w:u w:val="single"/>
          <w:lang w:bidi="fr-FR"/>
        </w:rPr>
        <w:instrText xml:space="preserve"> HYPERLINK  \l "AnnexF" </w:instrText>
      </w:r>
      <w:r w:rsidRPr="00CC592F">
        <w:rPr>
          <w:rFonts w:ascii="Arial" w:eastAsia="Arial" w:hAnsi="Arial" w:cs="Arial"/>
          <w:color w:val="0563C1"/>
          <w:u w:val="single"/>
          <w:lang w:bidi="fr-FR"/>
        </w:rPr>
        <w:fldChar w:fldCharType="separate"/>
      </w:r>
      <w:r w:rsidRPr="00CC592F">
        <w:rPr>
          <w:rFonts w:ascii="Arial" w:eastAsia="Arial" w:hAnsi="Arial" w:cs="Arial"/>
          <w:color w:val="0563C1"/>
          <w:u w:val="single"/>
          <w:lang w:bidi="fr-FR"/>
        </w:rPr>
        <w:t>Annexe F — Données sur les délais de dotation</w:t>
      </w:r>
    </w:p>
    <w:p w:rsidR="0072388B" w:rsidRPr="00CC592F" w:rsidRDefault="0072388B" w:rsidP="0072388B">
      <w:pPr>
        <w:keepLines w:val="0"/>
        <w:numPr>
          <w:ilvl w:val="0"/>
          <w:numId w:val="3"/>
        </w:numPr>
        <w:spacing w:after="0" w:line="240" w:lineRule="auto"/>
        <w:rPr>
          <w:rFonts w:ascii="Arial" w:hAnsi="Arial" w:cs="Arial"/>
        </w:rPr>
      </w:pPr>
      <w:r w:rsidRPr="00CC592F">
        <w:rPr>
          <w:rFonts w:ascii="Arial" w:eastAsia="Arial" w:hAnsi="Arial" w:cs="Arial"/>
          <w:color w:val="0563C1"/>
          <w:u w:val="single"/>
          <w:lang w:bidi="fr-FR"/>
        </w:rPr>
        <w:fldChar w:fldCharType="end"/>
      </w:r>
      <w:hyperlink w:anchor="AnnexG" w:history="1">
        <w:r w:rsidRPr="00CC592F">
          <w:rPr>
            <w:rFonts w:ascii="Arial" w:eastAsia="Arial" w:hAnsi="Arial" w:cs="Arial"/>
            <w:color w:val="0563C1"/>
            <w:u w:val="single"/>
            <w:lang w:bidi="fr-FR"/>
          </w:rPr>
          <w:t>Annexe G — Enquêtes menées par la Commission de la fonction publique</w:t>
        </w:r>
      </w:hyperlink>
    </w:p>
    <w:p w:rsidR="0072388B" w:rsidRPr="00CC592F" w:rsidRDefault="00724186" w:rsidP="0072388B">
      <w:pPr>
        <w:keepLines w:val="0"/>
        <w:numPr>
          <w:ilvl w:val="0"/>
          <w:numId w:val="3"/>
        </w:numPr>
        <w:spacing w:after="0" w:line="240" w:lineRule="auto"/>
        <w:rPr>
          <w:rFonts w:ascii="Arial" w:hAnsi="Arial" w:cs="Arial"/>
        </w:rPr>
      </w:pPr>
      <w:hyperlink w:anchor="AnnexH" w:history="1">
        <w:r w:rsidR="0072388B" w:rsidRPr="00CC592F">
          <w:rPr>
            <w:rFonts w:ascii="Arial" w:eastAsia="Arial" w:hAnsi="Arial" w:cs="Arial"/>
            <w:color w:val="0563C1"/>
            <w:u w:val="single"/>
            <w:lang w:bidi="fr-FR"/>
          </w:rPr>
          <w:t>Annexe H — Profil de diversité</w:t>
        </w:r>
      </w:hyperlink>
    </w:p>
    <w:p w:rsidR="0072388B" w:rsidRPr="00CC592F" w:rsidRDefault="00724186" w:rsidP="0072388B">
      <w:pPr>
        <w:keepLines w:val="0"/>
        <w:numPr>
          <w:ilvl w:val="0"/>
          <w:numId w:val="3"/>
        </w:numPr>
        <w:spacing w:after="0" w:line="240" w:lineRule="auto"/>
        <w:rPr>
          <w:rFonts w:ascii="Arial" w:hAnsi="Arial" w:cs="Arial"/>
        </w:rPr>
      </w:pPr>
      <w:hyperlink w:anchor="AnnexI" w:history="1">
        <w:r w:rsidR="0072388B" w:rsidRPr="00CC592F">
          <w:rPr>
            <w:rFonts w:ascii="Arial" w:eastAsia="Arial" w:hAnsi="Arial" w:cs="Arial"/>
            <w:color w:val="0563C1"/>
            <w:u w:val="single"/>
            <w:lang w:bidi="fr-FR"/>
          </w:rPr>
          <w:t>Annexe I — Droit de priorité de nomination</w:t>
        </w:r>
      </w:hyperlink>
    </w:p>
    <w:p w:rsidR="0072388B" w:rsidRPr="00CC592F" w:rsidRDefault="0072388B" w:rsidP="0072388B">
      <w:pPr>
        <w:ind w:left="7920"/>
        <w:jc w:val="right"/>
        <w:rPr>
          <w:rFonts w:ascii="Arial" w:hAnsi="Arial" w:cs="Arial"/>
          <w:b/>
          <w:bCs/>
        </w:rPr>
      </w:pPr>
      <w:r w:rsidRPr="00CC592F">
        <w:rPr>
          <w:rFonts w:ascii="Arial" w:eastAsia="Arial" w:hAnsi="Arial" w:cs="Arial"/>
          <w:b/>
          <w:lang w:bidi="fr-FR"/>
        </w:rPr>
        <w:br w:type="page"/>
      </w:r>
      <w:bookmarkStart w:id="0" w:name="AnnexA"/>
      <w:r w:rsidRPr="00CC592F">
        <w:rPr>
          <w:rFonts w:ascii="Arial" w:eastAsia="Arial" w:hAnsi="Arial" w:cs="Arial"/>
          <w:b/>
          <w:lang w:bidi="fr-FR"/>
        </w:rPr>
        <w:lastRenderedPageBreak/>
        <w:t>Annexe A</w:t>
      </w:r>
      <w:bookmarkEnd w:id="0"/>
    </w:p>
    <w:p w:rsidR="0072388B" w:rsidRPr="00CC592F" w:rsidRDefault="0072388B" w:rsidP="0072388B">
      <w:pPr>
        <w:jc w:val="center"/>
        <w:rPr>
          <w:rFonts w:ascii="Arial" w:hAnsi="Arial" w:cs="Arial"/>
          <w:b/>
          <w:bCs/>
        </w:rPr>
      </w:pPr>
    </w:p>
    <w:p w:rsidR="0072388B" w:rsidRPr="00CC592F" w:rsidRDefault="0072388B" w:rsidP="00811E93">
      <w:pPr>
        <w:pStyle w:val="Heading2"/>
        <w:jc w:val="center"/>
      </w:pPr>
      <w:r w:rsidRPr="00CC592F">
        <w:rPr>
          <w:lang w:bidi="fr-FR"/>
        </w:rPr>
        <w:t>BIOGRAPHIE</w:t>
      </w:r>
    </w:p>
    <w:p w:rsidR="0072388B" w:rsidRPr="00CC592F" w:rsidRDefault="0072388B" w:rsidP="0072388B">
      <w:pPr>
        <w:jc w:val="right"/>
        <w:rPr>
          <w:rFonts w:ascii="Arial" w:hAnsi="Arial" w:cs="Arial"/>
          <w:b/>
          <w:bCs/>
        </w:rPr>
      </w:pPr>
    </w:p>
    <w:p w:rsidR="0072388B" w:rsidRPr="00CC592F" w:rsidRDefault="0072388B" w:rsidP="0072388B">
      <w:pPr>
        <w:rPr>
          <w:rFonts w:ascii="Arial" w:hAnsi="Arial" w:cs="Arial"/>
          <w:b/>
          <w:bCs/>
          <w:sz w:val="28"/>
        </w:rPr>
      </w:pPr>
      <w:proofErr w:type="spellStart"/>
      <w:r w:rsidRPr="00CC592F">
        <w:rPr>
          <w:rFonts w:ascii="Arial" w:eastAsia="Arial" w:hAnsi="Arial" w:cs="Arial"/>
          <w:b/>
          <w:sz w:val="28"/>
          <w:lang w:bidi="fr-FR"/>
        </w:rPr>
        <w:t>Catrina</w:t>
      </w:r>
      <w:proofErr w:type="spellEnd"/>
      <w:r w:rsidRPr="00CC592F">
        <w:rPr>
          <w:rFonts w:ascii="Arial" w:eastAsia="Arial" w:hAnsi="Arial" w:cs="Arial"/>
          <w:b/>
          <w:sz w:val="28"/>
          <w:lang w:bidi="fr-FR"/>
        </w:rPr>
        <w:t> </w:t>
      </w:r>
      <w:proofErr w:type="spellStart"/>
      <w:r w:rsidRPr="00CC592F">
        <w:rPr>
          <w:rFonts w:ascii="Arial" w:eastAsia="Arial" w:hAnsi="Arial" w:cs="Arial"/>
          <w:b/>
          <w:sz w:val="28"/>
          <w:lang w:bidi="fr-FR"/>
        </w:rPr>
        <w:t>Tapley</w:t>
      </w:r>
      <w:proofErr w:type="spellEnd"/>
    </w:p>
    <w:p w:rsidR="0072388B" w:rsidRPr="00CC592F" w:rsidRDefault="00724186" w:rsidP="0072388B">
      <w:pPr>
        <w:rPr>
          <w:rFonts w:ascii="Arial" w:hAnsi="Arial" w:cs="Arial"/>
          <w:b/>
          <w:bCs/>
        </w:rPr>
      </w:pPr>
      <w:hyperlink r:id="rId12" w:tooltip="Partagez cette page" w:history="1">
        <w:r w:rsidR="0072388B" w:rsidRPr="00CC592F">
          <w:rPr>
            <w:rStyle w:val="Hyperlink"/>
            <w:rFonts w:ascii="Arial" w:hAnsi="Arial" w:cs="Arial"/>
            <w:b/>
            <w:bCs/>
            <w:vanish/>
            <w:lang w:eastAsia="en" w:bidi="en"/>
          </w:rPr>
          <w:t>Partager cette page</w:t>
        </w:r>
      </w:hyperlink>
    </w:p>
    <w:p w:rsidR="0072388B" w:rsidRPr="00CC592F" w:rsidRDefault="0072388B" w:rsidP="0072388B">
      <w:pPr>
        <w:rPr>
          <w:rFonts w:ascii="Arial" w:hAnsi="Arial" w:cs="Arial"/>
          <w:b/>
          <w:bCs/>
          <w:vanish/>
        </w:rPr>
      </w:pPr>
      <w:r w:rsidRPr="00CC592F">
        <w:rPr>
          <w:rFonts w:ascii="Arial" w:hAnsi="Arial" w:cs="Arial"/>
          <w:b/>
          <w:bCs/>
          <w:vanish/>
          <w:lang w:eastAsia="en" w:bidi="en"/>
        </w:rPr>
        <w:t xml:space="preserve">× </w:t>
      </w:r>
    </w:p>
    <w:p w:rsidR="0072388B" w:rsidRPr="00CC592F" w:rsidRDefault="0072388B" w:rsidP="0072388B">
      <w:pPr>
        <w:rPr>
          <w:rFonts w:ascii="Arial" w:hAnsi="Arial" w:cs="Arial"/>
          <w:b/>
          <w:bCs/>
          <w:vanish/>
        </w:rPr>
      </w:pPr>
      <w:r w:rsidRPr="00CC592F">
        <w:rPr>
          <w:rFonts w:ascii="Arial" w:hAnsi="Arial" w:cs="Arial"/>
          <w:b/>
          <w:bCs/>
          <w:vanish/>
          <w:lang w:eastAsia="en" w:bidi="en"/>
        </w:rPr>
        <w:t>Partager cette page</w:t>
      </w:r>
    </w:p>
    <w:p w:rsidR="0072388B" w:rsidRPr="00CC592F" w:rsidRDefault="0072388B" w:rsidP="0072388B">
      <w:pPr>
        <w:keepLines w:val="0"/>
        <w:numPr>
          <w:ilvl w:val="0"/>
          <w:numId w:val="6"/>
        </w:numPr>
        <w:spacing w:after="0" w:line="240" w:lineRule="auto"/>
        <w:rPr>
          <w:rFonts w:ascii="Arial" w:hAnsi="Arial" w:cs="Arial"/>
          <w:b/>
          <w:bCs/>
          <w:vanish/>
        </w:rPr>
      </w:pPr>
      <w:r w:rsidRPr="00CC592F">
        <w:rPr>
          <w:rFonts w:ascii="Arial" w:hAnsi="Arial" w:cs="Arial"/>
          <w:b/>
          <w:bCs/>
          <w:vanish/>
          <w:lang w:eastAsia="en" w:bidi="en"/>
        </w:rPr>
        <w:t xml:space="preserve">- </w:t>
      </w:r>
    </w:p>
    <w:p w:rsidR="0072388B" w:rsidRPr="00CC592F" w:rsidRDefault="0072388B" w:rsidP="0072388B">
      <w:pPr>
        <w:rPr>
          <w:rFonts w:ascii="Arial" w:hAnsi="Arial" w:cs="Arial"/>
          <w:bCs/>
        </w:rPr>
      </w:pPr>
      <w:r w:rsidRPr="00CC592F">
        <w:rPr>
          <w:rFonts w:ascii="Arial" w:eastAsia="Arial" w:hAnsi="Arial" w:cs="Arial"/>
          <w:b/>
          <w:lang w:bidi="fr-FR"/>
        </w:rPr>
        <w:t>Études</w:t>
      </w:r>
    </w:p>
    <w:p w:rsidR="0072388B" w:rsidRPr="00CC592F" w:rsidRDefault="0072388B" w:rsidP="0072388B">
      <w:pPr>
        <w:rPr>
          <w:rFonts w:ascii="Arial" w:hAnsi="Arial" w:cs="Arial"/>
          <w:bCs/>
        </w:rPr>
      </w:pPr>
      <w:r w:rsidRPr="00CC592F">
        <w:rPr>
          <w:rFonts w:ascii="Arial" w:eastAsia="Arial" w:hAnsi="Arial" w:cs="Arial"/>
          <w:lang w:bidi="fr-FR"/>
        </w:rPr>
        <w:t xml:space="preserve">Baccalauréat ès arts (Sciences politiques et économie), Université </w:t>
      </w:r>
      <w:proofErr w:type="spellStart"/>
      <w:r w:rsidRPr="00CC592F">
        <w:rPr>
          <w:rFonts w:ascii="Arial" w:eastAsia="Arial" w:hAnsi="Arial" w:cs="Arial"/>
          <w:lang w:bidi="fr-FR"/>
        </w:rPr>
        <w:t>Acadia</w:t>
      </w:r>
      <w:proofErr w:type="spellEnd"/>
    </w:p>
    <w:p w:rsidR="0072388B" w:rsidRPr="00CC592F" w:rsidRDefault="0072388B" w:rsidP="0072388B">
      <w:pPr>
        <w:rPr>
          <w:rFonts w:ascii="Arial" w:hAnsi="Arial" w:cs="Arial"/>
          <w:bCs/>
        </w:rPr>
      </w:pPr>
    </w:p>
    <w:p w:rsidR="0072388B" w:rsidRPr="00CC592F" w:rsidRDefault="0072388B" w:rsidP="0072388B">
      <w:pPr>
        <w:rPr>
          <w:rFonts w:ascii="Arial" w:hAnsi="Arial" w:cs="Arial"/>
          <w:b/>
          <w:bCs/>
        </w:rPr>
      </w:pPr>
      <w:r w:rsidRPr="00CC592F">
        <w:rPr>
          <w:rFonts w:ascii="Arial" w:eastAsia="Arial" w:hAnsi="Arial" w:cs="Arial"/>
          <w:b/>
          <w:lang w:bidi="fr-FR"/>
        </w:rPr>
        <w:t>Expérience professionnelle</w:t>
      </w:r>
    </w:p>
    <w:p w:rsidR="0072388B" w:rsidRPr="00CC592F" w:rsidRDefault="0072388B" w:rsidP="0072388B">
      <w:pPr>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Depuis août 2019</w:t>
      </w: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Sous-ministre d’Immigration, Réfugiés et Citoyenneté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2017 à 2019</w:t>
      </w:r>
      <w:r w:rsidRPr="00CC592F">
        <w:rPr>
          <w:rFonts w:ascii="Arial" w:eastAsia="Arial" w:hAnsi="Arial" w:cs="Arial"/>
          <w:lang w:bidi="fr-FR"/>
        </w:rPr>
        <w:br/>
        <w:t>Sous-secrétaire du Cabinet (Opérations), Bureau du Conseil privé</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2016</w:t>
      </w:r>
      <w:r w:rsidRPr="00CC592F">
        <w:rPr>
          <w:rFonts w:ascii="Arial" w:eastAsia="Arial" w:hAnsi="Arial" w:cs="Arial"/>
          <w:lang w:bidi="fr-FR"/>
        </w:rPr>
        <w:noBreakHyphen/>
        <w:t>2017</w:t>
      </w:r>
      <w:r w:rsidRPr="00CC592F">
        <w:rPr>
          <w:rFonts w:ascii="Arial" w:eastAsia="Arial" w:hAnsi="Arial" w:cs="Arial"/>
          <w:lang w:bidi="fr-FR"/>
        </w:rPr>
        <w:br/>
        <w:t>Secrétaire adjointe du Cabinet, Politique du développement économique et régional, Bureau du Conseil privé</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2014 à 2016</w:t>
      </w:r>
      <w:r w:rsidRPr="00CC592F">
        <w:rPr>
          <w:rFonts w:ascii="Arial" w:eastAsia="Arial" w:hAnsi="Arial" w:cs="Arial"/>
          <w:lang w:bidi="fr-FR"/>
        </w:rPr>
        <w:br/>
        <w:t>Sous-ministre adjointe, Politiques stratégiques et des programmes, Immigration, Réfugiés et Citoyenneté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2011</w:t>
      </w:r>
      <w:r w:rsidRPr="00CC592F">
        <w:rPr>
          <w:rFonts w:ascii="Arial" w:eastAsia="Arial" w:hAnsi="Arial" w:cs="Arial"/>
          <w:lang w:bidi="fr-FR"/>
        </w:rPr>
        <w:br/>
        <w:t>Sous-ministre adjointe, Groupe de travail par-delà la frontière, Bureau du Conseil privé</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2010 à 2014</w:t>
      </w:r>
      <w:r w:rsidRPr="00CC592F">
        <w:rPr>
          <w:rFonts w:ascii="Arial" w:eastAsia="Arial" w:hAnsi="Arial" w:cs="Arial"/>
          <w:lang w:bidi="fr-FR"/>
        </w:rPr>
        <w:br/>
        <w:t>Sous-ministre adjointe déléguée, Politiques stratégiques et des programmes, Citoyenneté et Immigration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2006 à 2010</w:t>
      </w:r>
      <w:r w:rsidRPr="00CC592F">
        <w:rPr>
          <w:rFonts w:ascii="Arial" w:eastAsia="Arial" w:hAnsi="Arial" w:cs="Arial"/>
          <w:lang w:bidi="fr-FR"/>
        </w:rPr>
        <w:br/>
        <w:t>Directrice exécutive (divers portefeuilles), Secrétariat du Conseil du Trésor du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2004</w:t>
      </w:r>
      <w:r w:rsidRPr="00CC592F">
        <w:rPr>
          <w:rFonts w:ascii="Arial" w:eastAsia="Arial" w:hAnsi="Arial" w:cs="Arial"/>
          <w:lang w:bidi="fr-FR"/>
        </w:rPr>
        <w:noBreakHyphen/>
        <w:t>2005</w:t>
      </w:r>
      <w:r w:rsidRPr="00CC592F">
        <w:rPr>
          <w:rFonts w:ascii="Arial" w:eastAsia="Arial" w:hAnsi="Arial" w:cs="Arial"/>
          <w:lang w:bidi="fr-FR"/>
        </w:rPr>
        <w:br/>
        <w:t>Directrice générale, Politiques des programmes et planification, Ressources humaines et Développement des compétences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2002 à 2004</w:t>
      </w:r>
      <w:r w:rsidRPr="00CC592F">
        <w:rPr>
          <w:rFonts w:ascii="Arial" w:eastAsia="Arial" w:hAnsi="Arial" w:cs="Arial"/>
          <w:lang w:bidi="fr-FR"/>
        </w:rPr>
        <w:br/>
        <w:t>Directrice générale, Renouvellement de la Politique sur la gestion des pêches, Pêches et Océans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1999 à 2002</w:t>
      </w:r>
      <w:r w:rsidRPr="00CC592F">
        <w:rPr>
          <w:rFonts w:ascii="Arial" w:eastAsia="Arial" w:hAnsi="Arial" w:cs="Arial"/>
          <w:lang w:bidi="fr-FR"/>
        </w:rPr>
        <w:br/>
        <w:t>Directrice, Révision de la Politique sur les pêches de l’Atlantique et Cadre stratégique national, Pêches et Océans Canada</w:t>
      </w:r>
    </w:p>
    <w:p w:rsidR="0072388B" w:rsidRPr="00CC592F" w:rsidRDefault="0072388B" w:rsidP="002271FF">
      <w:pPr>
        <w:spacing w:after="0" w:line="360" w:lineRule="auto"/>
        <w:rPr>
          <w:rFonts w:ascii="Arial" w:hAnsi="Arial" w:cs="Arial"/>
          <w:bCs/>
        </w:rPr>
      </w:pPr>
    </w:p>
    <w:p w:rsidR="0072388B" w:rsidRPr="00CC592F" w:rsidRDefault="0072388B" w:rsidP="002271FF">
      <w:pPr>
        <w:spacing w:after="0" w:line="360" w:lineRule="auto"/>
        <w:rPr>
          <w:rFonts w:ascii="Arial" w:hAnsi="Arial" w:cs="Arial"/>
          <w:bCs/>
        </w:rPr>
      </w:pPr>
      <w:r w:rsidRPr="00CC592F">
        <w:rPr>
          <w:rFonts w:ascii="Arial" w:eastAsia="Arial" w:hAnsi="Arial" w:cs="Arial"/>
          <w:lang w:bidi="fr-FR"/>
        </w:rPr>
        <w:t>1996 à 1999</w:t>
      </w:r>
      <w:r w:rsidRPr="00CC592F">
        <w:rPr>
          <w:rFonts w:ascii="Arial" w:eastAsia="Arial" w:hAnsi="Arial" w:cs="Arial"/>
          <w:lang w:bidi="fr-FR"/>
        </w:rPr>
        <w:br/>
        <w:t>Directrice exécutive, Conseil pour la conservation des ressources halieutiques, Pêches et Océans Canada</w:t>
      </w:r>
    </w:p>
    <w:p w:rsidR="0072388B" w:rsidRPr="00CC592F" w:rsidRDefault="0072388B" w:rsidP="0072388B">
      <w:pPr>
        <w:rPr>
          <w:rFonts w:ascii="Arial" w:hAnsi="Arial" w:cs="Arial"/>
          <w:b/>
          <w:bCs/>
        </w:rPr>
      </w:pPr>
      <w:r w:rsidRPr="00CC592F">
        <w:rPr>
          <w:rFonts w:ascii="Arial" w:hAnsi="Arial" w:cs="Arial"/>
          <w:b/>
          <w:bCs/>
        </w:rPr>
        <w:br w:type="page"/>
      </w:r>
    </w:p>
    <w:p w:rsidR="0072388B" w:rsidRPr="00CC592F" w:rsidRDefault="0072388B" w:rsidP="0072388B">
      <w:pPr>
        <w:jc w:val="right"/>
        <w:rPr>
          <w:rFonts w:ascii="Arial" w:hAnsi="Arial" w:cs="Arial"/>
          <w:b/>
        </w:rPr>
      </w:pPr>
      <w:bookmarkStart w:id="1" w:name="AnnexB"/>
      <w:r w:rsidRPr="00CC592F">
        <w:rPr>
          <w:rFonts w:ascii="Arial" w:hAnsi="Arial" w:cs="Arial"/>
          <w:b/>
          <w:bCs/>
        </w:rPr>
        <w:lastRenderedPageBreak/>
        <w:t>Annexe B</w:t>
      </w:r>
      <w:bookmarkEnd w:id="1"/>
    </w:p>
    <w:p w:rsidR="0072388B" w:rsidRPr="00CC592F" w:rsidRDefault="0072388B" w:rsidP="0072388B">
      <w:pPr>
        <w:jc w:val="center"/>
        <w:rPr>
          <w:rFonts w:ascii="Arial" w:hAnsi="Arial" w:cs="Arial"/>
          <w:b/>
        </w:rPr>
      </w:pPr>
    </w:p>
    <w:p w:rsidR="0072388B" w:rsidRPr="00CC592F" w:rsidRDefault="0072388B" w:rsidP="002271FF">
      <w:pPr>
        <w:pStyle w:val="Heading2"/>
        <w:jc w:val="center"/>
      </w:pPr>
      <w:r w:rsidRPr="00CC592F">
        <w:t>Messages clés à communiquer lors de la rencontre avec un nouvel administrateur général/une nouvelle administratrice générale</w:t>
      </w:r>
    </w:p>
    <w:p w:rsidR="0072388B" w:rsidRPr="00CC592F" w:rsidRDefault="0072388B" w:rsidP="0072388B">
      <w:pPr>
        <w:jc w:val="center"/>
        <w:rPr>
          <w:rFonts w:ascii="Arial" w:hAnsi="Arial" w:cs="Arial"/>
          <w:b/>
        </w:rPr>
      </w:pP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L’impartialité politique est un pilier principal de la </w:t>
      </w:r>
      <w:r w:rsidRPr="00CC592F">
        <w:rPr>
          <w:rFonts w:ascii="Arial" w:hAnsi="Arial" w:cs="Arial"/>
          <w:i/>
          <w:sz w:val="22"/>
          <w:szCs w:val="22"/>
          <w:lang w:val="fr-CA"/>
        </w:rPr>
        <w:t xml:space="preserve">Loi sur l’emploi dans la fonction publique </w:t>
      </w:r>
      <w:r w:rsidRPr="00CC592F">
        <w:rPr>
          <w:rFonts w:ascii="Arial" w:hAnsi="Arial" w:cs="Arial"/>
          <w:sz w:val="22"/>
          <w:szCs w:val="22"/>
          <w:lang w:val="fr-CA"/>
        </w:rPr>
        <w:t xml:space="preserve">(LEFP) et constitue l’un des fondements d’une fonction publique professionnelle et d’un gouvernement démocratique responsable. Dans une fonction publique non partisane, les nominations sont fondées sur le mérite et indépendantes de toute influence politique, et les fonctionnaires exercent leurs fonctions de façon impartiale et sont perçus de la sorte. </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La Commission de la fonction publique (CFP) maintient :</w:t>
      </w:r>
    </w:p>
    <w:p w:rsidR="0072388B" w:rsidRPr="00CC592F" w:rsidRDefault="0072388B" w:rsidP="0072388B">
      <w:pPr>
        <w:pStyle w:val="Level1"/>
        <w:numPr>
          <w:ilvl w:val="1"/>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le pouvoir d’enquêter sur les processus de nomination externes, les nominations pouvant résulter de l’exercice d’une influence politique ou d’une fraude, et les allégations d’activités politiques irrégulières;</w:t>
      </w:r>
    </w:p>
    <w:p w:rsidR="0072388B" w:rsidRPr="00CC592F" w:rsidRDefault="0072388B" w:rsidP="0072388B">
      <w:pPr>
        <w:pStyle w:val="Level1"/>
        <w:numPr>
          <w:ilvl w:val="1"/>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le pouvoir d’autoriser l’exemption de satisfaire aux exigences en matière de compétence dans les langues officielles pour raison d’ordre médical; et</w:t>
      </w:r>
    </w:p>
    <w:p w:rsidR="0072388B" w:rsidRPr="00CC592F" w:rsidRDefault="0072388B" w:rsidP="0072388B">
      <w:pPr>
        <w:pStyle w:val="Level1"/>
        <w:numPr>
          <w:ilvl w:val="1"/>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la responsabilité de confirmer l’admissibilité des anciens membres du personnel des cabinets de ministres et du gouverneur général à la participation à des processus de nomination internes annoncés.</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L’Instrument de délégation et de responsabilisation en matière de nomination (IDRN) favorise la subdélégation aux échelons les plus bas possible au sein de l’organisation. </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Les organisations doivent respecter les dispositions de la LEFP traitant des droits de priorité. </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Il incombe aux administrateurs généraux (AG) de faire valoir la mise en œuvre de la </w:t>
      </w:r>
      <w:r w:rsidRPr="00CC592F">
        <w:rPr>
          <w:rFonts w:ascii="Arial" w:hAnsi="Arial" w:cs="Arial"/>
          <w:i/>
          <w:sz w:val="22"/>
          <w:szCs w:val="22"/>
          <w:lang w:val="fr-CA"/>
        </w:rPr>
        <w:t xml:space="preserve">Loi sur l’embauche des anciens combattants </w:t>
      </w:r>
      <w:r w:rsidRPr="00CC592F">
        <w:rPr>
          <w:rFonts w:ascii="Arial" w:hAnsi="Arial" w:cs="Arial"/>
          <w:sz w:val="22"/>
          <w:szCs w:val="22"/>
          <w:lang w:val="fr-CA"/>
        </w:rPr>
        <w:t xml:space="preserve">au sein de leur organisation pour faciliter l’embauche d’un nombre plus important de vétérans pour des emplois de la fonction publique. </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Les AG ne peuvent se livrer à aucune activité politique, à l’exception de l’exercice de leur droit de vote lors d’une élection. Le maintien de la nature non partisane de la fonction publique est la responsabilité de tous les fonctionnaires, et ce, peu importe leur niveau hiérarchique et la nature de leurs fonctions. Les AG, en particulier, exercent un rôle de direction pour protéger l’impartialité politique dans le cadre de leur surveillance de la conduite de leurs employés. La CFP, en collaboration avec d’autres intervenants, les AG compris, exerce un rôle clé dans le maintien de l’impartialité poli</w:t>
      </w:r>
      <w:r w:rsidR="0056577D" w:rsidRPr="00CC592F">
        <w:rPr>
          <w:rFonts w:ascii="Arial" w:hAnsi="Arial" w:cs="Arial"/>
          <w:sz w:val="22"/>
          <w:szCs w:val="22"/>
          <w:lang w:val="fr-CA"/>
        </w:rPr>
        <w:t>tique de la fonction publique.</w:t>
      </w:r>
    </w:p>
    <w:p w:rsidR="0072388B" w:rsidRPr="00CC592F" w:rsidRDefault="0072388B" w:rsidP="0056577D">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Nouvelle orientation en dotation – La CFP a révisé sa politique de nomination, son instrument de délégation et son modèle de surveillance pour rationaliser les exigences, s’assurer que la surveillance est adaptée aux risques relevés dans le système et simplifier la dotation. Le nouveau modèle de soutien adopté par la CFP prévoit un dialogue continu avec les organisations par l’entremise d’un seul point de contact (les conseillers au soutien en dotation), une approche renouvelée de l’orientation, l’animation de séances d’information et la dispense d’une formation ciblée. Reposant sur la communication bilatérale et la collaboration, cette approche aide aussi les AG qui ont la responsabilité de surveiller le système de dotation de leur organisation. La CFP s’attend à ce que les organisations entreprennent une surveillance proactive et une amélioration continue de la </w:t>
      </w:r>
      <w:r w:rsidRPr="00CC592F">
        <w:rPr>
          <w:rFonts w:ascii="Arial" w:hAnsi="Arial" w:cs="Arial"/>
          <w:sz w:val="22"/>
          <w:szCs w:val="22"/>
          <w:lang w:val="fr-CA"/>
        </w:rPr>
        <w:lastRenderedPageBreak/>
        <w:t>dotation.</w:t>
      </w:r>
    </w:p>
    <w:p w:rsidR="0072388B" w:rsidRPr="00CC592F" w:rsidRDefault="0072388B" w:rsidP="0072388B">
      <w:pPr>
        <w:pStyle w:val="Level1"/>
        <w:numPr>
          <w:ilvl w:val="0"/>
          <w:numId w:val="4"/>
        </w:numPr>
        <w:autoSpaceDE w:val="0"/>
        <w:autoSpaceDN w:val="0"/>
        <w:adjustRightInd w:val="0"/>
        <w:spacing w:after="120"/>
        <w:rPr>
          <w:rFonts w:ascii="Arial" w:hAnsi="Arial" w:cs="Arial"/>
          <w:sz w:val="22"/>
          <w:szCs w:val="22"/>
          <w:lang w:val="fr-CA"/>
        </w:rPr>
      </w:pPr>
      <w:r w:rsidRPr="00CC592F">
        <w:rPr>
          <w:rFonts w:ascii="Arial" w:hAnsi="Arial" w:cs="Arial"/>
          <w:sz w:val="22"/>
          <w:szCs w:val="22"/>
          <w:lang w:val="fr-CA"/>
        </w:rPr>
        <w:t xml:space="preserve">La CFP s’efforce de suivre l’évolution des besoins des gestionnaires d’embauche et des candidats, et de soutenir le système de dotation de la fonction publique de l’avenir. Grâce à une collaboration avec nos partenaires, nous étudions de nouveaux moyens par lesquels attirer, recruter et évaluer les candidats. Nous recensons les possibilités d’amélioration de nos programmes et nos services en ciblant nos efforts sur les domaines où nous influons directement le système de dotation, notamment la plateforme de recrutement du gouvernement du Canada – Emplois GC. Nous étudions également de nouvelles approches pour que le processus de dotation soit intégré et intuitif, tant pour les candidats que pour les gestionnaires d’embauche, </w:t>
      </w:r>
      <w:r w:rsidRPr="00CC592F">
        <w:rPr>
          <w:rStyle w:val="tlid-translation"/>
          <w:sz w:val="22"/>
          <w:szCs w:val="22"/>
          <w:lang w:val="fr-CA"/>
        </w:rPr>
        <w:t>dans le but de réduire le durée totale du processus de dotation et de faire appel à la prochaine génération de talents.</w:t>
      </w:r>
    </w:p>
    <w:p w:rsidR="0072388B" w:rsidRPr="00CC592F" w:rsidRDefault="0072388B" w:rsidP="0072388B">
      <w:pPr>
        <w:pStyle w:val="Level1"/>
        <w:autoSpaceDE w:val="0"/>
        <w:autoSpaceDN w:val="0"/>
        <w:adjustRightInd w:val="0"/>
        <w:jc w:val="right"/>
        <w:rPr>
          <w:rFonts w:ascii="Arial" w:hAnsi="Arial" w:cs="Arial"/>
          <w:sz w:val="22"/>
          <w:szCs w:val="22"/>
          <w:lang w:val="fr-CA"/>
        </w:rPr>
        <w:sectPr w:rsidR="0072388B" w:rsidRPr="00CC592F" w:rsidSect="0072388B">
          <w:footnotePr>
            <w:numFmt w:val="lowerLetter"/>
          </w:footnotePr>
          <w:endnotePr>
            <w:numFmt w:val="lowerLetter"/>
          </w:endnotePr>
          <w:type w:val="continuous"/>
          <w:pgSz w:w="12240" w:h="15840" w:code="1"/>
          <w:pgMar w:top="709" w:right="1304" w:bottom="1361" w:left="1304" w:header="284" w:footer="284" w:gutter="0"/>
          <w:pgNumType w:start="1"/>
          <w:cols w:space="720"/>
          <w:docGrid w:linePitch="326"/>
        </w:sectPr>
      </w:pPr>
    </w:p>
    <w:p w:rsidR="0072388B" w:rsidRPr="00CC592F" w:rsidRDefault="0072388B" w:rsidP="0072388B">
      <w:pPr>
        <w:pStyle w:val="ListParagraph"/>
        <w:spacing w:before="120"/>
        <w:jc w:val="right"/>
        <w:rPr>
          <w:rFonts w:ascii="Arial" w:hAnsi="Arial" w:cs="Arial"/>
          <w:b/>
        </w:rPr>
      </w:pPr>
      <w:bookmarkStart w:id="2" w:name="AnnexC"/>
      <w:r w:rsidRPr="00CC592F">
        <w:rPr>
          <w:rFonts w:ascii="Arial" w:hAnsi="Arial" w:cs="Arial"/>
          <w:b/>
        </w:rPr>
        <w:lastRenderedPageBreak/>
        <w:t>Annexe C</w:t>
      </w:r>
    </w:p>
    <w:bookmarkEnd w:id="2"/>
    <w:p w:rsidR="0072388B" w:rsidRPr="00CC592F" w:rsidRDefault="002271FF" w:rsidP="0072388B">
      <w:r w:rsidRPr="00CC592F">
        <w:t>Faits saillants pour les administrateurs généraux</w:t>
      </w:r>
    </w:p>
    <w:p w:rsidR="0072388B" w:rsidRPr="00CC592F" w:rsidRDefault="002271FF" w:rsidP="002271FF">
      <w:pPr>
        <w:pStyle w:val="Heading2"/>
        <w:jc w:val="center"/>
      </w:pPr>
      <w:r w:rsidRPr="00CC592F">
        <w:t>Une nouvelle orientation en dotation - un système fondé sur le mérite</w:t>
      </w:r>
      <w:r w:rsidRPr="00CC592F">
        <w:rPr>
          <w:rStyle w:val="Heading1Char"/>
          <w:sz w:val="32"/>
          <w:szCs w:val="32"/>
        </w:rPr>
        <w:t xml:space="preserve"> </w:t>
      </w:r>
      <w:r w:rsidRPr="00CC592F">
        <w:t>et axé sur l’efficacité, l’efficience et la justice</w:t>
      </w:r>
    </w:p>
    <w:p w:rsidR="002271FF" w:rsidRPr="00CC592F" w:rsidRDefault="002271FF" w:rsidP="002271FF"/>
    <w:p w:rsidR="0072388B" w:rsidRPr="00CC592F" w:rsidRDefault="0072388B" w:rsidP="002271FF">
      <w:pPr>
        <w:pStyle w:val="Heading3"/>
      </w:pPr>
      <w:r w:rsidRPr="00CC592F">
        <w:t>Politique de nomination</w:t>
      </w:r>
    </w:p>
    <w:p w:rsidR="0072388B" w:rsidRPr="00CC592F" w:rsidRDefault="0072388B" w:rsidP="002271FF">
      <w:pPr>
        <w:rPr>
          <w:rFonts w:cstheme="minorHAnsi"/>
          <w:i/>
          <w:spacing w:val="-6"/>
        </w:rPr>
      </w:pPr>
      <w:r w:rsidRPr="00CC592F">
        <w:rPr>
          <w:rFonts w:cstheme="minorHAnsi"/>
          <w:b/>
          <w:i/>
          <w:color w:val="0070C0"/>
          <w:spacing w:val="-6"/>
        </w:rPr>
        <w:t>L’accent est davantage mis sur  les exigences de base</w:t>
      </w:r>
      <w:r w:rsidRPr="00CC592F">
        <w:rPr>
          <w:rFonts w:cstheme="minorHAnsi"/>
          <w:i/>
          <w:spacing w:val="-6"/>
        </w:rPr>
        <w:t xml:space="preserve"> afin de fournir aux personnes subdéléguées une plus grande  latitude à l’égard des nominations</w:t>
      </w:r>
    </w:p>
    <w:p w:rsidR="0072388B" w:rsidRPr="00CC592F" w:rsidRDefault="0072388B" w:rsidP="0072388B">
      <w:pPr>
        <w:pStyle w:val="ListParagraph"/>
        <w:keepLines w:val="0"/>
        <w:numPr>
          <w:ilvl w:val="0"/>
          <w:numId w:val="16"/>
        </w:numPr>
        <w:spacing w:after="160"/>
        <w:ind w:left="851" w:firstLine="0"/>
        <w:rPr>
          <w:rFonts w:cstheme="minorHAnsi"/>
          <w:spacing w:val="-6"/>
        </w:rPr>
      </w:pPr>
      <w:r w:rsidRPr="00CC592F">
        <w:rPr>
          <w:rFonts w:cstheme="minorHAnsi"/>
          <w:b/>
          <w:color w:val="0070C0"/>
          <w:spacing w:val="-6"/>
        </w:rPr>
        <w:t>Une seule politique de nomination</w:t>
      </w:r>
      <w:r w:rsidRPr="00CC592F">
        <w:rPr>
          <w:rFonts w:cstheme="minorHAnsi"/>
          <w:spacing w:val="-6"/>
        </w:rPr>
        <w:t xml:space="preserve">, sans chevauchement des obligations juridiques </w:t>
      </w:r>
    </w:p>
    <w:p w:rsidR="0072388B" w:rsidRPr="00CC592F" w:rsidRDefault="0072388B" w:rsidP="0072388B">
      <w:pPr>
        <w:pStyle w:val="ListParagraph"/>
        <w:keepLines w:val="0"/>
        <w:numPr>
          <w:ilvl w:val="0"/>
          <w:numId w:val="16"/>
        </w:numPr>
        <w:spacing w:after="160"/>
        <w:ind w:left="851" w:firstLine="0"/>
        <w:rPr>
          <w:rFonts w:cstheme="minorHAnsi"/>
          <w:spacing w:val="-6"/>
        </w:rPr>
      </w:pPr>
      <w:r w:rsidRPr="00CC592F">
        <w:rPr>
          <w:rFonts w:cstheme="minorHAnsi"/>
          <w:b/>
          <w:color w:val="0070C0"/>
          <w:spacing w:val="-6"/>
        </w:rPr>
        <w:t>Accent accru sur un système axé sur les valeurs</w:t>
      </w:r>
      <w:r w:rsidRPr="00CC592F">
        <w:rPr>
          <w:rFonts w:cstheme="minorHAnsi"/>
          <w:color w:val="9F0040" w:themeColor="accent1" w:themeShade="BF"/>
        </w:rPr>
        <w:t xml:space="preserve"> </w:t>
      </w:r>
      <w:r w:rsidRPr="00CC592F">
        <w:rPr>
          <w:rFonts w:cstheme="minorHAnsi"/>
        </w:rPr>
        <w:t xml:space="preserve">plutôt que sur un </w:t>
      </w:r>
      <w:r w:rsidRPr="00CC592F">
        <w:rPr>
          <w:rFonts w:cstheme="minorHAnsi"/>
          <w:spacing w:val="-6"/>
        </w:rPr>
        <w:t>système axé sur les règles</w:t>
      </w:r>
      <w:r w:rsidRPr="00CC592F">
        <w:rPr>
          <w:rFonts w:cstheme="minorHAnsi"/>
          <w:b/>
          <w:spacing w:val="-6"/>
        </w:rPr>
        <w:t xml:space="preserve"> </w:t>
      </w:r>
    </w:p>
    <w:p w:rsidR="0072388B" w:rsidRPr="00CC592F" w:rsidRDefault="0072388B" w:rsidP="0072388B">
      <w:pPr>
        <w:pStyle w:val="ListParagraph"/>
        <w:keepLines w:val="0"/>
        <w:numPr>
          <w:ilvl w:val="0"/>
          <w:numId w:val="16"/>
        </w:numPr>
        <w:spacing w:after="160"/>
        <w:ind w:left="851" w:firstLine="0"/>
        <w:rPr>
          <w:rFonts w:cstheme="minorHAnsi"/>
          <w:spacing w:val="-6"/>
        </w:rPr>
      </w:pPr>
      <w:r w:rsidRPr="00CC592F">
        <w:rPr>
          <w:rFonts w:cstheme="minorHAnsi"/>
          <w:spacing w:val="-6"/>
        </w:rPr>
        <w:t xml:space="preserve">Politique de nomination appuyée par une </w:t>
      </w:r>
      <w:r w:rsidRPr="00CC592F">
        <w:rPr>
          <w:rFonts w:cstheme="minorHAnsi"/>
          <w:b/>
          <w:color w:val="0070C0"/>
          <w:spacing w:val="-6"/>
        </w:rPr>
        <w:t xml:space="preserve">orientation rationalisée </w:t>
      </w:r>
      <w:r w:rsidRPr="00CC592F">
        <w:rPr>
          <w:rFonts w:cstheme="minorHAnsi"/>
          <w:color w:val="0070C0"/>
          <w:spacing w:val="-6"/>
        </w:rPr>
        <w:t>:</w:t>
      </w:r>
    </w:p>
    <w:p w:rsidR="0072388B" w:rsidRPr="00CC592F" w:rsidRDefault="0072388B" w:rsidP="0072388B">
      <w:pPr>
        <w:pStyle w:val="ListParagraph"/>
        <w:keepLines w:val="0"/>
        <w:numPr>
          <w:ilvl w:val="1"/>
          <w:numId w:val="16"/>
        </w:numPr>
        <w:spacing w:after="160"/>
        <w:ind w:left="1843" w:hanging="425"/>
        <w:rPr>
          <w:rFonts w:cstheme="minorHAnsi"/>
          <w:spacing w:val="-6"/>
        </w:rPr>
      </w:pPr>
      <w:r w:rsidRPr="00CC592F">
        <w:rPr>
          <w:rFonts w:cstheme="minorHAnsi"/>
          <w:spacing w:val="-6"/>
        </w:rPr>
        <w:t>Feuille de route précisant les exigences relatives aux lois, règlements et politiques</w:t>
      </w:r>
    </w:p>
    <w:p w:rsidR="0072388B" w:rsidRPr="00CC592F" w:rsidRDefault="0072388B" w:rsidP="002271FF">
      <w:pPr>
        <w:pStyle w:val="ListParagraph"/>
        <w:keepLines w:val="0"/>
        <w:numPr>
          <w:ilvl w:val="1"/>
          <w:numId w:val="16"/>
        </w:numPr>
        <w:spacing w:after="160"/>
        <w:ind w:left="1843" w:hanging="425"/>
        <w:rPr>
          <w:rFonts w:cstheme="minorHAnsi"/>
          <w:spacing w:val="-6"/>
        </w:rPr>
      </w:pPr>
      <w:r w:rsidRPr="00CC592F">
        <w:rPr>
          <w:rFonts w:cstheme="minorHAnsi"/>
          <w:spacing w:val="-6"/>
        </w:rPr>
        <w:t>Options et considérations relatives à  la prise de décisions dans les cas où il existe une certaine latitude</w:t>
      </w:r>
    </w:p>
    <w:p w:rsidR="0072388B" w:rsidRPr="00CC592F" w:rsidRDefault="0072388B" w:rsidP="0072388B">
      <w:pPr>
        <w:pStyle w:val="ListParagraph"/>
        <w:keepLines w:val="0"/>
        <w:numPr>
          <w:ilvl w:val="0"/>
          <w:numId w:val="16"/>
        </w:numPr>
        <w:spacing w:after="160"/>
        <w:ind w:left="851" w:firstLine="0"/>
        <w:rPr>
          <w:rFonts w:cstheme="minorHAnsi"/>
          <w:spacing w:val="-6"/>
        </w:rPr>
      </w:pPr>
      <w:r w:rsidRPr="00CC592F">
        <w:rPr>
          <w:rFonts w:cstheme="minorHAnsi"/>
          <w:b/>
          <w:color w:val="0070C0"/>
          <w:spacing w:val="-6"/>
        </w:rPr>
        <w:t>Attentes clairement définies</w:t>
      </w:r>
      <w:r w:rsidRPr="00CC592F">
        <w:rPr>
          <w:rFonts w:cstheme="minorHAnsi"/>
          <w:spacing w:val="-6"/>
        </w:rPr>
        <w:t xml:space="preserve"> quant aux droits de priorité</w:t>
      </w:r>
    </w:p>
    <w:p w:rsidR="0072388B" w:rsidRPr="00CC592F" w:rsidRDefault="0072388B" w:rsidP="0072388B">
      <w:pPr>
        <w:pStyle w:val="ListParagraph"/>
        <w:keepLines w:val="0"/>
        <w:numPr>
          <w:ilvl w:val="0"/>
          <w:numId w:val="16"/>
        </w:numPr>
        <w:spacing w:after="160"/>
        <w:ind w:left="851" w:firstLine="0"/>
        <w:rPr>
          <w:rFonts w:cstheme="minorHAnsi"/>
          <w:spacing w:val="-6"/>
        </w:rPr>
      </w:pPr>
      <w:r w:rsidRPr="00CC592F">
        <w:rPr>
          <w:rFonts w:cstheme="minorHAnsi"/>
          <w:spacing w:val="-6"/>
        </w:rPr>
        <w:t>Aucune restriction quant aux méthodes d’évaluation pour la  nomination des cadres de direction (EX)</w:t>
      </w:r>
    </w:p>
    <w:p w:rsidR="0072388B" w:rsidRPr="00CC592F" w:rsidRDefault="0072388B" w:rsidP="002271FF">
      <w:pPr>
        <w:pStyle w:val="ListParagraph"/>
        <w:keepLines w:val="0"/>
        <w:numPr>
          <w:ilvl w:val="0"/>
          <w:numId w:val="16"/>
        </w:numPr>
        <w:spacing w:after="160"/>
        <w:ind w:left="851" w:firstLine="0"/>
        <w:rPr>
          <w:rFonts w:cstheme="minorHAnsi"/>
          <w:spacing w:val="-6"/>
        </w:rPr>
      </w:pPr>
      <w:r w:rsidRPr="00CC592F">
        <w:rPr>
          <w:rFonts w:cstheme="minorHAnsi"/>
          <w:spacing w:val="-6"/>
        </w:rPr>
        <w:t>Exceptions à la zone nationale de sélection approuvées</w:t>
      </w:r>
    </w:p>
    <w:p w:rsidR="0072388B" w:rsidRPr="00CC592F" w:rsidRDefault="0072388B" w:rsidP="0072388B">
      <w:pPr>
        <w:ind w:left="709"/>
        <w:jc w:val="both"/>
        <w:rPr>
          <w:rFonts w:ascii="Arial" w:hAnsi="Arial" w:cs="Arial"/>
          <w:sz w:val="16"/>
          <w:szCs w:val="16"/>
        </w:rPr>
      </w:pPr>
    </w:p>
    <w:p w:rsidR="0072388B" w:rsidRPr="00CC592F" w:rsidRDefault="0072388B" w:rsidP="002271FF">
      <w:pPr>
        <w:pStyle w:val="Heading3"/>
      </w:pPr>
      <w:r w:rsidRPr="00CC592F">
        <w:t>Délégation</w:t>
      </w:r>
    </w:p>
    <w:p w:rsidR="0072388B" w:rsidRPr="000F7C3C" w:rsidRDefault="0072388B" w:rsidP="002271FF">
      <w:pPr>
        <w:rPr>
          <w:rFonts w:cstheme="minorHAnsi"/>
          <w:i/>
          <w:spacing w:val="-8"/>
        </w:rPr>
      </w:pPr>
      <w:r w:rsidRPr="000F7C3C">
        <w:rPr>
          <w:rFonts w:cstheme="minorHAnsi"/>
          <w:b/>
          <w:i/>
          <w:color w:val="0070C0"/>
          <w:spacing w:val="-8"/>
        </w:rPr>
        <w:t xml:space="preserve">L’accent est davantage mis sur la capacité d’adapter </w:t>
      </w:r>
      <w:r w:rsidRPr="000F7C3C">
        <w:rPr>
          <w:rFonts w:cstheme="minorHAnsi"/>
          <w:b/>
          <w:bCs/>
          <w:i/>
          <w:color w:val="0070C0"/>
          <w:spacing w:val="-8"/>
        </w:rPr>
        <w:t>le système de dotation  de l’organisation</w:t>
      </w:r>
      <w:r w:rsidRPr="000F7C3C">
        <w:rPr>
          <w:rFonts w:cstheme="minorHAnsi"/>
          <w:b/>
          <w:bCs/>
          <w:i/>
          <w:spacing w:val="-8"/>
        </w:rPr>
        <w:t xml:space="preserve"> </w:t>
      </w:r>
      <w:r w:rsidRPr="000F7C3C">
        <w:rPr>
          <w:rFonts w:cstheme="minorHAnsi"/>
          <w:i/>
          <w:spacing w:val="-8"/>
        </w:rPr>
        <w:t xml:space="preserve">en fonction du contexte particulier et des besoins opérationnels en évolution </w:t>
      </w:r>
    </w:p>
    <w:p w:rsidR="0072388B" w:rsidRPr="000F7C3C" w:rsidRDefault="0072388B" w:rsidP="0072388B">
      <w:pPr>
        <w:pStyle w:val="ListParagraph"/>
        <w:keepLines w:val="0"/>
        <w:numPr>
          <w:ilvl w:val="0"/>
          <w:numId w:val="18"/>
        </w:numPr>
        <w:spacing w:after="160"/>
        <w:ind w:left="1418" w:hanging="567"/>
        <w:rPr>
          <w:rFonts w:cstheme="minorHAnsi"/>
          <w:spacing w:val="-8"/>
        </w:rPr>
      </w:pPr>
      <w:r w:rsidRPr="000F7C3C">
        <w:rPr>
          <w:rFonts w:cstheme="minorHAnsi"/>
          <w:spacing w:val="-8"/>
        </w:rPr>
        <w:t xml:space="preserve">L’administrateur général établit une orientation quant à </w:t>
      </w:r>
      <w:r w:rsidRPr="000F7C3C">
        <w:rPr>
          <w:rFonts w:cstheme="minorHAnsi"/>
          <w:b/>
          <w:color w:val="0070C0"/>
          <w:spacing w:val="-8"/>
        </w:rPr>
        <w:t>l’utilisation des processus de nomination annoncés et non annoncés</w:t>
      </w:r>
      <w:r w:rsidRPr="000F7C3C">
        <w:rPr>
          <w:rFonts w:cstheme="minorHAnsi"/>
          <w:color w:val="0070C0"/>
          <w:spacing w:val="-8"/>
        </w:rPr>
        <w:t xml:space="preserve"> </w:t>
      </w:r>
    </w:p>
    <w:p w:rsidR="0072388B" w:rsidRPr="000F7C3C" w:rsidRDefault="0072388B" w:rsidP="0072388B">
      <w:pPr>
        <w:pStyle w:val="ListParagraph"/>
        <w:keepLines w:val="0"/>
        <w:numPr>
          <w:ilvl w:val="0"/>
          <w:numId w:val="18"/>
        </w:numPr>
        <w:spacing w:after="160"/>
        <w:ind w:left="1418" w:hanging="567"/>
        <w:rPr>
          <w:rFonts w:cstheme="minorHAnsi"/>
          <w:spacing w:val="-8"/>
        </w:rPr>
      </w:pPr>
      <w:r w:rsidRPr="000F7C3C">
        <w:rPr>
          <w:rFonts w:cstheme="minorHAnsi"/>
          <w:spacing w:val="-8"/>
        </w:rPr>
        <w:t xml:space="preserve">L’administrateur général établit les exigences pour les personnes subdéléguées </w:t>
      </w:r>
      <w:r w:rsidRPr="000F7C3C">
        <w:rPr>
          <w:rFonts w:cstheme="minorHAnsi"/>
          <w:b/>
          <w:color w:val="0070C0"/>
          <w:spacing w:val="-8"/>
        </w:rPr>
        <w:t>de formuler, par écrit, la décision de sélection</w:t>
      </w:r>
    </w:p>
    <w:p w:rsidR="0072388B" w:rsidRPr="000F7C3C" w:rsidRDefault="0072388B" w:rsidP="0072388B">
      <w:pPr>
        <w:pStyle w:val="ListParagraph"/>
        <w:keepLines w:val="0"/>
        <w:numPr>
          <w:ilvl w:val="0"/>
          <w:numId w:val="18"/>
        </w:numPr>
        <w:spacing w:after="160"/>
        <w:ind w:left="1418" w:hanging="567"/>
        <w:rPr>
          <w:rFonts w:cstheme="minorHAnsi"/>
          <w:spacing w:val="-8"/>
        </w:rPr>
      </w:pPr>
      <w:r w:rsidRPr="000F7C3C">
        <w:rPr>
          <w:rFonts w:cstheme="minorHAnsi"/>
          <w:spacing w:val="-8"/>
        </w:rPr>
        <w:t>Exigences plus claires concernant les enquêtes</w:t>
      </w:r>
    </w:p>
    <w:p w:rsidR="0072388B" w:rsidRPr="000F7C3C" w:rsidRDefault="0072388B" w:rsidP="0072388B">
      <w:pPr>
        <w:pStyle w:val="ListParagraph"/>
        <w:keepLines w:val="0"/>
        <w:numPr>
          <w:ilvl w:val="0"/>
          <w:numId w:val="18"/>
        </w:numPr>
        <w:spacing w:after="160"/>
        <w:ind w:left="1418" w:hanging="567"/>
        <w:rPr>
          <w:rFonts w:cstheme="minorHAnsi"/>
          <w:spacing w:val="-8"/>
        </w:rPr>
      </w:pPr>
      <w:r w:rsidRPr="000F7C3C">
        <w:rPr>
          <w:rFonts w:cstheme="minorHAnsi"/>
          <w:b/>
          <w:color w:val="0070C0"/>
          <w:spacing w:val="-8"/>
        </w:rPr>
        <w:t>Formulaire d’attestation</w:t>
      </w:r>
      <w:r w:rsidRPr="000F7C3C">
        <w:rPr>
          <w:rFonts w:cstheme="minorHAnsi"/>
          <w:spacing w:val="-8"/>
        </w:rPr>
        <w:t xml:space="preserve"> réitérant les responsabilités des personnes subdéléguées</w:t>
      </w:r>
    </w:p>
    <w:p w:rsidR="0072388B" w:rsidRPr="000F7C3C" w:rsidRDefault="0072388B" w:rsidP="002271FF">
      <w:pPr>
        <w:ind w:right="-202"/>
        <w:rPr>
          <w:rFonts w:cstheme="minorHAnsi"/>
          <w:color w:val="7030A0"/>
          <w:spacing w:val="-8"/>
        </w:rPr>
      </w:pPr>
      <w:r w:rsidRPr="000F7C3C">
        <w:rPr>
          <w:rFonts w:cstheme="minorHAnsi"/>
          <w:spacing w:val="-8"/>
        </w:rPr>
        <w:t>Toutes les exigences de la CFP en matière de surveillance et de présentation de rapports figurent maintenant dans l’Instrument de délégation et de responsabilisation en matière de nomination</w:t>
      </w:r>
      <w:r w:rsidRPr="000F7C3C">
        <w:rPr>
          <w:rFonts w:cstheme="minorHAnsi"/>
          <w:color w:val="7030A0"/>
          <w:spacing w:val="-8"/>
        </w:rPr>
        <w:t xml:space="preserve"> </w:t>
      </w:r>
    </w:p>
    <w:p w:rsidR="002271FF" w:rsidRPr="00CC592F" w:rsidRDefault="002271FF" w:rsidP="0072388B">
      <w:pPr>
        <w:pStyle w:val="ListParagraph"/>
        <w:rPr>
          <w:rFonts w:ascii="Arial" w:hAnsi="Arial" w:cs="Arial"/>
        </w:rPr>
        <w:sectPr w:rsidR="002271FF" w:rsidRPr="00CC592F" w:rsidSect="0072388B">
          <w:footerReference w:type="default" r:id="rId13"/>
          <w:footnotePr>
            <w:numFmt w:val="lowerLetter"/>
          </w:footnotePr>
          <w:endnotePr>
            <w:numFmt w:val="lowerLetter"/>
          </w:endnotePr>
          <w:pgSz w:w="12240" w:h="15840" w:code="1"/>
          <w:pgMar w:top="709" w:right="1304" w:bottom="709" w:left="567" w:header="284" w:footer="284" w:gutter="0"/>
          <w:cols w:space="720"/>
          <w:docGrid w:linePitch="326"/>
        </w:sectPr>
      </w:pPr>
    </w:p>
    <w:p w:rsidR="0072388B" w:rsidRPr="00CC592F" w:rsidRDefault="0072388B" w:rsidP="0072388B">
      <w:pPr>
        <w:pStyle w:val="ListParagraph"/>
        <w:rPr>
          <w:rFonts w:ascii="Arial" w:hAnsi="Arial" w:cs="Arial"/>
        </w:rPr>
      </w:pPr>
    </w:p>
    <w:p w:rsidR="0072388B" w:rsidRPr="00CC592F" w:rsidRDefault="0072388B" w:rsidP="002271FF">
      <w:pPr>
        <w:pStyle w:val="Heading3"/>
      </w:pPr>
      <w:r w:rsidRPr="00CC592F">
        <w:t>Surveillance et rapports</w:t>
      </w:r>
    </w:p>
    <w:p w:rsidR="0072388B" w:rsidRPr="000F7C3C" w:rsidRDefault="0072388B" w:rsidP="002271FF">
      <w:pPr>
        <w:rPr>
          <w:rFonts w:cstheme="minorHAnsi"/>
          <w:i/>
          <w:highlight w:val="yellow"/>
        </w:rPr>
      </w:pPr>
      <w:r w:rsidRPr="000F7C3C">
        <w:rPr>
          <w:rFonts w:cstheme="minorHAnsi"/>
          <w:b/>
          <w:i/>
          <w:color w:val="0070C0"/>
        </w:rPr>
        <w:t xml:space="preserve">La surveillance est établie par les organisations, </w:t>
      </w:r>
      <w:r w:rsidRPr="000F7C3C">
        <w:rPr>
          <w:rFonts w:cstheme="minorHAnsi"/>
          <w:i/>
        </w:rPr>
        <w:t>ciblée à leurs besoins</w:t>
      </w:r>
    </w:p>
    <w:p w:rsidR="0072388B" w:rsidRPr="000F7C3C" w:rsidRDefault="0072388B" w:rsidP="0072388B">
      <w:pPr>
        <w:pStyle w:val="ListParagraph"/>
        <w:keepLines w:val="0"/>
        <w:numPr>
          <w:ilvl w:val="0"/>
          <w:numId w:val="20"/>
        </w:numPr>
        <w:spacing w:after="160"/>
        <w:ind w:left="1418" w:hanging="567"/>
        <w:rPr>
          <w:rFonts w:cstheme="minorHAnsi"/>
        </w:rPr>
      </w:pPr>
      <w:r w:rsidRPr="000F7C3C">
        <w:rPr>
          <w:rFonts w:cstheme="minorHAnsi"/>
        </w:rPr>
        <w:t>Le Rapport ministériel sur l’obligation de rendre compte en dotation n’est plus requis</w:t>
      </w:r>
    </w:p>
    <w:p w:rsidR="0072388B" w:rsidRPr="000F7C3C" w:rsidRDefault="0072388B" w:rsidP="0072388B">
      <w:pPr>
        <w:pStyle w:val="ListParagraph"/>
        <w:keepLines w:val="0"/>
        <w:numPr>
          <w:ilvl w:val="0"/>
          <w:numId w:val="20"/>
        </w:numPr>
        <w:spacing w:after="160"/>
        <w:ind w:left="1418" w:hanging="567"/>
        <w:rPr>
          <w:rFonts w:cstheme="minorHAnsi"/>
        </w:rPr>
      </w:pPr>
      <w:r w:rsidRPr="000F7C3C">
        <w:rPr>
          <w:rFonts w:cstheme="minorHAnsi"/>
          <w:b/>
          <w:color w:val="0070C0"/>
        </w:rPr>
        <w:t>Le rapport annuel à la CFP portera seulement</w:t>
      </w:r>
      <w:r w:rsidRPr="000F7C3C">
        <w:rPr>
          <w:rFonts w:cstheme="minorHAnsi"/>
        </w:rPr>
        <w:t xml:space="preserve"> </w:t>
      </w:r>
      <w:r w:rsidRPr="000F7C3C">
        <w:rPr>
          <w:rFonts w:cstheme="minorHAnsi"/>
          <w:bCs/>
        </w:rPr>
        <w:t>sur :</w:t>
      </w:r>
    </w:p>
    <w:p w:rsidR="0072388B" w:rsidRPr="000F7C3C" w:rsidRDefault="0072388B" w:rsidP="0072388B">
      <w:pPr>
        <w:pStyle w:val="ListParagraph"/>
        <w:ind w:left="1418"/>
        <w:rPr>
          <w:rFonts w:cstheme="minorHAnsi"/>
        </w:rPr>
      </w:pPr>
    </w:p>
    <w:p w:rsidR="0072388B" w:rsidRPr="000F7C3C" w:rsidRDefault="0072388B" w:rsidP="0072388B">
      <w:pPr>
        <w:pStyle w:val="ListParagraph"/>
        <w:keepLines w:val="0"/>
        <w:numPr>
          <w:ilvl w:val="1"/>
          <w:numId w:val="20"/>
        </w:numPr>
        <w:spacing w:after="160"/>
        <w:ind w:left="1843" w:hanging="567"/>
        <w:rPr>
          <w:rFonts w:cstheme="minorHAnsi"/>
        </w:rPr>
      </w:pPr>
      <w:r w:rsidRPr="000F7C3C">
        <w:rPr>
          <w:rFonts w:cstheme="minorHAnsi"/>
        </w:rPr>
        <w:t>l’utilisation du Décret d’exemption concernant les langues officielles dans la fonction publique</w:t>
      </w:r>
    </w:p>
    <w:p w:rsidR="0072388B" w:rsidRPr="000F7C3C" w:rsidRDefault="0072388B" w:rsidP="0072388B">
      <w:pPr>
        <w:pStyle w:val="ListParagraph"/>
        <w:keepLines w:val="0"/>
        <w:numPr>
          <w:ilvl w:val="1"/>
          <w:numId w:val="20"/>
        </w:numPr>
        <w:spacing w:after="160"/>
        <w:ind w:left="1843" w:hanging="567"/>
        <w:rPr>
          <w:rFonts w:cstheme="minorHAnsi"/>
        </w:rPr>
      </w:pPr>
      <w:r w:rsidRPr="000F7C3C">
        <w:rPr>
          <w:rFonts w:cstheme="minorHAnsi"/>
        </w:rPr>
        <w:t>les exceptions à la zone nationale de sélection approuvée par l’administrateur général</w:t>
      </w:r>
    </w:p>
    <w:p w:rsidR="0072388B" w:rsidRPr="000F7C3C" w:rsidRDefault="0072388B" w:rsidP="0072388B">
      <w:pPr>
        <w:pStyle w:val="ListParagraph"/>
        <w:keepLines w:val="0"/>
        <w:numPr>
          <w:ilvl w:val="1"/>
          <w:numId w:val="20"/>
        </w:numPr>
        <w:spacing w:after="160"/>
        <w:ind w:left="1843" w:hanging="567"/>
        <w:rPr>
          <w:rFonts w:cstheme="minorHAnsi"/>
        </w:rPr>
      </w:pPr>
      <w:r w:rsidRPr="000F7C3C">
        <w:rPr>
          <w:rFonts w:cstheme="minorHAnsi"/>
        </w:rPr>
        <w:t xml:space="preserve">les résultats de toutes enquêtes internes </w:t>
      </w:r>
    </w:p>
    <w:p w:rsidR="0072388B" w:rsidRPr="000F7C3C" w:rsidRDefault="0072388B" w:rsidP="0072388B">
      <w:pPr>
        <w:pStyle w:val="ListParagraph"/>
        <w:keepLines w:val="0"/>
        <w:numPr>
          <w:ilvl w:val="1"/>
          <w:numId w:val="20"/>
        </w:numPr>
        <w:spacing w:after="160"/>
        <w:ind w:left="1843" w:hanging="567"/>
        <w:rPr>
          <w:rFonts w:cstheme="minorHAnsi"/>
        </w:rPr>
      </w:pPr>
      <w:r w:rsidRPr="000F7C3C">
        <w:rPr>
          <w:rFonts w:cstheme="minorHAnsi"/>
        </w:rPr>
        <w:t>les mesures prises à la suite de toutes enquêtes ou vérifications menées par la CFP</w:t>
      </w:r>
    </w:p>
    <w:p w:rsidR="0072388B" w:rsidRPr="000F7C3C" w:rsidRDefault="0072388B" w:rsidP="0072388B">
      <w:pPr>
        <w:pStyle w:val="ListParagraph"/>
        <w:ind w:left="1843"/>
        <w:rPr>
          <w:rFonts w:cstheme="minorHAnsi"/>
        </w:rPr>
      </w:pPr>
    </w:p>
    <w:p w:rsidR="0072388B" w:rsidRPr="000F7C3C" w:rsidRDefault="0072388B" w:rsidP="0072388B">
      <w:pPr>
        <w:pStyle w:val="ListParagraph"/>
        <w:keepLines w:val="0"/>
        <w:numPr>
          <w:ilvl w:val="0"/>
          <w:numId w:val="20"/>
        </w:numPr>
        <w:spacing w:after="160"/>
        <w:ind w:left="1418" w:hanging="567"/>
        <w:rPr>
          <w:rFonts w:cstheme="minorHAnsi"/>
          <w:b/>
          <w:color w:val="0070C0"/>
        </w:rPr>
      </w:pPr>
      <w:r w:rsidRPr="000F7C3C">
        <w:rPr>
          <w:rFonts w:cstheme="minorHAnsi"/>
        </w:rPr>
        <w:t>L’administrateur général est responsable</w:t>
      </w:r>
      <w:r w:rsidRPr="000F7C3C">
        <w:rPr>
          <w:rFonts w:cstheme="minorHAnsi"/>
          <w:b/>
        </w:rPr>
        <w:t xml:space="preserve"> </w:t>
      </w:r>
      <w:r w:rsidRPr="000F7C3C">
        <w:rPr>
          <w:rFonts w:cstheme="minorHAnsi"/>
          <w:b/>
          <w:color w:val="0070C0"/>
        </w:rPr>
        <w:t xml:space="preserve">de la surveillance continue du système de dotation </w:t>
      </w:r>
      <w:r w:rsidRPr="000F7C3C">
        <w:rPr>
          <w:rFonts w:cstheme="minorHAnsi"/>
        </w:rPr>
        <w:t>de l’organisation en fonction de son contexte particulier</w:t>
      </w:r>
    </w:p>
    <w:p w:rsidR="0072388B" w:rsidRPr="000F7C3C" w:rsidRDefault="0072388B" w:rsidP="0072388B">
      <w:pPr>
        <w:pStyle w:val="ListParagraph"/>
        <w:ind w:left="1418"/>
        <w:rPr>
          <w:rFonts w:cstheme="minorHAnsi"/>
          <w:b/>
          <w:color w:val="0070C0"/>
        </w:rPr>
      </w:pPr>
    </w:p>
    <w:p w:rsidR="00CF4CD4" w:rsidRPr="000F7C3C" w:rsidRDefault="0072388B" w:rsidP="00CF4CD4">
      <w:pPr>
        <w:pStyle w:val="ListParagraph"/>
        <w:keepLines w:val="0"/>
        <w:numPr>
          <w:ilvl w:val="1"/>
          <w:numId w:val="20"/>
        </w:numPr>
        <w:spacing w:after="160"/>
        <w:ind w:left="1843" w:hanging="567"/>
        <w:rPr>
          <w:rFonts w:cstheme="minorHAnsi"/>
        </w:rPr>
      </w:pPr>
      <w:r w:rsidRPr="000F7C3C">
        <w:rPr>
          <w:rFonts w:cstheme="minorHAnsi"/>
          <w:b/>
          <w:color w:val="0070C0"/>
        </w:rPr>
        <w:t xml:space="preserve">examen de la conformité  aux exigences, </w:t>
      </w:r>
      <w:r w:rsidRPr="000F7C3C">
        <w:rPr>
          <w:rFonts w:cstheme="minorHAnsi"/>
        </w:rPr>
        <w:t>fondé sur les risques spécifiques de l’organisation, au moins une fois tous les cinq ans</w:t>
      </w:r>
    </w:p>
    <w:p w:rsidR="00CF4CD4" w:rsidRPr="00CC592F" w:rsidRDefault="00CF4CD4" w:rsidP="00CF4CD4">
      <w:pPr>
        <w:pStyle w:val="ListParagraph"/>
        <w:keepLines w:val="0"/>
        <w:spacing w:after="160"/>
        <w:ind w:left="1843"/>
        <w:rPr>
          <w:rFonts w:ascii="Arial" w:hAnsi="Arial" w:cs="Arial"/>
        </w:rPr>
      </w:pPr>
    </w:p>
    <w:p w:rsidR="0072388B" w:rsidRPr="00CC592F" w:rsidRDefault="0072388B" w:rsidP="002271FF">
      <w:pPr>
        <w:pStyle w:val="Heading3"/>
        <w:rPr>
          <w:rFonts w:ascii="Arial" w:hAnsi="Arial" w:cs="Arial"/>
        </w:rPr>
      </w:pPr>
      <w:r w:rsidRPr="00CC592F">
        <w:t>Surveillance de la CFP</w:t>
      </w:r>
    </w:p>
    <w:p w:rsidR="0072388B" w:rsidRPr="000F7C3C" w:rsidRDefault="0072388B" w:rsidP="0072388B">
      <w:pPr>
        <w:pStyle w:val="ListParagraph"/>
        <w:keepLines w:val="0"/>
        <w:numPr>
          <w:ilvl w:val="0"/>
          <w:numId w:val="20"/>
        </w:numPr>
        <w:spacing w:after="0" w:line="240" w:lineRule="auto"/>
        <w:ind w:left="851" w:firstLine="0"/>
        <w:rPr>
          <w:rFonts w:cstheme="minorHAnsi"/>
        </w:rPr>
      </w:pPr>
      <w:r w:rsidRPr="000F7C3C">
        <w:rPr>
          <w:rFonts w:cstheme="minorHAnsi"/>
        </w:rPr>
        <w:t xml:space="preserve">Axée sur l’ensemble du système </w:t>
      </w:r>
      <w:r w:rsidRPr="000F7C3C">
        <w:rPr>
          <w:rFonts w:cstheme="minorHAnsi"/>
        </w:rPr>
        <w:br/>
      </w:r>
    </w:p>
    <w:p w:rsidR="0072388B" w:rsidRPr="000F7C3C" w:rsidRDefault="0072388B" w:rsidP="0072388B">
      <w:pPr>
        <w:pStyle w:val="ListParagraph"/>
        <w:keepLines w:val="0"/>
        <w:numPr>
          <w:ilvl w:val="0"/>
          <w:numId w:val="14"/>
        </w:numPr>
        <w:spacing w:after="0" w:line="240" w:lineRule="auto"/>
        <w:ind w:left="1418" w:hanging="567"/>
        <w:rPr>
          <w:rFonts w:cstheme="minorHAnsi"/>
        </w:rPr>
      </w:pPr>
      <w:r w:rsidRPr="000F7C3C">
        <w:rPr>
          <w:rFonts w:cstheme="minorHAnsi"/>
          <w:b/>
          <w:color w:val="0070C0"/>
        </w:rPr>
        <w:t xml:space="preserve">Vérification de la conformité pangouvernementale tous les deux ans </w:t>
      </w:r>
    </w:p>
    <w:p w:rsidR="0072388B" w:rsidRPr="000F7C3C" w:rsidRDefault="0072388B" w:rsidP="0072388B">
      <w:pPr>
        <w:pStyle w:val="ListParagraph"/>
        <w:keepLines w:val="0"/>
        <w:numPr>
          <w:ilvl w:val="0"/>
          <w:numId w:val="14"/>
        </w:numPr>
        <w:spacing w:after="0" w:line="240" w:lineRule="auto"/>
        <w:ind w:left="1418" w:hanging="567"/>
        <w:rPr>
          <w:rFonts w:cstheme="minorHAnsi"/>
        </w:rPr>
      </w:pPr>
      <w:r w:rsidRPr="000F7C3C">
        <w:rPr>
          <w:rFonts w:cstheme="minorHAnsi"/>
          <w:b/>
          <w:color w:val="0070C0"/>
        </w:rPr>
        <w:t xml:space="preserve">Nouveau Sondage sur la dotation </w:t>
      </w:r>
      <w:r w:rsidRPr="000F7C3C">
        <w:rPr>
          <w:rFonts w:cstheme="minorHAnsi"/>
        </w:rPr>
        <w:t>administré en alternance avec la vérification pangouvernementale</w:t>
      </w:r>
    </w:p>
    <w:p w:rsidR="0072388B" w:rsidRPr="000F7C3C" w:rsidRDefault="0072388B" w:rsidP="0072388B">
      <w:pPr>
        <w:pStyle w:val="ListParagraph"/>
        <w:keepLines w:val="0"/>
        <w:numPr>
          <w:ilvl w:val="0"/>
          <w:numId w:val="14"/>
        </w:numPr>
        <w:spacing w:after="0" w:line="240" w:lineRule="auto"/>
        <w:ind w:left="1418" w:hanging="567"/>
        <w:rPr>
          <w:rFonts w:cstheme="minorHAnsi"/>
          <w:b/>
          <w:bCs/>
          <w:color w:val="0070C0"/>
        </w:rPr>
      </w:pPr>
      <w:r w:rsidRPr="000F7C3C">
        <w:rPr>
          <w:rFonts w:cstheme="minorHAnsi"/>
          <w:b/>
          <w:bCs/>
          <w:color w:val="0070C0"/>
        </w:rPr>
        <w:t xml:space="preserve">Examens de l’efficacité et de l’efficience de l’ensemble du système </w:t>
      </w:r>
      <w:r w:rsidRPr="000F7C3C">
        <w:rPr>
          <w:rFonts w:cstheme="minorHAnsi"/>
          <w:bCs/>
        </w:rPr>
        <w:t>pour appuyer l’amélioration continue</w:t>
      </w:r>
    </w:p>
    <w:p w:rsidR="0072388B" w:rsidRPr="000F7C3C" w:rsidRDefault="0072388B" w:rsidP="0072388B">
      <w:pPr>
        <w:pStyle w:val="ListParagraph"/>
        <w:keepLines w:val="0"/>
        <w:numPr>
          <w:ilvl w:val="0"/>
          <w:numId w:val="14"/>
        </w:numPr>
        <w:spacing w:after="0" w:line="240" w:lineRule="auto"/>
        <w:ind w:left="1418" w:hanging="567"/>
        <w:rPr>
          <w:rFonts w:cstheme="minorHAnsi"/>
          <w:bCs/>
        </w:rPr>
      </w:pPr>
      <w:r w:rsidRPr="000F7C3C">
        <w:rPr>
          <w:rFonts w:cstheme="minorHAnsi"/>
          <w:b/>
          <w:bCs/>
          <w:color w:val="0070C0"/>
        </w:rPr>
        <w:t>Vérifications ciblées de la CFP</w:t>
      </w:r>
      <w:r w:rsidRPr="000F7C3C">
        <w:rPr>
          <w:rFonts w:cstheme="minorHAnsi"/>
          <w:bCs/>
        </w:rPr>
        <w:t xml:space="preserve"> suite aux risques pangouvernementaux ou organisationnels identifiés, ou à la demande de l’administrateur général </w:t>
      </w:r>
    </w:p>
    <w:p w:rsidR="0072388B" w:rsidRPr="000F7C3C" w:rsidRDefault="0072388B" w:rsidP="0072388B">
      <w:pPr>
        <w:pStyle w:val="ListParagraph"/>
        <w:keepLines w:val="0"/>
        <w:numPr>
          <w:ilvl w:val="0"/>
          <w:numId w:val="14"/>
        </w:numPr>
        <w:spacing w:after="0" w:line="240" w:lineRule="auto"/>
        <w:ind w:left="1418" w:hanging="567"/>
        <w:rPr>
          <w:rFonts w:cstheme="minorHAnsi"/>
          <w:b/>
          <w:bCs/>
          <w:color w:val="0070C0"/>
        </w:rPr>
      </w:pPr>
      <w:r w:rsidRPr="000F7C3C">
        <w:rPr>
          <w:rFonts w:cstheme="minorHAnsi"/>
          <w:b/>
          <w:bCs/>
          <w:color w:val="0070C0"/>
        </w:rPr>
        <w:t>Enquêtes</w:t>
      </w:r>
      <w:r w:rsidRPr="000F7C3C">
        <w:rPr>
          <w:rFonts w:cstheme="minorHAnsi"/>
          <w:b/>
          <w:color w:val="0070C0"/>
          <w:spacing w:val="-8"/>
        </w:rPr>
        <w:t xml:space="preserve"> menées</w:t>
      </w:r>
      <w:r w:rsidRPr="000F7C3C">
        <w:rPr>
          <w:rFonts w:cstheme="minorHAnsi"/>
          <w:color w:val="0070C0"/>
          <w:spacing w:val="-8"/>
        </w:rPr>
        <w:t xml:space="preserve"> </w:t>
      </w:r>
      <w:r w:rsidRPr="000F7C3C">
        <w:rPr>
          <w:rFonts w:cstheme="minorHAnsi"/>
          <w:spacing w:val="-8"/>
        </w:rPr>
        <w:t>lorsqu’il y a lieu de croire  qu’il pourrait y avoir ingérence politique, fraude ou conduite irrégulière dans le cadre d’un  processus de nomination</w:t>
      </w:r>
    </w:p>
    <w:p w:rsidR="0072388B" w:rsidRPr="000F7C3C" w:rsidRDefault="0072388B" w:rsidP="0072388B">
      <w:pPr>
        <w:pStyle w:val="ListParagraph"/>
        <w:ind w:left="1418"/>
        <w:rPr>
          <w:rFonts w:cstheme="minorHAnsi"/>
          <w:b/>
          <w:bCs/>
          <w:color w:val="0070C0"/>
        </w:rPr>
      </w:pPr>
    </w:p>
    <w:p w:rsidR="0072388B" w:rsidRPr="000F7C3C" w:rsidRDefault="0072388B" w:rsidP="0072388B">
      <w:pPr>
        <w:pStyle w:val="ListParagraph"/>
        <w:ind w:left="1418"/>
        <w:rPr>
          <w:rFonts w:cstheme="minorHAnsi"/>
          <w:b/>
          <w:bCs/>
          <w:color w:val="0070C0"/>
        </w:rPr>
      </w:pPr>
    </w:p>
    <w:p w:rsidR="0072388B" w:rsidRPr="000F7C3C" w:rsidRDefault="0072388B" w:rsidP="0072388B">
      <w:pPr>
        <w:jc w:val="center"/>
        <w:rPr>
          <w:rFonts w:cstheme="minorHAnsi"/>
          <w:b/>
          <w:color w:val="0070C0"/>
        </w:rPr>
      </w:pPr>
      <w:r w:rsidRPr="000F7C3C">
        <w:rPr>
          <w:rFonts w:cstheme="minorHAnsi"/>
          <w:b/>
          <w:color w:val="0070C0"/>
        </w:rPr>
        <w:t xml:space="preserve">Ce document doit être lu conjointement avec la </w:t>
      </w:r>
      <w:r w:rsidRPr="000F7C3C">
        <w:rPr>
          <w:rFonts w:cstheme="minorHAnsi"/>
          <w:b/>
          <w:i/>
          <w:color w:val="0070C0"/>
        </w:rPr>
        <w:t>Loi sur l’emploi dans la fonction publique</w:t>
      </w:r>
      <w:r w:rsidRPr="000F7C3C">
        <w:rPr>
          <w:rFonts w:cstheme="minorHAnsi"/>
          <w:b/>
          <w:color w:val="0070C0"/>
        </w:rPr>
        <w:t xml:space="preserve">, le </w:t>
      </w:r>
      <w:r w:rsidRPr="000F7C3C">
        <w:rPr>
          <w:rFonts w:cstheme="minorHAnsi"/>
          <w:b/>
          <w:i/>
          <w:color w:val="0070C0"/>
        </w:rPr>
        <w:t>R</w:t>
      </w:r>
      <w:r w:rsidRPr="000F7C3C">
        <w:rPr>
          <w:rStyle w:val="Emphasis"/>
          <w:rFonts w:cstheme="minorHAnsi"/>
          <w:b/>
          <w:color w:val="0070C0"/>
        </w:rPr>
        <w:t>èglement sur l'emploi dans la fonction publique</w:t>
      </w:r>
      <w:r w:rsidRPr="000F7C3C">
        <w:rPr>
          <w:rFonts w:cstheme="minorHAnsi"/>
          <w:b/>
          <w:color w:val="0070C0"/>
        </w:rPr>
        <w:t>, la ligne directrice en matière de nomination de la CFP ainsi que l’Instrument de délégation et de responsabilisation en matière de nomination de la CFP</w:t>
      </w:r>
    </w:p>
    <w:p w:rsidR="0072388B" w:rsidRPr="00CC592F" w:rsidRDefault="0072388B" w:rsidP="002271FF">
      <w:pPr>
        <w:pStyle w:val="ListParagraph"/>
        <w:spacing w:before="120"/>
        <w:jc w:val="center"/>
        <w:rPr>
          <w:rFonts w:ascii="Arial" w:hAnsi="Arial" w:cs="Arial"/>
          <w:b/>
        </w:rPr>
        <w:sectPr w:rsidR="0072388B" w:rsidRPr="00CC592F" w:rsidSect="0072388B">
          <w:footnotePr>
            <w:numFmt w:val="lowerLetter"/>
          </w:footnotePr>
          <w:endnotePr>
            <w:numFmt w:val="lowerLetter"/>
          </w:endnotePr>
          <w:pgSz w:w="12240" w:h="15840" w:code="1"/>
          <w:pgMar w:top="709" w:right="1304" w:bottom="709" w:left="567" w:header="284" w:footer="284" w:gutter="0"/>
          <w:cols w:space="720"/>
          <w:docGrid w:linePitch="326"/>
        </w:sectPr>
      </w:pPr>
    </w:p>
    <w:bookmarkStart w:id="3" w:name="AnnexG"/>
    <w:p w:rsidR="002271FF" w:rsidRPr="00CC592F" w:rsidRDefault="002271FF" w:rsidP="00583F4C">
      <w:pPr>
        <w:tabs>
          <w:tab w:val="left" w:pos="7839"/>
          <w:tab w:val="left" w:pos="11340"/>
        </w:tabs>
        <w:rPr>
          <w:rFonts w:cstheme="minorHAnsi"/>
          <w:b/>
          <w:noProof/>
          <w:lang w:eastAsia="en-CA"/>
        </w:rPr>
      </w:pPr>
      <w:r w:rsidRPr="00CC592F">
        <w:rPr>
          <w:rStyle w:val="Hyperlink"/>
          <w:rFonts w:cstheme="minorHAnsi"/>
          <w:b/>
          <w:noProof/>
          <w:lang w:eastAsia="en-CA"/>
        </w:rPr>
        <w:lastRenderedPageBreak/>
        <w:fldChar w:fldCharType="begin"/>
      </w:r>
      <w:r w:rsidRPr="00CC592F">
        <w:rPr>
          <w:rStyle w:val="Hyperlink"/>
          <w:rFonts w:cstheme="minorHAnsi"/>
          <w:b/>
          <w:noProof/>
          <w:lang w:eastAsia="en-CA"/>
        </w:rPr>
        <w:instrText xml:space="preserve"> HYPERLINK \l "Alternative_Text" </w:instrText>
      </w:r>
      <w:r w:rsidRPr="00CC592F">
        <w:rPr>
          <w:rStyle w:val="Hyperlink"/>
          <w:rFonts w:cstheme="minorHAnsi"/>
          <w:b/>
          <w:noProof/>
          <w:lang w:eastAsia="en-CA"/>
        </w:rPr>
        <w:fldChar w:fldCharType="separate"/>
      </w:r>
      <w:r w:rsidRPr="00CC592F">
        <w:rPr>
          <w:rStyle w:val="Hyperlink"/>
          <w:rFonts w:cstheme="minorHAnsi"/>
          <w:b/>
          <w:noProof/>
          <w:lang w:eastAsia="en-CA"/>
        </w:rPr>
        <w:t>Lien à la version texte</w:t>
      </w:r>
      <w:r w:rsidRPr="00CC592F">
        <w:rPr>
          <w:rStyle w:val="Hyperlink"/>
          <w:rFonts w:cstheme="minorHAnsi"/>
          <w:b/>
          <w:noProof/>
          <w:lang w:eastAsia="en-CA"/>
        </w:rPr>
        <w:fldChar w:fldCharType="end"/>
      </w:r>
      <w:r w:rsidR="00583F4C" w:rsidRPr="00CC592F">
        <w:rPr>
          <w:rStyle w:val="Hyperlink"/>
          <w:rFonts w:cstheme="minorHAnsi"/>
          <w:b/>
          <w:noProof/>
          <w:color w:val="auto"/>
          <w:u w:val="none"/>
          <w:lang w:eastAsia="en-CA"/>
        </w:rPr>
        <w:tab/>
      </w:r>
      <w:r w:rsidR="00583F4C" w:rsidRPr="00CC592F">
        <w:rPr>
          <w:rStyle w:val="Hyperlink"/>
          <w:rFonts w:cstheme="minorHAnsi"/>
          <w:b/>
          <w:noProof/>
          <w:color w:val="auto"/>
          <w:u w:val="none"/>
          <w:lang w:eastAsia="en-CA"/>
        </w:rPr>
        <w:tab/>
        <w:t>Annexe D</w:t>
      </w:r>
    </w:p>
    <w:p w:rsidR="002271FF" w:rsidRPr="00CC592F" w:rsidRDefault="002271FF" w:rsidP="002271FF">
      <w:pPr>
        <w:tabs>
          <w:tab w:val="left" w:pos="7839"/>
        </w:tabs>
        <w:rPr>
          <w:rFonts w:ascii="Calibri" w:hAnsi="Calibri" w:cs="Calibri"/>
          <w:sz w:val="18"/>
          <w:szCs w:val="18"/>
        </w:rPr>
      </w:pPr>
      <w:bookmarkStart w:id="4" w:name="Charts"/>
      <w:bookmarkEnd w:id="4"/>
      <w:r w:rsidRPr="00CC592F">
        <w:rPr>
          <w:rFonts w:ascii="Calibri" w:hAnsi="Calibri" w:cs="Calibri"/>
          <w:noProof/>
          <w:sz w:val="18"/>
          <w:szCs w:val="18"/>
          <w:lang w:val="en-CA" w:eastAsia="en-CA"/>
        </w:rPr>
        <w:drawing>
          <wp:inline distT="0" distB="0" distL="0" distR="0" wp14:anchorId="51300CE4" wp14:editId="3B6B5B33">
            <wp:extent cx="4122420" cy="2444750"/>
            <wp:effectExtent l="0" t="0" r="11430" b="12700"/>
            <wp:docPr id="13" name="Chart 13" descr="Effectif au 31 mars selon la durée des fonctions pour les 6 derniers exercices financiers." title="Effectif au 31 mars selon la durée des fonc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C592F">
        <w:rPr>
          <w:rFonts w:ascii="Calibri" w:hAnsi="Calibri" w:cs="Calibri"/>
          <w:noProof/>
          <w:sz w:val="18"/>
          <w:szCs w:val="18"/>
          <w:lang w:eastAsia="en-CA"/>
        </w:rPr>
        <w:t xml:space="preserve"> </w:t>
      </w:r>
      <w:r w:rsidRPr="00CC592F">
        <w:rPr>
          <w:rFonts w:ascii="Calibri" w:hAnsi="Calibri" w:cs="Calibri"/>
          <w:noProof/>
          <w:sz w:val="18"/>
          <w:szCs w:val="18"/>
          <w:lang w:val="en-CA" w:eastAsia="en-CA"/>
        </w:rPr>
        <w:drawing>
          <wp:inline distT="0" distB="0" distL="0" distR="0" wp14:anchorId="20967B3C" wp14:editId="4802801E">
            <wp:extent cx="1455420" cy="2453640"/>
            <wp:effectExtent l="0" t="0" r="11430" b="3810"/>
            <wp:docPr id="18" name="Chart 18" descr="Effectif pendant le dernier exercice financier selon le profil linguistique du poste (bilingue ou unilingue)." title="Effectif au 31 mars 2019 selon le profil linguist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CC592F">
        <w:rPr>
          <w:rFonts w:ascii="Calibri" w:hAnsi="Calibri" w:cs="Calibri"/>
          <w:noProof/>
          <w:sz w:val="18"/>
          <w:szCs w:val="18"/>
          <w:lang w:val="en-CA" w:eastAsia="en-CA"/>
        </w:rPr>
        <w:drawing>
          <wp:inline distT="0" distB="0" distL="0" distR="0" wp14:anchorId="22F9D824" wp14:editId="65E59D5D">
            <wp:extent cx="1704975" cy="2447925"/>
            <wp:effectExtent l="0" t="0" r="9525" b="9525"/>
            <wp:docPr id="5" name="Chart 5" descr="Pourcentage de l’effectif pendant le dernier exercice financier selon le groupe professionnel." title="Effectif au 31 mars 2019 par groupes professionnels"/>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C592F">
        <w:rPr>
          <w:rFonts w:ascii="Calibri" w:hAnsi="Calibri" w:cs="Calibri"/>
          <w:noProof/>
          <w:sz w:val="18"/>
          <w:szCs w:val="18"/>
          <w:lang w:val="en-CA" w:eastAsia="en-CA"/>
        </w:rPr>
        <w:drawing>
          <wp:inline distT="0" distB="0" distL="0" distR="0" wp14:anchorId="34D2F325" wp14:editId="1BC69DAC">
            <wp:extent cx="1771650" cy="2453640"/>
            <wp:effectExtent l="0" t="0" r="0" b="3810"/>
            <wp:docPr id="15" name="Chart 15" descr="Pourcentage de l’effectif dans la région de la capitale nationale par comparaison aux autres régions, excluant les inconnus." title="Effectif au 31 2019 mars par rég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C592F">
        <w:rPr>
          <w:rFonts w:ascii="Calibri" w:hAnsi="Calibri" w:cs="Calibri"/>
          <w:noProof/>
          <w:sz w:val="18"/>
          <w:szCs w:val="18"/>
          <w:lang w:val="en-CA" w:eastAsia="en-CA"/>
        </w:rPr>
        <w:drawing>
          <wp:inline distT="0" distB="0" distL="0" distR="0" wp14:anchorId="2D9B910C" wp14:editId="441850BA">
            <wp:extent cx="1971675" cy="3705225"/>
            <wp:effectExtent l="0" t="0" r="9525" b="9525"/>
            <wp:docPr id="7" name="Chart 7" descr="Pourcentage de l’embauche externe pour une période indéterminée pendant le dernier exercice financier selon le groupe professionnel." title="Embauche externe pour une période indéterminée pendant l’exercice financier 2018-2019 selon le groupe professionnel"/>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C592F">
        <w:rPr>
          <w:rFonts w:ascii="Calibri" w:hAnsi="Calibri" w:cs="Calibri"/>
          <w:noProof/>
          <w:sz w:val="18"/>
          <w:szCs w:val="18"/>
          <w:lang w:val="en-CA" w:eastAsia="en-CA"/>
        </w:rPr>
        <w:drawing>
          <wp:inline distT="0" distB="0" distL="0" distR="0" wp14:anchorId="73DDC177" wp14:editId="1D53E087">
            <wp:extent cx="3474720" cy="3706495"/>
            <wp:effectExtent l="0" t="0" r="11430" b="8255"/>
            <wp:docPr id="10" name="Chart 10" descr="Pourcentage des activités de dotation pendant les 5 derniers exercices financiers selon la région." title="Activités de dotation par rég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C592F">
        <w:rPr>
          <w:rFonts w:ascii="Calibri" w:hAnsi="Calibri" w:cs="Calibri"/>
          <w:noProof/>
          <w:sz w:val="18"/>
          <w:szCs w:val="18"/>
          <w:lang w:eastAsia="en-CA"/>
        </w:rPr>
        <w:tab/>
      </w:r>
      <w:r w:rsidRPr="00CC592F">
        <w:rPr>
          <w:rFonts w:ascii="Calibri" w:hAnsi="Calibri" w:cs="Calibri"/>
          <w:noProof/>
          <w:sz w:val="18"/>
          <w:szCs w:val="18"/>
          <w:lang w:val="en-CA" w:eastAsia="en-CA"/>
        </w:rPr>
        <w:drawing>
          <wp:inline distT="0" distB="0" distL="0" distR="0" wp14:anchorId="35D95CE8" wp14:editId="6ECDFD28">
            <wp:extent cx="3638550" cy="3706495"/>
            <wp:effectExtent l="0" t="0" r="0" b="8255"/>
            <wp:docPr id="1" name="Chart 1" descr="Nombre et pourcentage des activités de dotation pendant les 5 derniers exercices financiers selon le type de processus." title="Activités de 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71FF" w:rsidRPr="00CC592F" w:rsidRDefault="002271FF" w:rsidP="00583F4C">
      <w:pPr>
        <w:rPr>
          <w:rFonts w:ascii="Calibri" w:hAnsi="Calibri" w:cs="Calibri"/>
          <w:sz w:val="18"/>
          <w:szCs w:val="18"/>
        </w:rPr>
      </w:pPr>
      <w:r w:rsidRPr="00CC592F">
        <w:rPr>
          <w:rFonts w:ascii="Calibri" w:hAnsi="Calibri" w:cs="Calibri"/>
          <w:noProof/>
          <w:sz w:val="18"/>
          <w:szCs w:val="18"/>
          <w:lang w:val="en-CA" w:eastAsia="en-CA"/>
        </w:rPr>
        <w:lastRenderedPageBreak/>
        <w:drawing>
          <wp:inline distT="0" distB="0" distL="0" distR="0" wp14:anchorId="6F75CF4E" wp14:editId="159ED335">
            <wp:extent cx="4572000" cy="3095625"/>
            <wp:effectExtent l="0" t="0" r="0" b="9525"/>
            <wp:docPr id="9" name="Chart 9" descr="Activités de dotation pendant les 5 derniers exercices financiers selon le type de nomination." title="Activités de 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CC592F">
        <w:rPr>
          <w:rFonts w:ascii="Calibri" w:hAnsi="Calibri" w:cs="Calibri"/>
          <w:noProof/>
          <w:sz w:val="18"/>
          <w:szCs w:val="18"/>
          <w:lang w:val="en-CA" w:eastAsia="en-CA"/>
        </w:rPr>
        <w:drawing>
          <wp:inline distT="0" distB="0" distL="0" distR="0" wp14:anchorId="09195314" wp14:editId="2B94C9EF">
            <wp:extent cx="4572000" cy="3095625"/>
            <wp:effectExtent l="0" t="0" r="0" b="9525"/>
            <wp:docPr id="3" name="Chart 3" descr="Activités de dotation pendant les 5 derniers exercices financiers selon la durée des fonctions.&#10;" title="Activités de dotation selon la durée des fonc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C592F">
        <w:rPr>
          <w:rFonts w:ascii="Calibri" w:hAnsi="Calibri" w:cs="Calibri"/>
          <w:noProof/>
          <w:sz w:val="18"/>
          <w:szCs w:val="18"/>
          <w:lang w:val="en-CA" w:eastAsia="en-CA"/>
        </w:rPr>
        <mc:AlternateContent>
          <mc:Choice Requires="wps">
            <w:drawing>
              <wp:inline distT="0" distB="0" distL="0" distR="0" wp14:anchorId="06139AFD" wp14:editId="392D8220">
                <wp:extent cx="2578814" cy="3394075"/>
                <wp:effectExtent l="0" t="0" r="12065" b="15875"/>
                <wp:docPr id="217" name="Text Box 2" descr="Sondage sur la dotation et l'impartialité politique 2018 – Points saillants.&#10;&#10;" title="Sondage sur la dotation et l'impartialité politique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814" cy="3394075"/>
                        </a:xfrm>
                        <a:prstGeom prst="rect">
                          <a:avLst/>
                        </a:prstGeom>
                        <a:solidFill>
                          <a:srgbClr val="FFFFFF"/>
                        </a:solidFill>
                        <a:ln w="9525">
                          <a:solidFill>
                            <a:srgbClr val="000000"/>
                          </a:solidFill>
                          <a:miter lim="800000"/>
                          <a:headEnd/>
                          <a:tailEnd/>
                        </a:ln>
                      </wps:spPr>
                      <wps:txbx>
                        <w:txbxContent>
                          <w:p w:rsidR="002271FF" w:rsidRDefault="002271FF" w:rsidP="002271FF">
                            <w:pPr>
                              <w:keepNext/>
                              <w:contextualSpacing/>
                              <w:jc w:val="center"/>
                              <w:rPr>
                                <w:rFonts w:cs="Arial"/>
                                <w:sz w:val="20"/>
                                <w:szCs w:val="18"/>
                              </w:rPr>
                            </w:pPr>
                            <w:r w:rsidRPr="00142A81">
                              <w:rPr>
                                <w:rFonts w:cs="Arial"/>
                                <w:sz w:val="20"/>
                                <w:szCs w:val="18"/>
                              </w:rPr>
                              <w:t>S</w:t>
                            </w:r>
                            <w:r>
                              <w:rPr>
                                <w:rFonts w:cs="Arial"/>
                                <w:sz w:val="20"/>
                                <w:szCs w:val="18"/>
                              </w:rPr>
                              <w:t>ondage sur la dotation et l’impartialité politique (2018)</w:t>
                            </w:r>
                          </w:p>
                          <w:p w:rsidR="002271FF" w:rsidRPr="00142A81" w:rsidRDefault="002271FF" w:rsidP="002271FF">
                            <w:pPr>
                              <w:keepNext/>
                              <w:contextualSpacing/>
                              <w:jc w:val="center"/>
                              <w:rPr>
                                <w:rFonts w:cs="Arial"/>
                                <w:sz w:val="20"/>
                                <w:szCs w:val="18"/>
                              </w:rPr>
                            </w:pPr>
                            <w:r>
                              <w:rPr>
                                <w:rFonts w:cs="Arial"/>
                                <w:sz w:val="20"/>
                                <w:szCs w:val="18"/>
                              </w:rPr>
                              <w:t>P</w:t>
                            </w:r>
                            <w:r w:rsidRPr="00312DE9">
                              <w:rPr>
                                <w:rFonts w:cs="Arial"/>
                                <w:sz w:val="20"/>
                                <w:szCs w:val="18"/>
                              </w:rPr>
                              <w:t>rincipales constatations</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56</w:t>
                            </w:r>
                            <w:r w:rsidRPr="00142A81">
                              <w:rPr>
                                <w:rFonts w:ascii="Arial" w:hAnsi="Arial" w:cs="Arial"/>
                                <w:sz w:val="18"/>
                                <w:szCs w:val="18"/>
                              </w:rPr>
                              <w:t>,</w:t>
                            </w:r>
                            <w:r>
                              <w:rPr>
                                <w:rFonts w:ascii="Arial" w:hAnsi="Arial" w:cs="Arial"/>
                                <w:sz w:val="18"/>
                                <w:szCs w:val="18"/>
                              </w:rPr>
                              <w:t>0</w:t>
                            </w:r>
                            <w:r w:rsidRPr="00142A81">
                              <w:rPr>
                                <w:rFonts w:ascii="Arial" w:hAnsi="Arial" w:cs="Arial"/>
                                <w:sz w:val="18"/>
                                <w:szCs w:val="18"/>
                              </w:rPr>
                              <w:t xml:space="preserve">% des </w:t>
                            </w:r>
                            <w:r w:rsidRPr="00142A81">
                              <w:rPr>
                                <w:rFonts w:ascii="Arial" w:hAnsi="Arial" w:cs="Arial"/>
                                <w:b/>
                                <w:sz w:val="18"/>
                                <w:szCs w:val="18"/>
                              </w:rPr>
                              <w:t>employés</w:t>
                            </w:r>
                            <w:r w:rsidRPr="00142A81">
                              <w:rPr>
                                <w:rFonts w:ascii="Arial" w:hAnsi="Arial" w:cs="Arial"/>
                                <w:sz w:val="18"/>
                                <w:szCs w:val="18"/>
                              </w:rPr>
                              <w:t xml:space="preserve"> estiment que l'on embauche des personnes qui peuvent effectuer le travail, comparativement à </w:t>
                            </w:r>
                            <w:r>
                              <w:rPr>
                                <w:rFonts w:ascii="Arial" w:hAnsi="Arial" w:cs="Arial"/>
                                <w:sz w:val="18"/>
                                <w:szCs w:val="18"/>
                              </w:rPr>
                              <w:t>52</w:t>
                            </w:r>
                            <w:r w:rsidRPr="00142A81">
                              <w:rPr>
                                <w:rFonts w:ascii="Arial" w:hAnsi="Arial" w:cs="Arial"/>
                                <w:sz w:val="18"/>
                                <w:szCs w:val="18"/>
                              </w:rPr>
                              <w:t>,</w:t>
                            </w:r>
                            <w:r>
                              <w:rPr>
                                <w:rFonts w:ascii="Arial" w:hAnsi="Arial" w:cs="Arial"/>
                                <w:sz w:val="18"/>
                                <w:szCs w:val="18"/>
                              </w:rPr>
                              <w:t>3</w:t>
                            </w:r>
                            <w:r w:rsidRPr="00142A81">
                              <w:rPr>
                                <w:rFonts w:ascii="Arial" w:hAnsi="Arial" w:cs="Arial"/>
                                <w:sz w:val="18"/>
                                <w:szCs w:val="18"/>
                              </w:rPr>
                              <w:t>% dans les organisations de même taille et à 53,8% dans la fonction publique fédérale.</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70</w:t>
                            </w:r>
                            <w:r w:rsidRPr="00142A81">
                              <w:rPr>
                                <w:rFonts w:ascii="Arial" w:hAnsi="Arial" w:cs="Arial"/>
                                <w:sz w:val="18"/>
                                <w:szCs w:val="18"/>
                              </w:rPr>
                              <w:t>,</w:t>
                            </w:r>
                            <w:r>
                              <w:rPr>
                                <w:rFonts w:ascii="Arial" w:hAnsi="Arial" w:cs="Arial"/>
                                <w:sz w:val="18"/>
                                <w:szCs w:val="18"/>
                              </w:rPr>
                              <w:t>9</w:t>
                            </w:r>
                            <w:r w:rsidRPr="00142A81">
                              <w:rPr>
                                <w:rFonts w:ascii="Arial" w:hAnsi="Arial" w:cs="Arial"/>
                                <w:sz w:val="18"/>
                                <w:szCs w:val="18"/>
                              </w:rPr>
                              <w:t xml:space="preserve">% des </w:t>
                            </w:r>
                            <w:r w:rsidRPr="00142A81">
                              <w:rPr>
                                <w:rFonts w:ascii="Arial" w:hAnsi="Arial" w:cs="Arial"/>
                                <w:b/>
                                <w:sz w:val="18"/>
                                <w:szCs w:val="18"/>
                              </w:rPr>
                              <w:t>gestionnaires</w:t>
                            </w:r>
                            <w:r w:rsidRPr="00142A81">
                              <w:rPr>
                                <w:rFonts w:ascii="Arial" w:hAnsi="Arial" w:cs="Arial"/>
                                <w:sz w:val="18"/>
                                <w:szCs w:val="18"/>
                              </w:rPr>
                              <w:t xml:space="preserve"> estiment que la Nouvelle orientation en dotation a amélioré la façon d'embaucher et de nommer les candidats au s</w:t>
                            </w:r>
                            <w:r>
                              <w:rPr>
                                <w:rFonts w:ascii="Arial" w:hAnsi="Arial" w:cs="Arial"/>
                                <w:sz w:val="18"/>
                                <w:szCs w:val="18"/>
                              </w:rPr>
                              <w:t>e</w:t>
                            </w:r>
                            <w:r w:rsidRPr="00142A81">
                              <w:rPr>
                                <w:rFonts w:ascii="Arial" w:hAnsi="Arial" w:cs="Arial"/>
                                <w:sz w:val="18"/>
                                <w:szCs w:val="18"/>
                              </w:rPr>
                              <w:t xml:space="preserve">in de leur organisation, comparativement à </w:t>
                            </w:r>
                            <w:r>
                              <w:rPr>
                                <w:rFonts w:ascii="Arial" w:hAnsi="Arial" w:cs="Arial"/>
                                <w:sz w:val="18"/>
                                <w:szCs w:val="18"/>
                              </w:rPr>
                              <w:t>54</w:t>
                            </w:r>
                            <w:r w:rsidRPr="00142A81">
                              <w:rPr>
                                <w:rFonts w:ascii="Arial" w:hAnsi="Arial" w:cs="Arial"/>
                                <w:sz w:val="18"/>
                                <w:szCs w:val="18"/>
                              </w:rPr>
                              <w:t>,</w:t>
                            </w:r>
                            <w:r>
                              <w:rPr>
                                <w:rFonts w:ascii="Arial" w:hAnsi="Arial" w:cs="Arial"/>
                                <w:sz w:val="18"/>
                                <w:szCs w:val="18"/>
                              </w:rPr>
                              <w:t>4</w:t>
                            </w:r>
                            <w:r w:rsidRPr="00142A81">
                              <w:rPr>
                                <w:rFonts w:ascii="Arial" w:hAnsi="Arial" w:cs="Arial"/>
                                <w:sz w:val="18"/>
                                <w:szCs w:val="18"/>
                              </w:rPr>
                              <w:t>% dans les organisations de même taille et à 56,1% dans la fonction publique fédérale.</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80</w:t>
                            </w:r>
                            <w:r w:rsidRPr="00142A81">
                              <w:rPr>
                                <w:rFonts w:ascii="Arial" w:hAnsi="Arial" w:cs="Arial"/>
                                <w:sz w:val="18"/>
                                <w:szCs w:val="18"/>
                              </w:rPr>
                              <w:t>,</w:t>
                            </w:r>
                            <w:r>
                              <w:rPr>
                                <w:rFonts w:ascii="Arial" w:hAnsi="Arial" w:cs="Arial"/>
                                <w:sz w:val="18"/>
                                <w:szCs w:val="18"/>
                              </w:rPr>
                              <w:t>7</w:t>
                            </w:r>
                            <w:r w:rsidRPr="00142A81">
                              <w:rPr>
                                <w:rFonts w:ascii="Arial" w:hAnsi="Arial" w:cs="Arial"/>
                                <w:sz w:val="18"/>
                                <w:szCs w:val="18"/>
                              </w:rPr>
                              <w:t xml:space="preserve">% des </w:t>
                            </w:r>
                            <w:r w:rsidRPr="00142A81">
                              <w:rPr>
                                <w:rFonts w:ascii="Arial" w:hAnsi="Arial" w:cs="Arial"/>
                                <w:b/>
                                <w:sz w:val="18"/>
                                <w:szCs w:val="18"/>
                              </w:rPr>
                              <w:t>gestionnaires</w:t>
                            </w:r>
                            <w:r w:rsidRPr="00142A81">
                              <w:rPr>
                                <w:rFonts w:ascii="Arial" w:hAnsi="Arial" w:cs="Arial"/>
                                <w:sz w:val="18"/>
                                <w:szCs w:val="18"/>
                              </w:rPr>
                              <w:t xml:space="preserve"> estiment qu'au sein de leur organisation, le processus administratif visant à </w:t>
                            </w:r>
                            <w:r>
                              <w:rPr>
                                <w:rFonts w:ascii="Arial" w:hAnsi="Arial" w:cs="Arial"/>
                                <w:sz w:val="18"/>
                                <w:szCs w:val="18"/>
                              </w:rPr>
                              <w:t>pourvoir</w:t>
                            </w:r>
                            <w:r w:rsidRPr="00142A81">
                              <w:rPr>
                                <w:rFonts w:ascii="Arial" w:hAnsi="Arial" w:cs="Arial"/>
                                <w:sz w:val="18"/>
                                <w:szCs w:val="18"/>
                              </w:rPr>
                              <w:t xml:space="preserve"> un poste est </w:t>
                            </w:r>
                            <w:r w:rsidRPr="00142A81">
                              <w:rPr>
                                <w:rFonts w:ascii="Arial" w:hAnsi="Arial" w:cs="Arial"/>
                                <w:b/>
                                <w:sz w:val="18"/>
                                <w:szCs w:val="18"/>
                              </w:rPr>
                              <w:t>lourd</w:t>
                            </w:r>
                            <w:r w:rsidRPr="00142A81">
                              <w:rPr>
                                <w:rFonts w:ascii="Arial" w:hAnsi="Arial" w:cs="Arial"/>
                                <w:sz w:val="18"/>
                                <w:szCs w:val="18"/>
                              </w:rPr>
                              <w:t xml:space="preserve">, comparativement à </w:t>
                            </w:r>
                            <w:r>
                              <w:rPr>
                                <w:rFonts w:ascii="Arial" w:hAnsi="Arial" w:cs="Arial"/>
                                <w:sz w:val="18"/>
                                <w:szCs w:val="18"/>
                              </w:rPr>
                              <w:t>88</w:t>
                            </w:r>
                            <w:r w:rsidRPr="00142A81">
                              <w:rPr>
                                <w:rFonts w:ascii="Arial" w:hAnsi="Arial" w:cs="Arial"/>
                                <w:sz w:val="18"/>
                                <w:szCs w:val="18"/>
                              </w:rPr>
                              <w:t>,</w:t>
                            </w:r>
                            <w:r>
                              <w:rPr>
                                <w:rFonts w:ascii="Arial" w:hAnsi="Arial" w:cs="Arial"/>
                                <w:sz w:val="18"/>
                                <w:szCs w:val="18"/>
                              </w:rPr>
                              <w:t>6</w:t>
                            </w:r>
                            <w:r w:rsidRPr="00142A81">
                              <w:rPr>
                                <w:rFonts w:ascii="Arial" w:hAnsi="Arial" w:cs="Arial"/>
                                <w:sz w:val="18"/>
                                <w:szCs w:val="18"/>
                              </w:rPr>
                              <w:t>% dans les organisations de même taille et 87,9% dans la fonction publique fédérale.</w:t>
                            </w:r>
                          </w:p>
                          <w:p w:rsidR="002271FF" w:rsidRPr="003060AB" w:rsidRDefault="002271FF" w:rsidP="002271FF">
                            <w:pPr>
                              <w:contextualSpacing/>
                              <w:jc w:val="both"/>
                              <w:rPr>
                                <w:rFonts w:cs="Arial"/>
                                <w:sz w:val="18"/>
                                <w:szCs w:val="18"/>
                              </w:rPr>
                            </w:pPr>
                          </w:p>
                          <w:p w:rsidR="002271FF" w:rsidRPr="00142A81" w:rsidRDefault="002271FF" w:rsidP="002271FF"/>
                        </w:txbxContent>
                      </wps:txbx>
                      <wps:bodyPr rot="0" vert="horz" wrap="square" lIns="91440" tIns="45720" rIns="91440" bIns="45720" anchor="t" anchorCtr="0">
                        <a:noAutofit/>
                      </wps:bodyPr>
                    </wps:wsp>
                  </a:graphicData>
                </a:graphic>
              </wp:inline>
            </w:drawing>
          </mc:Choice>
          <mc:Fallback>
            <w:pict>
              <v:shapetype w14:anchorId="06139AFD" id="_x0000_t202" coordsize="21600,21600" o:spt="202" path="m,l,21600r21600,l21600,xe">
                <v:stroke joinstyle="miter"/>
                <v:path gradientshapeok="t" o:connecttype="rect"/>
              </v:shapetype>
              <v:shape id="Text Box 2" o:spid="_x0000_s1026" type="#_x0000_t202" alt="Title: Sondage sur la dotation et l'impartialité politique 2018 - Description: Sondage sur la dotation et l'impartialité politique 2018 – Points saillants.&#10;&#10;" style="width:203.05pt;height:2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">
                <v:textbox>
                  <w:txbxContent>
                    <w:p w:rsidR="002271FF" w:rsidRDefault="002271FF" w:rsidP="002271FF">
                      <w:pPr>
                        <w:keepNext/>
                        <w:contextualSpacing/>
                        <w:jc w:val="center"/>
                        <w:rPr>
                          <w:rFonts w:cs="Arial"/>
                          <w:sz w:val="20"/>
                          <w:szCs w:val="18"/>
                        </w:rPr>
                      </w:pPr>
                      <w:r w:rsidRPr="00142A81">
                        <w:rPr>
                          <w:rFonts w:cs="Arial"/>
                          <w:sz w:val="20"/>
                          <w:szCs w:val="18"/>
                        </w:rPr>
                        <w:t>S</w:t>
                      </w:r>
                      <w:r>
                        <w:rPr>
                          <w:rFonts w:cs="Arial"/>
                          <w:sz w:val="20"/>
                          <w:szCs w:val="18"/>
                        </w:rPr>
                        <w:t>ondage sur la dotation et l’impartialité politique (2018)</w:t>
                      </w:r>
                    </w:p>
                    <w:p w:rsidR="002271FF" w:rsidRPr="00142A81" w:rsidRDefault="002271FF" w:rsidP="002271FF">
                      <w:pPr>
                        <w:keepNext/>
                        <w:contextualSpacing/>
                        <w:jc w:val="center"/>
                        <w:rPr>
                          <w:rFonts w:cs="Arial"/>
                          <w:sz w:val="20"/>
                          <w:szCs w:val="18"/>
                        </w:rPr>
                      </w:pPr>
                      <w:r>
                        <w:rPr>
                          <w:rFonts w:cs="Arial"/>
                          <w:sz w:val="20"/>
                          <w:szCs w:val="18"/>
                        </w:rPr>
                        <w:t>P</w:t>
                      </w:r>
                      <w:r w:rsidRPr="00312DE9">
                        <w:rPr>
                          <w:rFonts w:cs="Arial"/>
                          <w:sz w:val="20"/>
                          <w:szCs w:val="18"/>
                        </w:rPr>
                        <w:t>rincipales constatations</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56</w:t>
                      </w:r>
                      <w:r w:rsidRPr="00142A81">
                        <w:rPr>
                          <w:rFonts w:ascii="Arial" w:hAnsi="Arial" w:cs="Arial"/>
                          <w:sz w:val="18"/>
                          <w:szCs w:val="18"/>
                        </w:rPr>
                        <w:t>,</w:t>
                      </w:r>
                      <w:r>
                        <w:rPr>
                          <w:rFonts w:ascii="Arial" w:hAnsi="Arial" w:cs="Arial"/>
                          <w:sz w:val="18"/>
                          <w:szCs w:val="18"/>
                        </w:rPr>
                        <w:t>0</w:t>
                      </w:r>
                      <w:r w:rsidRPr="00142A81">
                        <w:rPr>
                          <w:rFonts w:ascii="Arial" w:hAnsi="Arial" w:cs="Arial"/>
                          <w:sz w:val="18"/>
                          <w:szCs w:val="18"/>
                        </w:rPr>
                        <w:t xml:space="preserve">% des </w:t>
                      </w:r>
                      <w:r w:rsidRPr="00142A81">
                        <w:rPr>
                          <w:rFonts w:ascii="Arial" w:hAnsi="Arial" w:cs="Arial"/>
                          <w:b/>
                          <w:sz w:val="18"/>
                          <w:szCs w:val="18"/>
                        </w:rPr>
                        <w:t>employés</w:t>
                      </w:r>
                      <w:r w:rsidRPr="00142A81">
                        <w:rPr>
                          <w:rFonts w:ascii="Arial" w:hAnsi="Arial" w:cs="Arial"/>
                          <w:sz w:val="18"/>
                          <w:szCs w:val="18"/>
                        </w:rPr>
                        <w:t xml:space="preserve"> estiment que l'on embauche des personnes qui peuvent effectuer le travail, comparativement à </w:t>
                      </w:r>
                      <w:r>
                        <w:rPr>
                          <w:rFonts w:ascii="Arial" w:hAnsi="Arial" w:cs="Arial"/>
                          <w:sz w:val="18"/>
                          <w:szCs w:val="18"/>
                        </w:rPr>
                        <w:t>52</w:t>
                      </w:r>
                      <w:r w:rsidRPr="00142A81">
                        <w:rPr>
                          <w:rFonts w:ascii="Arial" w:hAnsi="Arial" w:cs="Arial"/>
                          <w:sz w:val="18"/>
                          <w:szCs w:val="18"/>
                        </w:rPr>
                        <w:t>,</w:t>
                      </w:r>
                      <w:r>
                        <w:rPr>
                          <w:rFonts w:ascii="Arial" w:hAnsi="Arial" w:cs="Arial"/>
                          <w:sz w:val="18"/>
                          <w:szCs w:val="18"/>
                        </w:rPr>
                        <w:t>3</w:t>
                      </w:r>
                      <w:r w:rsidRPr="00142A81">
                        <w:rPr>
                          <w:rFonts w:ascii="Arial" w:hAnsi="Arial" w:cs="Arial"/>
                          <w:sz w:val="18"/>
                          <w:szCs w:val="18"/>
                        </w:rPr>
                        <w:t>% dans les organisations de même taille et à 53,8% dans la fonction publique fédérale.</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70</w:t>
                      </w:r>
                      <w:r w:rsidRPr="00142A81">
                        <w:rPr>
                          <w:rFonts w:ascii="Arial" w:hAnsi="Arial" w:cs="Arial"/>
                          <w:sz w:val="18"/>
                          <w:szCs w:val="18"/>
                        </w:rPr>
                        <w:t>,</w:t>
                      </w:r>
                      <w:r>
                        <w:rPr>
                          <w:rFonts w:ascii="Arial" w:hAnsi="Arial" w:cs="Arial"/>
                          <w:sz w:val="18"/>
                          <w:szCs w:val="18"/>
                        </w:rPr>
                        <w:t>9</w:t>
                      </w:r>
                      <w:r w:rsidRPr="00142A81">
                        <w:rPr>
                          <w:rFonts w:ascii="Arial" w:hAnsi="Arial" w:cs="Arial"/>
                          <w:sz w:val="18"/>
                          <w:szCs w:val="18"/>
                        </w:rPr>
                        <w:t xml:space="preserve">% des </w:t>
                      </w:r>
                      <w:r w:rsidRPr="00142A81">
                        <w:rPr>
                          <w:rFonts w:ascii="Arial" w:hAnsi="Arial" w:cs="Arial"/>
                          <w:b/>
                          <w:sz w:val="18"/>
                          <w:szCs w:val="18"/>
                        </w:rPr>
                        <w:t>gestionnaires</w:t>
                      </w:r>
                      <w:r w:rsidRPr="00142A81">
                        <w:rPr>
                          <w:rFonts w:ascii="Arial" w:hAnsi="Arial" w:cs="Arial"/>
                          <w:sz w:val="18"/>
                          <w:szCs w:val="18"/>
                        </w:rPr>
                        <w:t xml:space="preserve"> estiment que la Nouvelle orientation en dotation a amélioré la façon d'embaucher et de nommer les candidats au s</w:t>
                      </w:r>
                      <w:r>
                        <w:rPr>
                          <w:rFonts w:ascii="Arial" w:hAnsi="Arial" w:cs="Arial"/>
                          <w:sz w:val="18"/>
                          <w:szCs w:val="18"/>
                        </w:rPr>
                        <w:t>e</w:t>
                      </w:r>
                      <w:r w:rsidRPr="00142A81">
                        <w:rPr>
                          <w:rFonts w:ascii="Arial" w:hAnsi="Arial" w:cs="Arial"/>
                          <w:sz w:val="18"/>
                          <w:szCs w:val="18"/>
                        </w:rPr>
                        <w:t xml:space="preserve">in de leur organisation, comparativement à </w:t>
                      </w:r>
                      <w:r>
                        <w:rPr>
                          <w:rFonts w:ascii="Arial" w:hAnsi="Arial" w:cs="Arial"/>
                          <w:sz w:val="18"/>
                          <w:szCs w:val="18"/>
                        </w:rPr>
                        <w:t>54</w:t>
                      </w:r>
                      <w:r w:rsidRPr="00142A81">
                        <w:rPr>
                          <w:rFonts w:ascii="Arial" w:hAnsi="Arial" w:cs="Arial"/>
                          <w:sz w:val="18"/>
                          <w:szCs w:val="18"/>
                        </w:rPr>
                        <w:t>,</w:t>
                      </w:r>
                      <w:r>
                        <w:rPr>
                          <w:rFonts w:ascii="Arial" w:hAnsi="Arial" w:cs="Arial"/>
                          <w:sz w:val="18"/>
                          <w:szCs w:val="18"/>
                        </w:rPr>
                        <w:t>4</w:t>
                      </w:r>
                      <w:r w:rsidRPr="00142A81">
                        <w:rPr>
                          <w:rFonts w:ascii="Arial" w:hAnsi="Arial" w:cs="Arial"/>
                          <w:sz w:val="18"/>
                          <w:szCs w:val="18"/>
                        </w:rPr>
                        <w:t>% dans les organisations de même taille et à 56,1% dans la fonction publique fédérale.</w:t>
                      </w:r>
                    </w:p>
                    <w:p w:rsidR="002271FF" w:rsidRPr="00142A81" w:rsidRDefault="002271FF" w:rsidP="002271FF">
                      <w:pPr>
                        <w:pStyle w:val="ListParagraph"/>
                        <w:keepLines w:val="0"/>
                        <w:numPr>
                          <w:ilvl w:val="0"/>
                          <w:numId w:val="24"/>
                        </w:numPr>
                        <w:spacing w:before="100" w:beforeAutospacing="1" w:after="100" w:afterAutospacing="1" w:line="240" w:lineRule="auto"/>
                        <w:jc w:val="both"/>
                        <w:rPr>
                          <w:rFonts w:ascii="Arial" w:hAnsi="Arial" w:cs="Arial"/>
                          <w:sz w:val="18"/>
                          <w:szCs w:val="18"/>
                        </w:rPr>
                      </w:pPr>
                      <w:r>
                        <w:rPr>
                          <w:rFonts w:ascii="Arial" w:hAnsi="Arial" w:cs="Arial"/>
                          <w:sz w:val="18"/>
                          <w:szCs w:val="18"/>
                        </w:rPr>
                        <w:t>80</w:t>
                      </w:r>
                      <w:r w:rsidRPr="00142A81">
                        <w:rPr>
                          <w:rFonts w:ascii="Arial" w:hAnsi="Arial" w:cs="Arial"/>
                          <w:sz w:val="18"/>
                          <w:szCs w:val="18"/>
                        </w:rPr>
                        <w:t>,</w:t>
                      </w:r>
                      <w:r>
                        <w:rPr>
                          <w:rFonts w:ascii="Arial" w:hAnsi="Arial" w:cs="Arial"/>
                          <w:sz w:val="18"/>
                          <w:szCs w:val="18"/>
                        </w:rPr>
                        <w:t>7</w:t>
                      </w:r>
                      <w:r w:rsidRPr="00142A81">
                        <w:rPr>
                          <w:rFonts w:ascii="Arial" w:hAnsi="Arial" w:cs="Arial"/>
                          <w:sz w:val="18"/>
                          <w:szCs w:val="18"/>
                        </w:rPr>
                        <w:t xml:space="preserve">% des </w:t>
                      </w:r>
                      <w:r w:rsidRPr="00142A81">
                        <w:rPr>
                          <w:rFonts w:ascii="Arial" w:hAnsi="Arial" w:cs="Arial"/>
                          <w:b/>
                          <w:sz w:val="18"/>
                          <w:szCs w:val="18"/>
                        </w:rPr>
                        <w:t>gestionnaires</w:t>
                      </w:r>
                      <w:r w:rsidRPr="00142A81">
                        <w:rPr>
                          <w:rFonts w:ascii="Arial" w:hAnsi="Arial" w:cs="Arial"/>
                          <w:sz w:val="18"/>
                          <w:szCs w:val="18"/>
                        </w:rPr>
                        <w:t xml:space="preserve"> estiment qu'au sein de leur organisation, le processus administratif visant à </w:t>
                      </w:r>
                      <w:r>
                        <w:rPr>
                          <w:rFonts w:ascii="Arial" w:hAnsi="Arial" w:cs="Arial"/>
                          <w:sz w:val="18"/>
                          <w:szCs w:val="18"/>
                        </w:rPr>
                        <w:t>pourvoir</w:t>
                      </w:r>
                      <w:r w:rsidRPr="00142A81">
                        <w:rPr>
                          <w:rFonts w:ascii="Arial" w:hAnsi="Arial" w:cs="Arial"/>
                          <w:sz w:val="18"/>
                          <w:szCs w:val="18"/>
                        </w:rPr>
                        <w:t xml:space="preserve"> un poste est </w:t>
                      </w:r>
                      <w:r w:rsidRPr="00142A81">
                        <w:rPr>
                          <w:rFonts w:ascii="Arial" w:hAnsi="Arial" w:cs="Arial"/>
                          <w:b/>
                          <w:sz w:val="18"/>
                          <w:szCs w:val="18"/>
                        </w:rPr>
                        <w:t>lourd</w:t>
                      </w:r>
                      <w:r w:rsidRPr="00142A81">
                        <w:rPr>
                          <w:rFonts w:ascii="Arial" w:hAnsi="Arial" w:cs="Arial"/>
                          <w:sz w:val="18"/>
                          <w:szCs w:val="18"/>
                        </w:rPr>
                        <w:t xml:space="preserve">, comparativement à </w:t>
                      </w:r>
                      <w:r>
                        <w:rPr>
                          <w:rFonts w:ascii="Arial" w:hAnsi="Arial" w:cs="Arial"/>
                          <w:sz w:val="18"/>
                          <w:szCs w:val="18"/>
                        </w:rPr>
                        <w:t>88</w:t>
                      </w:r>
                      <w:r w:rsidRPr="00142A81">
                        <w:rPr>
                          <w:rFonts w:ascii="Arial" w:hAnsi="Arial" w:cs="Arial"/>
                          <w:sz w:val="18"/>
                          <w:szCs w:val="18"/>
                        </w:rPr>
                        <w:t>,</w:t>
                      </w:r>
                      <w:r>
                        <w:rPr>
                          <w:rFonts w:ascii="Arial" w:hAnsi="Arial" w:cs="Arial"/>
                          <w:sz w:val="18"/>
                          <w:szCs w:val="18"/>
                        </w:rPr>
                        <w:t>6</w:t>
                      </w:r>
                      <w:r w:rsidRPr="00142A81">
                        <w:rPr>
                          <w:rFonts w:ascii="Arial" w:hAnsi="Arial" w:cs="Arial"/>
                          <w:sz w:val="18"/>
                          <w:szCs w:val="18"/>
                        </w:rPr>
                        <w:t>% dans les organisations de même taille et 87,9% dans la fonction publique fédérale.</w:t>
                      </w:r>
                    </w:p>
                    <w:p w:rsidR="002271FF" w:rsidRPr="003060AB" w:rsidRDefault="002271FF" w:rsidP="002271FF">
                      <w:pPr>
                        <w:contextualSpacing/>
                        <w:jc w:val="both"/>
                        <w:rPr>
                          <w:rFonts w:cs="Arial"/>
                          <w:sz w:val="18"/>
                          <w:szCs w:val="18"/>
                        </w:rPr>
                      </w:pPr>
                    </w:p>
                    <w:p w:rsidR="002271FF" w:rsidRPr="00142A81" w:rsidRDefault="002271FF" w:rsidP="002271FF"/>
                  </w:txbxContent>
                </v:textbox>
                <w10:anchorlock/>
              </v:shape>
            </w:pict>
          </mc:Fallback>
        </mc:AlternateContent>
      </w:r>
      <w:r w:rsidRPr="00CC592F">
        <w:rPr>
          <w:rFonts w:ascii="Calibri" w:hAnsi="Calibri" w:cs="Calibri"/>
          <w:noProof/>
          <w:sz w:val="18"/>
          <w:szCs w:val="18"/>
          <w:lang w:val="en-CA" w:eastAsia="en-CA"/>
        </w:rPr>
        <w:drawing>
          <wp:inline distT="0" distB="0" distL="0" distR="0" wp14:anchorId="21E5D188" wp14:editId="08A401F6">
            <wp:extent cx="3092450" cy="3406140"/>
            <wp:effectExtent l="0" t="0" r="12700" b="3810"/>
            <wp:docPr id="17" name="Chart 17" descr="Embauche d'étudiants pendant les 5 derniers exercices financiers (Programme des adjoints de recherche; Programme postsecondaire d'enseignement coopératif/stage; Programme fédéral d'expérience de travail étudiant).&#10;&#10;" title="Embauche d'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CC592F">
        <w:rPr>
          <w:rFonts w:ascii="Calibri" w:hAnsi="Calibri" w:cs="Calibri"/>
          <w:noProof/>
          <w:sz w:val="18"/>
          <w:szCs w:val="18"/>
          <w:lang w:val="en-CA" w:eastAsia="en-CA"/>
        </w:rPr>
        <w:drawing>
          <wp:inline distT="0" distB="0" distL="0" distR="0" wp14:anchorId="16EBECA6" wp14:editId="73E24B35">
            <wp:extent cx="3448050" cy="3404870"/>
            <wp:effectExtent l="0" t="0" r="0" b="5080"/>
            <wp:docPr id="2" name="Chart 2" descr="Activités d'embauche externe pour une période indéterminée ou d'une durée déterminée pendant les 5 derniers exercices financiers (Programme de recrutement postsecondaire et embauche d'anciens étudiants)." title="Activités d'embauche externe pour une période indéterminée ou d'une durée déterminée (Programme de recrutement postsecondaire et embauche d'anciens étudi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271FF" w:rsidRPr="00CC592F" w:rsidRDefault="002271FF" w:rsidP="002271FF">
      <w:pPr>
        <w:rPr>
          <w:rFonts w:ascii="Calibri" w:hAnsi="Calibri" w:cs="Calibri"/>
          <w:sz w:val="18"/>
          <w:szCs w:val="18"/>
        </w:rPr>
      </w:pPr>
      <w:r w:rsidRPr="00CC592F">
        <w:rPr>
          <w:rFonts w:ascii="Calibri" w:hAnsi="Calibri" w:cs="Calibri"/>
          <w:noProof/>
          <w:sz w:val="18"/>
          <w:szCs w:val="18"/>
          <w:lang w:val="en-CA" w:eastAsia="en-CA"/>
        </w:rPr>
        <w:lastRenderedPageBreak/>
        <w:drawing>
          <wp:inline distT="0" distB="0" distL="0" distR="0" wp14:anchorId="4B6C2537" wp14:editId="0EDC9DA7">
            <wp:extent cx="4400550" cy="2686050"/>
            <wp:effectExtent l="0" t="0" r="0" b="0"/>
            <wp:docPr id="22" name="Chart 22" descr="Durée du processus de dotation interne pendant le dernier exercice financier pour l’ensemble de la fonction publique." title="Durée du processus de dotation interne pendant l’exercice financier 2018-2019 pour l’ensemble de la fonction publ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CC592F">
        <w:rPr>
          <w:rFonts w:ascii="Calibri" w:hAnsi="Calibri" w:cs="Calibri"/>
          <w:noProof/>
          <w:sz w:val="18"/>
          <w:szCs w:val="18"/>
          <w:lang w:val="en-CA" w:eastAsia="en-CA"/>
        </w:rPr>
        <w:drawing>
          <wp:inline distT="0" distB="0" distL="0" distR="0" wp14:anchorId="4098CE02" wp14:editId="4124015C">
            <wp:extent cx="4391025" cy="2683510"/>
            <wp:effectExtent l="0" t="0" r="9525" b="2540"/>
            <wp:docPr id="21" name="Chart 21" descr="Durée du processus de dotation externe pendant le dernier exercice financier pour l’ensemble de la fonction publique." title="Durée du processus de dotation externe pendant l’exercice financier 2018-2019 pour l’ensemble de la fonction publiqu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271FF" w:rsidRPr="00CC592F" w:rsidRDefault="002271FF" w:rsidP="002271FF">
      <w:pPr>
        <w:rPr>
          <w:rFonts w:eastAsia="Times New Roman" w:cstheme="minorHAnsi"/>
          <w:sz w:val="18"/>
          <w:szCs w:val="18"/>
          <w:lang w:eastAsia="en-CA"/>
        </w:rPr>
        <w:sectPr w:rsidR="002271FF" w:rsidRPr="00CC592F" w:rsidSect="00583F4C">
          <w:headerReference w:type="default" r:id="rId27"/>
          <w:footerReference w:type="even" r:id="rId28"/>
          <w:headerReference w:type="first" r:id="rId29"/>
          <w:footerReference w:type="first" r:id="rId30"/>
          <w:pgSz w:w="15840" w:h="12240" w:orient="landscape"/>
          <w:pgMar w:top="630" w:right="720" w:bottom="720" w:left="720" w:header="567" w:footer="567" w:gutter="0"/>
          <w:cols w:space="708"/>
          <w:titlePg/>
          <w:docGrid w:linePitch="360"/>
        </w:sectPr>
      </w:pPr>
      <w:r w:rsidRPr="00CC592F">
        <w:rPr>
          <w:rFonts w:ascii="Calibri" w:hAnsi="Calibri" w:cs="Calibri"/>
          <w:noProof/>
          <w:sz w:val="18"/>
          <w:szCs w:val="18"/>
          <w:lang w:val="en-CA" w:eastAsia="en-CA"/>
        </w:rPr>
        <w:drawing>
          <wp:inline distT="0" distB="0" distL="0" distR="0" wp14:anchorId="1D551013" wp14:editId="635660B9">
            <wp:extent cx="4400550" cy="2733675"/>
            <wp:effectExtent l="0" t="0" r="0" b="9525"/>
            <wp:docPr id="23" name="Chart 23" descr="Durée du processus de dotation interne pendant le dernier exercice financier pour l'organisme concerné." title="Durée du processus de dotation interne pendant l’exercice financier 2018-2019 pour l'organisme concerné"/>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CC592F">
        <w:rPr>
          <w:rFonts w:ascii="Calibri" w:hAnsi="Calibri" w:cs="Calibri"/>
          <w:noProof/>
          <w:sz w:val="18"/>
          <w:szCs w:val="18"/>
          <w:lang w:val="en-CA" w:eastAsia="en-CA"/>
        </w:rPr>
        <mc:AlternateContent>
          <mc:Choice Requires="wps">
            <w:drawing>
              <wp:inline distT="0" distB="0" distL="0" distR="0" wp14:anchorId="03C97F6A" wp14:editId="6429AFB1">
                <wp:extent cx="4352925" cy="2686050"/>
                <wp:effectExtent l="0" t="0" r="28575" b="19050"/>
                <wp:docPr id="14" name="Text Box 14" descr="Les données sont insuffisantes pour fournir des résultats sur la durée des processus de dotation externe pour Immigration, Réfugiés et Citoyenneté Canada." title="Durée du processus de dotation ex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686050"/>
                        </a:xfrm>
                        <a:prstGeom prst="rect">
                          <a:avLst/>
                        </a:prstGeom>
                        <a:solidFill>
                          <a:srgbClr val="FFFFFF"/>
                        </a:solidFill>
                        <a:ln w="9525">
                          <a:solidFill>
                            <a:srgbClr val="000000"/>
                          </a:solidFill>
                          <a:miter lim="800000"/>
                          <a:headEnd/>
                          <a:tailEnd/>
                        </a:ln>
                      </wps:spPr>
                      <wps:txbx>
                        <w:txbxContent>
                          <w:p w:rsidR="002271FF" w:rsidRPr="00825E0C" w:rsidRDefault="002271FF" w:rsidP="002271FF">
                            <w:pPr>
                              <w:rPr>
                                <w:rFonts w:cs="Arial"/>
                                <w:sz w:val="24"/>
                                <w:szCs w:val="24"/>
                              </w:rPr>
                            </w:pPr>
                            <w:r w:rsidRPr="00825E0C">
                              <w:rPr>
                                <w:rFonts w:cs="Arial"/>
                                <w:sz w:val="24"/>
                                <w:szCs w:val="24"/>
                              </w:rPr>
                              <w:t xml:space="preserve">Durée de dotation </w:t>
                            </w:r>
                            <w:r>
                              <w:rPr>
                                <w:rFonts w:cs="Arial"/>
                                <w:sz w:val="24"/>
                                <w:szCs w:val="24"/>
                              </w:rPr>
                              <w:t>ex</w:t>
                            </w:r>
                            <w:r w:rsidRPr="00825E0C">
                              <w:rPr>
                                <w:rFonts w:cs="Arial"/>
                                <w:sz w:val="24"/>
                                <w:szCs w:val="24"/>
                              </w:rPr>
                              <w:t>terne</w:t>
                            </w:r>
                          </w:p>
                          <w:p w:rsidR="002271FF" w:rsidRPr="00825E0C" w:rsidRDefault="002271FF" w:rsidP="002271FF">
                            <w:pPr>
                              <w:rPr>
                                <w:rFonts w:cs="Arial"/>
                                <w:sz w:val="24"/>
                                <w:szCs w:val="24"/>
                              </w:rPr>
                            </w:pPr>
                          </w:p>
                          <w:p w:rsidR="002271FF" w:rsidRPr="00321196" w:rsidRDefault="002271FF" w:rsidP="002271FF">
                            <w:pPr>
                              <w:pStyle w:val="ListParagraph"/>
                              <w:ind w:left="360"/>
                              <w:rPr>
                                <w:rFonts w:ascii="Arial" w:hAnsi="Arial" w:cs="Arial"/>
                              </w:rPr>
                            </w:pPr>
                            <w:r w:rsidRPr="00825E0C">
                              <w:rPr>
                                <w:rFonts w:ascii="Arial" w:hAnsi="Arial" w:cs="Arial"/>
                              </w:rPr>
                              <w:t xml:space="preserve">Les données sont insuffisantes pour fournir des résultats sur la durée des processus de dotation </w:t>
                            </w:r>
                            <w:r>
                              <w:rPr>
                                <w:rFonts w:ascii="Arial" w:hAnsi="Arial" w:cs="Arial"/>
                              </w:rPr>
                              <w:t>ex</w:t>
                            </w:r>
                            <w:r w:rsidRPr="00825E0C">
                              <w:rPr>
                                <w:rFonts w:ascii="Arial" w:hAnsi="Arial" w:cs="Arial"/>
                              </w:rPr>
                              <w:t>terne pour</w:t>
                            </w:r>
                            <w:r>
                              <w:rPr>
                                <w:rFonts w:ascii="Arial" w:hAnsi="Arial" w:cs="Arial"/>
                              </w:rPr>
                              <w:t xml:space="preserve"> Immigration, Réfugiés et Citoyenneté Canada.</w:t>
                            </w:r>
                          </w:p>
                        </w:txbxContent>
                      </wps:txbx>
                      <wps:bodyPr rot="0" vert="horz" wrap="square" lIns="91440" tIns="45720" rIns="91440" bIns="45720" anchor="t" anchorCtr="0">
                        <a:noAutofit/>
                      </wps:bodyPr>
                    </wps:wsp>
                  </a:graphicData>
                </a:graphic>
              </wp:inline>
            </w:drawing>
          </mc:Choice>
          <mc:Fallback>
            <w:pict>
              <v:shape w14:anchorId="03C97F6A" id="Text Box 14" o:spid="_x0000_s1027" type="#_x0000_t202" alt="Title: Durée du processus de dotation externe pendant l’exercice financier 2018-2019 pour l'organisme concerné - Description: Les données sont insuffisantes pour fournir des résultats sur la durée des processus de dotation externe pour Immigration, Réfugiés et Citoyenneté Canada." style="width:342.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">
                <v:textbox>
                  <w:txbxContent>
                    <w:p w:rsidR="002271FF" w:rsidRPr="00825E0C" w:rsidRDefault="002271FF" w:rsidP="002271FF">
                      <w:pPr>
                        <w:rPr>
                          <w:rFonts w:cs="Arial"/>
                          <w:sz w:val="24"/>
                          <w:szCs w:val="24"/>
                        </w:rPr>
                      </w:pPr>
                      <w:r w:rsidRPr="00825E0C">
                        <w:rPr>
                          <w:rFonts w:cs="Arial"/>
                          <w:sz w:val="24"/>
                          <w:szCs w:val="24"/>
                        </w:rPr>
                        <w:t xml:space="preserve">Durée de dotation </w:t>
                      </w:r>
                      <w:r>
                        <w:rPr>
                          <w:rFonts w:cs="Arial"/>
                          <w:sz w:val="24"/>
                          <w:szCs w:val="24"/>
                        </w:rPr>
                        <w:t>ex</w:t>
                      </w:r>
                      <w:r w:rsidRPr="00825E0C">
                        <w:rPr>
                          <w:rFonts w:cs="Arial"/>
                          <w:sz w:val="24"/>
                          <w:szCs w:val="24"/>
                        </w:rPr>
                        <w:t>terne</w:t>
                      </w:r>
                    </w:p>
                    <w:p w:rsidR="002271FF" w:rsidRPr="00825E0C" w:rsidRDefault="002271FF" w:rsidP="002271FF">
                      <w:pPr>
                        <w:rPr>
                          <w:rFonts w:cs="Arial"/>
                          <w:sz w:val="24"/>
                          <w:szCs w:val="24"/>
                        </w:rPr>
                      </w:pPr>
                    </w:p>
                    <w:p w:rsidR="002271FF" w:rsidRPr="00321196" w:rsidRDefault="002271FF" w:rsidP="002271FF">
                      <w:pPr>
                        <w:pStyle w:val="ListParagraph"/>
                        <w:ind w:left="360"/>
                        <w:rPr>
                          <w:rFonts w:ascii="Arial" w:hAnsi="Arial" w:cs="Arial"/>
                        </w:rPr>
                      </w:pPr>
                      <w:r w:rsidRPr="00825E0C">
                        <w:rPr>
                          <w:rFonts w:ascii="Arial" w:hAnsi="Arial" w:cs="Arial"/>
                        </w:rPr>
                        <w:t xml:space="preserve">Les données sont insuffisantes pour fournir des résultats sur la durée des processus de dotation </w:t>
                      </w:r>
                      <w:r>
                        <w:rPr>
                          <w:rFonts w:ascii="Arial" w:hAnsi="Arial" w:cs="Arial"/>
                        </w:rPr>
                        <w:t>ex</w:t>
                      </w:r>
                      <w:r w:rsidRPr="00825E0C">
                        <w:rPr>
                          <w:rFonts w:ascii="Arial" w:hAnsi="Arial" w:cs="Arial"/>
                        </w:rPr>
                        <w:t>terne pour</w:t>
                      </w:r>
                      <w:r>
                        <w:rPr>
                          <w:rFonts w:ascii="Arial" w:hAnsi="Arial" w:cs="Arial"/>
                        </w:rPr>
                        <w:t xml:space="preserve"> Immigration, Réfugiés et Citoyenneté Canada.</w:t>
                      </w:r>
                    </w:p>
                  </w:txbxContent>
                </v:textbox>
                <w10:anchorlock/>
              </v:shape>
            </w:pict>
          </mc:Fallback>
        </mc:AlternateContent>
      </w:r>
    </w:p>
    <w:p w:rsidR="002271FF" w:rsidRPr="00CC592F" w:rsidRDefault="002271FF" w:rsidP="00583F4C">
      <w:pPr>
        <w:pStyle w:val="ListParagraph"/>
        <w:keepLines w:val="0"/>
        <w:numPr>
          <w:ilvl w:val="0"/>
          <w:numId w:val="25"/>
        </w:numPr>
        <w:spacing w:before="100" w:beforeAutospacing="1" w:after="100" w:afterAutospacing="1" w:line="240" w:lineRule="auto"/>
        <w:contextualSpacing w:val="0"/>
        <w:rPr>
          <w:rFonts w:ascii="Arial" w:hAnsi="Arial" w:cs="Arial"/>
        </w:rPr>
      </w:pPr>
      <w:r w:rsidRPr="00CC592F">
        <w:rPr>
          <w:rFonts w:ascii="Arial" w:hAnsi="Arial" w:cs="Arial"/>
        </w:rPr>
        <w:t>La durée de dotation interne correspond au nombre de jours civils entre la date d'ouverture de l'annonce et la date de la première notification.</w:t>
      </w:r>
    </w:p>
    <w:p w:rsidR="002271FF" w:rsidRPr="00CC592F" w:rsidRDefault="002271FF" w:rsidP="002271FF">
      <w:pPr>
        <w:keepLines w:val="0"/>
        <w:numPr>
          <w:ilvl w:val="0"/>
          <w:numId w:val="25"/>
        </w:numPr>
        <w:spacing w:after="0" w:line="240" w:lineRule="auto"/>
        <w:rPr>
          <w:rFonts w:eastAsia="Times New Roman" w:cs="Arial"/>
          <w:lang w:eastAsia="en-CA"/>
        </w:rPr>
        <w:sectPr w:rsidR="002271FF" w:rsidRPr="00CC592F" w:rsidSect="002271FF">
          <w:type w:val="continuous"/>
          <w:pgSz w:w="15840" w:h="12240" w:orient="landscape"/>
          <w:pgMar w:top="720" w:right="720" w:bottom="720" w:left="720" w:header="708" w:footer="708" w:gutter="0"/>
          <w:cols w:num="2" w:space="708"/>
          <w:titlePg/>
          <w:docGrid w:linePitch="360"/>
        </w:sectPr>
      </w:pPr>
      <w:r w:rsidRPr="00CC592F">
        <w:rPr>
          <w:rFonts w:eastAsia="Times New Roman" w:cs="Arial"/>
          <w:lang w:eastAsia="en-CA"/>
        </w:rPr>
        <w:t>La durée de dotation externe est calculée en tant que le nombre de jours civils entre la date d’ouverture de l’annonce et la date estimée de la première embauche externe.</w:t>
      </w:r>
    </w:p>
    <w:p w:rsidR="002271FF" w:rsidRPr="00CC592F" w:rsidRDefault="002271FF" w:rsidP="002271FF">
      <w:pPr>
        <w:rPr>
          <w:b/>
          <w:bCs/>
          <w:sz w:val="24"/>
          <w:szCs w:val="24"/>
        </w:rPr>
        <w:sectPr w:rsidR="002271FF" w:rsidRPr="00CC592F" w:rsidSect="002271FF">
          <w:type w:val="continuous"/>
          <w:pgSz w:w="15840" w:h="12240" w:orient="landscape"/>
          <w:pgMar w:top="720" w:right="720" w:bottom="720" w:left="720" w:header="708" w:footer="708" w:gutter="0"/>
          <w:cols w:num="2" w:space="708"/>
          <w:titlePg/>
          <w:docGrid w:linePitch="360"/>
        </w:sectPr>
      </w:pPr>
    </w:p>
    <w:p w:rsidR="002271FF" w:rsidRPr="00CC592F" w:rsidRDefault="002271FF" w:rsidP="002271FF">
      <w:pPr>
        <w:contextualSpacing/>
        <w:rPr>
          <w:b/>
          <w:bCs/>
        </w:rPr>
      </w:pPr>
      <w:r w:rsidRPr="00CC592F">
        <w:rPr>
          <w:b/>
          <w:bCs/>
        </w:rPr>
        <w:lastRenderedPageBreak/>
        <w:t>Notes techniques :</w:t>
      </w:r>
    </w:p>
    <w:p w:rsidR="002271FF" w:rsidRPr="00CC592F" w:rsidRDefault="002271FF" w:rsidP="002271FF">
      <w:pPr>
        <w:contextualSpacing/>
        <w:rPr>
          <w:b/>
          <w:bCs/>
        </w:rPr>
      </w:pPr>
    </w:p>
    <w:p w:rsidR="002271FF" w:rsidRPr="00CC592F" w:rsidRDefault="002271FF" w:rsidP="002271FF">
      <w:pPr>
        <w:pStyle w:val="ListParagraph"/>
        <w:keepLines w:val="0"/>
        <w:numPr>
          <w:ilvl w:val="0"/>
          <w:numId w:val="26"/>
        </w:numPr>
        <w:spacing w:before="100" w:beforeAutospacing="1" w:after="100" w:afterAutospacing="1" w:line="240" w:lineRule="auto"/>
        <w:ind w:left="426" w:hanging="426"/>
        <w:contextualSpacing w:val="0"/>
        <w:rPr>
          <w:rFonts w:ascii="Arial" w:hAnsi="Arial" w:cs="Arial"/>
        </w:rPr>
      </w:pPr>
      <w:r w:rsidRPr="00CC592F">
        <w:rPr>
          <w:rFonts w:ascii="Arial" w:hAnsi="Arial" w:cs="Arial"/>
          <w:bCs/>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CC592F">
        <w:rPr>
          <w:rFonts w:ascii="Arial" w:hAnsi="Arial" w:cs="Arial"/>
        </w:rPr>
        <w:t>Les PANA ne sont pas requis pour toutes les activités de dotation interne. Par conséquent, cette mesure se limite aux rapports sur les nominations promotionnels internes.</w:t>
      </w:r>
    </w:p>
    <w:p w:rsidR="002271FF" w:rsidRPr="00CC592F" w:rsidRDefault="002271FF" w:rsidP="002271FF">
      <w:pPr>
        <w:pStyle w:val="ListParagraph"/>
        <w:keepLines w:val="0"/>
        <w:numPr>
          <w:ilvl w:val="0"/>
          <w:numId w:val="25"/>
        </w:numPr>
        <w:spacing w:before="100" w:beforeAutospacing="1" w:after="100" w:afterAutospacing="1" w:line="240" w:lineRule="auto"/>
        <w:ind w:left="360"/>
        <w:rPr>
          <w:rFonts w:ascii="Arial" w:hAnsi="Arial"/>
          <w:bCs/>
        </w:rPr>
      </w:pPr>
      <w:r w:rsidRPr="00CC592F">
        <w:rPr>
          <w:rFonts w:ascii="Arial" w:hAnsi="Arial"/>
          <w:bCs/>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CC592F">
        <w:rPr>
          <w:rFonts w:ascii="Arial" w:hAnsi="Arial"/>
          <w:bCs/>
          <w:i/>
        </w:rPr>
        <w:t xml:space="preserve">Loi sur l'emploi dans la fonction publique </w:t>
      </w:r>
      <w:r w:rsidRPr="00CC592F">
        <w:rPr>
          <w:rFonts w:ascii="Arial" w:hAnsi="Arial"/>
          <w:bCs/>
        </w:rPr>
        <w:t>pour les postes de durée déterminée et ceux pour une période indéterminée. Parce que le lien des données entre les systèmes utilise un jumelage probabiliste, des erreurs de mesure sont donc possibles.</w:t>
      </w:r>
    </w:p>
    <w:p w:rsidR="002271FF" w:rsidRPr="00CC592F" w:rsidRDefault="002271FF" w:rsidP="002271FF">
      <w:pPr>
        <w:pStyle w:val="ListParagraph"/>
        <w:ind w:left="360"/>
        <w:rPr>
          <w:rFonts w:ascii="Arial" w:hAnsi="Arial"/>
          <w:bCs/>
        </w:rPr>
      </w:pPr>
    </w:p>
    <w:p w:rsidR="002271FF" w:rsidRPr="00CC592F" w:rsidRDefault="002271FF" w:rsidP="002271FF">
      <w:pPr>
        <w:pStyle w:val="ListParagraph"/>
        <w:keepLines w:val="0"/>
        <w:numPr>
          <w:ilvl w:val="0"/>
          <w:numId w:val="25"/>
        </w:numPr>
        <w:spacing w:before="100" w:beforeAutospacing="1" w:after="100" w:afterAutospacing="1" w:line="240" w:lineRule="auto"/>
        <w:ind w:left="360"/>
        <w:rPr>
          <w:rFonts w:ascii="Arial" w:hAnsi="Arial"/>
          <w:bCs/>
        </w:rPr>
      </w:pPr>
      <w:r w:rsidRPr="00CC592F">
        <w:rPr>
          <w:rFonts w:ascii="Arial" w:hAnsi="Arial"/>
          <w:bCs/>
        </w:rPr>
        <w:t>Seules les nominations d'une durée déterminée et les nominations pour une période indéterminée sont incluses (les mutations, les nominations d’employés occasionnels et les nominations intérimaires sont exclues).</w:t>
      </w:r>
    </w:p>
    <w:p w:rsidR="002271FF" w:rsidRPr="00CC592F" w:rsidRDefault="002271FF" w:rsidP="002271FF">
      <w:pPr>
        <w:rPr>
          <w:rFonts w:eastAsia="Times New Roman" w:cs="Arial"/>
          <w:sz w:val="24"/>
          <w:szCs w:val="24"/>
          <w:lang w:eastAsia="en-CA"/>
        </w:rPr>
      </w:pPr>
    </w:p>
    <w:p w:rsidR="002271FF" w:rsidRPr="00CC592F" w:rsidRDefault="002271FF" w:rsidP="002271FF">
      <w:pPr>
        <w:contextualSpacing/>
        <w:rPr>
          <w:b/>
          <w:bCs/>
        </w:rPr>
      </w:pPr>
      <w:r w:rsidRPr="00CC592F">
        <w:rPr>
          <w:b/>
          <w:bCs/>
        </w:rPr>
        <w:t>Source :</w:t>
      </w:r>
    </w:p>
    <w:p w:rsidR="002271FF" w:rsidRPr="00CC592F" w:rsidRDefault="002271FF" w:rsidP="002271FF">
      <w:pPr>
        <w:pStyle w:val="ListParagraph"/>
        <w:keepLines w:val="0"/>
        <w:numPr>
          <w:ilvl w:val="0"/>
          <w:numId w:val="25"/>
        </w:numPr>
        <w:spacing w:before="100" w:beforeAutospacing="1" w:after="100" w:afterAutospacing="1" w:line="240" w:lineRule="auto"/>
        <w:ind w:left="360"/>
        <w:rPr>
          <w:rFonts w:ascii="Arial" w:hAnsi="Arial"/>
          <w:bCs/>
        </w:rPr>
      </w:pPr>
      <w:r w:rsidRPr="00CC592F">
        <w:rPr>
          <w:rFonts w:ascii="Arial" w:hAnsi="Arial"/>
          <w:bCs/>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rsidR="002271FF" w:rsidRPr="00CC592F" w:rsidRDefault="002271FF" w:rsidP="002271FF">
      <w:pPr>
        <w:pStyle w:val="ListParagraph"/>
        <w:ind w:left="360"/>
        <w:rPr>
          <w:rFonts w:ascii="Arial" w:hAnsi="Arial"/>
          <w:bCs/>
        </w:rPr>
      </w:pPr>
    </w:p>
    <w:p w:rsidR="002271FF" w:rsidRPr="00CC592F" w:rsidRDefault="002271FF" w:rsidP="002271FF">
      <w:pPr>
        <w:pStyle w:val="ListParagraph"/>
        <w:keepLines w:val="0"/>
        <w:numPr>
          <w:ilvl w:val="0"/>
          <w:numId w:val="25"/>
        </w:numPr>
        <w:spacing w:before="100" w:beforeAutospacing="1" w:after="100" w:afterAutospacing="1" w:line="240" w:lineRule="auto"/>
        <w:ind w:left="360"/>
        <w:rPr>
          <w:rFonts w:ascii="Arial" w:hAnsi="Arial"/>
          <w:bCs/>
        </w:rPr>
      </w:pPr>
      <w:r w:rsidRPr="00CC592F">
        <w:rPr>
          <w:rFonts w:ascii="Arial" w:hAnsi="Arial"/>
          <w:bCs/>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rsidR="002271FF" w:rsidRPr="00CC592F" w:rsidRDefault="002271FF" w:rsidP="002271FF">
      <w:pPr>
        <w:pStyle w:val="ListParagraph"/>
        <w:ind w:left="360"/>
        <w:rPr>
          <w:rFonts w:ascii="Arial" w:hAnsi="Arial"/>
          <w:bCs/>
        </w:rPr>
      </w:pPr>
    </w:p>
    <w:p w:rsidR="002271FF" w:rsidRPr="00CC592F" w:rsidRDefault="002271FF" w:rsidP="002271FF">
      <w:pPr>
        <w:pStyle w:val="ListParagraph"/>
        <w:keepLines w:val="0"/>
        <w:numPr>
          <w:ilvl w:val="0"/>
          <w:numId w:val="25"/>
        </w:numPr>
        <w:spacing w:before="100" w:beforeAutospacing="1" w:after="100" w:afterAutospacing="1" w:line="240" w:lineRule="auto"/>
        <w:ind w:left="360"/>
        <w:rPr>
          <w:rFonts w:ascii="Arial" w:hAnsi="Arial"/>
          <w:bCs/>
        </w:rPr>
      </w:pPr>
      <w:r w:rsidRPr="00CC592F">
        <w:rPr>
          <w:rFonts w:ascii="Arial" w:hAnsi="Arial"/>
          <w:bCs/>
        </w:rPr>
        <w:t>Ces données ne correspondent pas nécessairement aux donnés sur les ressources humaines de chaque organisation en raison des différences de méthodologie et des périodes visées par l’analyse.</w:t>
      </w:r>
    </w:p>
    <w:p w:rsidR="002271FF" w:rsidRPr="00CC592F" w:rsidRDefault="002271FF" w:rsidP="002271FF">
      <w:pPr>
        <w:rPr>
          <w:rFonts w:eastAsia="Times New Roman" w:cs="Arial"/>
          <w:sz w:val="24"/>
          <w:szCs w:val="24"/>
          <w:lang w:eastAsia="en-CA"/>
        </w:rPr>
      </w:pPr>
    </w:p>
    <w:p w:rsidR="002271FF" w:rsidRPr="00CC592F" w:rsidRDefault="002271FF" w:rsidP="002271FF">
      <w:pPr>
        <w:sectPr w:rsidR="002271FF" w:rsidRPr="00CC592F" w:rsidSect="002271FF">
          <w:headerReference w:type="default" r:id="rId32"/>
          <w:footerReference w:type="even" r:id="rId33"/>
          <w:footerReference w:type="default" r:id="rId34"/>
          <w:pgSz w:w="15840" w:h="12240" w:orient="landscape"/>
          <w:pgMar w:top="720" w:right="720" w:bottom="720" w:left="1276" w:header="708" w:footer="708" w:gutter="0"/>
          <w:cols w:space="708"/>
          <w:docGrid w:linePitch="360"/>
        </w:sectPr>
      </w:pPr>
      <w:r w:rsidRPr="00CC592F">
        <w:br w:type="page"/>
      </w:r>
    </w:p>
    <w:p w:rsidR="002271FF" w:rsidRPr="00CC592F" w:rsidRDefault="002271FF" w:rsidP="00FF6075">
      <w:pPr>
        <w:spacing w:after="0"/>
        <w:rPr>
          <w:rFonts w:cs="Arial"/>
          <w:b/>
          <w:sz w:val="24"/>
          <w:szCs w:val="24"/>
        </w:rPr>
      </w:pPr>
      <w:bookmarkStart w:id="5" w:name="Alternative_Text"/>
      <w:r w:rsidRPr="00CC592F">
        <w:rPr>
          <w:rFonts w:cs="Arial"/>
          <w:b/>
          <w:sz w:val="24"/>
          <w:szCs w:val="24"/>
        </w:rPr>
        <w:lastRenderedPageBreak/>
        <w:t>Version texte</w:t>
      </w:r>
    </w:p>
    <w:bookmarkEnd w:id="5"/>
    <w:p w:rsidR="002271FF" w:rsidRPr="00CC592F" w:rsidRDefault="002271FF" w:rsidP="00FF6075">
      <w:pPr>
        <w:spacing w:after="0"/>
        <w:rPr>
          <w:rFonts w:cs="Arial"/>
          <w:b/>
          <w:sz w:val="24"/>
          <w:szCs w:val="24"/>
        </w:rPr>
      </w:pPr>
      <w:r w:rsidRPr="00CC592F">
        <w:rPr>
          <w:rFonts w:cs="Arial"/>
          <w:b/>
          <w:sz w:val="24"/>
          <w:szCs w:val="24"/>
        </w:rPr>
        <w:fldChar w:fldCharType="begin"/>
      </w:r>
      <w:r w:rsidRPr="00CC592F">
        <w:rPr>
          <w:rFonts w:cs="Arial"/>
          <w:b/>
          <w:sz w:val="24"/>
          <w:szCs w:val="24"/>
        </w:rPr>
        <w:instrText xml:space="preserve"> HYPERLINK  \l "Charts" </w:instrText>
      </w:r>
      <w:r w:rsidRPr="00CC592F">
        <w:rPr>
          <w:rFonts w:cs="Arial"/>
          <w:b/>
          <w:sz w:val="24"/>
          <w:szCs w:val="24"/>
        </w:rPr>
        <w:fldChar w:fldCharType="separate"/>
      </w:r>
      <w:r w:rsidRPr="00CC592F">
        <w:rPr>
          <w:rStyle w:val="Hyperlink"/>
          <w:rFonts w:cs="Arial"/>
          <w:b/>
          <w:sz w:val="24"/>
          <w:szCs w:val="24"/>
        </w:rPr>
        <w:t>Liens aux graphiques</w:t>
      </w:r>
      <w:r w:rsidRPr="00CC592F">
        <w:rPr>
          <w:rFonts w:cs="Arial"/>
          <w:b/>
          <w:sz w:val="24"/>
          <w:szCs w:val="24"/>
        </w:rPr>
        <w:fldChar w:fldCharType="end"/>
      </w:r>
    </w:p>
    <w:p w:rsidR="002271FF" w:rsidRPr="00CC592F" w:rsidRDefault="002271FF" w:rsidP="002271FF">
      <w:pPr>
        <w:rPr>
          <w:rFonts w:cs="Arial"/>
          <w:sz w:val="24"/>
          <w:szCs w:val="24"/>
        </w:rPr>
      </w:pPr>
      <w:r w:rsidRPr="00CC592F">
        <w:rPr>
          <w:rFonts w:cs="Arial"/>
          <w:sz w:val="24"/>
          <w:szCs w:val="24"/>
        </w:rPr>
        <w:t xml:space="preserve">Produit par la Direction des services de données et de l’analyse de la Commission de la fonction publique du Canada – Mise à jour le 22 août 2019 </w:t>
      </w:r>
    </w:p>
    <w:p w:rsidR="002271FF" w:rsidRPr="00CC592F" w:rsidRDefault="002271FF" w:rsidP="002271FF">
      <w:pPr>
        <w:rPr>
          <w:rFonts w:cs="Arial"/>
          <w:b/>
          <w:sz w:val="24"/>
          <w:szCs w:val="24"/>
        </w:rPr>
      </w:pPr>
      <w:r w:rsidRPr="00CC592F">
        <w:rPr>
          <w:rFonts w:cs="Arial"/>
          <w:b/>
          <w:sz w:val="24"/>
          <w:szCs w:val="24"/>
        </w:rPr>
        <w:t>Immigration, Réfugiés et Citoyenneté Canada</w:t>
      </w:r>
    </w:p>
    <w:p w:rsidR="002271FF" w:rsidRPr="00CC592F" w:rsidRDefault="002271FF" w:rsidP="002271FF">
      <w:pPr>
        <w:rPr>
          <w:rFonts w:cs="Arial"/>
          <w:b/>
          <w:sz w:val="24"/>
          <w:szCs w:val="24"/>
        </w:rPr>
      </w:pPr>
      <w:r w:rsidRPr="00CC592F">
        <w:rPr>
          <w:rFonts w:cs="Arial"/>
          <w:b/>
          <w:sz w:val="24"/>
          <w:szCs w:val="24"/>
        </w:rPr>
        <w:t xml:space="preserve">Effectif régi par la </w:t>
      </w:r>
      <w:r w:rsidRPr="00CC592F">
        <w:rPr>
          <w:rFonts w:cs="Arial"/>
          <w:b/>
          <w:i/>
          <w:sz w:val="24"/>
          <w:szCs w:val="24"/>
        </w:rPr>
        <w:t>Loi sur l’emploi dans la fonction publique</w:t>
      </w:r>
      <w:r w:rsidRPr="00CC592F">
        <w:rPr>
          <w:rFonts w:cs="Arial"/>
          <w:b/>
          <w:sz w:val="24"/>
          <w:szCs w:val="24"/>
        </w:rPr>
        <w:t xml:space="preserve"> au 31 mars selon la durée d’emploi </w:t>
      </w:r>
    </w:p>
    <w:tbl>
      <w:tblPr>
        <w:tblStyle w:val="TableGrid"/>
        <w:tblW w:w="0" w:type="auto"/>
        <w:tblLook w:val="00A0" w:firstRow="1" w:lastRow="0" w:firstColumn="1" w:lastColumn="0" w:noHBand="0" w:noVBand="0"/>
        <w:tblDescription w:val="Effectif régi par la Loi sur l’embauche dans la fonction publique au 31 mars selon la durée d’emploi "/>
      </w:tblPr>
      <w:tblGrid>
        <w:gridCol w:w="1891"/>
        <w:gridCol w:w="1584"/>
        <w:gridCol w:w="1420"/>
        <w:gridCol w:w="1563"/>
        <w:gridCol w:w="1066"/>
        <w:gridCol w:w="793"/>
      </w:tblGrid>
      <w:tr w:rsidR="002271FF" w:rsidRPr="00CC592F" w:rsidTr="00583F4C">
        <w:trPr>
          <w:trHeight w:val="290"/>
          <w:tblHeader/>
        </w:trPr>
        <w:tc>
          <w:tcPr>
            <w:tcW w:w="0" w:type="auto"/>
          </w:tcPr>
          <w:p w:rsidR="002271FF" w:rsidRPr="00CC592F" w:rsidRDefault="002271FF" w:rsidP="002271FF">
            <w:pPr>
              <w:autoSpaceDE w:val="0"/>
              <w:autoSpaceDN w:val="0"/>
              <w:adjustRightInd w:val="0"/>
              <w:jc w:val="both"/>
              <w:rPr>
                <w:rFonts w:cs="Arial"/>
                <w:color w:val="000000"/>
                <w:sz w:val="24"/>
                <w:szCs w:val="24"/>
              </w:rPr>
            </w:pPr>
            <w:r w:rsidRPr="00CC592F">
              <w:rPr>
                <w:rFonts w:cs="Arial"/>
                <w:color w:val="000000"/>
                <w:sz w:val="24"/>
                <w:szCs w:val="24"/>
              </w:rPr>
              <w:t xml:space="preserve"> </w:t>
            </w:r>
            <w:bookmarkStart w:id="6" w:name="Titre_1"/>
            <w:bookmarkEnd w:id="6"/>
            <w:r w:rsidRPr="00CC592F">
              <w:rPr>
                <w:rFonts w:cs="Arial"/>
                <w:color w:val="000000"/>
                <w:sz w:val="24"/>
                <w:szCs w:val="24"/>
              </w:rPr>
              <w:t>Année</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Indéterminée</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Déterminée</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Occasionnels</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Étudiant</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Total</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2014</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4 246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690</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822</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5 906</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2015</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4 235</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976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1 008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145</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6 364</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4 380</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1 076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1 012</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6 604</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2017</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4 598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1 195</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834</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87</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6 714</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4 859</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1 400</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928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112</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7 299</w:t>
            </w:r>
          </w:p>
        </w:tc>
      </w:tr>
      <w:tr w:rsidR="002271FF" w:rsidRPr="00CC592F" w:rsidTr="00583F4C">
        <w:trPr>
          <w:trHeight w:val="290"/>
        </w:trPr>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Au 31 mars 2019</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5 404</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1 554</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817</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163</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7 938</w:t>
            </w:r>
          </w:p>
        </w:tc>
      </w:tr>
    </w:tbl>
    <w:p w:rsidR="002271FF" w:rsidRPr="00CC592F" w:rsidRDefault="002271FF" w:rsidP="002271FF">
      <w:pPr>
        <w:rPr>
          <w:rFonts w:cs="Arial"/>
          <w:sz w:val="24"/>
          <w:szCs w:val="24"/>
        </w:rPr>
      </w:pPr>
    </w:p>
    <w:p w:rsidR="002271FF" w:rsidRPr="00CC592F" w:rsidRDefault="002271FF" w:rsidP="002271FF">
      <w:pPr>
        <w:rPr>
          <w:rFonts w:cs="Arial"/>
          <w:b/>
          <w:sz w:val="24"/>
          <w:szCs w:val="24"/>
        </w:rPr>
      </w:pPr>
      <w:r w:rsidRPr="00CC592F">
        <w:rPr>
          <w:rFonts w:cs="Arial"/>
          <w:b/>
          <w:sz w:val="24"/>
          <w:szCs w:val="24"/>
        </w:rPr>
        <w:t xml:space="preserve">Effectif régi par la </w:t>
      </w:r>
      <w:r w:rsidRPr="00CC592F">
        <w:rPr>
          <w:rFonts w:cs="Arial"/>
          <w:b/>
          <w:i/>
          <w:sz w:val="24"/>
          <w:szCs w:val="24"/>
        </w:rPr>
        <w:t>Loi sur l’emploi dans la fonction publique</w:t>
      </w:r>
      <w:r w:rsidRPr="00CC592F">
        <w:rPr>
          <w:rFonts w:cs="Arial"/>
          <w:b/>
          <w:sz w:val="24"/>
          <w:szCs w:val="24"/>
        </w:rPr>
        <w:t xml:space="preserve"> selon le profil linguistique  au 31 mars 2019</w:t>
      </w:r>
    </w:p>
    <w:tbl>
      <w:tblPr>
        <w:tblStyle w:val="TableGrid"/>
        <w:tblW w:w="0" w:type="auto"/>
        <w:tblLook w:val="00A0" w:firstRow="1" w:lastRow="0" w:firstColumn="1" w:lastColumn="0" w:noHBand="0" w:noVBand="0"/>
        <w:tblDescription w:val="Effectif régi par la Loi sur l’embauche dans la fonction publique selon le profil linguistique  au 31 mars 2019"/>
      </w:tblPr>
      <w:tblGrid>
        <w:gridCol w:w="1995"/>
        <w:gridCol w:w="2613"/>
        <w:gridCol w:w="4420"/>
      </w:tblGrid>
      <w:tr w:rsidR="002271FF" w:rsidRPr="00CC592F" w:rsidTr="00583F4C">
        <w:trPr>
          <w:trHeight w:val="290"/>
          <w:tblHeader/>
        </w:trPr>
        <w:tc>
          <w:tcPr>
            <w:tcW w:w="0" w:type="auto"/>
          </w:tcPr>
          <w:p w:rsidR="002271FF" w:rsidRPr="00CC592F" w:rsidRDefault="002271FF" w:rsidP="002271FF">
            <w:pPr>
              <w:autoSpaceDE w:val="0"/>
              <w:autoSpaceDN w:val="0"/>
              <w:adjustRightInd w:val="0"/>
              <w:rPr>
                <w:rFonts w:cs="Arial"/>
                <w:color w:val="000000"/>
                <w:sz w:val="24"/>
                <w:szCs w:val="24"/>
              </w:rPr>
            </w:pPr>
            <w:bookmarkStart w:id="7" w:name="Titre_2"/>
            <w:bookmarkEnd w:id="7"/>
            <w:r w:rsidRPr="00CC592F">
              <w:rPr>
                <w:rFonts w:cs="Arial"/>
                <w:sz w:val="24"/>
                <w:szCs w:val="24"/>
              </w:rPr>
              <w:t xml:space="preserve">Profil linguistique  </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Effectif au 31 mars 2019</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sz w:val="24"/>
                <w:szCs w:val="24"/>
              </w:rPr>
              <w:t>Pourcentage de l'effectif au 31 mars 2019</w:t>
            </w:r>
          </w:p>
        </w:tc>
      </w:tr>
      <w:tr w:rsidR="002271FF" w:rsidRPr="00CC592F" w:rsidTr="00583F4C">
        <w:trPr>
          <w:trHeight w:val="290"/>
        </w:trPr>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Bilingue </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2 942</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53%</w:t>
            </w:r>
          </w:p>
        </w:tc>
      </w:tr>
      <w:tr w:rsidR="002271FF" w:rsidRPr="00CC592F" w:rsidTr="00583F4C">
        <w:trPr>
          <w:trHeight w:val="290"/>
        </w:trPr>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Unilingue</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2 566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47%</w:t>
            </w:r>
          </w:p>
        </w:tc>
      </w:tr>
      <w:tr w:rsidR="002271FF" w:rsidRPr="00CC592F" w:rsidTr="00583F4C">
        <w:trPr>
          <w:trHeight w:val="290"/>
        </w:trPr>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Inconnus</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2 430</w:t>
            </w:r>
          </w:p>
        </w:tc>
        <w:tc>
          <w:tcPr>
            <w:tcW w:w="0" w:type="auto"/>
          </w:tcPr>
          <w:p w:rsidR="002271FF" w:rsidRPr="00CC592F" w:rsidRDefault="002271FF" w:rsidP="002271FF">
            <w:pPr>
              <w:autoSpaceDE w:val="0"/>
              <w:autoSpaceDN w:val="0"/>
              <w:adjustRightInd w:val="0"/>
              <w:jc w:val="center"/>
              <w:rPr>
                <w:rFonts w:cs="Arial"/>
                <w:color w:val="000000"/>
                <w:sz w:val="24"/>
                <w:szCs w:val="24"/>
              </w:rPr>
            </w:pPr>
          </w:p>
        </w:tc>
      </w:tr>
    </w:tbl>
    <w:p w:rsidR="002271FF" w:rsidRPr="00CC592F" w:rsidRDefault="002271FF" w:rsidP="002271FF">
      <w:pPr>
        <w:rPr>
          <w:rFonts w:cs="Arial"/>
          <w:sz w:val="24"/>
          <w:szCs w:val="24"/>
        </w:rPr>
      </w:pPr>
    </w:p>
    <w:p w:rsidR="002271FF" w:rsidRPr="00CC592F" w:rsidRDefault="002271FF" w:rsidP="002271FF">
      <w:pPr>
        <w:rPr>
          <w:rFonts w:cs="Arial"/>
          <w:b/>
          <w:sz w:val="24"/>
          <w:szCs w:val="24"/>
        </w:rPr>
      </w:pPr>
      <w:r w:rsidRPr="00CC592F">
        <w:rPr>
          <w:rFonts w:cs="Arial"/>
          <w:b/>
          <w:sz w:val="24"/>
          <w:szCs w:val="24"/>
        </w:rPr>
        <w:t xml:space="preserve">Groupes d’emploi, pourcentage de l'effectif régi par la </w:t>
      </w:r>
      <w:r w:rsidRPr="00CC592F">
        <w:rPr>
          <w:rFonts w:cs="Arial"/>
          <w:b/>
          <w:i/>
          <w:sz w:val="24"/>
          <w:szCs w:val="24"/>
        </w:rPr>
        <w:t>Loi sur l’emploi dans la fonction publique</w:t>
      </w:r>
      <w:r w:rsidRPr="00CC592F">
        <w:rPr>
          <w:rFonts w:cs="Arial"/>
          <w:b/>
          <w:sz w:val="24"/>
          <w:szCs w:val="24"/>
        </w:rPr>
        <w:t xml:space="preserve"> au 31 mars 2019</w:t>
      </w:r>
    </w:p>
    <w:tbl>
      <w:tblPr>
        <w:tblStyle w:val="TableGrid"/>
        <w:tblW w:w="0" w:type="auto"/>
        <w:tblLook w:val="00A0" w:firstRow="1" w:lastRow="0" w:firstColumn="1" w:lastColumn="0" w:noHBand="0" w:noVBand="0"/>
        <w:tblDescription w:val="Groupes d’emploi, Pourcentage de l'effectif régi par la LEFP au 31 mars 2019"/>
      </w:tblPr>
      <w:tblGrid>
        <w:gridCol w:w="4889"/>
        <w:gridCol w:w="1744"/>
        <w:gridCol w:w="2717"/>
      </w:tblGrid>
      <w:tr w:rsidR="002271FF" w:rsidRPr="00CC592F" w:rsidTr="00583F4C">
        <w:trPr>
          <w:trHeight w:val="290"/>
          <w:tblHeader/>
        </w:trPr>
        <w:tc>
          <w:tcPr>
            <w:tcW w:w="5767" w:type="dxa"/>
          </w:tcPr>
          <w:p w:rsidR="002271FF" w:rsidRPr="00CC592F" w:rsidRDefault="002271FF" w:rsidP="002271FF">
            <w:pPr>
              <w:autoSpaceDE w:val="0"/>
              <w:autoSpaceDN w:val="0"/>
              <w:adjustRightInd w:val="0"/>
              <w:rPr>
                <w:rFonts w:cs="Arial"/>
                <w:color w:val="000000"/>
                <w:sz w:val="24"/>
                <w:szCs w:val="24"/>
              </w:rPr>
            </w:pPr>
            <w:bookmarkStart w:id="8" w:name="Titre_3"/>
            <w:bookmarkEnd w:id="8"/>
            <w:r w:rsidRPr="00CC592F">
              <w:rPr>
                <w:rFonts w:cs="Arial"/>
                <w:sz w:val="24"/>
                <w:szCs w:val="24"/>
              </w:rPr>
              <w:t>Groupes professionnels</w:t>
            </w:r>
          </w:p>
        </w:tc>
        <w:tc>
          <w:tcPr>
            <w:tcW w:w="197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sz w:val="24"/>
                <w:szCs w:val="24"/>
              </w:rPr>
              <w:t>Effectif au 31 mars 2019</w:t>
            </w:r>
          </w:p>
        </w:tc>
        <w:tc>
          <w:tcPr>
            <w:tcW w:w="3048" w:type="dxa"/>
          </w:tcPr>
          <w:p w:rsidR="002271FF" w:rsidRPr="00CC592F" w:rsidRDefault="002271FF" w:rsidP="002271FF">
            <w:pPr>
              <w:autoSpaceDE w:val="0"/>
              <w:autoSpaceDN w:val="0"/>
              <w:adjustRightInd w:val="0"/>
              <w:jc w:val="center"/>
              <w:rPr>
                <w:rFonts w:cs="Arial"/>
                <w:sz w:val="24"/>
                <w:szCs w:val="24"/>
              </w:rPr>
            </w:pPr>
            <w:r w:rsidRPr="00CC592F">
              <w:rPr>
                <w:rFonts w:cs="Arial"/>
                <w:sz w:val="24"/>
                <w:szCs w:val="24"/>
              </w:rPr>
              <w:t>Pourcentage de l'effectif au 31 mars 2019</w:t>
            </w:r>
          </w:p>
        </w:tc>
      </w:tr>
      <w:tr w:rsidR="002271FF" w:rsidRPr="00CC592F" w:rsidTr="00583F4C">
        <w:trPr>
          <w:trHeight w:val="290"/>
        </w:trPr>
        <w:tc>
          <w:tcPr>
            <w:tcW w:w="576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PM – Administration des programmes</w:t>
            </w:r>
          </w:p>
        </w:tc>
        <w:tc>
          <w:tcPr>
            <w:tcW w:w="197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2 853</w:t>
            </w:r>
          </w:p>
        </w:tc>
        <w:tc>
          <w:tcPr>
            <w:tcW w:w="304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37%</w:t>
            </w:r>
          </w:p>
        </w:tc>
      </w:tr>
      <w:tr w:rsidR="002271FF" w:rsidRPr="00CC592F" w:rsidTr="00583F4C">
        <w:trPr>
          <w:trHeight w:val="290"/>
        </w:trPr>
        <w:tc>
          <w:tcPr>
            <w:tcW w:w="576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CR – Commis aux écritures et aux règlements</w:t>
            </w:r>
          </w:p>
        </w:tc>
        <w:tc>
          <w:tcPr>
            <w:tcW w:w="197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2 134</w:t>
            </w:r>
          </w:p>
        </w:tc>
        <w:tc>
          <w:tcPr>
            <w:tcW w:w="304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27%</w:t>
            </w:r>
          </w:p>
        </w:tc>
      </w:tr>
      <w:tr w:rsidR="002271FF" w:rsidRPr="00CC592F" w:rsidTr="00583F4C">
        <w:trPr>
          <w:trHeight w:val="290"/>
        </w:trPr>
        <w:tc>
          <w:tcPr>
            <w:tcW w:w="576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AS – Services administratifs</w:t>
            </w:r>
          </w:p>
        </w:tc>
        <w:tc>
          <w:tcPr>
            <w:tcW w:w="197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678</w:t>
            </w:r>
          </w:p>
        </w:tc>
        <w:tc>
          <w:tcPr>
            <w:tcW w:w="304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w:t>
            </w:r>
          </w:p>
        </w:tc>
      </w:tr>
      <w:tr w:rsidR="002271FF" w:rsidRPr="00CC592F" w:rsidTr="00583F4C">
        <w:trPr>
          <w:trHeight w:val="290"/>
        </w:trPr>
        <w:tc>
          <w:tcPr>
            <w:tcW w:w="576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Autre</w:t>
            </w:r>
          </w:p>
        </w:tc>
        <w:tc>
          <w:tcPr>
            <w:tcW w:w="197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2 110</w:t>
            </w:r>
          </w:p>
        </w:tc>
        <w:tc>
          <w:tcPr>
            <w:tcW w:w="304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27%</w:t>
            </w:r>
          </w:p>
        </w:tc>
      </w:tr>
    </w:tbl>
    <w:p w:rsidR="00FF6075" w:rsidRPr="00CC592F" w:rsidRDefault="00FF6075" w:rsidP="002271FF">
      <w:pPr>
        <w:rPr>
          <w:rFonts w:cs="Arial"/>
          <w:sz w:val="24"/>
          <w:szCs w:val="24"/>
        </w:rPr>
      </w:pPr>
    </w:p>
    <w:p w:rsidR="00FF6075" w:rsidRPr="00CC592F" w:rsidRDefault="00FF6075" w:rsidP="00FF6075">
      <w:r w:rsidRPr="00CC592F">
        <w:br w:type="page"/>
      </w:r>
    </w:p>
    <w:p w:rsidR="002271FF" w:rsidRPr="00CC592F" w:rsidRDefault="002271FF" w:rsidP="002271FF">
      <w:pPr>
        <w:rPr>
          <w:rFonts w:cs="Arial"/>
          <w:b/>
          <w:sz w:val="24"/>
          <w:szCs w:val="24"/>
        </w:rPr>
      </w:pPr>
      <w:r w:rsidRPr="00CC592F">
        <w:rPr>
          <w:rFonts w:cs="Arial"/>
          <w:b/>
          <w:sz w:val="24"/>
          <w:szCs w:val="24"/>
        </w:rPr>
        <w:lastRenderedPageBreak/>
        <w:t xml:space="preserve">Effectif par région, pourcentage de l'effectif régi par la </w:t>
      </w:r>
      <w:r w:rsidRPr="00CC592F">
        <w:rPr>
          <w:rFonts w:cs="Arial"/>
          <w:b/>
          <w:i/>
          <w:sz w:val="24"/>
          <w:szCs w:val="24"/>
        </w:rPr>
        <w:t>Loi sur l’emploi dans la fonction publique</w:t>
      </w:r>
      <w:r w:rsidRPr="00CC592F">
        <w:rPr>
          <w:rFonts w:cs="Arial"/>
          <w:b/>
          <w:sz w:val="24"/>
          <w:szCs w:val="24"/>
        </w:rPr>
        <w:t xml:space="preserve"> au 31 mars 2019</w:t>
      </w:r>
    </w:p>
    <w:tbl>
      <w:tblPr>
        <w:tblStyle w:val="TableGrid"/>
        <w:tblW w:w="0" w:type="auto"/>
        <w:tblLook w:val="00A0" w:firstRow="1" w:lastRow="0" w:firstColumn="1" w:lastColumn="0" w:noHBand="0" w:noVBand="0"/>
        <w:tblDescription w:val="Effectif par région, Pourcentage de l'effectif régi par la Loi sur l’embauche dans la fonction publique au 31 mars 2019"/>
      </w:tblPr>
      <w:tblGrid>
        <w:gridCol w:w="4521"/>
        <w:gridCol w:w="2009"/>
        <w:gridCol w:w="2820"/>
      </w:tblGrid>
      <w:tr w:rsidR="002271FF" w:rsidRPr="00CC592F" w:rsidTr="00724186">
        <w:trPr>
          <w:trHeight w:val="290"/>
          <w:tblHeader/>
        </w:trPr>
        <w:tc>
          <w:tcPr>
            <w:tcW w:w="4705" w:type="dxa"/>
          </w:tcPr>
          <w:p w:rsidR="002271FF" w:rsidRPr="00CC592F" w:rsidRDefault="002271FF" w:rsidP="002271FF">
            <w:pPr>
              <w:autoSpaceDE w:val="0"/>
              <w:autoSpaceDN w:val="0"/>
              <w:adjustRightInd w:val="0"/>
              <w:rPr>
                <w:rFonts w:cs="Arial"/>
                <w:color w:val="000000"/>
                <w:sz w:val="24"/>
                <w:szCs w:val="24"/>
              </w:rPr>
            </w:pPr>
            <w:bookmarkStart w:id="9" w:name="Titre_4"/>
            <w:bookmarkEnd w:id="9"/>
            <w:r w:rsidRPr="00CC592F">
              <w:rPr>
                <w:rFonts w:cs="Arial"/>
                <w:color w:val="000000"/>
                <w:sz w:val="24"/>
                <w:szCs w:val="24"/>
              </w:rPr>
              <w:t>Région</w:t>
            </w:r>
          </w:p>
        </w:tc>
        <w:tc>
          <w:tcPr>
            <w:tcW w:w="207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sz w:val="24"/>
                <w:szCs w:val="24"/>
              </w:rPr>
              <w:t>Effectif au 31 mars 2019</w:t>
            </w:r>
          </w:p>
        </w:tc>
        <w:tc>
          <w:tcPr>
            <w:tcW w:w="2893" w:type="dxa"/>
          </w:tcPr>
          <w:p w:rsidR="002271FF" w:rsidRPr="00CC592F" w:rsidRDefault="002271FF" w:rsidP="002271FF">
            <w:pPr>
              <w:autoSpaceDE w:val="0"/>
              <w:autoSpaceDN w:val="0"/>
              <w:adjustRightInd w:val="0"/>
              <w:jc w:val="center"/>
              <w:rPr>
                <w:rFonts w:cs="Arial"/>
                <w:sz w:val="24"/>
                <w:szCs w:val="24"/>
              </w:rPr>
            </w:pPr>
            <w:r w:rsidRPr="00CC592F">
              <w:rPr>
                <w:rFonts w:cs="Arial"/>
                <w:sz w:val="24"/>
                <w:szCs w:val="24"/>
              </w:rPr>
              <w:t>Pourcentage de l'effectif au 31 mars 2019</w:t>
            </w:r>
          </w:p>
        </w:tc>
      </w:tr>
      <w:tr w:rsidR="002271FF" w:rsidRPr="00CC592F" w:rsidTr="00724186">
        <w:trPr>
          <w:trHeight w:val="290"/>
        </w:trPr>
        <w:tc>
          <w:tcPr>
            <w:tcW w:w="4705"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Région de la capitale nationale (RCN)</w:t>
            </w:r>
          </w:p>
        </w:tc>
        <w:tc>
          <w:tcPr>
            <w:tcW w:w="207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4 484</w:t>
            </w:r>
          </w:p>
        </w:tc>
        <w:tc>
          <w:tcPr>
            <w:tcW w:w="289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57%</w:t>
            </w:r>
          </w:p>
        </w:tc>
      </w:tr>
      <w:tr w:rsidR="002271FF" w:rsidRPr="00CC592F" w:rsidTr="00724186">
        <w:trPr>
          <w:trHeight w:val="290"/>
        </w:trPr>
        <w:tc>
          <w:tcPr>
            <w:tcW w:w="4705"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Régions à l’extérieur de la RCN</w:t>
            </w:r>
          </w:p>
        </w:tc>
        <w:tc>
          <w:tcPr>
            <w:tcW w:w="207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3 445</w:t>
            </w:r>
          </w:p>
        </w:tc>
        <w:tc>
          <w:tcPr>
            <w:tcW w:w="289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43%</w:t>
            </w:r>
          </w:p>
        </w:tc>
      </w:tr>
      <w:tr w:rsidR="002271FF" w:rsidRPr="00CC592F" w:rsidTr="00724186">
        <w:trPr>
          <w:trHeight w:val="290"/>
        </w:trPr>
        <w:tc>
          <w:tcPr>
            <w:tcW w:w="4705"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Inconnus</w:t>
            </w:r>
          </w:p>
        </w:tc>
        <w:tc>
          <w:tcPr>
            <w:tcW w:w="207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w:t>
            </w:r>
          </w:p>
        </w:tc>
        <w:tc>
          <w:tcPr>
            <w:tcW w:w="2893" w:type="dxa"/>
          </w:tcPr>
          <w:p w:rsidR="002271FF" w:rsidRPr="00CC592F" w:rsidRDefault="002271FF" w:rsidP="002271FF">
            <w:pPr>
              <w:autoSpaceDE w:val="0"/>
              <w:autoSpaceDN w:val="0"/>
              <w:adjustRightInd w:val="0"/>
              <w:jc w:val="center"/>
              <w:rPr>
                <w:rFonts w:cs="Arial"/>
                <w:color w:val="000000"/>
                <w:sz w:val="24"/>
                <w:szCs w:val="24"/>
              </w:rPr>
            </w:pPr>
          </w:p>
        </w:tc>
      </w:tr>
    </w:tbl>
    <w:p w:rsidR="002271FF" w:rsidRPr="00CC592F" w:rsidRDefault="002271FF" w:rsidP="002271FF">
      <w:pPr>
        <w:rPr>
          <w:rFonts w:cs="Arial"/>
          <w:b/>
          <w:sz w:val="24"/>
          <w:szCs w:val="24"/>
        </w:rPr>
      </w:pPr>
    </w:p>
    <w:p w:rsidR="002271FF" w:rsidRPr="00CC592F" w:rsidRDefault="002271FF" w:rsidP="002271FF">
      <w:pPr>
        <w:rPr>
          <w:rFonts w:cs="Arial"/>
          <w:b/>
          <w:sz w:val="24"/>
          <w:szCs w:val="24"/>
        </w:rPr>
      </w:pPr>
      <w:r w:rsidRPr="00CC592F">
        <w:rPr>
          <w:rFonts w:cs="Arial"/>
          <w:b/>
          <w:sz w:val="24"/>
          <w:szCs w:val="24"/>
        </w:rPr>
        <w:t>Embauche externe à des postes pour une période indéterminée selon le groupe professionnel, de 2018 à 2019</w:t>
      </w:r>
    </w:p>
    <w:tbl>
      <w:tblPr>
        <w:tblStyle w:val="TableGrid"/>
        <w:tblW w:w="0" w:type="auto"/>
        <w:tblLook w:val="00A0" w:firstRow="1" w:lastRow="0" w:firstColumn="1" w:lastColumn="0" w:noHBand="0" w:noVBand="0"/>
        <w:tblDescription w:val="Embauche externe pour une période indéterminée selon le groupe professionnel, de 2018 à 2019"/>
      </w:tblPr>
      <w:tblGrid>
        <w:gridCol w:w="3152"/>
        <w:gridCol w:w="3101"/>
        <w:gridCol w:w="3097"/>
      </w:tblGrid>
      <w:tr w:rsidR="002271FF" w:rsidRPr="00CC592F" w:rsidTr="00724186">
        <w:trPr>
          <w:trHeight w:val="290"/>
          <w:tblHeader/>
        </w:trPr>
        <w:tc>
          <w:tcPr>
            <w:tcW w:w="3617" w:type="dxa"/>
          </w:tcPr>
          <w:p w:rsidR="002271FF" w:rsidRPr="00CC592F" w:rsidRDefault="002271FF" w:rsidP="002271FF">
            <w:pPr>
              <w:autoSpaceDE w:val="0"/>
              <w:autoSpaceDN w:val="0"/>
              <w:adjustRightInd w:val="0"/>
              <w:rPr>
                <w:rFonts w:cs="Arial"/>
                <w:color w:val="000000"/>
                <w:sz w:val="24"/>
                <w:szCs w:val="24"/>
              </w:rPr>
            </w:pPr>
            <w:bookmarkStart w:id="10" w:name="Titre_5"/>
            <w:bookmarkEnd w:id="10"/>
            <w:r w:rsidRPr="00CC592F">
              <w:rPr>
                <w:rFonts w:cs="Arial"/>
                <w:b/>
                <w:sz w:val="24"/>
                <w:szCs w:val="24"/>
              </w:rPr>
              <w:t>Groupes professionnels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Nombre d'embauches pour une période indéterminée dans</w:t>
            </w:r>
          </w:p>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l’organisation</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Pourcentage d'embauches pour une période indéterminée dans l’organisation</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PM – Administration des programmes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40</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20%</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CR – Commis aux écritures et aux règlements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39</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19%</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AS – Services administratifs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37</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18%</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CS – Systèmes d’ordinateurs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36</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18%</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EC – Groupe Économique et services sciences sociales</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12%</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Autre</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28</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w:t>
            </w:r>
          </w:p>
        </w:tc>
      </w:tr>
      <w:tr w:rsidR="002271FF" w:rsidRPr="00CC592F" w:rsidTr="00724186">
        <w:trPr>
          <w:trHeight w:val="290"/>
        </w:trPr>
        <w:tc>
          <w:tcPr>
            <w:tcW w:w="3617"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Total</w:t>
            </w:r>
          </w:p>
        </w:tc>
        <w:tc>
          <w:tcPr>
            <w:tcW w:w="3589"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204</w:t>
            </w:r>
          </w:p>
        </w:tc>
        <w:tc>
          <w:tcPr>
            <w:tcW w:w="358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100%</w:t>
            </w:r>
          </w:p>
        </w:tc>
      </w:tr>
    </w:tbl>
    <w:p w:rsidR="002271FF" w:rsidRPr="00CC592F" w:rsidRDefault="002271FF" w:rsidP="002271FF">
      <w:pPr>
        <w:rPr>
          <w:rFonts w:cs="Arial"/>
          <w:b/>
          <w:sz w:val="24"/>
          <w:szCs w:val="24"/>
        </w:rPr>
      </w:pPr>
      <w:r w:rsidRPr="00CC592F">
        <w:rPr>
          <w:rFonts w:cs="Arial"/>
          <w:b/>
          <w:sz w:val="24"/>
          <w:szCs w:val="24"/>
        </w:rPr>
        <w:t>Pourcentage des activités de dotation dans la région de la capitale nationale en comparaison avec les régions à l’extérieur de la région de la capitale nationale selon l'exercice financier</w:t>
      </w:r>
    </w:p>
    <w:tbl>
      <w:tblPr>
        <w:tblStyle w:val="TableGrid"/>
        <w:tblW w:w="0" w:type="auto"/>
        <w:tblLook w:val="00A0" w:firstRow="1" w:lastRow="0" w:firstColumn="1" w:lastColumn="0" w:noHBand="0" w:noVBand="0"/>
        <w:tblDescription w:val="Pourcentage d'embauche dans la Région de la capitale nationale comparée avec les régions à l’extérieur de la région de la capitale nationale selon l'exercice financier"/>
      </w:tblPr>
      <w:tblGrid>
        <w:gridCol w:w="1546"/>
        <w:gridCol w:w="4320"/>
        <w:gridCol w:w="3484"/>
      </w:tblGrid>
      <w:tr w:rsidR="002271FF" w:rsidRPr="00CC592F" w:rsidTr="00724186">
        <w:trPr>
          <w:trHeight w:val="290"/>
          <w:tblHeader/>
        </w:trPr>
        <w:tc>
          <w:tcPr>
            <w:tcW w:w="1644" w:type="dxa"/>
          </w:tcPr>
          <w:p w:rsidR="002271FF" w:rsidRPr="00CC592F" w:rsidRDefault="002271FF" w:rsidP="002271FF">
            <w:pPr>
              <w:autoSpaceDE w:val="0"/>
              <w:autoSpaceDN w:val="0"/>
              <w:adjustRightInd w:val="0"/>
              <w:rPr>
                <w:rFonts w:cs="Arial"/>
                <w:color w:val="000000"/>
                <w:sz w:val="24"/>
                <w:szCs w:val="24"/>
              </w:rPr>
            </w:pPr>
            <w:bookmarkStart w:id="11" w:name="Titre_6"/>
            <w:bookmarkEnd w:id="11"/>
            <w:r w:rsidRPr="00CC592F">
              <w:rPr>
                <w:rFonts w:cs="Arial"/>
                <w:color w:val="000000"/>
                <w:sz w:val="24"/>
                <w:szCs w:val="24"/>
              </w:rPr>
              <w:t>L'exercice financier</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 xml:space="preserve">Pourcentage des activités de dotation à l’organisation qui a eu lieu dans la région de la capitale nationale (RCN) </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Pourcentage des activités de dotation à l’organisation qui a eu lieu à l’extérieur de la région de la capitale nationale (RCN)</w:t>
            </w:r>
          </w:p>
        </w:tc>
      </w:tr>
      <w:tr w:rsidR="002271FF" w:rsidRPr="00CC592F" w:rsidTr="00724186">
        <w:trPr>
          <w:trHeight w:val="290"/>
        </w:trPr>
        <w:tc>
          <w:tcPr>
            <w:tcW w:w="1644"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2014 à 2015</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56%</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44%</w:t>
            </w:r>
          </w:p>
        </w:tc>
      </w:tr>
      <w:tr w:rsidR="002271FF" w:rsidRPr="00CC592F" w:rsidTr="00724186">
        <w:trPr>
          <w:trHeight w:val="290"/>
        </w:trPr>
        <w:tc>
          <w:tcPr>
            <w:tcW w:w="1644"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2015 à 2016</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61%</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39%</w:t>
            </w:r>
          </w:p>
        </w:tc>
      </w:tr>
      <w:tr w:rsidR="002271FF" w:rsidRPr="00CC592F" w:rsidTr="00724186">
        <w:trPr>
          <w:trHeight w:val="290"/>
        </w:trPr>
        <w:tc>
          <w:tcPr>
            <w:tcW w:w="1644"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2016 à 2017</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60%</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40%</w:t>
            </w:r>
          </w:p>
        </w:tc>
      </w:tr>
      <w:tr w:rsidR="002271FF" w:rsidRPr="00CC592F" w:rsidTr="00724186">
        <w:trPr>
          <w:trHeight w:val="290"/>
        </w:trPr>
        <w:tc>
          <w:tcPr>
            <w:tcW w:w="1644"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62%</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38%</w:t>
            </w:r>
          </w:p>
        </w:tc>
      </w:tr>
      <w:tr w:rsidR="002271FF" w:rsidRPr="00CC592F" w:rsidTr="00724186">
        <w:trPr>
          <w:trHeight w:val="290"/>
        </w:trPr>
        <w:tc>
          <w:tcPr>
            <w:tcW w:w="1644"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511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57%</w:t>
            </w:r>
          </w:p>
        </w:tc>
        <w:tc>
          <w:tcPr>
            <w:tcW w:w="403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43%</w:t>
            </w:r>
          </w:p>
        </w:tc>
      </w:tr>
    </w:tbl>
    <w:p w:rsidR="002271FF" w:rsidRPr="00CC592F" w:rsidRDefault="002271FF" w:rsidP="002271FF">
      <w:pPr>
        <w:pStyle w:val="ListParagraph"/>
        <w:keepLines w:val="0"/>
        <w:numPr>
          <w:ilvl w:val="0"/>
          <w:numId w:val="12"/>
        </w:numPr>
        <w:spacing w:after="100" w:afterAutospacing="1" w:line="240" w:lineRule="auto"/>
        <w:contextualSpacing w:val="0"/>
        <w:rPr>
          <w:rFonts w:ascii="Arial" w:hAnsi="Arial" w:cs="Arial"/>
        </w:rPr>
      </w:pPr>
      <w:r w:rsidRPr="00CC592F">
        <w:rPr>
          <w:rFonts w:ascii="Arial" w:hAnsi="Arial" w:cs="Arial"/>
        </w:rPr>
        <w:t>La distribution régionale exclus les inconnus</w:t>
      </w:r>
    </w:p>
    <w:p w:rsidR="002271FF" w:rsidRPr="00CC592F" w:rsidRDefault="002271FF" w:rsidP="002271FF">
      <w:pPr>
        <w:rPr>
          <w:rFonts w:cs="Arial"/>
          <w:b/>
          <w:sz w:val="24"/>
          <w:szCs w:val="24"/>
        </w:rPr>
      </w:pPr>
      <w:r w:rsidRPr="00CC592F">
        <w:rPr>
          <w:rFonts w:cs="Arial"/>
          <w:b/>
          <w:sz w:val="24"/>
          <w:szCs w:val="24"/>
        </w:rPr>
        <w:lastRenderedPageBreak/>
        <w:t xml:space="preserve">Nombre et pourcentage des activités de dotation selon le type de processus et l’exercice financier </w:t>
      </w:r>
    </w:p>
    <w:tbl>
      <w:tblPr>
        <w:tblStyle w:val="TableGrid"/>
        <w:tblW w:w="0" w:type="auto"/>
        <w:tblLook w:val="00A0" w:firstRow="1" w:lastRow="0" w:firstColumn="1" w:lastColumn="0" w:noHBand="0" w:noVBand="0"/>
        <w:tblDescription w:val="Nombre et pourcentage des activités de dotation selon le type de processus et l’exercice financier "/>
      </w:tblPr>
      <w:tblGrid>
        <w:gridCol w:w="3247"/>
        <w:gridCol w:w="2658"/>
        <w:gridCol w:w="1653"/>
        <w:gridCol w:w="1792"/>
      </w:tblGrid>
      <w:tr w:rsidR="002271FF" w:rsidRPr="00CC592F" w:rsidTr="00724186">
        <w:trPr>
          <w:trHeight w:val="290"/>
          <w:tblHeader/>
        </w:trPr>
        <w:tc>
          <w:tcPr>
            <w:tcW w:w="3970" w:type="dxa"/>
          </w:tcPr>
          <w:p w:rsidR="002271FF" w:rsidRPr="00CC592F" w:rsidRDefault="002271FF" w:rsidP="002271FF">
            <w:pPr>
              <w:autoSpaceDE w:val="0"/>
              <w:autoSpaceDN w:val="0"/>
              <w:adjustRightInd w:val="0"/>
              <w:rPr>
                <w:rFonts w:cs="Arial"/>
                <w:color w:val="000000"/>
                <w:sz w:val="24"/>
                <w:szCs w:val="24"/>
              </w:rPr>
            </w:pPr>
            <w:bookmarkStart w:id="12" w:name="Titre_7"/>
            <w:bookmarkEnd w:id="12"/>
            <w:r w:rsidRPr="00CC592F">
              <w:rPr>
                <w:rFonts w:cs="Arial"/>
                <w:color w:val="000000"/>
                <w:sz w:val="24"/>
                <w:szCs w:val="24"/>
              </w:rPr>
              <w:t>Exercice financier</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Processus non annoncé (inconnus exclus)</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Processus annoncés</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 xml:space="preserve">Pourcentage de processus non annoncés </w:t>
            </w:r>
          </w:p>
        </w:tc>
      </w:tr>
      <w:tr w:rsidR="002271FF" w:rsidRPr="00CC592F" w:rsidTr="00724186">
        <w:trPr>
          <w:trHeight w:val="290"/>
        </w:trPr>
        <w:tc>
          <w:tcPr>
            <w:tcW w:w="397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2014 à 2015 </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468</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848</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36%</w:t>
            </w:r>
          </w:p>
        </w:tc>
      </w:tr>
      <w:tr w:rsidR="002271FF" w:rsidRPr="00CC592F" w:rsidTr="00724186">
        <w:trPr>
          <w:trHeight w:val="290"/>
        </w:trPr>
        <w:tc>
          <w:tcPr>
            <w:tcW w:w="397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2015 à 2016 </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335</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845</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28%</w:t>
            </w:r>
          </w:p>
        </w:tc>
      </w:tr>
      <w:tr w:rsidR="002271FF" w:rsidRPr="00CC592F" w:rsidTr="00724186">
        <w:trPr>
          <w:trHeight w:val="290"/>
        </w:trPr>
        <w:tc>
          <w:tcPr>
            <w:tcW w:w="397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2016 à 2017</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381</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946</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29%</w:t>
            </w:r>
          </w:p>
        </w:tc>
      </w:tr>
      <w:tr w:rsidR="002271FF" w:rsidRPr="00CC592F" w:rsidTr="00724186">
        <w:trPr>
          <w:trHeight w:val="290"/>
        </w:trPr>
        <w:tc>
          <w:tcPr>
            <w:tcW w:w="397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901</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1 056</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46%</w:t>
            </w:r>
          </w:p>
        </w:tc>
      </w:tr>
      <w:tr w:rsidR="002271FF" w:rsidRPr="00CC592F" w:rsidTr="00724186">
        <w:trPr>
          <w:trHeight w:val="290"/>
        </w:trPr>
        <w:tc>
          <w:tcPr>
            <w:tcW w:w="397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31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1 500</w:t>
            </w:r>
          </w:p>
        </w:tc>
        <w:tc>
          <w:tcPr>
            <w:tcW w:w="179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1 206</w:t>
            </w:r>
          </w:p>
        </w:tc>
        <w:tc>
          <w:tcPr>
            <w:tcW w:w="188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55%</w:t>
            </w:r>
          </w:p>
        </w:tc>
      </w:tr>
    </w:tbl>
    <w:p w:rsidR="002271FF" w:rsidRPr="00CC592F" w:rsidRDefault="002271FF" w:rsidP="002271FF">
      <w:pPr>
        <w:pStyle w:val="ListParagraph"/>
        <w:keepLines w:val="0"/>
        <w:numPr>
          <w:ilvl w:val="0"/>
          <w:numId w:val="10"/>
        </w:numPr>
        <w:spacing w:after="100" w:afterAutospacing="1" w:line="240" w:lineRule="auto"/>
        <w:contextualSpacing w:val="0"/>
        <w:rPr>
          <w:rFonts w:ascii="Arial" w:hAnsi="Arial" w:cs="Arial"/>
        </w:rPr>
      </w:pPr>
      <w:r w:rsidRPr="00CC592F">
        <w:rPr>
          <w:rFonts w:ascii="Arial" w:hAnsi="Arial" w:cs="Arial"/>
        </w:rPr>
        <w:t>Comprend les nominations pour une période indéterminée et pour une durée déterminée.</w:t>
      </w:r>
    </w:p>
    <w:p w:rsidR="002271FF" w:rsidRPr="00CC592F" w:rsidRDefault="002271FF" w:rsidP="002271FF">
      <w:pPr>
        <w:pStyle w:val="ListParagraph"/>
        <w:keepLines w:val="0"/>
        <w:numPr>
          <w:ilvl w:val="0"/>
          <w:numId w:val="10"/>
        </w:numPr>
        <w:spacing w:after="100" w:afterAutospacing="1" w:line="240" w:lineRule="auto"/>
        <w:contextualSpacing w:val="0"/>
        <w:rPr>
          <w:rFonts w:ascii="Arial" w:hAnsi="Arial" w:cs="Arial"/>
        </w:rPr>
      </w:pPr>
      <w:r w:rsidRPr="00CC592F">
        <w:rPr>
          <w:rFonts w:ascii="Arial" w:hAnsi="Arial" w:cs="Arial"/>
        </w:rPr>
        <w:t>Exclut les déplacements latéraux et régressifs, les mutations et les nominations intérimaires de moins de 4 mois.</w:t>
      </w:r>
    </w:p>
    <w:p w:rsidR="002271FF" w:rsidRPr="00CC592F" w:rsidRDefault="002271FF" w:rsidP="00583F4C">
      <w:pPr>
        <w:pStyle w:val="ListParagraph"/>
        <w:keepLines w:val="0"/>
        <w:numPr>
          <w:ilvl w:val="0"/>
          <w:numId w:val="10"/>
        </w:numPr>
        <w:spacing w:after="100" w:afterAutospacing="1" w:line="240" w:lineRule="auto"/>
        <w:contextualSpacing w:val="0"/>
        <w:rPr>
          <w:rFonts w:ascii="Arial" w:hAnsi="Arial" w:cs="Arial"/>
        </w:rPr>
      </w:pPr>
      <w:r w:rsidRPr="00CC592F">
        <w:rPr>
          <w:rFonts w:ascii="Arial" w:hAnsi="Arial" w:cs="Arial"/>
        </w:rPr>
        <w:t>Inclut seulement les nominations où le type de processus est connu (56% à 70% des nominations).</w:t>
      </w:r>
    </w:p>
    <w:p w:rsidR="002271FF" w:rsidRPr="00CC592F" w:rsidRDefault="002271FF" w:rsidP="002271FF">
      <w:pPr>
        <w:rPr>
          <w:rFonts w:cs="Arial"/>
          <w:b/>
          <w:sz w:val="24"/>
          <w:szCs w:val="24"/>
        </w:rPr>
      </w:pPr>
      <w:r w:rsidRPr="00CC592F">
        <w:rPr>
          <w:rFonts w:cs="Arial"/>
          <w:b/>
          <w:sz w:val="24"/>
          <w:szCs w:val="24"/>
        </w:rPr>
        <w:t>Activités de dotation selon le type de nomination et exercice financier</w:t>
      </w:r>
    </w:p>
    <w:tbl>
      <w:tblPr>
        <w:tblStyle w:val="TableGrid"/>
        <w:tblW w:w="0" w:type="auto"/>
        <w:tblLook w:val="00A0" w:firstRow="1" w:lastRow="0" w:firstColumn="1" w:lastColumn="0" w:noHBand="0" w:noVBand="0"/>
        <w:tblDescription w:val="Activités de dotation selon le type de nomination et exercice financier"/>
      </w:tblPr>
      <w:tblGrid>
        <w:gridCol w:w="1388"/>
        <w:gridCol w:w="1422"/>
        <w:gridCol w:w="1774"/>
        <w:gridCol w:w="2043"/>
        <w:gridCol w:w="1913"/>
        <w:gridCol w:w="810"/>
      </w:tblGrid>
      <w:tr w:rsidR="002271FF" w:rsidRPr="00CC592F" w:rsidTr="00724186">
        <w:trPr>
          <w:tblHeader/>
        </w:trPr>
        <w:tc>
          <w:tcPr>
            <w:tcW w:w="1700" w:type="dxa"/>
          </w:tcPr>
          <w:p w:rsidR="002271FF" w:rsidRPr="00CC592F" w:rsidRDefault="002271FF" w:rsidP="002271FF">
            <w:pPr>
              <w:autoSpaceDE w:val="0"/>
              <w:autoSpaceDN w:val="0"/>
              <w:adjustRightInd w:val="0"/>
              <w:rPr>
                <w:rFonts w:cs="Arial"/>
                <w:color w:val="000000"/>
                <w:sz w:val="24"/>
                <w:szCs w:val="24"/>
              </w:rPr>
            </w:pPr>
            <w:bookmarkStart w:id="13" w:name="Titre_8"/>
            <w:bookmarkEnd w:id="13"/>
            <w:r w:rsidRPr="00CC592F">
              <w:rPr>
                <w:rFonts w:cs="Arial"/>
                <w:color w:val="000000"/>
                <w:sz w:val="24"/>
                <w:szCs w:val="24"/>
              </w:rPr>
              <w:t>Exercice financier</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Promotions</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Déplacements latéraux et régressifs</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Nominations à la fonction publique (y compris les employés occasionnels et les étudiants)</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Nominations intérimaires (Excluant les nominations de moins de 4 mois)</w:t>
            </w:r>
          </w:p>
        </w:tc>
        <w:tc>
          <w:tcPr>
            <w:tcW w:w="895"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Total</w:t>
            </w:r>
          </w:p>
        </w:tc>
      </w:tr>
      <w:tr w:rsidR="002271FF" w:rsidRPr="00CC592F" w:rsidTr="00724186">
        <w:tc>
          <w:tcPr>
            <w:tcW w:w="170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2014 à 2015 </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434</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659</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2 907</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793</w:t>
            </w:r>
          </w:p>
        </w:tc>
        <w:tc>
          <w:tcPr>
            <w:tcW w:w="89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4 793</w:t>
            </w:r>
          </w:p>
        </w:tc>
      </w:tr>
      <w:tr w:rsidR="002271FF" w:rsidRPr="00CC592F" w:rsidTr="00724186">
        <w:tc>
          <w:tcPr>
            <w:tcW w:w="170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2015 à 2016</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496</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817</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3 016</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774</w:t>
            </w:r>
          </w:p>
        </w:tc>
        <w:tc>
          <w:tcPr>
            <w:tcW w:w="89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5 103</w:t>
            </w:r>
          </w:p>
        </w:tc>
      </w:tr>
      <w:tr w:rsidR="002271FF" w:rsidRPr="00CC592F" w:rsidTr="00724186">
        <w:tc>
          <w:tcPr>
            <w:tcW w:w="170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2016 à 2017 </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641</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930</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2 861</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798</w:t>
            </w:r>
          </w:p>
        </w:tc>
        <w:tc>
          <w:tcPr>
            <w:tcW w:w="89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5 230</w:t>
            </w:r>
          </w:p>
        </w:tc>
      </w:tr>
      <w:tr w:rsidR="002271FF" w:rsidRPr="00CC592F" w:rsidTr="00724186">
        <w:tc>
          <w:tcPr>
            <w:tcW w:w="170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856</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1 056</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3 293</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964</w:t>
            </w:r>
          </w:p>
        </w:tc>
        <w:tc>
          <w:tcPr>
            <w:tcW w:w="89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6 169</w:t>
            </w:r>
          </w:p>
        </w:tc>
      </w:tr>
      <w:tr w:rsidR="002271FF" w:rsidRPr="00CC592F" w:rsidTr="00724186">
        <w:tc>
          <w:tcPr>
            <w:tcW w:w="1700"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144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1 418</w:t>
            </w:r>
          </w:p>
        </w:tc>
        <w:tc>
          <w:tcPr>
            <w:tcW w:w="1873"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1 193</w:t>
            </w:r>
          </w:p>
        </w:tc>
        <w:tc>
          <w:tcPr>
            <w:tcW w:w="257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3 697</w:t>
            </w:r>
          </w:p>
        </w:tc>
        <w:tc>
          <w:tcPr>
            <w:tcW w:w="2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1 164</w:t>
            </w:r>
          </w:p>
        </w:tc>
        <w:tc>
          <w:tcPr>
            <w:tcW w:w="89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7 472</w:t>
            </w:r>
          </w:p>
        </w:tc>
      </w:tr>
    </w:tbl>
    <w:p w:rsidR="00FF6075" w:rsidRPr="00CC592F" w:rsidRDefault="00FF6075" w:rsidP="002271FF">
      <w:pPr>
        <w:rPr>
          <w:rFonts w:cs="Arial"/>
          <w:b/>
          <w:sz w:val="24"/>
          <w:szCs w:val="24"/>
        </w:rPr>
      </w:pPr>
    </w:p>
    <w:p w:rsidR="00FF6075" w:rsidRPr="00CC592F" w:rsidRDefault="00FF6075" w:rsidP="00FF6075">
      <w:r w:rsidRPr="00CC592F">
        <w:br w:type="page"/>
      </w:r>
    </w:p>
    <w:p w:rsidR="002271FF" w:rsidRPr="00CC592F" w:rsidRDefault="002271FF" w:rsidP="002271FF">
      <w:pPr>
        <w:rPr>
          <w:rFonts w:cs="Arial"/>
          <w:b/>
          <w:sz w:val="24"/>
          <w:szCs w:val="24"/>
        </w:rPr>
      </w:pPr>
      <w:r w:rsidRPr="00CC592F">
        <w:rPr>
          <w:rFonts w:cs="Arial"/>
          <w:b/>
          <w:sz w:val="24"/>
          <w:szCs w:val="24"/>
        </w:rPr>
        <w:lastRenderedPageBreak/>
        <w:t>Activités de dotation selon la durée d’emploi et l’exercice financier</w:t>
      </w:r>
    </w:p>
    <w:tbl>
      <w:tblPr>
        <w:tblStyle w:val="TableGrid"/>
        <w:tblW w:w="0" w:type="auto"/>
        <w:tblLook w:val="00A0" w:firstRow="1" w:lastRow="0" w:firstColumn="1" w:lastColumn="0" w:noHBand="0" w:noVBand="0"/>
        <w:tblDescription w:val="Activités de dotation selon la durée d’emploi et l’exercice financier"/>
      </w:tblPr>
      <w:tblGrid>
        <w:gridCol w:w="2343"/>
        <w:gridCol w:w="1591"/>
        <w:gridCol w:w="1405"/>
        <w:gridCol w:w="1563"/>
        <w:gridCol w:w="1247"/>
        <w:gridCol w:w="1201"/>
      </w:tblGrid>
      <w:tr w:rsidR="002271FF" w:rsidRPr="00CC592F" w:rsidTr="00724186">
        <w:trPr>
          <w:tblHeader/>
        </w:trPr>
        <w:tc>
          <w:tcPr>
            <w:tcW w:w="3532" w:type="dxa"/>
          </w:tcPr>
          <w:p w:rsidR="002271FF" w:rsidRPr="00CC592F" w:rsidRDefault="002271FF" w:rsidP="002271FF">
            <w:pPr>
              <w:autoSpaceDE w:val="0"/>
              <w:autoSpaceDN w:val="0"/>
              <w:adjustRightInd w:val="0"/>
              <w:rPr>
                <w:rFonts w:cs="Arial"/>
                <w:color w:val="000000"/>
                <w:sz w:val="24"/>
                <w:szCs w:val="24"/>
              </w:rPr>
            </w:pPr>
            <w:bookmarkStart w:id="14" w:name="Titre_9"/>
            <w:bookmarkEnd w:id="14"/>
            <w:r w:rsidRPr="00CC592F">
              <w:rPr>
                <w:rFonts w:cs="Arial"/>
                <w:color w:val="000000"/>
                <w:sz w:val="24"/>
                <w:szCs w:val="24"/>
              </w:rPr>
              <w:t>Exercice financier</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Activités de dotation pour des postes pour une période indéterminée</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Activités de dotation pour des postes de durée déterminée</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Activités de dotation de durée pour les emplois occasionnels</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Activités de dotation pour les emplois étudiants</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Activités de dotation totale</w:t>
            </w:r>
          </w:p>
        </w:tc>
      </w:tr>
      <w:tr w:rsidR="002271FF" w:rsidRPr="00CC592F" w:rsidTr="00724186">
        <w:tc>
          <w:tcPr>
            <w:tcW w:w="3532"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2014 à 2015</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1 612</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1 038</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1 787</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356</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4 793</w:t>
            </w:r>
          </w:p>
        </w:tc>
      </w:tr>
      <w:tr w:rsidR="002271FF" w:rsidRPr="00CC592F" w:rsidTr="00724186">
        <w:tc>
          <w:tcPr>
            <w:tcW w:w="3532"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2015 à 2016</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1 789</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1 091</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1 858</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365</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5 103</w:t>
            </w:r>
          </w:p>
        </w:tc>
      </w:tr>
      <w:tr w:rsidR="002271FF" w:rsidRPr="00CC592F" w:rsidTr="00724186">
        <w:tc>
          <w:tcPr>
            <w:tcW w:w="3532"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2016 à 2017</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2 032</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1 273</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1 676</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249</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5 230</w:t>
            </w:r>
          </w:p>
        </w:tc>
      </w:tr>
      <w:tr w:rsidR="002271FF" w:rsidRPr="00CC592F" w:rsidTr="00724186">
        <w:tc>
          <w:tcPr>
            <w:tcW w:w="3532"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2 558</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1 446</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1 922</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243</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6 169</w:t>
            </w:r>
          </w:p>
        </w:tc>
      </w:tr>
      <w:tr w:rsidR="002271FF" w:rsidRPr="00CC592F" w:rsidTr="00724186">
        <w:tc>
          <w:tcPr>
            <w:tcW w:w="3532"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3 370</w:t>
            </w:r>
          </w:p>
        </w:tc>
        <w:tc>
          <w:tcPr>
            <w:tcW w:w="1417"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1 711</w:t>
            </w:r>
          </w:p>
        </w:tc>
        <w:tc>
          <w:tcPr>
            <w:tcW w:w="160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2 056</w:t>
            </w:r>
          </w:p>
        </w:tc>
        <w:tc>
          <w:tcPr>
            <w:tcW w:w="1325"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335</w:t>
            </w:r>
          </w:p>
        </w:tc>
        <w:tc>
          <w:tcPr>
            <w:tcW w:w="1308"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7 472</w:t>
            </w:r>
          </w:p>
        </w:tc>
      </w:tr>
    </w:tbl>
    <w:p w:rsidR="002271FF" w:rsidRPr="00CC592F" w:rsidRDefault="002271FF" w:rsidP="002271FF">
      <w:pPr>
        <w:rPr>
          <w:rFonts w:cs="Arial"/>
          <w:sz w:val="24"/>
          <w:szCs w:val="24"/>
        </w:rPr>
      </w:pPr>
    </w:p>
    <w:p w:rsidR="002271FF" w:rsidRPr="00CC592F" w:rsidRDefault="002271FF" w:rsidP="002271FF">
      <w:pPr>
        <w:contextualSpacing/>
        <w:rPr>
          <w:rFonts w:cs="Arial"/>
          <w:b/>
          <w:sz w:val="24"/>
          <w:szCs w:val="24"/>
        </w:rPr>
      </w:pPr>
      <w:r w:rsidRPr="00CC592F">
        <w:rPr>
          <w:rFonts w:cs="Arial"/>
          <w:b/>
          <w:sz w:val="24"/>
          <w:szCs w:val="24"/>
        </w:rPr>
        <w:t>Sondage sur la dotation et l’impartialité politique (2018) – Principales constatations</w:t>
      </w:r>
    </w:p>
    <w:p w:rsidR="002271FF" w:rsidRPr="00CC592F" w:rsidRDefault="002271FF" w:rsidP="002271FF">
      <w:pPr>
        <w:pStyle w:val="ListParagraph"/>
        <w:keepLines w:val="0"/>
        <w:numPr>
          <w:ilvl w:val="0"/>
          <w:numId w:val="11"/>
        </w:numPr>
        <w:spacing w:before="100" w:beforeAutospacing="1" w:after="100" w:afterAutospacing="1" w:line="240" w:lineRule="auto"/>
        <w:jc w:val="both"/>
        <w:rPr>
          <w:rFonts w:ascii="Arial" w:hAnsi="Arial" w:cs="Arial"/>
        </w:rPr>
      </w:pPr>
      <w:r w:rsidRPr="00CC592F">
        <w:rPr>
          <w:rFonts w:ascii="Arial" w:hAnsi="Arial" w:cs="Arial"/>
        </w:rPr>
        <w:t xml:space="preserve">56,0% des </w:t>
      </w:r>
      <w:r w:rsidRPr="00CC592F">
        <w:rPr>
          <w:rFonts w:ascii="Arial" w:hAnsi="Arial" w:cs="Arial"/>
          <w:b/>
        </w:rPr>
        <w:t>employés</w:t>
      </w:r>
      <w:r w:rsidRPr="00CC592F">
        <w:rPr>
          <w:rFonts w:ascii="Arial" w:hAnsi="Arial" w:cs="Arial"/>
        </w:rPr>
        <w:t xml:space="preserve"> estiment que les personnes embauchées peuvent effectuer le travail, comparativement à 52,3% dans les organisations de même taille et à 53,8% dans la fonction publique fédérale.</w:t>
      </w:r>
    </w:p>
    <w:p w:rsidR="002271FF" w:rsidRPr="00CC592F" w:rsidRDefault="002271FF" w:rsidP="002271FF">
      <w:pPr>
        <w:pStyle w:val="ListParagraph"/>
        <w:keepLines w:val="0"/>
        <w:numPr>
          <w:ilvl w:val="0"/>
          <w:numId w:val="11"/>
        </w:numPr>
        <w:spacing w:before="100" w:beforeAutospacing="1" w:after="100" w:afterAutospacing="1" w:line="240" w:lineRule="auto"/>
        <w:jc w:val="both"/>
        <w:rPr>
          <w:rFonts w:ascii="Arial" w:hAnsi="Arial" w:cs="Arial"/>
        </w:rPr>
      </w:pPr>
      <w:r w:rsidRPr="00CC592F">
        <w:rPr>
          <w:rFonts w:ascii="Arial" w:hAnsi="Arial" w:cs="Arial"/>
        </w:rPr>
        <w:t xml:space="preserve">70,9% des </w:t>
      </w:r>
      <w:r w:rsidRPr="00CC592F">
        <w:rPr>
          <w:rFonts w:ascii="Arial" w:hAnsi="Arial" w:cs="Arial"/>
          <w:b/>
        </w:rPr>
        <w:t>gestionnaires</w:t>
      </w:r>
      <w:r w:rsidRPr="00CC592F">
        <w:rPr>
          <w:rFonts w:ascii="Arial" w:hAnsi="Arial" w:cs="Arial"/>
        </w:rPr>
        <w:t xml:space="preserve"> estiment que la Nouvelle orientation en dotation a amélioré la façon d'embaucher et de nommer les candidats au sein de leur organisation, comparativement à 54,4% dans les organisations de même taille et à 56,1% dans la fonction publique fédérale.</w:t>
      </w:r>
    </w:p>
    <w:p w:rsidR="002271FF" w:rsidRPr="00CC592F" w:rsidRDefault="002271FF" w:rsidP="002271FF">
      <w:pPr>
        <w:pStyle w:val="ListParagraph"/>
        <w:keepLines w:val="0"/>
        <w:numPr>
          <w:ilvl w:val="0"/>
          <w:numId w:val="11"/>
        </w:numPr>
        <w:spacing w:before="100" w:beforeAutospacing="1" w:after="100" w:afterAutospacing="1" w:line="240" w:lineRule="auto"/>
        <w:jc w:val="both"/>
        <w:rPr>
          <w:rFonts w:ascii="Arial" w:hAnsi="Arial" w:cs="Arial"/>
        </w:rPr>
      </w:pPr>
      <w:r w:rsidRPr="00CC592F">
        <w:rPr>
          <w:rFonts w:ascii="Arial" w:hAnsi="Arial" w:cs="Arial"/>
        </w:rPr>
        <w:t xml:space="preserve">80,7% des </w:t>
      </w:r>
      <w:r w:rsidRPr="00CC592F">
        <w:rPr>
          <w:rFonts w:ascii="Arial" w:hAnsi="Arial" w:cs="Arial"/>
          <w:b/>
        </w:rPr>
        <w:t>gestionnaires</w:t>
      </w:r>
      <w:r w:rsidRPr="00CC592F">
        <w:rPr>
          <w:rFonts w:ascii="Arial" w:hAnsi="Arial" w:cs="Arial"/>
        </w:rPr>
        <w:t xml:space="preserve"> estiment qu'au sein de leur organisation, le processus administratif visant à pourvoir un poste est </w:t>
      </w:r>
      <w:r w:rsidRPr="00CC592F">
        <w:rPr>
          <w:rFonts w:ascii="Arial" w:hAnsi="Arial" w:cs="Arial"/>
          <w:b/>
        </w:rPr>
        <w:t>lourd</w:t>
      </w:r>
      <w:r w:rsidRPr="00CC592F">
        <w:rPr>
          <w:rFonts w:ascii="Arial" w:hAnsi="Arial" w:cs="Arial"/>
        </w:rPr>
        <w:t>, comparativement à 88,6% dans les organisations de même taille et à 87,9% dans la fonction publique fédérale.</w:t>
      </w:r>
    </w:p>
    <w:p w:rsidR="002271FF" w:rsidRPr="00CC592F" w:rsidRDefault="002271FF" w:rsidP="002271FF">
      <w:pPr>
        <w:contextualSpacing/>
        <w:jc w:val="both"/>
        <w:rPr>
          <w:rFonts w:cs="Arial"/>
          <w:b/>
          <w:sz w:val="24"/>
          <w:szCs w:val="24"/>
        </w:rPr>
      </w:pPr>
      <w:r w:rsidRPr="00CC592F">
        <w:rPr>
          <w:rFonts w:cs="Arial"/>
          <w:b/>
          <w:sz w:val="24"/>
          <w:szCs w:val="24"/>
        </w:rPr>
        <w:t>Activités d’embauche d’étudiants selon le programme de recrutement et l’exercice financier</w:t>
      </w:r>
    </w:p>
    <w:tbl>
      <w:tblPr>
        <w:tblStyle w:val="TableGrid"/>
        <w:tblW w:w="0" w:type="auto"/>
        <w:tblLook w:val="00A0" w:firstRow="1" w:lastRow="0" w:firstColumn="1" w:lastColumn="0" w:noHBand="0" w:noVBand="0"/>
        <w:tblDescription w:val="Activités d’embauche des étudiants selon le programme de recrutement et l’exercice financier"/>
      </w:tblPr>
      <w:tblGrid>
        <w:gridCol w:w="2559"/>
        <w:gridCol w:w="2110"/>
        <w:gridCol w:w="2042"/>
        <w:gridCol w:w="1817"/>
        <w:gridCol w:w="822"/>
      </w:tblGrid>
      <w:tr w:rsidR="002271FF" w:rsidRPr="00CC592F" w:rsidTr="00724186">
        <w:trPr>
          <w:tblHeader/>
        </w:trPr>
        <w:tc>
          <w:tcPr>
            <w:tcW w:w="3338" w:type="dxa"/>
          </w:tcPr>
          <w:p w:rsidR="002271FF" w:rsidRPr="00CC592F" w:rsidRDefault="002271FF" w:rsidP="002271FF">
            <w:pPr>
              <w:autoSpaceDE w:val="0"/>
              <w:autoSpaceDN w:val="0"/>
              <w:adjustRightInd w:val="0"/>
              <w:rPr>
                <w:rFonts w:cs="Arial"/>
                <w:color w:val="000000"/>
                <w:sz w:val="24"/>
                <w:szCs w:val="24"/>
              </w:rPr>
            </w:pPr>
            <w:bookmarkStart w:id="15" w:name="Titre_10"/>
            <w:bookmarkEnd w:id="15"/>
            <w:r w:rsidRPr="00CC592F">
              <w:rPr>
                <w:rFonts w:cs="Arial"/>
                <w:color w:val="000000"/>
                <w:sz w:val="24"/>
                <w:szCs w:val="24"/>
              </w:rPr>
              <w:t>Exercice financier</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 xml:space="preserve">Programme fédéral d’expérience de travail étudiant </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 xml:space="preserve">Programme postsecondaire d'enseignement coopératif/de stages </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Programme des adjoints de recherche</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Total</w:t>
            </w:r>
          </w:p>
        </w:tc>
      </w:tr>
      <w:tr w:rsidR="002271FF" w:rsidRPr="00CC592F" w:rsidTr="00724186">
        <w:tc>
          <w:tcPr>
            <w:tcW w:w="3338"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2014 à 2015</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290</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52</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356</w:t>
            </w:r>
          </w:p>
        </w:tc>
      </w:tr>
      <w:tr w:rsidR="002271FF" w:rsidRPr="00CC592F" w:rsidTr="00724186">
        <w:tc>
          <w:tcPr>
            <w:tcW w:w="3338"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2015 à 2016</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336</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17</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12</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365</w:t>
            </w:r>
          </w:p>
        </w:tc>
      </w:tr>
      <w:tr w:rsidR="002271FF" w:rsidRPr="00CC592F" w:rsidTr="00724186">
        <w:tc>
          <w:tcPr>
            <w:tcW w:w="3338"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2016 à 2017</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216</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33</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249</w:t>
            </w:r>
          </w:p>
        </w:tc>
      </w:tr>
      <w:tr w:rsidR="002271FF" w:rsidRPr="00CC592F" w:rsidTr="00724186">
        <w:tc>
          <w:tcPr>
            <w:tcW w:w="3338"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197</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46</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243</w:t>
            </w:r>
          </w:p>
        </w:tc>
      </w:tr>
      <w:tr w:rsidR="002271FF" w:rsidRPr="00CC592F" w:rsidTr="00724186">
        <w:tc>
          <w:tcPr>
            <w:tcW w:w="3338" w:type="dxa"/>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2424"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235</w:t>
            </w:r>
          </w:p>
        </w:tc>
        <w:tc>
          <w:tcPr>
            <w:tcW w:w="2136"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100</w:t>
            </w:r>
          </w:p>
        </w:tc>
        <w:tc>
          <w:tcPr>
            <w:tcW w:w="2020"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872" w:type="dxa"/>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335</w:t>
            </w:r>
          </w:p>
        </w:tc>
      </w:tr>
    </w:tbl>
    <w:p w:rsidR="002271FF" w:rsidRPr="00CC592F" w:rsidRDefault="002271FF" w:rsidP="002271FF">
      <w:pPr>
        <w:rPr>
          <w:rFonts w:cs="Arial"/>
          <w:sz w:val="24"/>
          <w:szCs w:val="24"/>
        </w:rPr>
      </w:pPr>
    </w:p>
    <w:p w:rsidR="00FF6075" w:rsidRPr="00CC592F" w:rsidRDefault="00FF6075">
      <w:pPr>
        <w:keepLines w:val="0"/>
        <w:rPr>
          <w:rFonts w:cs="Arial"/>
          <w:b/>
          <w:bCs/>
          <w:sz w:val="24"/>
          <w:szCs w:val="24"/>
        </w:rPr>
      </w:pPr>
      <w:r w:rsidRPr="00CC592F">
        <w:rPr>
          <w:rFonts w:cs="Arial"/>
          <w:b/>
          <w:bCs/>
          <w:sz w:val="24"/>
          <w:szCs w:val="24"/>
        </w:rPr>
        <w:br w:type="page"/>
      </w:r>
    </w:p>
    <w:p w:rsidR="002271FF" w:rsidRPr="00CC592F" w:rsidRDefault="002271FF" w:rsidP="002271FF">
      <w:pPr>
        <w:rPr>
          <w:rFonts w:cs="Arial"/>
          <w:b/>
          <w:sz w:val="24"/>
          <w:szCs w:val="24"/>
        </w:rPr>
      </w:pPr>
      <w:r w:rsidRPr="00CC592F">
        <w:rPr>
          <w:rFonts w:cs="Arial"/>
          <w:b/>
          <w:bCs/>
          <w:sz w:val="24"/>
          <w:szCs w:val="24"/>
        </w:rPr>
        <w:lastRenderedPageBreak/>
        <w:t>Activités d'embauche externe pour une période indéterminée et d'une durée déterminée : Programme de recrutement postsecondaire et embauche d'anciens étudiants</w:t>
      </w:r>
      <w:r w:rsidRPr="00CC592F">
        <w:rPr>
          <w:rFonts w:cs="Arial"/>
          <w:b/>
          <w:sz w:val="24"/>
          <w:szCs w:val="24"/>
        </w:rPr>
        <w:t xml:space="preserve"> selon l’exercice financier </w:t>
      </w:r>
    </w:p>
    <w:tbl>
      <w:tblPr>
        <w:tblStyle w:val="TableGrid"/>
        <w:tblW w:w="0" w:type="auto"/>
        <w:tblLook w:val="00A0" w:firstRow="1" w:lastRow="0" w:firstColumn="1" w:lastColumn="0" w:noHBand="0" w:noVBand="0"/>
        <w:tblDescription w:val="Activités d'embauche externe pour une période indéterminée et d'une durée déterminée : Programme de recrutement postsecondaire et embauche d'anciens étudiants&#10;"/>
      </w:tblPr>
      <w:tblGrid>
        <w:gridCol w:w="1700"/>
        <w:gridCol w:w="4866"/>
        <w:gridCol w:w="2784"/>
      </w:tblGrid>
      <w:tr w:rsidR="002271FF" w:rsidRPr="00CC592F" w:rsidTr="00724186">
        <w:trPr>
          <w:tblHeader/>
        </w:trPr>
        <w:tc>
          <w:tcPr>
            <w:tcW w:w="0" w:type="auto"/>
          </w:tcPr>
          <w:p w:rsidR="002271FF" w:rsidRPr="00CC592F" w:rsidRDefault="002271FF" w:rsidP="002271FF">
            <w:pPr>
              <w:autoSpaceDE w:val="0"/>
              <w:autoSpaceDN w:val="0"/>
              <w:adjustRightInd w:val="0"/>
              <w:rPr>
                <w:rFonts w:cs="Arial"/>
                <w:color w:val="000000"/>
                <w:sz w:val="24"/>
                <w:szCs w:val="24"/>
              </w:rPr>
            </w:pPr>
            <w:bookmarkStart w:id="16" w:name="Titre_11"/>
            <w:bookmarkEnd w:id="16"/>
            <w:r w:rsidRPr="00CC592F">
              <w:rPr>
                <w:rFonts w:cs="Arial"/>
                <w:color w:val="000000"/>
                <w:sz w:val="24"/>
                <w:szCs w:val="24"/>
              </w:rPr>
              <w:t>Exercice financier</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Embauches du programme de recrutement postsecondaire</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Embauches d’anciens étudiants</w:t>
            </w:r>
          </w:p>
        </w:tc>
      </w:tr>
      <w:tr w:rsidR="002271FF" w:rsidRPr="00CC592F" w:rsidTr="00724186">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2014 à 2015</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139</w:t>
            </w:r>
          </w:p>
        </w:tc>
      </w:tr>
      <w:tr w:rsidR="002271FF" w:rsidRPr="00CC592F" w:rsidTr="00724186">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2015 à 2016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50</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129</w:t>
            </w:r>
          </w:p>
        </w:tc>
      </w:tr>
      <w:tr w:rsidR="002271FF" w:rsidRPr="00CC592F" w:rsidTr="00724186">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2016 à 2017</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16</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170</w:t>
            </w:r>
          </w:p>
        </w:tc>
      </w:tr>
      <w:tr w:rsidR="002271FF" w:rsidRPr="00CC592F" w:rsidTr="00724186">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2017 à 2018</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32</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144</w:t>
            </w:r>
          </w:p>
        </w:tc>
      </w:tr>
      <w:tr w:rsidR="002271FF" w:rsidRPr="00CC592F" w:rsidTr="00724186">
        <w:tc>
          <w:tcPr>
            <w:tcW w:w="0" w:type="auto"/>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2018 à 2019</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30</w:t>
            </w:r>
          </w:p>
        </w:tc>
        <w:tc>
          <w:tcPr>
            <w:tcW w:w="0" w:type="auto"/>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152</w:t>
            </w:r>
          </w:p>
        </w:tc>
      </w:tr>
    </w:tbl>
    <w:p w:rsidR="002271FF" w:rsidRPr="00CC592F" w:rsidRDefault="002271FF" w:rsidP="002271FF">
      <w:pPr>
        <w:spacing w:after="240"/>
        <w:rPr>
          <w:rFonts w:cs="Arial"/>
          <w:sz w:val="24"/>
          <w:szCs w:val="24"/>
        </w:rPr>
      </w:pPr>
      <w:r w:rsidRPr="00CC592F">
        <w:rPr>
          <w:rFonts w:cs="Arial"/>
          <w:sz w:val="24"/>
          <w:szCs w:val="24"/>
        </w:rPr>
        <w:t xml:space="preserve">L’embauche des anciens étudiants qui avaient une expérience dans le programme fédéral de recrutement étudiant au cours des 10 dernières années. </w:t>
      </w:r>
    </w:p>
    <w:tbl>
      <w:tblPr>
        <w:tblStyle w:val="TableGrid"/>
        <w:tblW w:w="0" w:type="auto"/>
        <w:tblLook w:val="04A0" w:firstRow="1" w:lastRow="0" w:firstColumn="1" w:lastColumn="0" w:noHBand="0" w:noVBand="1"/>
        <w:tblDescription w:val="Fonction publique et organisation spécifiée – Durée de dotation interne pour l’exercice financier de 2018 à 2019"/>
      </w:tblPr>
      <w:tblGrid>
        <w:gridCol w:w="4675"/>
        <w:gridCol w:w="4675"/>
      </w:tblGrid>
      <w:tr w:rsidR="002271FF" w:rsidRPr="00CC592F" w:rsidTr="002271FF">
        <w:trPr>
          <w:tblHeader/>
        </w:trPr>
        <w:tc>
          <w:tcPr>
            <w:tcW w:w="4675" w:type="dxa"/>
          </w:tcPr>
          <w:p w:rsidR="002271FF" w:rsidRPr="00CC592F" w:rsidRDefault="002271FF" w:rsidP="002271FF">
            <w:pPr>
              <w:rPr>
                <w:b/>
              </w:rPr>
            </w:pPr>
            <w:r w:rsidRPr="00CC592F">
              <w:rPr>
                <w:b/>
              </w:rPr>
              <w:t>Durée de dotation interne pour l’exercice financier de 2018 à 2019</w:t>
            </w:r>
          </w:p>
        </w:tc>
        <w:tc>
          <w:tcPr>
            <w:tcW w:w="4675" w:type="dxa"/>
          </w:tcPr>
          <w:p w:rsidR="002271FF" w:rsidRPr="00CC592F" w:rsidRDefault="002271FF" w:rsidP="002271FF">
            <w:pPr>
              <w:rPr>
                <w:b/>
              </w:rPr>
            </w:pPr>
            <w:r w:rsidRPr="00CC592F">
              <w:rPr>
                <w:rFonts w:cs="Arial"/>
                <w:b/>
              </w:rPr>
              <w:t>Durée de dotation externe pour l’exercice financier 2018 à 2019</w:t>
            </w:r>
          </w:p>
        </w:tc>
      </w:tr>
      <w:tr w:rsidR="002271FF" w:rsidRPr="00CC592F" w:rsidTr="002271FF">
        <w:trPr>
          <w:tblHeader/>
        </w:trPr>
        <w:tc>
          <w:tcPr>
            <w:tcW w:w="4675" w:type="dxa"/>
          </w:tcPr>
          <w:p w:rsidR="002271FF" w:rsidRPr="00CC592F" w:rsidRDefault="002271FF" w:rsidP="002271FF">
            <w:r w:rsidRPr="00CC592F">
              <w:rPr>
                <w:rFonts w:cs="Arial"/>
              </w:rPr>
              <w:t xml:space="preserve">La durée médiane de dotation interne pour la fonction publique (organisations assujetties à la </w:t>
            </w:r>
            <w:r w:rsidRPr="00CC592F">
              <w:rPr>
                <w:rFonts w:cs="Arial"/>
                <w:i/>
              </w:rPr>
              <w:t>Loi sur l’emploi dans la fonction publique</w:t>
            </w:r>
            <w:r w:rsidRPr="00CC592F">
              <w:rPr>
                <w:rFonts w:cs="Arial"/>
              </w:rPr>
              <w:t>) pour l’exercice financier 2018 à 2019 est 176 jours</w:t>
            </w:r>
          </w:p>
        </w:tc>
        <w:tc>
          <w:tcPr>
            <w:tcW w:w="4675" w:type="dxa"/>
          </w:tcPr>
          <w:p w:rsidR="002271FF" w:rsidRPr="00CC592F" w:rsidRDefault="002271FF" w:rsidP="002271FF">
            <w:r w:rsidRPr="00CC592F">
              <w:rPr>
                <w:rFonts w:eastAsia="Times New Roman" w:cs="Arial"/>
                <w:lang w:eastAsia="en-CA"/>
              </w:rPr>
              <w:t xml:space="preserve">La durée médiane de dotation externe pour la fonction publique (organisations assujetties à la </w:t>
            </w:r>
            <w:r w:rsidRPr="00CC592F">
              <w:rPr>
                <w:rFonts w:eastAsia="Times New Roman" w:cs="Arial"/>
                <w:i/>
                <w:lang w:eastAsia="en-CA"/>
              </w:rPr>
              <w:t xml:space="preserve">Loi sur l’emploi dans la fonction publiques </w:t>
            </w:r>
            <w:r w:rsidRPr="00CC592F">
              <w:rPr>
                <w:rFonts w:eastAsia="Times New Roman" w:cs="Arial"/>
                <w:lang w:eastAsia="en-CA"/>
              </w:rPr>
              <w:t>(LEFP)) pour l’exercice financier 2018 à 2019 est 186 jours</w:t>
            </w:r>
          </w:p>
        </w:tc>
      </w:tr>
      <w:tr w:rsidR="002271FF" w:rsidRPr="00CC592F" w:rsidTr="002271FF">
        <w:trPr>
          <w:tblHeader/>
        </w:trPr>
        <w:tc>
          <w:tcPr>
            <w:tcW w:w="4675" w:type="dxa"/>
          </w:tcPr>
          <w:p w:rsidR="002271FF" w:rsidRPr="00CC592F" w:rsidRDefault="002271FF" w:rsidP="002271FF">
            <w:r w:rsidRPr="00CC592F">
              <w:rPr>
                <w:rFonts w:cs="Arial"/>
              </w:rPr>
              <w:t>La durée médiane de dotation interne à Immigration, Réfugiés et Citoyenneté Canada pour l’exercice financier 2018 à 2019 est 181 jours</w:t>
            </w:r>
          </w:p>
        </w:tc>
        <w:tc>
          <w:tcPr>
            <w:tcW w:w="4675" w:type="dxa"/>
          </w:tcPr>
          <w:p w:rsidR="002271FF" w:rsidRPr="00CC592F" w:rsidRDefault="002271FF" w:rsidP="002271FF">
            <w:r w:rsidRPr="00CC592F">
              <w:rPr>
                <w:rFonts w:cs="Arial"/>
              </w:rPr>
              <w:t>Les données sont insuffisantes pour fournir des résultats sur la durée des processus de dotation externe pour Immigration, Réfugiés et Citoyenneté Canada</w:t>
            </w:r>
          </w:p>
        </w:tc>
      </w:tr>
    </w:tbl>
    <w:p w:rsidR="002271FF" w:rsidRPr="00CC592F" w:rsidRDefault="002271FF" w:rsidP="002271FF"/>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Seules les nominations à des postes de durée déterminée et les nominations à des postes pour une période indéterminée sont incluses (les mutations, les nominations occasionnelles et les nominations intérimaires sont exclues)</w:t>
      </w: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Le temps nécessaire à la dotation - Nominations externes (TND-NE) est le nombre médian de jours civils entre la date d'ouverture d'une annonce externe et la date de la première nomination estimative d'une personne de l'extérieur d'une organisation assujettie à la Loi sur l'emploi dans la fonction publique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Parce que le lien des données entre les systèmes utilise un jumelage probabiliste, des erreurs de mesure sont donc possibles</w:t>
      </w:r>
    </w:p>
    <w:p w:rsidR="002271FF" w:rsidRPr="00CC592F" w:rsidRDefault="002271FF" w:rsidP="002271FF">
      <w:pPr>
        <w:rPr>
          <w:rFonts w:cs="Arial"/>
          <w:sz w:val="24"/>
          <w:szCs w:val="24"/>
        </w:rPr>
      </w:pP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lastRenderedPageBreak/>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rsidR="002271FF" w:rsidRPr="00CC592F" w:rsidRDefault="002271FF" w:rsidP="002271FF">
      <w:pPr>
        <w:pStyle w:val="ListParagraph"/>
        <w:keepLines w:val="0"/>
        <w:numPr>
          <w:ilvl w:val="0"/>
          <w:numId w:val="13"/>
        </w:numPr>
        <w:spacing w:after="0" w:line="240" w:lineRule="auto"/>
        <w:ind w:left="360"/>
        <w:rPr>
          <w:rFonts w:ascii="Arial" w:hAnsi="Arial" w:cs="Arial"/>
        </w:rPr>
      </w:pPr>
      <w:r w:rsidRPr="00CC592F">
        <w:rPr>
          <w:rFonts w:ascii="Arial" w:hAnsi="Arial" w:cs="Arial"/>
        </w:rPr>
        <w:t>Ces données ne correspondent pas nécessairement aux donnés sur les ressources humaines de chaque organisation en raison des différences de méthodologie et des périodes visées par l’analyse.</w:t>
      </w:r>
    </w:p>
    <w:p w:rsidR="00FF6075" w:rsidRPr="00CC592F" w:rsidRDefault="00FF6075">
      <w:pPr>
        <w:keepLines w:val="0"/>
        <w:rPr>
          <w:rFonts w:cs="Arial"/>
          <w:sz w:val="24"/>
          <w:szCs w:val="24"/>
        </w:rPr>
      </w:pPr>
      <w:r w:rsidRPr="00CC592F">
        <w:rPr>
          <w:rFonts w:cs="Arial"/>
          <w:sz w:val="24"/>
          <w:szCs w:val="24"/>
        </w:rPr>
        <w:br w:type="page"/>
      </w:r>
    </w:p>
    <w:tbl>
      <w:tblPr>
        <w:tblStyle w:val="TableGrid"/>
        <w:tblW w:w="5000" w:type="pct"/>
        <w:tblLook w:val="00A0" w:firstRow="1" w:lastRow="0" w:firstColumn="1" w:lastColumn="0" w:noHBand="0" w:noVBand="0"/>
        <w:tblDescription w:val="Fonction publique et organisation spécifiée – Durée de dotation interne pour l’exercice financier de 2018 à 2019"/>
      </w:tblPr>
      <w:tblGrid>
        <w:gridCol w:w="1393"/>
        <w:gridCol w:w="2031"/>
        <w:gridCol w:w="2031"/>
        <w:gridCol w:w="2014"/>
        <w:gridCol w:w="1881"/>
      </w:tblGrid>
      <w:tr w:rsidR="002271FF" w:rsidRPr="00CC592F" w:rsidTr="00724186">
        <w:trPr>
          <w:trHeight w:val="290"/>
          <w:tblHeader/>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lastRenderedPageBreak/>
              <w:t>Nombre de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 xml:space="preserve">Le nombre de premières embauches internes dans un processus interne (durée de dotation interne) dans les organisations assujetties à la </w:t>
            </w:r>
            <w:r w:rsidRPr="00CC592F">
              <w:rPr>
                <w:rFonts w:cs="Arial"/>
                <w:i/>
                <w:color w:val="000000"/>
                <w:sz w:val="24"/>
                <w:szCs w:val="24"/>
              </w:rPr>
              <w:t>Loi sur l’emploi dans la fonction publique</w:t>
            </w:r>
            <w:r w:rsidRPr="00CC592F">
              <w:rPr>
                <w:rFonts w:cs="Arial"/>
                <w:color w:val="000000"/>
                <w:sz w:val="24"/>
                <w:szCs w:val="24"/>
              </w:rPr>
              <w:t>, dans le nombre de jours civils spécifié</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Le nombre de premières embauches internes dans un processus interne (durée de dotation interne) dans l’organisation spécifiée, dans le nombre de jours civils spécifié</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Le nombre de premières embauches externes dans un processus externe (durée de dotation externe) dans les organisations assujetties à la</w:t>
            </w:r>
            <w:r w:rsidRPr="00CC592F">
              <w:rPr>
                <w:rFonts w:cs="Arial"/>
                <w:i/>
                <w:color w:val="000000"/>
                <w:sz w:val="24"/>
                <w:szCs w:val="24"/>
              </w:rPr>
              <w:t xml:space="preserve"> Loi sur l’emploi dans la fonction publique, </w:t>
            </w:r>
            <w:r w:rsidRPr="00CC592F">
              <w:rPr>
                <w:rFonts w:cs="Arial"/>
                <w:color w:val="000000"/>
                <w:sz w:val="24"/>
                <w:szCs w:val="24"/>
              </w:rPr>
              <w:t>dans le nombre de jours civils spécifié</w:t>
            </w:r>
          </w:p>
        </w:tc>
        <w:tc>
          <w:tcPr>
            <w:tcW w:w="100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Le nombre de premières embauches externes dans un processus externe (durée de dotation externe) dans l’organisation spécifiée, dans le nombre de jours civils spécifié</w:t>
            </w: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0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0 à 29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15</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49</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30 à 59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130</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3</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82</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60 à 89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277</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124</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90 à 119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391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14</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160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120 à 149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367</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8</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181</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150 à 179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322</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6</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179</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180 à 209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278</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160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210 à 239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6</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139</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240 à 269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165</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84</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270 à 299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134</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4</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73</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300 à 329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107</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61</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330 à 359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77</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2</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41</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lastRenderedPageBreak/>
              <w:t>360 à 389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43</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390 à 419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53</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3</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49</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420 à 449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35</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450 à 479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42</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22</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480 à 509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40</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27</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 xml:space="preserve">510 à 539 jours civils </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32</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17</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540 à 569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24</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15</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570 à 599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14</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600 à 629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11</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12</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630 à 659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19</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660 à 689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w:t>
            </w:r>
          </w:p>
        </w:tc>
        <w:tc>
          <w:tcPr>
            <w:tcW w:w="1006" w:type="pct"/>
          </w:tcPr>
          <w:p w:rsidR="002271FF" w:rsidRPr="00CC592F" w:rsidRDefault="002271FF" w:rsidP="002271FF">
            <w:pPr>
              <w:autoSpaceDE w:val="0"/>
              <w:autoSpaceDN w:val="0"/>
              <w:adjustRightInd w:val="0"/>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690 à 719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13</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302"/>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720 à 749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6</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11</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lastRenderedPageBreak/>
              <w:t>750 à 779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780 à 809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8</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7</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810 à 839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840 à 869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10</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870 à 899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4</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900 à 929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w:t>
            </w:r>
          </w:p>
        </w:tc>
        <w:tc>
          <w:tcPr>
            <w:tcW w:w="1086" w:type="pct"/>
          </w:tcPr>
          <w:p w:rsidR="002271FF" w:rsidRPr="00CC592F" w:rsidRDefault="002271FF" w:rsidP="002271FF">
            <w:pPr>
              <w:jc w:val="center"/>
              <w:rPr>
                <w:rFonts w:cs="Arial"/>
                <w:sz w:val="24"/>
                <w:szCs w:val="24"/>
              </w:rPr>
            </w:pPr>
            <w:r w:rsidRPr="00CC592F">
              <w:rPr>
                <w:rFonts w:cs="Arial"/>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930 à 959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5</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1</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960 à 989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3</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0</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r w:rsidR="002271FF" w:rsidRPr="00CC592F" w:rsidTr="00724186">
        <w:trPr>
          <w:trHeight w:val="290"/>
        </w:trPr>
        <w:tc>
          <w:tcPr>
            <w:tcW w:w="745" w:type="pct"/>
          </w:tcPr>
          <w:p w:rsidR="002271FF" w:rsidRPr="00CC592F" w:rsidRDefault="002271FF" w:rsidP="002271FF">
            <w:pPr>
              <w:autoSpaceDE w:val="0"/>
              <w:autoSpaceDN w:val="0"/>
              <w:adjustRightInd w:val="0"/>
              <w:rPr>
                <w:rFonts w:cs="Arial"/>
                <w:color w:val="000000"/>
                <w:sz w:val="24"/>
                <w:szCs w:val="24"/>
              </w:rPr>
            </w:pPr>
            <w:r w:rsidRPr="00CC592F">
              <w:rPr>
                <w:rFonts w:cs="Arial"/>
                <w:color w:val="000000"/>
                <w:sz w:val="24"/>
                <w:szCs w:val="24"/>
              </w:rPr>
              <w:t>Plus de 990 jours civils</w:t>
            </w:r>
          </w:p>
        </w:tc>
        <w:tc>
          <w:tcPr>
            <w:tcW w:w="1086"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23</w:t>
            </w:r>
          </w:p>
        </w:tc>
        <w:tc>
          <w:tcPr>
            <w:tcW w:w="1086" w:type="pct"/>
          </w:tcPr>
          <w:p w:rsidR="002271FF" w:rsidRPr="00CC592F" w:rsidRDefault="002271FF" w:rsidP="002271FF">
            <w:pPr>
              <w:jc w:val="center"/>
              <w:rPr>
                <w:rFonts w:cs="Arial"/>
                <w:color w:val="000000"/>
                <w:sz w:val="24"/>
                <w:szCs w:val="24"/>
              </w:rPr>
            </w:pPr>
            <w:r w:rsidRPr="00CC592F">
              <w:rPr>
                <w:rFonts w:cs="Arial"/>
                <w:color w:val="000000"/>
                <w:sz w:val="24"/>
                <w:szCs w:val="24"/>
              </w:rPr>
              <w:t>1</w:t>
            </w:r>
          </w:p>
        </w:tc>
        <w:tc>
          <w:tcPr>
            <w:tcW w:w="1077" w:type="pct"/>
          </w:tcPr>
          <w:p w:rsidR="002271FF" w:rsidRPr="00CC592F" w:rsidRDefault="002271FF" w:rsidP="002271FF">
            <w:pPr>
              <w:autoSpaceDE w:val="0"/>
              <w:autoSpaceDN w:val="0"/>
              <w:adjustRightInd w:val="0"/>
              <w:jc w:val="center"/>
              <w:rPr>
                <w:rFonts w:cs="Arial"/>
                <w:color w:val="000000"/>
                <w:sz w:val="24"/>
                <w:szCs w:val="24"/>
              </w:rPr>
            </w:pPr>
            <w:r w:rsidRPr="00CC592F">
              <w:rPr>
                <w:rFonts w:cs="Arial"/>
                <w:color w:val="000000"/>
                <w:sz w:val="24"/>
                <w:szCs w:val="24"/>
              </w:rPr>
              <w:t>0</w:t>
            </w:r>
          </w:p>
        </w:tc>
        <w:tc>
          <w:tcPr>
            <w:tcW w:w="1006" w:type="pct"/>
          </w:tcPr>
          <w:p w:rsidR="002271FF" w:rsidRPr="00CC592F" w:rsidRDefault="002271FF" w:rsidP="002271FF">
            <w:pPr>
              <w:autoSpaceDE w:val="0"/>
              <w:autoSpaceDN w:val="0"/>
              <w:adjustRightInd w:val="0"/>
              <w:jc w:val="center"/>
              <w:rPr>
                <w:rFonts w:cs="Arial"/>
                <w:color w:val="000000"/>
                <w:sz w:val="24"/>
                <w:szCs w:val="24"/>
              </w:rPr>
            </w:pPr>
          </w:p>
        </w:tc>
      </w:tr>
    </w:tbl>
    <w:p w:rsidR="00583F4C" w:rsidRPr="00CC592F" w:rsidRDefault="00583F4C" w:rsidP="002271FF">
      <w:pPr>
        <w:spacing w:after="240"/>
        <w:rPr>
          <w:rFonts w:cs="Arial"/>
          <w:sz w:val="24"/>
          <w:szCs w:val="24"/>
        </w:rPr>
        <w:sectPr w:rsidR="00583F4C" w:rsidRPr="00CC592F" w:rsidSect="00FF6075">
          <w:headerReference w:type="default" r:id="rId35"/>
          <w:footerReference w:type="default" r:id="rId36"/>
          <w:headerReference w:type="first" r:id="rId37"/>
          <w:footerReference w:type="first" r:id="rId38"/>
          <w:pgSz w:w="12240" w:h="15840"/>
          <w:pgMar w:top="1134" w:right="1440" w:bottom="1440" w:left="1440" w:header="624" w:footer="283" w:gutter="0"/>
          <w:cols w:space="708"/>
          <w:titlePg/>
          <w:docGrid w:linePitch="360"/>
        </w:sectPr>
      </w:pPr>
    </w:p>
    <w:p w:rsidR="0072388B" w:rsidRPr="00CC592F" w:rsidRDefault="0072388B" w:rsidP="000C11BE">
      <w:pPr>
        <w:pStyle w:val="Level1"/>
        <w:tabs>
          <w:tab w:val="left" w:pos="-1440"/>
          <w:tab w:val="left" w:pos="3170"/>
        </w:tabs>
        <w:autoSpaceDE w:val="0"/>
        <w:autoSpaceDN w:val="0"/>
        <w:adjustRightInd w:val="0"/>
        <w:spacing w:after="240" w:line="20" w:lineRule="atLeast"/>
        <w:jc w:val="right"/>
        <w:rPr>
          <w:rFonts w:asciiTheme="minorHAnsi" w:eastAsia="Arial" w:hAnsiTheme="minorHAnsi" w:cstheme="minorHAnsi"/>
          <w:b/>
          <w:sz w:val="22"/>
          <w:szCs w:val="22"/>
          <w:lang w:val="fr-CA" w:bidi="fr-FR"/>
        </w:rPr>
      </w:pPr>
      <w:r w:rsidRPr="00CC592F">
        <w:rPr>
          <w:rFonts w:asciiTheme="minorHAnsi" w:eastAsia="Arial" w:hAnsiTheme="minorHAnsi" w:cstheme="minorHAnsi"/>
          <w:b/>
          <w:sz w:val="22"/>
          <w:szCs w:val="22"/>
          <w:lang w:val="fr-CA" w:bidi="fr-FR"/>
        </w:rPr>
        <w:lastRenderedPageBreak/>
        <w:t>Annexe G</w:t>
      </w:r>
      <w:bookmarkEnd w:id="3"/>
    </w:p>
    <w:p w:rsidR="0056577D" w:rsidRPr="00CC592F" w:rsidRDefault="0056577D" w:rsidP="002A7BFF">
      <w:pPr>
        <w:pStyle w:val="TableTitle"/>
        <w:jc w:val="center"/>
        <w:rPr>
          <w:lang w:eastAsia="en-CA"/>
        </w:rPr>
      </w:pPr>
      <w:r w:rsidRPr="00CC592F">
        <w:rPr>
          <w:lang w:bidi="fr-FR"/>
        </w:rPr>
        <w:t>Enquêtes menées par la Commission de la fonction publique</w:t>
      </w:r>
    </w:p>
    <w:p w:rsidR="000C11BE" w:rsidRPr="00CC592F" w:rsidRDefault="0056577D" w:rsidP="002A7BFF">
      <w:pPr>
        <w:jc w:val="center"/>
        <w:rPr>
          <w:rFonts w:ascii="Arial" w:hAnsi="Arial" w:cs="Arial"/>
          <w:b/>
          <w:bCs/>
          <w:color w:val="000000"/>
          <w:lang w:eastAsia="en-CA"/>
        </w:rPr>
      </w:pPr>
      <w:r w:rsidRPr="00CC592F">
        <w:rPr>
          <w:rFonts w:ascii="Arial" w:eastAsia="Arial" w:hAnsi="Arial" w:cs="Arial"/>
          <w:b/>
          <w:color w:val="000000"/>
          <w:lang w:bidi="fr-FR"/>
        </w:rPr>
        <w:t>IRCC du 25 avril 2016 au 25 avril 2019</w:t>
      </w:r>
    </w:p>
    <w:tbl>
      <w:tblPr>
        <w:tblW w:w="10519" w:type="dxa"/>
        <w:tblInd w:w="988" w:type="dxa"/>
        <w:tblLayout w:type="fixed"/>
        <w:tblLook w:val="04A0" w:firstRow="1" w:lastRow="0" w:firstColumn="1" w:lastColumn="0" w:noHBand="0" w:noVBand="1"/>
      </w:tblPr>
      <w:tblGrid>
        <w:gridCol w:w="2439"/>
        <w:gridCol w:w="1134"/>
        <w:gridCol w:w="1843"/>
        <w:gridCol w:w="1418"/>
        <w:gridCol w:w="1276"/>
        <w:gridCol w:w="1275"/>
        <w:gridCol w:w="1134"/>
      </w:tblGrid>
      <w:tr w:rsidR="000C11BE" w:rsidRPr="00CC592F" w:rsidTr="002A7BFF">
        <w:trPr>
          <w:trHeight w:val="867"/>
          <w:tblHeader/>
        </w:trPr>
        <w:tc>
          <w:tcPr>
            <w:tcW w:w="2439" w:type="dxa"/>
            <w:tcBorders>
              <w:top w:val="single" w:sz="4" w:space="0" w:color="auto"/>
              <w:left w:val="single" w:sz="4" w:space="0" w:color="auto"/>
              <w:bottom w:val="single" w:sz="4" w:space="0" w:color="auto"/>
              <w:right w:val="single" w:sz="4" w:space="0" w:color="auto"/>
            </w:tcBorders>
            <w:shd w:val="clear" w:color="000000" w:fill="44546A"/>
            <w:vAlign w:val="center"/>
            <w:hideMark/>
          </w:tcPr>
          <w:p w:rsidR="000C11BE" w:rsidRPr="00CC592F" w:rsidRDefault="000C11BE" w:rsidP="000C11BE">
            <w:pPr>
              <w:spacing w:before="60"/>
              <w:ind w:left="-113"/>
              <w:jc w:val="center"/>
              <w:rPr>
                <w:rFonts w:ascii="Calibri" w:hAnsi="Calibri" w:cs="Calibri"/>
                <w:b/>
                <w:bCs/>
                <w:color w:val="FFFFFF"/>
                <w:lang w:eastAsia="en-CA"/>
              </w:rPr>
            </w:pPr>
            <w:r w:rsidRPr="00CC592F">
              <w:rPr>
                <w:rFonts w:ascii="Calibri" w:eastAsia="Calibri" w:hAnsi="Calibri" w:cs="Calibri"/>
                <w:b/>
                <w:color w:val="FFFFFF"/>
                <w:lang w:bidi="fr-FR"/>
              </w:rPr>
              <w:t>Ministère de la Citoyenn</w:t>
            </w:r>
            <w:bookmarkStart w:id="17" w:name="_GoBack"/>
            <w:bookmarkEnd w:id="17"/>
            <w:r w:rsidRPr="00CC592F">
              <w:rPr>
                <w:rFonts w:ascii="Calibri" w:eastAsia="Calibri" w:hAnsi="Calibri" w:cs="Calibri"/>
                <w:b/>
                <w:color w:val="FFFFFF"/>
                <w:lang w:bidi="fr-FR"/>
              </w:rPr>
              <w:t>eté et de l’Immigration</w:t>
            </w:r>
          </w:p>
        </w:tc>
        <w:tc>
          <w:tcPr>
            <w:tcW w:w="1134"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Dossiers reçus</w:t>
            </w:r>
          </w:p>
        </w:tc>
        <w:tc>
          <w:tcPr>
            <w:tcW w:w="1843"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Dossiers renvoyés par l’organisation</w:t>
            </w:r>
          </w:p>
        </w:tc>
        <w:tc>
          <w:tcPr>
            <w:tcW w:w="1418"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Fermé (refusé)</w:t>
            </w:r>
          </w:p>
        </w:tc>
        <w:tc>
          <w:tcPr>
            <w:tcW w:w="1276"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Terminé (non fondé)</w:t>
            </w:r>
          </w:p>
        </w:tc>
        <w:tc>
          <w:tcPr>
            <w:tcW w:w="1275"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Terminé (fondé)</w:t>
            </w:r>
          </w:p>
        </w:tc>
        <w:tc>
          <w:tcPr>
            <w:tcW w:w="1134" w:type="dxa"/>
            <w:tcBorders>
              <w:top w:val="single" w:sz="4" w:space="0" w:color="auto"/>
              <w:left w:val="nil"/>
              <w:bottom w:val="single" w:sz="4" w:space="0" w:color="auto"/>
              <w:right w:val="single" w:sz="4" w:space="0" w:color="auto"/>
            </w:tcBorders>
            <w:shd w:val="clear" w:color="000000" w:fill="44546A"/>
            <w:vAlign w:val="center"/>
            <w:hideMark/>
          </w:tcPr>
          <w:p w:rsidR="000C11BE" w:rsidRPr="00CC592F" w:rsidRDefault="000C11BE" w:rsidP="000C11BE">
            <w:pPr>
              <w:spacing w:before="60"/>
              <w:jc w:val="center"/>
              <w:rPr>
                <w:rFonts w:ascii="Calibri" w:hAnsi="Calibri" w:cs="Calibri"/>
                <w:b/>
                <w:bCs/>
                <w:color w:val="FFFFFF"/>
                <w:lang w:eastAsia="en-CA"/>
              </w:rPr>
            </w:pPr>
            <w:r w:rsidRPr="00CC592F">
              <w:rPr>
                <w:rFonts w:ascii="Calibri" w:eastAsia="Calibri" w:hAnsi="Calibri" w:cs="Calibri"/>
                <w:b/>
                <w:color w:val="FFFFFF"/>
                <w:lang w:bidi="fr-FR"/>
              </w:rPr>
              <w:t>En cours</w:t>
            </w:r>
          </w:p>
        </w:tc>
      </w:tr>
      <w:tr w:rsidR="000C11BE" w:rsidRPr="00CC592F" w:rsidTr="002A7BFF">
        <w:trPr>
          <w:trHeight w:val="694"/>
          <w:tblHeader/>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C11BE" w:rsidRPr="00CC592F" w:rsidRDefault="000C11BE" w:rsidP="000C11BE">
            <w:pPr>
              <w:ind w:left="-113"/>
              <w:jc w:val="center"/>
              <w:rPr>
                <w:rFonts w:ascii="Calibri" w:hAnsi="Calibri" w:cs="Calibri"/>
                <w:color w:val="000000"/>
                <w:lang w:eastAsia="en-CA"/>
              </w:rPr>
            </w:pPr>
            <w:r w:rsidRPr="00CC592F">
              <w:rPr>
                <w:rFonts w:ascii="Calibri" w:eastAsia="Calibri" w:hAnsi="Calibri" w:cs="Calibri"/>
                <w:color w:val="000000"/>
                <w:lang w:bidi="fr-FR"/>
              </w:rPr>
              <w:t>Art. 66 : Processus de nomination externe (mérite, erreur, omission ou conduite irrégulière)</w:t>
            </w:r>
          </w:p>
        </w:tc>
        <w:tc>
          <w:tcPr>
            <w:tcW w:w="1134"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7</w:t>
            </w:r>
          </w:p>
        </w:tc>
        <w:tc>
          <w:tcPr>
            <w:tcW w:w="1843"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418"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7</w:t>
            </w:r>
          </w:p>
        </w:tc>
        <w:tc>
          <w:tcPr>
            <w:tcW w:w="1276"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275"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134"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r>
      <w:tr w:rsidR="000C11BE" w:rsidRPr="00CC592F" w:rsidTr="002A7BFF">
        <w:trPr>
          <w:trHeight w:val="390"/>
          <w:tblHeader/>
        </w:trPr>
        <w:tc>
          <w:tcPr>
            <w:tcW w:w="2439" w:type="dxa"/>
            <w:tcBorders>
              <w:top w:val="nil"/>
              <w:left w:val="single" w:sz="4" w:space="0" w:color="auto"/>
              <w:bottom w:val="single" w:sz="4" w:space="0" w:color="auto"/>
              <w:right w:val="single" w:sz="4" w:space="0" w:color="auto"/>
            </w:tcBorders>
            <w:shd w:val="clear" w:color="000000" w:fill="D6DCE4"/>
            <w:vAlign w:val="bottom"/>
            <w:hideMark/>
          </w:tcPr>
          <w:p w:rsidR="000C11BE" w:rsidRPr="00CC592F" w:rsidRDefault="000C11BE" w:rsidP="000C11BE">
            <w:pPr>
              <w:spacing w:before="120"/>
              <w:ind w:left="-113"/>
              <w:jc w:val="center"/>
              <w:rPr>
                <w:rFonts w:ascii="Calibri" w:hAnsi="Calibri" w:cs="Calibri"/>
                <w:color w:val="000000"/>
                <w:lang w:eastAsia="en-CA"/>
              </w:rPr>
            </w:pPr>
            <w:r w:rsidRPr="00CC592F">
              <w:rPr>
                <w:rFonts w:ascii="Calibri" w:eastAsia="Calibri" w:hAnsi="Calibri" w:cs="Calibri"/>
                <w:color w:val="000000"/>
                <w:lang w:bidi="fr-FR"/>
              </w:rPr>
              <w:t>Art. 69 : Fraude</w:t>
            </w:r>
          </w:p>
        </w:tc>
        <w:tc>
          <w:tcPr>
            <w:tcW w:w="1134"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2</w:t>
            </w:r>
          </w:p>
        </w:tc>
        <w:tc>
          <w:tcPr>
            <w:tcW w:w="1843"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1</w:t>
            </w:r>
          </w:p>
        </w:tc>
        <w:tc>
          <w:tcPr>
            <w:tcW w:w="1418"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0</w:t>
            </w:r>
          </w:p>
        </w:tc>
        <w:tc>
          <w:tcPr>
            <w:tcW w:w="1276"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1</w:t>
            </w:r>
          </w:p>
        </w:tc>
        <w:tc>
          <w:tcPr>
            <w:tcW w:w="1275"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0</w:t>
            </w:r>
          </w:p>
        </w:tc>
        <w:tc>
          <w:tcPr>
            <w:tcW w:w="1134" w:type="dxa"/>
            <w:tcBorders>
              <w:top w:val="nil"/>
              <w:left w:val="nil"/>
              <w:bottom w:val="single" w:sz="4" w:space="0" w:color="auto"/>
              <w:right w:val="single" w:sz="4" w:space="0" w:color="auto"/>
            </w:tcBorders>
            <w:shd w:val="clear" w:color="000000" w:fill="D6DCE4"/>
            <w:vAlign w:val="bottom"/>
            <w:hideMark/>
          </w:tcPr>
          <w:p w:rsidR="000C11BE" w:rsidRPr="00CC592F" w:rsidRDefault="000C11BE" w:rsidP="000C11BE">
            <w:pPr>
              <w:spacing w:before="120"/>
              <w:jc w:val="center"/>
              <w:rPr>
                <w:rFonts w:ascii="Calibri" w:hAnsi="Calibri" w:cs="Calibri"/>
                <w:color w:val="000000"/>
                <w:lang w:eastAsia="en-CA"/>
              </w:rPr>
            </w:pPr>
            <w:r w:rsidRPr="00CC592F">
              <w:rPr>
                <w:rFonts w:ascii="Calibri" w:eastAsia="Calibri" w:hAnsi="Calibri" w:cs="Calibri"/>
                <w:color w:val="000000"/>
                <w:lang w:bidi="fr-FR"/>
              </w:rPr>
              <w:t>1</w:t>
            </w:r>
          </w:p>
        </w:tc>
      </w:tr>
      <w:tr w:rsidR="000C11BE" w:rsidRPr="00CC592F" w:rsidTr="002A7BFF">
        <w:trPr>
          <w:trHeight w:val="617"/>
          <w:tblHeader/>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C11BE" w:rsidRPr="00CC592F" w:rsidRDefault="000C11BE" w:rsidP="000C11BE">
            <w:pPr>
              <w:ind w:left="-113"/>
              <w:jc w:val="center"/>
              <w:rPr>
                <w:rFonts w:ascii="Calibri" w:hAnsi="Calibri" w:cs="Calibri"/>
                <w:color w:val="000000"/>
                <w:lang w:eastAsia="en-CA"/>
              </w:rPr>
            </w:pPr>
            <w:r w:rsidRPr="00CC592F">
              <w:rPr>
                <w:rFonts w:ascii="Calibri" w:eastAsia="Calibri" w:hAnsi="Calibri" w:cs="Calibri"/>
                <w:color w:val="000000"/>
                <w:lang w:bidi="fr-FR"/>
              </w:rPr>
              <w:t>Art. 118 : Activités politiques irrégulières (employés)</w:t>
            </w:r>
          </w:p>
        </w:tc>
        <w:tc>
          <w:tcPr>
            <w:tcW w:w="1134"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2</w:t>
            </w:r>
          </w:p>
        </w:tc>
        <w:tc>
          <w:tcPr>
            <w:tcW w:w="1843"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418"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276"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275"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0</w:t>
            </w:r>
          </w:p>
        </w:tc>
        <w:tc>
          <w:tcPr>
            <w:tcW w:w="1134" w:type="dxa"/>
            <w:tcBorders>
              <w:top w:val="nil"/>
              <w:left w:val="nil"/>
              <w:bottom w:val="single" w:sz="4" w:space="0" w:color="auto"/>
              <w:right w:val="single" w:sz="4" w:space="0" w:color="auto"/>
            </w:tcBorders>
            <w:shd w:val="clear" w:color="auto" w:fill="auto"/>
            <w:vAlign w:val="center"/>
            <w:hideMark/>
          </w:tcPr>
          <w:p w:rsidR="000C11BE" w:rsidRPr="00CC592F" w:rsidRDefault="000C11BE" w:rsidP="000C11BE">
            <w:pPr>
              <w:jc w:val="center"/>
              <w:rPr>
                <w:rFonts w:ascii="Calibri" w:hAnsi="Calibri" w:cs="Calibri"/>
                <w:color w:val="000000"/>
                <w:lang w:eastAsia="en-CA"/>
              </w:rPr>
            </w:pPr>
            <w:r w:rsidRPr="00CC592F">
              <w:rPr>
                <w:rFonts w:ascii="Calibri" w:eastAsia="Calibri" w:hAnsi="Calibri" w:cs="Calibri"/>
                <w:color w:val="000000"/>
                <w:lang w:bidi="fr-FR"/>
              </w:rPr>
              <w:t>2</w:t>
            </w:r>
          </w:p>
        </w:tc>
      </w:tr>
      <w:tr w:rsidR="000C11BE" w:rsidRPr="00CC592F" w:rsidTr="002A7BFF">
        <w:trPr>
          <w:trHeight w:val="390"/>
          <w:tblHeader/>
        </w:trPr>
        <w:tc>
          <w:tcPr>
            <w:tcW w:w="2439" w:type="dxa"/>
            <w:tcBorders>
              <w:top w:val="nil"/>
              <w:left w:val="single" w:sz="4" w:space="0" w:color="auto"/>
              <w:bottom w:val="single" w:sz="4" w:space="0" w:color="auto"/>
              <w:right w:val="single" w:sz="4" w:space="0" w:color="auto"/>
            </w:tcBorders>
            <w:shd w:val="clear" w:color="000000" w:fill="D6DCE4"/>
            <w:vAlign w:val="center"/>
            <w:hideMark/>
          </w:tcPr>
          <w:p w:rsidR="000C11BE" w:rsidRPr="00CC592F" w:rsidRDefault="000C11BE" w:rsidP="000C11BE">
            <w:pPr>
              <w:spacing w:before="40"/>
              <w:ind w:left="-113"/>
              <w:jc w:val="center"/>
              <w:rPr>
                <w:rFonts w:ascii="Calibri" w:hAnsi="Calibri" w:cs="Calibri"/>
                <w:b/>
                <w:bCs/>
                <w:color w:val="000000"/>
                <w:lang w:eastAsia="en-CA"/>
              </w:rPr>
            </w:pPr>
            <w:r w:rsidRPr="00CC592F">
              <w:rPr>
                <w:rFonts w:ascii="Calibri" w:eastAsia="Calibri" w:hAnsi="Calibri" w:cs="Calibri"/>
                <w:b/>
                <w:color w:val="000000"/>
                <w:lang w:bidi="fr-FR"/>
              </w:rPr>
              <w:t>Total</w:t>
            </w:r>
          </w:p>
        </w:tc>
        <w:tc>
          <w:tcPr>
            <w:tcW w:w="1134"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11</w:t>
            </w:r>
          </w:p>
        </w:tc>
        <w:tc>
          <w:tcPr>
            <w:tcW w:w="1843"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1</w:t>
            </w:r>
          </w:p>
        </w:tc>
        <w:tc>
          <w:tcPr>
            <w:tcW w:w="1418"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7</w:t>
            </w:r>
          </w:p>
        </w:tc>
        <w:tc>
          <w:tcPr>
            <w:tcW w:w="1276"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1</w:t>
            </w:r>
          </w:p>
        </w:tc>
        <w:tc>
          <w:tcPr>
            <w:tcW w:w="1275"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0</w:t>
            </w:r>
          </w:p>
        </w:tc>
        <w:tc>
          <w:tcPr>
            <w:tcW w:w="1134" w:type="dxa"/>
            <w:tcBorders>
              <w:top w:val="nil"/>
              <w:left w:val="nil"/>
              <w:bottom w:val="single" w:sz="4" w:space="0" w:color="auto"/>
              <w:right w:val="single" w:sz="4" w:space="0" w:color="auto"/>
            </w:tcBorders>
            <w:shd w:val="clear" w:color="000000" w:fill="D6DCE4"/>
            <w:vAlign w:val="center"/>
            <w:hideMark/>
          </w:tcPr>
          <w:p w:rsidR="000C11BE" w:rsidRPr="00CC592F" w:rsidRDefault="000C11BE" w:rsidP="000C11BE">
            <w:pPr>
              <w:spacing w:before="40"/>
              <w:jc w:val="center"/>
              <w:rPr>
                <w:rFonts w:ascii="Calibri" w:hAnsi="Calibri" w:cs="Calibri"/>
                <w:b/>
                <w:bCs/>
                <w:color w:val="000000"/>
                <w:lang w:eastAsia="en-CA"/>
              </w:rPr>
            </w:pPr>
            <w:r w:rsidRPr="00CC592F">
              <w:rPr>
                <w:rFonts w:ascii="Calibri" w:eastAsia="Calibri" w:hAnsi="Calibri" w:cs="Calibri"/>
                <w:b/>
                <w:color w:val="000000"/>
                <w:lang w:bidi="fr-FR"/>
              </w:rPr>
              <w:t>3</w:t>
            </w:r>
          </w:p>
        </w:tc>
      </w:tr>
    </w:tbl>
    <w:p w:rsidR="000C11BE" w:rsidRPr="00CC592F" w:rsidRDefault="000C11BE" w:rsidP="000C11BE">
      <w:pPr>
        <w:pStyle w:val="Level1"/>
        <w:tabs>
          <w:tab w:val="left" w:pos="-1440"/>
        </w:tabs>
        <w:autoSpaceDE w:val="0"/>
        <w:autoSpaceDN w:val="0"/>
        <w:adjustRightInd w:val="0"/>
        <w:spacing w:after="120" w:line="20" w:lineRule="atLeast"/>
        <w:rPr>
          <w:rFonts w:ascii="Arial" w:eastAsia="Arial" w:hAnsi="Arial" w:cs="Arial"/>
          <w:color w:val="000000"/>
          <w:sz w:val="18"/>
          <w:szCs w:val="18"/>
          <w:lang w:val="fr-CA" w:bidi="fr-FR"/>
        </w:rPr>
      </w:pPr>
    </w:p>
    <w:p w:rsidR="0072388B" w:rsidRPr="00CC592F" w:rsidRDefault="0056577D" w:rsidP="00811E93">
      <w:pPr>
        <w:pStyle w:val="Level1"/>
        <w:tabs>
          <w:tab w:val="left" w:pos="-1440"/>
        </w:tabs>
        <w:autoSpaceDE w:val="0"/>
        <w:autoSpaceDN w:val="0"/>
        <w:adjustRightInd w:val="0"/>
        <w:spacing w:after="480" w:line="20" w:lineRule="atLeast"/>
        <w:rPr>
          <w:rFonts w:ascii="Arial" w:hAnsi="Arial" w:cs="Arial"/>
          <w:b/>
          <w:sz w:val="22"/>
          <w:szCs w:val="22"/>
          <w:lang w:val="fr-CA"/>
        </w:rPr>
      </w:pPr>
      <w:r w:rsidRPr="00CC592F">
        <w:rPr>
          <w:rFonts w:ascii="Arial" w:eastAsia="Arial" w:hAnsi="Arial" w:cs="Arial"/>
          <w:color w:val="000000"/>
          <w:sz w:val="18"/>
          <w:szCs w:val="18"/>
          <w:lang w:val="fr-CA" w:bidi="fr-FR"/>
        </w:rPr>
        <w:t>Remarque : Le nombre de dossiers reçus ne correspond pas nécessairement au nombre de dossiers terminés ou fermés puisque ces dossiers n’ont peut-être pas été reçus pendant la même période. De plus, certains dossiers ont peut-être été abandonnés ou réglés au moyen d’une intervention précoce</w:t>
      </w:r>
      <w:r w:rsidR="00811E93">
        <w:rPr>
          <w:rFonts w:ascii="Arial" w:eastAsia="Arial" w:hAnsi="Arial" w:cs="Arial"/>
          <w:color w:val="000000"/>
          <w:sz w:val="18"/>
          <w:szCs w:val="18"/>
          <w:lang w:val="fr-CA" w:bidi="fr-FR"/>
        </w:rPr>
        <w:t>.</w:t>
      </w:r>
      <w:r w:rsidR="0072388B" w:rsidRPr="00CC592F">
        <w:rPr>
          <w:rFonts w:ascii="Arial" w:hAnsi="Arial" w:cs="Arial"/>
          <w:sz w:val="22"/>
          <w:szCs w:val="22"/>
          <w:lang w:val="fr-CA"/>
        </w:rPr>
        <w:br w:type="page"/>
      </w:r>
      <w:bookmarkStart w:id="18" w:name="AnnexH"/>
      <w:r w:rsidR="0072388B" w:rsidRPr="00CC592F">
        <w:rPr>
          <w:rFonts w:asciiTheme="minorHAnsi" w:eastAsia="Arial" w:hAnsiTheme="minorHAnsi" w:cstheme="minorHAnsi"/>
          <w:b/>
          <w:sz w:val="22"/>
          <w:szCs w:val="22"/>
          <w:lang w:val="fr-CA" w:bidi="fr-FR"/>
        </w:rPr>
        <w:lastRenderedPageBreak/>
        <w:t>Annexe H</w:t>
      </w:r>
      <w:bookmarkEnd w:id="18"/>
    </w:p>
    <w:p w:rsidR="0072388B" w:rsidRPr="00CC592F" w:rsidRDefault="0072388B" w:rsidP="00CC592F">
      <w:pPr>
        <w:pStyle w:val="TableTitle"/>
        <w:jc w:val="center"/>
      </w:pPr>
      <w:r w:rsidRPr="00CC592F">
        <w:rPr>
          <w:rFonts w:eastAsia="Arial"/>
          <w:lang w:bidi="fr-FR"/>
        </w:rPr>
        <w:t>Profil de diversité d’IRCC</w:t>
      </w:r>
    </w:p>
    <w:p w:rsidR="0072388B" w:rsidRPr="00CC592F" w:rsidRDefault="00CF4CD4" w:rsidP="00CF4CD4">
      <w:pPr>
        <w:pStyle w:val="NoSpacing"/>
        <w:jc w:val="center"/>
        <w:rPr>
          <w:rFonts w:ascii="Arial" w:hAnsi="Arial" w:cs="Arial"/>
          <w:b/>
          <w:sz w:val="22"/>
          <w:szCs w:val="22"/>
          <w:lang w:val="fr-CA"/>
        </w:rPr>
      </w:pPr>
      <w:r w:rsidRPr="00CC592F">
        <w:rPr>
          <w:rFonts w:ascii="Arial" w:eastAsia="Arial" w:hAnsi="Arial" w:cs="Arial"/>
          <w:b/>
          <w:sz w:val="22"/>
          <w:lang w:val="fr-CA" w:bidi="fr-FR"/>
        </w:rPr>
        <w:t>Période de référence : 31 mars 2017 au 1</w:t>
      </w:r>
      <w:r w:rsidRPr="00CC592F">
        <w:rPr>
          <w:rFonts w:ascii="Arial" w:eastAsia="Arial" w:hAnsi="Arial" w:cs="Arial"/>
          <w:b/>
          <w:sz w:val="22"/>
          <w:vertAlign w:val="superscript"/>
          <w:lang w:val="fr-CA" w:bidi="fr-FR"/>
        </w:rPr>
        <w:t>er</w:t>
      </w:r>
      <w:r w:rsidRPr="00CC592F">
        <w:rPr>
          <w:rFonts w:ascii="Arial" w:eastAsia="Arial" w:hAnsi="Arial" w:cs="Arial"/>
          <w:b/>
          <w:sz w:val="22"/>
          <w:lang w:val="fr-CA" w:bidi="fr-FR"/>
        </w:rPr>
        <w:t> avril 2018</w:t>
      </w:r>
    </w:p>
    <w:p w:rsidR="0072388B" w:rsidRPr="00CC592F" w:rsidRDefault="0072388B" w:rsidP="0072388B">
      <w:pPr>
        <w:pStyle w:val="NoSpacing"/>
        <w:rPr>
          <w:rFonts w:ascii="Arial" w:hAnsi="Arial" w:cs="Arial"/>
          <w:b/>
          <w:sz w:val="22"/>
          <w:szCs w:val="22"/>
          <w:lang w:val="fr-CA"/>
        </w:rPr>
      </w:pPr>
    </w:p>
    <w:tbl>
      <w:tblPr>
        <w:tblStyle w:val="TableGrid"/>
        <w:tblW w:w="0" w:type="auto"/>
        <w:jc w:val="center"/>
        <w:tblLook w:val="04A0" w:firstRow="1" w:lastRow="0" w:firstColumn="1" w:lastColumn="0" w:noHBand="0" w:noVBand="1"/>
        <w:tblCaption w:val="Profil de diversité d'IRCC"/>
        <w:tblDescription w:val="Profil de diversité d'IRCC du 31 mars 2017 au 1er avril 2018, dépasse la disponibilité au sein de la population active pour tous les groupes désignés. "/>
      </w:tblPr>
      <w:tblGrid>
        <w:gridCol w:w="2065"/>
        <w:gridCol w:w="2282"/>
        <w:gridCol w:w="2746"/>
        <w:gridCol w:w="2257"/>
      </w:tblGrid>
      <w:tr w:rsidR="0072388B" w:rsidRPr="00CC592F" w:rsidTr="00CF4CD4">
        <w:trPr>
          <w:trHeight w:val="759"/>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8D9195" w:themeFill="text1" w:themeFillTint="A6"/>
            <w:vAlign w:val="center"/>
            <w:hideMark/>
          </w:tcPr>
          <w:p w:rsidR="0072388B" w:rsidRPr="00CC592F" w:rsidRDefault="0072388B" w:rsidP="0072388B">
            <w:pPr>
              <w:pStyle w:val="NoSpacing"/>
              <w:rPr>
                <w:rFonts w:ascii="Arial" w:hAnsi="Arial" w:cs="Arial"/>
                <w:b/>
                <w:color w:val="FFFFFF" w:themeColor="background1"/>
                <w:sz w:val="22"/>
                <w:lang w:val="fr-CA"/>
              </w:rPr>
            </w:pPr>
            <w:r w:rsidRPr="00CC592F">
              <w:rPr>
                <w:rFonts w:ascii="Arial" w:eastAsia="Arial" w:hAnsi="Arial" w:cs="Arial"/>
                <w:b/>
                <w:color w:val="FFFFFF" w:themeColor="background1"/>
                <w:sz w:val="22"/>
                <w:lang w:val="fr-CA" w:bidi="fr-FR"/>
              </w:rPr>
              <w:t>Groupe désigné</w:t>
            </w:r>
          </w:p>
        </w:tc>
        <w:tc>
          <w:tcPr>
            <w:tcW w:w="2282" w:type="dxa"/>
            <w:tcBorders>
              <w:top w:val="single" w:sz="4" w:space="0" w:color="auto"/>
              <w:left w:val="single" w:sz="4" w:space="0" w:color="auto"/>
              <w:bottom w:val="single" w:sz="4" w:space="0" w:color="auto"/>
              <w:right w:val="single" w:sz="4" w:space="0" w:color="auto"/>
            </w:tcBorders>
            <w:shd w:val="clear" w:color="auto" w:fill="8D9195" w:themeFill="text1" w:themeFillTint="A6"/>
            <w:vAlign w:val="center"/>
            <w:hideMark/>
          </w:tcPr>
          <w:p w:rsidR="0072388B" w:rsidRPr="00CC592F" w:rsidRDefault="0072388B" w:rsidP="002A7BFF">
            <w:pPr>
              <w:pStyle w:val="NoSpacing"/>
              <w:jc w:val="center"/>
              <w:rPr>
                <w:rFonts w:ascii="Arial" w:hAnsi="Arial" w:cs="Arial"/>
                <w:b/>
                <w:color w:val="FFFFFF" w:themeColor="background1"/>
                <w:sz w:val="22"/>
                <w:lang w:val="fr-CA"/>
              </w:rPr>
            </w:pPr>
            <w:r w:rsidRPr="00CC592F">
              <w:rPr>
                <w:rFonts w:ascii="Arial" w:eastAsia="Arial" w:hAnsi="Arial" w:cs="Arial"/>
                <w:b/>
                <w:color w:val="FFFFFF" w:themeColor="background1"/>
                <w:sz w:val="22"/>
                <w:lang w:val="fr-CA" w:bidi="fr-FR"/>
              </w:rPr>
              <w:t>Disponibilité au sein de la population active – Fonction publique</w:t>
            </w:r>
          </w:p>
        </w:tc>
        <w:tc>
          <w:tcPr>
            <w:tcW w:w="2746" w:type="dxa"/>
            <w:tcBorders>
              <w:top w:val="single" w:sz="4" w:space="0" w:color="auto"/>
              <w:left w:val="single" w:sz="4" w:space="0" w:color="auto"/>
              <w:right w:val="single" w:sz="4" w:space="0" w:color="auto"/>
            </w:tcBorders>
            <w:shd w:val="clear" w:color="auto" w:fill="BF3C00" w:themeFill="accent4" w:themeFillShade="BF"/>
            <w:vAlign w:val="center"/>
            <w:hideMark/>
          </w:tcPr>
          <w:p w:rsidR="0072388B" w:rsidRPr="00CC592F" w:rsidRDefault="0072388B" w:rsidP="0072388B">
            <w:pPr>
              <w:pStyle w:val="NoSpacing"/>
              <w:rPr>
                <w:rFonts w:ascii="Arial" w:hAnsi="Arial" w:cs="Arial"/>
                <w:b/>
                <w:color w:val="FFFFFF" w:themeColor="background1"/>
                <w:sz w:val="22"/>
                <w:lang w:val="fr-CA"/>
              </w:rPr>
            </w:pPr>
            <w:r w:rsidRPr="00CC592F">
              <w:rPr>
                <w:rFonts w:ascii="Arial" w:eastAsia="Arial" w:hAnsi="Arial" w:cs="Arial"/>
                <w:b/>
                <w:color w:val="FFFFFF" w:themeColor="background1"/>
                <w:sz w:val="22"/>
                <w:lang w:val="fr-CA" w:bidi="fr-FR"/>
              </w:rPr>
              <w:t>Immigration, Réfugiés et Citoyenneté Canada</w:t>
            </w:r>
          </w:p>
        </w:tc>
        <w:tc>
          <w:tcPr>
            <w:tcW w:w="2257" w:type="dxa"/>
            <w:tcBorders>
              <w:top w:val="single" w:sz="4" w:space="0" w:color="auto"/>
              <w:left w:val="single" w:sz="4" w:space="0" w:color="auto"/>
              <w:bottom w:val="single" w:sz="4" w:space="0" w:color="auto"/>
              <w:right w:val="single" w:sz="4" w:space="0" w:color="auto"/>
            </w:tcBorders>
            <w:shd w:val="clear" w:color="auto" w:fill="8D9195" w:themeFill="text1" w:themeFillTint="A6"/>
            <w:hideMark/>
          </w:tcPr>
          <w:p w:rsidR="0072388B" w:rsidRPr="00CC592F" w:rsidRDefault="0072388B" w:rsidP="002A7BFF">
            <w:pPr>
              <w:pStyle w:val="NoSpacing"/>
              <w:jc w:val="center"/>
              <w:rPr>
                <w:rFonts w:ascii="Arial" w:eastAsia="Arial" w:hAnsi="Arial" w:cs="Arial"/>
                <w:b/>
                <w:color w:val="FFFFFF" w:themeColor="background1"/>
                <w:sz w:val="22"/>
                <w:lang w:val="fr-CA" w:bidi="fr-FR"/>
              </w:rPr>
            </w:pPr>
            <w:r w:rsidRPr="00CC592F">
              <w:rPr>
                <w:rFonts w:ascii="Arial" w:eastAsia="Arial" w:hAnsi="Arial" w:cs="Arial"/>
                <w:b/>
                <w:color w:val="FFFFFF" w:themeColor="background1"/>
                <w:sz w:val="22"/>
                <w:lang w:val="fr-CA" w:bidi="fr-FR"/>
              </w:rPr>
              <w:t>Représentation dans l’ensemble de la fonction publique du Canada</w:t>
            </w:r>
          </w:p>
        </w:tc>
      </w:tr>
      <w:tr w:rsidR="0072388B" w:rsidRPr="00CC592F" w:rsidTr="00CF4CD4">
        <w:trPr>
          <w:tblHeader/>
          <w:jc w:val="center"/>
        </w:trPr>
        <w:tc>
          <w:tcPr>
            <w:tcW w:w="2065"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rPr>
                <w:rFonts w:ascii="Arial" w:hAnsi="Arial" w:cs="Arial"/>
                <w:sz w:val="22"/>
                <w:lang w:val="fr-CA"/>
              </w:rPr>
            </w:pPr>
            <w:r w:rsidRPr="00CC592F">
              <w:rPr>
                <w:rFonts w:ascii="Arial" w:eastAsia="Arial" w:hAnsi="Arial" w:cs="Arial"/>
                <w:sz w:val="22"/>
                <w:lang w:val="fr-CA" w:bidi="fr-FR"/>
              </w:rPr>
              <w:t>Femmes</w:t>
            </w:r>
          </w:p>
        </w:tc>
        <w:tc>
          <w:tcPr>
            <w:tcW w:w="2282"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52,5 %</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65,7 %</w:t>
            </w:r>
          </w:p>
        </w:tc>
        <w:tc>
          <w:tcPr>
            <w:tcW w:w="2257"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54,8 %</w:t>
            </w:r>
          </w:p>
        </w:tc>
      </w:tr>
      <w:tr w:rsidR="0072388B" w:rsidRPr="00CC592F" w:rsidTr="00CF4CD4">
        <w:trPr>
          <w:tblHeader/>
          <w:jc w:val="center"/>
        </w:trPr>
        <w:tc>
          <w:tcPr>
            <w:tcW w:w="2065"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after="20"/>
              <w:rPr>
                <w:rFonts w:ascii="Arial" w:hAnsi="Arial" w:cs="Arial"/>
                <w:sz w:val="22"/>
                <w:lang w:val="fr-CA"/>
              </w:rPr>
            </w:pPr>
            <w:r w:rsidRPr="00CC592F">
              <w:rPr>
                <w:rFonts w:ascii="Arial" w:eastAsia="Arial" w:hAnsi="Arial" w:cs="Arial"/>
                <w:sz w:val="22"/>
                <w:lang w:val="fr-CA" w:bidi="fr-FR"/>
              </w:rPr>
              <w:t>Autochtones</w:t>
            </w:r>
          </w:p>
        </w:tc>
        <w:tc>
          <w:tcPr>
            <w:tcW w:w="2282"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after="20"/>
              <w:jc w:val="center"/>
              <w:rPr>
                <w:rFonts w:ascii="Arial" w:hAnsi="Arial" w:cs="Arial"/>
                <w:sz w:val="22"/>
                <w:lang w:val="fr-CA"/>
              </w:rPr>
            </w:pPr>
            <w:r w:rsidRPr="00CC592F">
              <w:rPr>
                <w:rFonts w:ascii="Arial" w:eastAsia="Arial" w:hAnsi="Arial" w:cs="Arial"/>
                <w:sz w:val="22"/>
                <w:lang w:val="fr-CA" w:bidi="fr-FR"/>
              </w:rPr>
              <w:t>3.4 %</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2388B" w:rsidRPr="00CC592F" w:rsidRDefault="0072388B" w:rsidP="000C11BE">
            <w:pPr>
              <w:pStyle w:val="NoSpacing"/>
              <w:spacing w:before="40" w:after="20"/>
              <w:jc w:val="center"/>
              <w:rPr>
                <w:rFonts w:ascii="Arial" w:hAnsi="Arial" w:cs="Arial"/>
                <w:sz w:val="22"/>
                <w:lang w:val="fr-CA"/>
              </w:rPr>
            </w:pPr>
            <w:r w:rsidRPr="00CC592F">
              <w:rPr>
                <w:rFonts w:ascii="Arial" w:eastAsia="Arial" w:hAnsi="Arial" w:cs="Arial"/>
                <w:sz w:val="22"/>
                <w:lang w:val="fr-CA" w:bidi="fr-FR"/>
              </w:rPr>
              <w:t>3,7 %</w:t>
            </w:r>
          </w:p>
        </w:tc>
        <w:tc>
          <w:tcPr>
            <w:tcW w:w="2257"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after="20"/>
              <w:jc w:val="center"/>
              <w:rPr>
                <w:rFonts w:ascii="Arial" w:hAnsi="Arial" w:cs="Arial"/>
                <w:sz w:val="22"/>
                <w:lang w:val="fr-CA"/>
              </w:rPr>
            </w:pPr>
            <w:r w:rsidRPr="00CC592F">
              <w:rPr>
                <w:rFonts w:ascii="Arial" w:eastAsia="Arial" w:hAnsi="Arial" w:cs="Arial"/>
                <w:sz w:val="22"/>
                <w:lang w:val="fr-CA" w:bidi="fr-FR"/>
              </w:rPr>
              <w:t>5,1 %</w:t>
            </w:r>
          </w:p>
        </w:tc>
      </w:tr>
      <w:tr w:rsidR="0072388B" w:rsidRPr="00CC592F" w:rsidTr="00CF4CD4">
        <w:trPr>
          <w:trHeight w:val="198"/>
          <w:tblHeader/>
          <w:jc w:val="center"/>
        </w:trPr>
        <w:tc>
          <w:tcPr>
            <w:tcW w:w="2065"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rPr>
                <w:rFonts w:ascii="Arial" w:hAnsi="Arial" w:cs="Arial"/>
                <w:sz w:val="22"/>
                <w:lang w:val="fr-CA"/>
              </w:rPr>
            </w:pPr>
            <w:r w:rsidRPr="00CC592F">
              <w:rPr>
                <w:rFonts w:ascii="Arial" w:eastAsia="Arial" w:hAnsi="Arial" w:cs="Arial"/>
                <w:sz w:val="22"/>
                <w:lang w:val="fr-CA" w:bidi="fr-FR"/>
              </w:rPr>
              <w:t>Personnes handicapées</w:t>
            </w:r>
          </w:p>
        </w:tc>
        <w:tc>
          <w:tcPr>
            <w:tcW w:w="2282"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4.4 %</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4,7 %</w:t>
            </w:r>
          </w:p>
        </w:tc>
        <w:tc>
          <w:tcPr>
            <w:tcW w:w="2257"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5,3 %</w:t>
            </w:r>
          </w:p>
        </w:tc>
      </w:tr>
      <w:tr w:rsidR="0072388B" w:rsidRPr="00CC592F" w:rsidTr="00CF4CD4">
        <w:trPr>
          <w:tblHeader/>
          <w:jc w:val="center"/>
        </w:trPr>
        <w:tc>
          <w:tcPr>
            <w:tcW w:w="2065" w:type="dxa"/>
            <w:tcBorders>
              <w:top w:val="single" w:sz="4" w:space="0" w:color="auto"/>
              <w:left w:val="single" w:sz="4" w:space="0" w:color="auto"/>
              <w:bottom w:val="single" w:sz="4" w:space="0" w:color="auto"/>
              <w:right w:val="single" w:sz="4" w:space="0" w:color="auto"/>
            </w:tcBorders>
            <w:hideMark/>
          </w:tcPr>
          <w:p w:rsidR="0072388B" w:rsidRPr="00CC592F" w:rsidRDefault="0072388B" w:rsidP="000C11BE">
            <w:pPr>
              <w:pStyle w:val="NoSpacing"/>
              <w:spacing w:before="40"/>
              <w:rPr>
                <w:rFonts w:ascii="Arial" w:hAnsi="Arial" w:cs="Arial"/>
                <w:sz w:val="22"/>
                <w:lang w:val="fr-CA"/>
              </w:rPr>
            </w:pPr>
            <w:r w:rsidRPr="00CC592F">
              <w:rPr>
                <w:rFonts w:ascii="Arial" w:eastAsia="Arial" w:hAnsi="Arial" w:cs="Arial"/>
                <w:sz w:val="22"/>
                <w:lang w:val="fr-CA" w:bidi="fr-FR"/>
              </w:rPr>
              <w:t>Membres d’une minorité visible</w:t>
            </w:r>
          </w:p>
        </w:tc>
        <w:tc>
          <w:tcPr>
            <w:tcW w:w="2282"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13 %</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29 %</w:t>
            </w:r>
          </w:p>
        </w:tc>
        <w:tc>
          <w:tcPr>
            <w:tcW w:w="2257" w:type="dxa"/>
            <w:tcBorders>
              <w:top w:val="single" w:sz="4" w:space="0" w:color="auto"/>
              <w:left w:val="single" w:sz="4" w:space="0" w:color="auto"/>
              <w:bottom w:val="single" w:sz="4" w:space="0" w:color="auto"/>
              <w:right w:val="single" w:sz="4" w:space="0" w:color="auto"/>
            </w:tcBorders>
            <w:vAlign w:val="center"/>
            <w:hideMark/>
          </w:tcPr>
          <w:p w:rsidR="0072388B" w:rsidRPr="00CC592F" w:rsidRDefault="0072388B" w:rsidP="000C11BE">
            <w:pPr>
              <w:pStyle w:val="NoSpacing"/>
              <w:spacing w:before="40"/>
              <w:jc w:val="center"/>
              <w:rPr>
                <w:rFonts w:ascii="Arial" w:hAnsi="Arial" w:cs="Arial"/>
                <w:sz w:val="22"/>
                <w:lang w:val="fr-CA"/>
              </w:rPr>
            </w:pPr>
            <w:r w:rsidRPr="00CC592F">
              <w:rPr>
                <w:rFonts w:ascii="Arial" w:eastAsia="Arial" w:hAnsi="Arial" w:cs="Arial"/>
                <w:sz w:val="22"/>
                <w:lang w:val="fr-CA" w:bidi="fr-FR"/>
              </w:rPr>
              <w:t>15,7 %</w:t>
            </w:r>
          </w:p>
        </w:tc>
      </w:tr>
    </w:tbl>
    <w:p w:rsidR="0072388B" w:rsidRPr="00CC592F" w:rsidRDefault="00CF4CD4" w:rsidP="00CF4CD4">
      <w:pPr>
        <w:pStyle w:val="NoSpacing"/>
        <w:spacing w:before="240" w:after="120"/>
        <w:rPr>
          <w:rFonts w:ascii="Arial" w:hAnsi="Arial" w:cs="Arial"/>
          <w:noProof/>
          <w:lang w:val="fr-CA" w:eastAsia="en-CA"/>
        </w:rPr>
      </w:pPr>
      <w:r w:rsidRPr="00CC592F">
        <w:rPr>
          <w:rFonts w:ascii="Arial" w:eastAsia="Arial" w:hAnsi="Arial" w:cs="Arial"/>
          <w:sz w:val="22"/>
          <w:lang w:val="fr-CA" w:bidi="fr-FR"/>
        </w:rPr>
        <w:t xml:space="preserve">Source : </w:t>
      </w:r>
      <w:hyperlink r:id="rId39" w:history="1">
        <w:r w:rsidRPr="00CC592F">
          <w:rPr>
            <w:rStyle w:val="Hyperlink"/>
            <w:rFonts w:ascii="Arial" w:eastAsia="Arial" w:hAnsi="Arial" w:cs="Arial"/>
            <w:sz w:val="22"/>
            <w:lang w:val="fr-CA" w:bidi="fr-FR"/>
          </w:rPr>
          <w:t>L’équité en matière d’emploi dans la fonction publique du Canada, exercice 2017 à 2018</w:t>
        </w:r>
      </w:hyperlink>
      <w:r w:rsidRPr="00CC592F">
        <w:rPr>
          <w:rStyle w:val="Hyperlink"/>
          <w:rFonts w:ascii="Arial" w:eastAsia="Arial" w:hAnsi="Arial" w:cs="Arial"/>
          <w:sz w:val="22"/>
          <w:lang w:val="fr-CA" w:bidi="fr-FR"/>
        </w:rPr>
        <w:t xml:space="preserve"> </w:t>
      </w:r>
      <w:r w:rsidRPr="00CC592F">
        <w:rPr>
          <w:rFonts w:ascii="Arial" w:eastAsia="Arial" w:hAnsi="Arial" w:cs="Arial"/>
          <w:sz w:val="22"/>
          <w:lang w:val="fr-CA" w:bidi="fr-FR"/>
        </w:rPr>
        <w:t>du Secrétariat du Conseil du Trésor du Canada</w:t>
      </w:r>
    </w:p>
    <w:p w:rsidR="0072388B" w:rsidRPr="00CC592F" w:rsidRDefault="0072388B" w:rsidP="00CF4CD4">
      <w:pPr>
        <w:pStyle w:val="Level1"/>
        <w:tabs>
          <w:tab w:val="left" w:pos="-1440"/>
        </w:tabs>
        <w:autoSpaceDE w:val="0"/>
        <w:autoSpaceDN w:val="0"/>
        <w:adjustRightInd w:val="0"/>
        <w:spacing w:after="360" w:line="20" w:lineRule="atLeast"/>
        <w:jc w:val="right"/>
        <w:rPr>
          <w:rFonts w:asciiTheme="minorHAnsi" w:hAnsiTheme="minorHAnsi" w:cstheme="minorHAnsi"/>
          <w:b/>
          <w:noProof/>
          <w:lang w:val="fr-CA" w:eastAsia="en-CA"/>
        </w:rPr>
      </w:pPr>
      <w:r w:rsidRPr="00CC592F">
        <w:rPr>
          <w:rFonts w:ascii="Arial" w:hAnsi="Arial" w:cs="Arial"/>
          <w:noProof/>
          <w:highlight w:val="yellow"/>
          <w:lang w:val="fr-CA" w:eastAsia="en-CA"/>
        </w:rPr>
        <w:br w:type="page"/>
      </w:r>
      <w:bookmarkStart w:id="19" w:name="AnnexI"/>
      <w:r w:rsidRPr="00CC592F">
        <w:rPr>
          <w:rFonts w:asciiTheme="minorHAnsi" w:eastAsia="Arial" w:hAnsiTheme="minorHAnsi" w:cstheme="minorHAnsi"/>
          <w:b/>
          <w:sz w:val="22"/>
          <w:szCs w:val="22"/>
          <w:lang w:val="fr-CA" w:bidi="fr-FR"/>
        </w:rPr>
        <w:lastRenderedPageBreak/>
        <w:t>Annexe I</w:t>
      </w:r>
    </w:p>
    <w:bookmarkEnd w:id="19"/>
    <w:p w:rsidR="00CF4CD4" w:rsidRPr="00CC592F" w:rsidRDefault="00CF4CD4" w:rsidP="00CC592F">
      <w:pPr>
        <w:pStyle w:val="TableTitle"/>
        <w:jc w:val="center"/>
      </w:pPr>
      <w:r w:rsidRPr="00CC592F">
        <w:rPr>
          <w:rFonts w:eastAsia="Arial"/>
          <w:lang w:bidi="fr-FR"/>
        </w:rPr>
        <w:t>DONNÉES DE LA CFP SUR LA NOMINATION DES BÉNÉFICIAIRES DE PRIORITÉ</w:t>
      </w:r>
    </w:p>
    <w:p w:rsidR="00CF4CD4" w:rsidRPr="00CC592F" w:rsidRDefault="00CF4CD4" w:rsidP="00CC592F">
      <w:pPr>
        <w:pStyle w:val="TableTitle"/>
        <w:jc w:val="center"/>
      </w:pPr>
      <w:r w:rsidRPr="00CC592F">
        <w:rPr>
          <w:rFonts w:eastAsia="Arial"/>
          <w:lang w:bidi="fr-FR"/>
        </w:rPr>
        <w:t>MEMBRES DES FORCES ARMÉES CANADIENNES LIBÉRÉS POUR DES RAISONS MÉDICALES</w:t>
      </w:r>
    </w:p>
    <w:p w:rsidR="0072388B" w:rsidRPr="00CC592F" w:rsidRDefault="00CF4CD4" w:rsidP="00CF4CD4">
      <w:pPr>
        <w:jc w:val="center"/>
        <w:rPr>
          <w:rFonts w:ascii="Segoe UI" w:hAnsi="Segoe UI" w:cs="Segoe UI"/>
          <w:color w:val="2A2B2D" w:themeColor="text1" w:themeShade="80"/>
          <w:sz w:val="20"/>
        </w:rPr>
      </w:pPr>
      <w:r w:rsidRPr="00CC592F">
        <w:rPr>
          <w:rFonts w:ascii="Arial" w:eastAsia="Arial" w:hAnsi="Arial" w:cs="Arial"/>
          <w:b/>
          <w:smallCaps/>
          <w:color w:val="2A2B2D" w:themeColor="text1" w:themeShade="80"/>
          <w:lang w:bidi="fr-FR"/>
        </w:rPr>
        <w:t>(Immigration, Réfugiés et Citoyenneté Canada)</w:t>
      </w:r>
    </w:p>
    <w:tbl>
      <w:tblPr>
        <w:tblStyle w:val="TableGrid"/>
        <w:tblW w:w="0" w:type="auto"/>
        <w:jc w:val="center"/>
        <w:tblBorders>
          <w:top w:val="single" w:sz="4" w:space="0" w:color="2A2B2D" w:themeColor="text1" w:themeShade="80"/>
          <w:left w:val="single" w:sz="4" w:space="0" w:color="2A2B2D" w:themeColor="text1" w:themeShade="80"/>
          <w:bottom w:val="single" w:sz="4" w:space="0" w:color="2A2B2D" w:themeColor="text1" w:themeShade="80"/>
          <w:right w:val="single" w:sz="4" w:space="0" w:color="2A2B2D" w:themeColor="text1" w:themeShade="80"/>
          <w:insideH w:val="single" w:sz="4" w:space="0" w:color="2A2B2D" w:themeColor="text1" w:themeShade="80"/>
          <w:insideV w:val="single" w:sz="4" w:space="0" w:color="2A2B2D" w:themeColor="text1" w:themeShade="80"/>
        </w:tblBorders>
        <w:tblLook w:val="04A0" w:firstRow="1" w:lastRow="0" w:firstColumn="1" w:lastColumn="0" w:noHBand="0" w:noVBand="1"/>
        <w:tblCaption w:val="PSC Priority Appointment Data Medically Released Military Members"/>
        <w:tblDescription w:val="The table highlights the number of releases of military members based on either Attributable to Service or Not Attributable to Service"/>
      </w:tblPr>
      <w:tblGrid>
        <w:gridCol w:w="2403"/>
        <w:gridCol w:w="2372"/>
        <w:gridCol w:w="2996"/>
        <w:gridCol w:w="1579"/>
      </w:tblGrid>
      <w:tr w:rsidR="00CF4CD4" w:rsidRPr="00CC592F" w:rsidTr="002A7BFF">
        <w:trPr>
          <w:tblHeader/>
          <w:jc w:val="center"/>
        </w:trPr>
        <w:tc>
          <w:tcPr>
            <w:tcW w:w="2403" w:type="dxa"/>
            <w:vAlign w:val="center"/>
          </w:tcPr>
          <w:p w:rsidR="0072388B" w:rsidRPr="00CC592F" w:rsidRDefault="00CF4CD4" w:rsidP="0072388B">
            <w:pPr>
              <w:pStyle w:val="Level1"/>
              <w:tabs>
                <w:tab w:val="left" w:pos="-1440"/>
              </w:tabs>
              <w:autoSpaceDE w:val="0"/>
              <w:autoSpaceDN w:val="0"/>
              <w:adjustRightInd w:val="0"/>
              <w:spacing w:after="120" w:line="20" w:lineRule="atLeast"/>
              <w:jc w:val="right"/>
              <w:rPr>
                <w:rFonts w:ascii="Arial" w:hAnsi="Arial" w:cs="Arial"/>
                <w:color w:val="2A2B2D" w:themeColor="text1" w:themeShade="80"/>
                <w:sz w:val="22"/>
                <w:lang w:val="fr-CA"/>
              </w:rPr>
            </w:pPr>
            <w:r w:rsidRPr="00CC592F">
              <w:rPr>
                <w:rFonts w:ascii="Arial" w:hAnsi="Arial" w:cs="Arial"/>
                <w:color w:val="2A2B2D" w:themeColor="text1" w:themeShade="80"/>
                <w:sz w:val="22"/>
                <w:lang w:val="fr-CA"/>
              </w:rPr>
              <w:t>Année financière</w:t>
            </w:r>
          </w:p>
        </w:tc>
        <w:tc>
          <w:tcPr>
            <w:tcW w:w="2372"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b/>
                <w:smallCaps/>
                <w:color w:val="2A2B2D" w:themeColor="text1" w:themeShade="80"/>
                <w:sz w:val="22"/>
                <w:lang w:val="fr-CA"/>
              </w:rPr>
            </w:pPr>
            <w:r w:rsidRPr="00CC592F">
              <w:rPr>
                <w:rFonts w:ascii="Arial" w:eastAsia="Arial" w:hAnsi="Arial" w:cs="Arial"/>
                <w:b/>
                <w:smallCaps/>
                <w:color w:val="2A2B2D" w:themeColor="text1" w:themeShade="80"/>
                <w:sz w:val="22"/>
                <w:lang w:val="fr-CA" w:bidi="fr-FR"/>
              </w:rPr>
              <w:t>Attribuable au service (législatif)</w:t>
            </w:r>
          </w:p>
        </w:tc>
        <w:tc>
          <w:tcPr>
            <w:tcW w:w="2996"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b/>
                <w:smallCaps/>
                <w:color w:val="2A2B2D" w:themeColor="text1" w:themeShade="80"/>
                <w:sz w:val="22"/>
                <w:lang w:val="fr-CA"/>
              </w:rPr>
            </w:pPr>
            <w:r w:rsidRPr="00CC592F">
              <w:rPr>
                <w:rFonts w:ascii="Arial" w:eastAsia="Arial" w:hAnsi="Arial" w:cs="Arial"/>
                <w:b/>
                <w:smallCaps/>
                <w:color w:val="2A2B2D" w:themeColor="text1" w:themeShade="80"/>
                <w:sz w:val="22"/>
                <w:lang w:val="fr-CA" w:bidi="fr-FR"/>
              </w:rPr>
              <w:t>Non attribuable au service (réglementaire)</w:t>
            </w:r>
          </w:p>
        </w:tc>
        <w:tc>
          <w:tcPr>
            <w:tcW w:w="1579"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b/>
                <w:smallCaps/>
                <w:color w:val="2A2B2D" w:themeColor="text1" w:themeShade="80"/>
                <w:sz w:val="22"/>
                <w:lang w:val="fr-CA"/>
              </w:rPr>
            </w:pPr>
            <w:r w:rsidRPr="00CC592F">
              <w:rPr>
                <w:rFonts w:ascii="Arial" w:eastAsia="Arial" w:hAnsi="Arial" w:cs="Arial"/>
                <w:b/>
                <w:smallCaps/>
                <w:color w:val="2A2B2D" w:themeColor="text1" w:themeShade="80"/>
                <w:sz w:val="22"/>
                <w:lang w:val="fr-CA" w:bidi="fr-FR"/>
              </w:rPr>
              <w:t>Total</w:t>
            </w:r>
          </w:p>
        </w:tc>
      </w:tr>
      <w:tr w:rsidR="0072388B" w:rsidRPr="00CC592F" w:rsidTr="002A7BFF">
        <w:trPr>
          <w:jc w:val="center"/>
        </w:trPr>
        <w:tc>
          <w:tcPr>
            <w:tcW w:w="2403" w:type="dxa"/>
            <w:vAlign w:val="center"/>
          </w:tcPr>
          <w:p w:rsidR="0072388B" w:rsidRPr="00CC592F" w:rsidRDefault="0072388B" w:rsidP="0072388B">
            <w:pPr>
              <w:pStyle w:val="Level1"/>
              <w:tabs>
                <w:tab w:val="left" w:pos="-1440"/>
              </w:tabs>
              <w:autoSpaceDE w:val="0"/>
              <w:autoSpaceDN w:val="0"/>
              <w:adjustRightInd w:val="0"/>
              <w:spacing w:after="120" w:line="20" w:lineRule="atLeast"/>
              <w:jc w:val="right"/>
              <w:rPr>
                <w:rFonts w:ascii="Arial" w:hAnsi="Arial" w:cs="Arial"/>
                <w:sz w:val="22"/>
                <w:lang w:val="fr-CA"/>
              </w:rPr>
            </w:pPr>
            <w:r w:rsidRPr="00CC592F">
              <w:rPr>
                <w:rFonts w:ascii="Arial" w:eastAsia="Arial" w:hAnsi="Arial" w:cs="Arial"/>
                <w:sz w:val="22"/>
                <w:lang w:val="fr-CA" w:bidi="fr-FR"/>
              </w:rPr>
              <w:t>1</w:t>
            </w:r>
            <w:r w:rsidRPr="00CC592F">
              <w:rPr>
                <w:rFonts w:ascii="Arial" w:eastAsia="Arial" w:hAnsi="Arial" w:cs="Arial"/>
                <w:sz w:val="22"/>
                <w:vertAlign w:val="superscript"/>
                <w:lang w:val="fr-CA" w:bidi="fr-FR"/>
              </w:rPr>
              <w:t>er</w:t>
            </w:r>
            <w:r w:rsidRPr="00CC592F">
              <w:rPr>
                <w:rFonts w:ascii="Arial" w:eastAsia="Arial" w:hAnsi="Arial" w:cs="Arial"/>
                <w:sz w:val="22"/>
                <w:lang w:val="fr-CA" w:bidi="fr-FR"/>
              </w:rPr>
              <w:t> juillet 2015 à 2016</w:t>
            </w:r>
          </w:p>
        </w:tc>
        <w:tc>
          <w:tcPr>
            <w:tcW w:w="2372"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0</w:t>
            </w:r>
          </w:p>
        </w:tc>
        <w:tc>
          <w:tcPr>
            <w:tcW w:w="2996"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1</w:t>
            </w:r>
          </w:p>
        </w:tc>
        <w:tc>
          <w:tcPr>
            <w:tcW w:w="1579"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1</w:t>
            </w:r>
          </w:p>
        </w:tc>
      </w:tr>
      <w:tr w:rsidR="0072388B" w:rsidRPr="00CC592F" w:rsidTr="002A7BFF">
        <w:trPr>
          <w:jc w:val="center"/>
        </w:trPr>
        <w:tc>
          <w:tcPr>
            <w:tcW w:w="2403" w:type="dxa"/>
            <w:vAlign w:val="center"/>
          </w:tcPr>
          <w:p w:rsidR="0072388B" w:rsidRPr="00CC592F" w:rsidRDefault="0072388B" w:rsidP="0072388B">
            <w:pPr>
              <w:pStyle w:val="Level1"/>
              <w:tabs>
                <w:tab w:val="left" w:pos="-1440"/>
              </w:tabs>
              <w:autoSpaceDE w:val="0"/>
              <w:autoSpaceDN w:val="0"/>
              <w:adjustRightInd w:val="0"/>
              <w:spacing w:after="120" w:line="20" w:lineRule="atLeast"/>
              <w:jc w:val="right"/>
              <w:rPr>
                <w:rFonts w:ascii="Arial" w:hAnsi="Arial" w:cs="Arial"/>
                <w:sz w:val="22"/>
                <w:lang w:val="fr-CA"/>
              </w:rPr>
            </w:pPr>
            <w:r w:rsidRPr="00CC592F">
              <w:rPr>
                <w:rFonts w:ascii="Arial" w:eastAsia="Arial" w:hAnsi="Arial" w:cs="Arial"/>
                <w:sz w:val="22"/>
                <w:lang w:val="fr-CA" w:bidi="fr-FR"/>
              </w:rPr>
              <w:t>2016</w:t>
            </w:r>
            <w:r w:rsidRPr="00CC592F">
              <w:rPr>
                <w:rFonts w:ascii="Arial" w:eastAsia="Arial" w:hAnsi="Arial" w:cs="Arial"/>
                <w:sz w:val="22"/>
                <w:lang w:val="fr-CA" w:bidi="fr-FR"/>
              </w:rPr>
              <w:noBreakHyphen/>
              <w:t>2017</w:t>
            </w:r>
          </w:p>
        </w:tc>
        <w:tc>
          <w:tcPr>
            <w:tcW w:w="2372"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1</w:t>
            </w:r>
          </w:p>
        </w:tc>
        <w:tc>
          <w:tcPr>
            <w:tcW w:w="2996"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0</w:t>
            </w:r>
          </w:p>
        </w:tc>
        <w:tc>
          <w:tcPr>
            <w:tcW w:w="1579"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1</w:t>
            </w:r>
          </w:p>
        </w:tc>
      </w:tr>
      <w:tr w:rsidR="0072388B" w:rsidRPr="00CC592F" w:rsidTr="002A7BFF">
        <w:trPr>
          <w:jc w:val="center"/>
        </w:trPr>
        <w:tc>
          <w:tcPr>
            <w:tcW w:w="2403" w:type="dxa"/>
            <w:vAlign w:val="center"/>
          </w:tcPr>
          <w:p w:rsidR="0072388B" w:rsidRPr="00CC592F" w:rsidRDefault="0072388B" w:rsidP="0072388B">
            <w:pPr>
              <w:pStyle w:val="Level1"/>
              <w:tabs>
                <w:tab w:val="left" w:pos="-1440"/>
              </w:tabs>
              <w:autoSpaceDE w:val="0"/>
              <w:autoSpaceDN w:val="0"/>
              <w:adjustRightInd w:val="0"/>
              <w:spacing w:after="120" w:line="20" w:lineRule="atLeast"/>
              <w:jc w:val="right"/>
              <w:rPr>
                <w:rFonts w:ascii="Arial" w:hAnsi="Arial" w:cs="Arial"/>
                <w:sz w:val="22"/>
                <w:lang w:val="fr-CA"/>
              </w:rPr>
            </w:pPr>
            <w:r w:rsidRPr="00CC592F">
              <w:rPr>
                <w:rFonts w:ascii="Arial" w:eastAsia="Arial" w:hAnsi="Arial" w:cs="Arial"/>
                <w:sz w:val="22"/>
                <w:lang w:val="fr-CA" w:bidi="fr-FR"/>
              </w:rPr>
              <w:t>2017</w:t>
            </w:r>
            <w:r w:rsidRPr="00CC592F">
              <w:rPr>
                <w:rFonts w:ascii="Arial" w:eastAsia="Arial" w:hAnsi="Arial" w:cs="Arial"/>
                <w:sz w:val="22"/>
                <w:lang w:val="fr-CA" w:bidi="fr-FR"/>
              </w:rPr>
              <w:noBreakHyphen/>
              <w:t>2018</w:t>
            </w:r>
          </w:p>
        </w:tc>
        <w:tc>
          <w:tcPr>
            <w:tcW w:w="2372"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2</w:t>
            </w:r>
          </w:p>
        </w:tc>
        <w:tc>
          <w:tcPr>
            <w:tcW w:w="2996"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1</w:t>
            </w:r>
          </w:p>
        </w:tc>
        <w:tc>
          <w:tcPr>
            <w:tcW w:w="1579" w:type="dxa"/>
            <w:vAlign w:val="center"/>
          </w:tcPr>
          <w:p w:rsidR="0072388B" w:rsidRPr="00CC592F" w:rsidRDefault="0072388B" w:rsidP="0072388B">
            <w:pPr>
              <w:pStyle w:val="Level1"/>
              <w:tabs>
                <w:tab w:val="left" w:pos="-1440"/>
              </w:tabs>
              <w:autoSpaceDE w:val="0"/>
              <w:autoSpaceDN w:val="0"/>
              <w:adjustRightInd w:val="0"/>
              <w:spacing w:after="120" w:line="20" w:lineRule="atLeast"/>
              <w:jc w:val="center"/>
              <w:rPr>
                <w:rFonts w:ascii="Arial" w:hAnsi="Arial" w:cs="Arial"/>
                <w:sz w:val="22"/>
                <w:lang w:val="fr-CA"/>
              </w:rPr>
            </w:pPr>
            <w:r w:rsidRPr="00CC592F">
              <w:rPr>
                <w:rFonts w:ascii="Arial" w:eastAsia="Arial" w:hAnsi="Arial" w:cs="Arial"/>
                <w:sz w:val="22"/>
                <w:lang w:val="fr-CA" w:bidi="fr-FR"/>
              </w:rPr>
              <w:t>3</w:t>
            </w:r>
          </w:p>
        </w:tc>
      </w:tr>
      <w:tr w:rsidR="00CF4CD4" w:rsidRPr="00CC592F" w:rsidTr="002A7BFF">
        <w:trPr>
          <w:jc w:val="center"/>
        </w:trPr>
        <w:tc>
          <w:tcPr>
            <w:tcW w:w="2403" w:type="dxa"/>
            <w:vAlign w:val="center"/>
          </w:tcPr>
          <w:p w:rsidR="00CF4CD4" w:rsidRPr="00CC592F" w:rsidRDefault="00CF4CD4" w:rsidP="0072388B">
            <w:pPr>
              <w:pStyle w:val="Level1"/>
              <w:tabs>
                <w:tab w:val="left" w:pos="-1440"/>
              </w:tabs>
              <w:autoSpaceDE w:val="0"/>
              <w:autoSpaceDN w:val="0"/>
              <w:adjustRightInd w:val="0"/>
              <w:spacing w:after="120" w:line="20" w:lineRule="atLeast"/>
              <w:jc w:val="right"/>
              <w:rPr>
                <w:rFonts w:ascii="Arial" w:eastAsia="Arial" w:hAnsi="Arial" w:cs="Arial"/>
                <w:sz w:val="22"/>
                <w:lang w:val="fr-CA" w:bidi="fr-FR"/>
              </w:rPr>
            </w:pPr>
            <w:r w:rsidRPr="00CC592F">
              <w:rPr>
                <w:rFonts w:ascii="Arial" w:eastAsia="Arial" w:hAnsi="Arial" w:cs="Arial"/>
                <w:b/>
                <w:sz w:val="22"/>
                <w:lang w:val="fr-CA" w:bidi="fr-FR"/>
              </w:rPr>
              <w:t>Total</w:t>
            </w:r>
          </w:p>
        </w:tc>
        <w:tc>
          <w:tcPr>
            <w:tcW w:w="2372" w:type="dxa"/>
            <w:vAlign w:val="center"/>
          </w:tcPr>
          <w:p w:rsidR="00CF4CD4" w:rsidRPr="00CC592F" w:rsidRDefault="00CF4CD4" w:rsidP="0072388B">
            <w:pPr>
              <w:pStyle w:val="Level1"/>
              <w:tabs>
                <w:tab w:val="left" w:pos="-1440"/>
              </w:tabs>
              <w:autoSpaceDE w:val="0"/>
              <w:autoSpaceDN w:val="0"/>
              <w:adjustRightInd w:val="0"/>
              <w:spacing w:after="120" w:line="20" w:lineRule="atLeast"/>
              <w:jc w:val="center"/>
              <w:rPr>
                <w:rFonts w:ascii="Arial" w:eastAsia="Arial" w:hAnsi="Arial" w:cs="Arial"/>
                <w:sz w:val="22"/>
                <w:lang w:val="fr-CA" w:bidi="fr-FR"/>
              </w:rPr>
            </w:pPr>
          </w:p>
        </w:tc>
        <w:tc>
          <w:tcPr>
            <w:tcW w:w="2996" w:type="dxa"/>
            <w:vAlign w:val="center"/>
          </w:tcPr>
          <w:p w:rsidR="00CF4CD4" w:rsidRPr="00CC592F" w:rsidRDefault="00CF4CD4" w:rsidP="0072388B">
            <w:pPr>
              <w:pStyle w:val="Level1"/>
              <w:tabs>
                <w:tab w:val="left" w:pos="-1440"/>
              </w:tabs>
              <w:autoSpaceDE w:val="0"/>
              <w:autoSpaceDN w:val="0"/>
              <w:adjustRightInd w:val="0"/>
              <w:spacing w:after="120" w:line="20" w:lineRule="atLeast"/>
              <w:jc w:val="center"/>
              <w:rPr>
                <w:rFonts w:ascii="Arial" w:eastAsia="Arial" w:hAnsi="Arial" w:cs="Arial"/>
                <w:sz w:val="22"/>
                <w:lang w:val="fr-CA" w:bidi="fr-FR"/>
              </w:rPr>
            </w:pPr>
          </w:p>
        </w:tc>
        <w:tc>
          <w:tcPr>
            <w:tcW w:w="1579" w:type="dxa"/>
            <w:vAlign w:val="center"/>
          </w:tcPr>
          <w:p w:rsidR="00CF4CD4" w:rsidRPr="00CC592F" w:rsidRDefault="00CF4CD4" w:rsidP="0072388B">
            <w:pPr>
              <w:pStyle w:val="Level1"/>
              <w:tabs>
                <w:tab w:val="left" w:pos="-1440"/>
              </w:tabs>
              <w:autoSpaceDE w:val="0"/>
              <w:autoSpaceDN w:val="0"/>
              <w:adjustRightInd w:val="0"/>
              <w:spacing w:after="120" w:line="20" w:lineRule="atLeast"/>
              <w:jc w:val="center"/>
              <w:rPr>
                <w:rFonts w:ascii="Arial" w:eastAsia="Arial" w:hAnsi="Arial" w:cs="Arial"/>
                <w:sz w:val="22"/>
                <w:lang w:val="fr-CA" w:bidi="fr-FR"/>
              </w:rPr>
            </w:pPr>
            <w:r w:rsidRPr="00CC592F">
              <w:rPr>
                <w:rFonts w:ascii="Arial" w:eastAsia="Arial" w:hAnsi="Arial" w:cs="Arial"/>
                <w:b/>
                <w:sz w:val="22"/>
                <w:lang w:val="fr-CA" w:bidi="fr-FR"/>
              </w:rPr>
              <w:t>5</w:t>
            </w:r>
          </w:p>
        </w:tc>
      </w:tr>
    </w:tbl>
    <w:p w:rsidR="00A3677B" w:rsidRPr="002A7BFF" w:rsidRDefault="0072388B" w:rsidP="002A7BFF">
      <w:pPr>
        <w:spacing w:before="120"/>
        <w:rPr>
          <w:rFonts w:ascii="Arial" w:hAnsi="Arial" w:cs="Arial"/>
          <w:sz w:val="18"/>
          <w:szCs w:val="18"/>
        </w:rPr>
      </w:pPr>
      <w:r w:rsidRPr="00CC592F">
        <w:rPr>
          <w:rFonts w:ascii="Arial" w:eastAsia="Arial" w:hAnsi="Arial" w:cs="Arial"/>
          <w:b/>
          <w:sz w:val="18"/>
          <w:szCs w:val="18"/>
          <w:lang w:bidi="fr-FR"/>
        </w:rPr>
        <w:t>Source :</w:t>
      </w:r>
      <w:r w:rsidRPr="00CC592F">
        <w:rPr>
          <w:rFonts w:ascii="Arial" w:eastAsia="Arial" w:hAnsi="Arial" w:cs="Arial"/>
          <w:sz w:val="18"/>
          <w:szCs w:val="18"/>
          <w:lang w:bidi="fr-FR"/>
        </w:rPr>
        <w:t xml:space="preserve"> Système de gestion de l’information sur les priorités de la CFP</w:t>
      </w:r>
    </w:p>
    <w:sectPr w:rsidR="00A3677B" w:rsidRPr="002A7BFF" w:rsidSect="002A7BFF">
      <w:pgSz w:w="15840" w:h="12240" w:orient="landscape"/>
      <w:pgMar w:top="1440" w:right="1985" w:bottom="1440" w:left="1440"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1FF" w:rsidRDefault="002271FF" w:rsidP="0051557E">
      <w:pPr>
        <w:spacing w:after="0" w:line="240" w:lineRule="auto"/>
      </w:pPr>
      <w:r>
        <w:separator/>
      </w:r>
    </w:p>
  </w:endnote>
  <w:endnote w:type="continuationSeparator" w:id="0">
    <w:p w:rsidR="002271FF" w:rsidRDefault="002271FF" w:rsidP="0051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Default="002271FF" w:rsidP="00723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8A6060" w:rsidRDefault="002271FF" w:rsidP="0072388B">
    <w:pPr>
      <w:pStyle w:val="Footer"/>
    </w:pPr>
    <w:r w:rsidRPr="00F963C1">
      <w:rPr>
        <w:rFonts w:ascii="Calibri" w:eastAsia="Calibri" w:hAnsi="Calibri" w:cs="Arial"/>
        <w:sz w:val="16"/>
      </w:rPr>
      <w:fldChar w:fldCharType="begin"/>
    </w:r>
    <w:r w:rsidRPr="00F963C1">
      <w:rPr>
        <w:rFonts w:ascii="Calibri" w:eastAsia="Calibri" w:hAnsi="Calibri" w:cs="Arial"/>
        <w:sz w:val="16"/>
        <w:lang w:val="en-CA"/>
      </w:rPr>
      <w:instrText xml:space="preserve"> PAGE   \* MERGEFORMAT </w:instrText>
    </w:r>
    <w:r w:rsidRPr="00F963C1">
      <w:rPr>
        <w:rFonts w:ascii="Calibri" w:eastAsia="Calibri" w:hAnsi="Calibri" w:cs="Arial"/>
        <w:sz w:val="16"/>
      </w:rPr>
      <w:fldChar w:fldCharType="separate"/>
    </w:r>
    <w:r w:rsidR="00724186" w:rsidRPr="00724186">
      <w:rPr>
        <w:rFonts w:ascii="Calibri" w:eastAsia="Calibri" w:hAnsi="Calibri" w:cs="Arial"/>
        <w:b/>
        <w:bCs/>
        <w:noProof/>
        <w:sz w:val="16"/>
        <w:lang w:val="en-CA"/>
      </w:rPr>
      <w:t>5</w:t>
    </w:r>
    <w:r w:rsidRPr="00F963C1">
      <w:rPr>
        <w:rFonts w:ascii="Calibri" w:eastAsia="Calibri" w:hAnsi="Calibri" w:cs="Arial"/>
        <w:b/>
        <w:bCs/>
        <w:noProof/>
        <w:sz w:val="16"/>
      </w:rPr>
      <w:fldChar w:fldCharType="end"/>
    </w:r>
    <w:r w:rsidRPr="006B2FDC">
      <w:rPr>
        <w:rFonts w:ascii="Calibri" w:eastAsia="Calibri" w:hAnsi="Calibri" w:cs="Arial"/>
        <w:b/>
        <w:bCs/>
        <w:sz w:val="16"/>
        <w:lang w:val="en-CA"/>
      </w:rPr>
      <w:t>|</w:t>
    </w:r>
    <w:r w:rsidRPr="00F963C1">
      <w:rPr>
        <w:rFonts w:ascii="Calibri" w:eastAsia="Calibri" w:hAnsi="Calibri" w:cs="Arial"/>
        <w:sz w:val="16"/>
        <w:lang w:val="en-CA"/>
      </w:rPr>
      <w:t xml:space="preserve"> </w:t>
    </w:r>
    <w:r>
      <w:rPr>
        <w:rFonts w:ascii="Calibri" w:eastAsia="Calibri" w:hAnsi="Calibri" w:cs="Arial"/>
        <w:sz w:val="16"/>
        <w:lang w:val="en-CA"/>
      </w:rPr>
      <w:tab/>
    </w:r>
    <w:r>
      <w:rPr>
        <w:rFonts w:ascii="Calibri" w:eastAsia="Calibri" w:hAnsi="Calibri" w:cs="Arial"/>
        <w:sz w:val="16"/>
        <w:lang w:val="en-CA"/>
      </w:rPr>
      <w:tab/>
    </w:r>
    <w:proofErr w:type="spellStart"/>
    <w:r w:rsidRPr="006B2FDC">
      <w:rPr>
        <w:rFonts w:ascii="Calibri" w:eastAsia="Calibri" w:hAnsi="Calibri" w:cs="Arial"/>
        <w:sz w:val="16"/>
        <w:lang w:val="en-CA"/>
      </w:rPr>
      <w:t>GC</w:t>
    </w:r>
    <w:r>
      <w:rPr>
        <w:rFonts w:ascii="Calibri" w:eastAsia="Calibri" w:hAnsi="Calibri" w:cs="Arial"/>
        <w:sz w:val="16"/>
        <w:lang w:val="en-CA"/>
      </w:rPr>
      <w:t>docs</w:t>
    </w:r>
    <w:proofErr w:type="spellEnd"/>
    <w:r>
      <w:rPr>
        <w:rFonts w:ascii="Calibri" w:eastAsia="Calibri" w:hAnsi="Calibri" w:cs="Arial"/>
        <w:sz w:val="16"/>
        <w:lang w:val="en-CA"/>
      </w:rPr>
      <w:t> </w:t>
    </w:r>
    <w:r w:rsidRPr="00483962">
      <w:rPr>
        <w:rFonts w:ascii="Calibri" w:eastAsia="Calibri" w:hAnsi="Calibri" w:cs="Arial"/>
        <w:sz w:val="16"/>
        <w:lang w:val="en-CA"/>
      </w:rPr>
      <w:t>9716699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750509" w:rsidRDefault="002271FF" w:rsidP="0072388B">
    <w:pPr>
      <w:pBdr>
        <w:top w:val="single" w:sz="4" w:space="1" w:color="D9D9D9"/>
      </w:pBdr>
      <w:tabs>
        <w:tab w:val="center" w:pos="4680"/>
        <w:tab w:val="right" w:pos="9360"/>
      </w:tabs>
      <w:jc w:val="center"/>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00724186" w:rsidRPr="00724186">
      <w:rPr>
        <w:rFonts w:ascii="Calibri" w:eastAsia="Calibri" w:hAnsi="Calibri" w:cs="Arial"/>
        <w:b/>
        <w:bCs/>
        <w:noProof/>
        <w:sz w:val="16"/>
        <w:lang w:val="en-CA"/>
      </w:rPr>
      <w:t>10</w:t>
    </w:r>
    <w:r w:rsidRPr="006B2FDC">
      <w:rPr>
        <w:rFonts w:ascii="Calibri" w:eastAsia="Calibri" w:hAnsi="Calibri" w:cs="Arial"/>
        <w:b/>
        <w:bCs/>
        <w:noProof/>
        <w:sz w:val="16"/>
      </w:rPr>
      <w:fldChar w:fldCharType="end"/>
    </w:r>
    <w:proofErr w:type="spellStart"/>
    <w:r w:rsidRPr="006B2FDC">
      <w:rPr>
        <w:rFonts w:ascii="Calibri" w:eastAsia="Calibri" w:hAnsi="Calibri" w:cs="Arial"/>
        <w:sz w:val="16"/>
        <w:lang w:val="en-CA"/>
      </w:rPr>
      <w:t>GC</w:t>
    </w:r>
    <w:r>
      <w:rPr>
        <w:rFonts w:ascii="Calibri" w:eastAsia="Calibri" w:hAnsi="Calibri" w:cs="Arial"/>
        <w:sz w:val="16"/>
        <w:lang w:val="en-CA"/>
      </w:rPr>
      <w:t>docs</w:t>
    </w:r>
    <w:proofErr w:type="spellEnd"/>
    <w:r>
      <w:rPr>
        <w:rFonts w:ascii="Calibri" w:eastAsia="Calibri" w:hAnsi="Calibri" w:cs="Arial"/>
        <w:sz w:val="16"/>
        <w:lang w:val="en-CA"/>
      </w:rPr>
      <w:t> 9089793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ED49DF" w:rsidRDefault="002271FF" w:rsidP="002271FF">
    <w:pPr>
      <w:pStyle w:val="Footer"/>
      <w:jc w:val="center"/>
      <w:rPr>
        <w:sz w:val="20"/>
        <w:szCs w:val="20"/>
      </w:rPr>
    </w:pPr>
    <w:r w:rsidRPr="0079292E">
      <w:rPr>
        <w:sz w:val="20"/>
        <w:szCs w:val="20"/>
      </w:rPr>
      <w:t xml:space="preserve">Produit par la Direction des services de données et de l’analyse de la Commission de la fonction publique du Canada – Mise à jour le </w:t>
    </w:r>
    <w:r>
      <w:rPr>
        <w:sz w:val="20"/>
        <w:szCs w:val="20"/>
      </w:rPr>
      <w:t>22 août</w:t>
    </w:r>
    <w:r w:rsidRPr="0079292E">
      <w:rPr>
        <w:sz w:val="20"/>
        <w:szCs w:val="20"/>
      </w:rPr>
      <w:t xml:space="preserve">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Default="002271FF" w:rsidP="002271FF">
    <w:pPr>
      <w:pStyle w:val="Footer"/>
      <w:jc w:val="center"/>
      <w:rPr>
        <w:rFonts w:cstheme="minorHAnsi"/>
        <w:b/>
        <w:sz w:val="20"/>
        <w:szCs w:val="20"/>
      </w:rPr>
    </w:pPr>
    <w:r w:rsidRPr="002016D1">
      <w:rPr>
        <w:rFonts w:cstheme="minorHAnsi"/>
        <w:b/>
        <w:sz w:val="20"/>
        <w:szCs w:val="20"/>
      </w:rPr>
      <w:t xml:space="preserve">AS = Services administratifs </w:t>
    </w:r>
    <w:r>
      <w:rPr>
        <w:rFonts w:cstheme="minorHAnsi"/>
        <w:b/>
        <w:sz w:val="20"/>
        <w:szCs w:val="20"/>
      </w:rPr>
      <w:t>CR = Commis aux écritures et aux règlements CS = Systèmes d’ordinateurs EC = Groupe Économique et services de sciences sociales</w:t>
    </w:r>
  </w:p>
  <w:p w:rsidR="002271FF" w:rsidRPr="00D427E7" w:rsidRDefault="002271FF" w:rsidP="002271FF">
    <w:pPr>
      <w:pStyle w:val="Footer"/>
      <w:jc w:val="center"/>
      <w:rPr>
        <w:rFonts w:cstheme="minorHAnsi"/>
        <w:b/>
        <w:sz w:val="20"/>
        <w:szCs w:val="20"/>
      </w:rPr>
    </w:pPr>
    <w:r>
      <w:rPr>
        <w:rFonts w:cstheme="minorHAnsi"/>
        <w:b/>
        <w:sz w:val="20"/>
        <w:szCs w:val="20"/>
      </w:rPr>
      <w:t>PM = Administration des programmes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A56930" w:rsidRDefault="002271FF" w:rsidP="002271F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2271FF" w:rsidRDefault="002271FF" w:rsidP="002271FF">
    <w:pPr>
      <w:pStyle w:val="Header"/>
      <w:jc w:val="center"/>
      <w:rPr>
        <w:rFonts w:cstheme="minorHAnsi"/>
        <w:b/>
        <w:sz w:val="20"/>
        <w:szCs w:val="20"/>
        <w:lang w:val="en-CA"/>
      </w:rPr>
    </w:pPr>
    <w:r w:rsidRPr="002271FF">
      <w:rPr>
        <w:rFonts w:cstheme="minorHAnsi"/>
        <w:b/>
        <w:sz w:val="20"/>
        <w:szCs w:val="20"/>
        <w:lang w:val="en-CA"/>
      </w:rPr>
      <w:t>AS = Administrative Services CR = Clerical and Regulatory CS = Computer Systems EC = Economics and Social Sciences NU = Nursing PM = Program Management</w:t>
    </w:r>
  </w:p>
  <w:p w:rsidR="002271FF" w:rsidRPr="002271FF" w:rsidRDefault="002271FF" w:rsidP="002271FF">
    <w:pPr>
      <w:pStyle w:val="Header"/>
      <w:jc w:val="center"/>
      <w:rPr>
        <w:rFonts w:cstheme="minorHAnsi"/>
        <w:b/>
        <w:sz w:val="20"/>
        <w:szCs w:val="20"/>
        <w:lang w:val="en-C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035853"/>
      <w:docPartObj>
        <w:docPartGallery w:val="Page Numbers (Bottom of Page)"/>
        <w:docPartUnique/>
      </w:docPartObj>
    </w:sdtPr>
    <w:sdtEndPr>
      <w:rPr>
        <w:noProof/>
      </w:rPr>
    </w:sdtEndPr>
    <w:sdtContent>
      <w:p w:rsidR="002271FF" w:rsidRDefault="002271FF">
        <w:pPr>
          <w:pStyle w:val="Footer"/>
          <w:jc w:val="right"/>
        </w:pPr>
        <w:r>
          <w:fldChar w:fldCharType="begin"/>
        </w:r>
        <w:r>
          <w:instrText xml:space="preserve"> PAGE   \* MERGEFORMAT </w:instrText>
        </w:r>
        <w:r>
          <w:fldChar w:fldCharType="separate"/>
        </w:r>
        <w:r w:rsidR="00724186">
          <w:rPr>
            <w:noProof/>
          </w:rPr>
          <w:t>22</w:t>
        </w:r>
        <w:r>
          <w:rPr>
            <w:noProof/>
          </w:rPr>
          <w:fldChar w:fldCharType="end"/>
        </w:r>
      </w:p>
    </w:sdtContent>
  </w:sdt>
  <w:p w:rsidR="002271FF" w:rsidRDefault="002271F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Default="00227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1FF" w:rsidRDefault="002271FF" w:rsidP="0051557E">
      <w:pPr>
        <w:spacing w:after="0" w:line="240" w:lineRule="auto"/>
      </w:pPr>
      <w:r>
        <w:separator/>
      </w:r>
    </w:p>
  </w:footnote>
  <w:footnote w:type="continuationSeparator" w:id="0">
    <w:p w:rsidR="002271FF" w:rsidRDefault="002271FF" w:rsidP="0051557E">
      <w:pPr>
        <w:spacing w:after="0" w:line="240" w:lineRule="auto"/>
      </w:pPr>
      <w:r>
        <w:continuationSeparator/>
      </w:r>
    </w:p>
  </w:footnote>
  <w:footnote w:id="1">
    <w:p w:rsidR="002271FF" w:rsidRPr="00C850F4" w:rsidRDefault="002271FF" w:rsidP="0072388B">
      <w:pPr>
        <w:pStyle w:val="FootnoteText"/>
      </w:pPr>
      <w:r>
        <w:rPr>
          <w:rStyle w:val="FootnoteReference"/>
          <w:lang w:val="fr-FR" w:bidi="fr-FR"/>
        </w:rPr>
        <w:footnoteRef/>
      </w:r>
      <w:r>
        <w:rPr>
          <w:lang w:val="fr-FR" w:bidi="fr-FR"/>
        </w:rPr>
        <w:t xml:space="preserve"> Les centres de soutien aux demandeurs aux États-Unis offrent des services de collecte des données biométriques aux demandeurs canadiens de visa de résident temporaire.</w:t>
      </w:r>
    </w:p>
    <w:p w:rsidR="002271FF" w:rsidRPr="00C850F4" w:rsidRDefault="002271FF" w:rsidP="007238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C850F4" w:rsidRDefault="002271FF" w:rsidP="00723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463593" w:rsidRDefault="002271FF" w:rsidP="002271FF">
    <w:pPr>
      <w:pStyle w:val="Header"/>
      <w:jc w:val="center"/>
    </w:pPr>
    <w:r>
      <w:rPr>
        <w:rFonts w:cstheme="minorHAnsi"/>
        <w:b/>
        <w:sz w:val="20"/>
        <w:szCs w:val="20"/>
      </w:rPr>
      <w:t>Immigration, Réfugiés et Citoyenneté Canada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E4755F" w:rsidRDefault="002271FF" w:rsidP="002271FF">
    <w:pPr>
      <w:pStyle w:val="Header"/>
      <w:jc w:val="center"/>
    </w:pPr>
    <w:r>
      <w:rPr>
        <w:rFonts w:cstheme="minorHAnsi"/>
        <w:b/>
        <w:sz w:val="20"/>
        <w:szCs w:val="20"/>
      </w:rPr>
      <w:t>Immigration, Réfugiés et Citoyenneté Canada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896F90" w:rsidRDefault="002271F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Default="002271FF" w:rsidP="0051557E">
    <w:pPr>
      <w:pStyle w:val="Header"/>
      <w:ind w:left="70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1FF" w:rsidRPr="0072388B" w:rsidRDefault="002271FF" w:rsidP="0072388B">
    <w:pPr>
      <w:pStyle w:val="Header"/>
      <w:jc w:val="right"/>
    </w:pPr>
    <w:r>
      <w:t>Pour publication sur le portail du gouvernement ouvert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E65"/>
    <w:multiLevelType w:val="hybridMultilevel"/>
    <w:tmpl w:val="245092F2"/>
    <w:lvl w:ilvl="0" w:tplc="10090005">
      <w:start w:val="1"/>
      <w:numFmt w:val="bullet"/>
      <w:lvlText w:val=""/>
      <w:lvlJc w:val="left"/>
      <w:pPr>
        <w:ind w:left="360" w:hanging="360"/>
      </w:pPr>
      <w:rPr>
        <w:rFonts w:ascii="Wingdings" w:hAnsi="Wingdings"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D72EB4"/>
    <w:multiLevelType w:val="hybridMultilevel"/>
    <w:tmpl w:val="D98EC892"/>
    <w:lvl w:ilvl="0" w:tplc="3970DF6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1A6E2164"/>
    <w:multiLevelType w:val="hybridMultilevel"/>
    <w:tmpl w:val="0680D156"/>
    <w:lvl w:ilvl="0" w:tplc="3DE84C70">
      <w:start w:val="1"/>
      <w:numFmt w:val="bullet"/>
      <w:lvlText w:val=""/>
      <w:lvlJc w:val="left"/>
      <w:pPr>
        <w:ind w:left="720" w:hanging="360"/>
      </w:pPr>
      <w:rPr>
        <w:rFonts w:ascii="Wingdings" w:hAnsi="Wingdings" w:hint="default"/>
        <w:color w:val="auto"/>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BC2F79"/>
    <w:multiLevelType w:val="hybridMultilevel"/>
    <w:tmpl w:val="C28C30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214987"/>
    <w:multiLevelType w:val="hybridMultilevel"/>
    <w:tmpl w:val="16CE1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A481C"/>
    <w:multiLevelType w:val="multilevel"/>
    <w:tmpl w:val="2328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1944EA"/>
    <w:multiLevelType w:val="hybridMultilevel"/>
    <w:tmpl w:val="FD3A45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2595C82"/>
    <w:multiLevelType w:val="hybridMultilevel"/>
    <w:tmpl w:val="6772D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693144"/>
    <w:multiLevelType w:val="hybridMultilevel"/>
    <w:tmpl w:val="8FFE8B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2"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B8F7E94"/>
    <w:multiLevelType w:val="hybridMultilevel"/>
    <w:tmpl w:val="FED28C36"/>
    <w:lvl w:ilvl="0" w:tplc="6B10D14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1"/>
  </w:num>
  <w:num w:numId="8">
    <w:abstractNumId w:val="6"/>
  </w:num>
  <w:num w:numId="9">
    <w:abstractNumId w:val="19"/>
  </w:num>
  <w:num w:numId="10">
    <w:abstractNumId w:val="8"/>
  </w:num>
  <w:num w:numId="11">
    <w:abstractNumId w:val="20"/>
  </w:num>
  <w:num w:numId="12">
    <w:abstractNumId w:val="23"/>
  </w:num>
  <w:num w:numId="13">
    <w:abstractNumId w:val="12"/>
  </w:num>
  <w:num w:numId="14">
    <w:abstractNumId w:val="0"/>
  </w:num>
  <w:num w:numId="15">
    <w:abstractNumId w:val="18"/>
  </w:num>
  <w:num w:numId="16">
    <w:abstractNumId w:val="16"/>
  </w:num>
  <w:num w:numId="17">
    <w:abstractNumId w:val="10"/>
  </w:num>
  <w:num w:numId="18">
    <w:abstractNumId w:val="9"/>
  </w:num>
  <w:num w:numId="19">
    <w:abstractNumId w:val="24"/>
  </w:num>
  <w:num w:numId="20">
    <w:abstractNumId w:val="3"/>
  </w:num>
  <w:num w:numId="21">
    <w:abstractNumId w:val="1"/>
  </w:num>
  <w:num w:numId="22">
    <w:abstractNumId w:val="21"/>
  </w:num>
  <w:num w:numId="23">
    <w:abstractNumId w:val="17"/>
  </w:num>
  <w:num w:numId="24">
    <w:abstractNumId w:val="22"/>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characterSpacingControl w:val="doNotCompress"/>
  <w:hdrShapeDefaults>
    <o:shapedefaults v:ext="edit" spidmax="1228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8B"/>
    <w:rsid w:val="000C11BE"/>
    <w:rsid w:val="000F7C3C"/>
    <w:rsid w:val="00210749"/>
    <w:rsid w:val="002271FF"/>
    <w:rsid w:val="00244CD0"/>
    <w:rsid w:val="002A7BFF"/>
    <w:rsid w:val="003A6C89"/>
    <w:rsid w:val="00494AD8"/>
    <w:rsid w:val="0051557E"/>
    <w:rsid w:val="0056577D"/>
    <w:rsid w:val="00583F4C"/>
    <w:rsid w:val="0072388B"/>
    <w:rsid w:val="00724186"/>
    <w:rsid w:val="007E17D1"/>
    <w:rsid w:val="00811E93"/>
    <w:rsid w:val="00997D3F"/>
    <w:rsid w:val="00A3677B"/>
    <w:rsid w:val="00A77330"/>
    <w:rsid w:val="00C562F1"/>
    <w:rsid w:val="00CC592F"/>
    <w:rsid w:val="00CF4CD4"/>
    <w:rsid w:val="00ED7F0A"/>
    <w:rsid w:val="00F35C28"/>
    <w:rsid w:val="00FF60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71B5B5C-A053-4930-A77F-BE16F462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49"/>
    <w:pPr>
      <w:keepLines/>
    </w:pPr>
    <w:rPr>
      <w:color w:val="54575A" w:themeColor="text1"/>
      <w:lang w:val="fr-CA"/>
    </w:rPr>
  </w:style>
  <w:style w:type="paragraph" w:styleId="Heading1">
    <w:name w:val="heading 1"/>
    <w:basedOn w:val="Normal"/>
    <w:next w:val="Normal"/>
    <w:link w:val="Heading1Char"/>
    <w:uiPriority w:val="9"/>
    <w:qFormat/>
    <w:rsid w:val="00210749"/>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10749"/>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10749"/>
    <w:pPr>
      <w:spacing w:after="0" w:line="240" w:lineRule="auto"/>
    </w:pPr>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pPr>
      <w:spacing w:after="0" w:line="240" w:lineRule="auto"/>
    </w:pPr>
    <w:rPr>
      <w:sz w:val="20"/>
      <w:szCs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 w:val="24"/>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CF4CD4"/>
    <w:pPr>
      <w:spacing w:after="0" w:line="240" w:lineRule="auto"/>
      <w:ind w:left="714"/>
      <w:contextualSpacing/>
    </w:pPr>
    <w:rPr>
      <w:rFonts w:ascii="Segoe UI Light" w:eastAsiaTheme="majorEastAsia" w:hAnsi="Segoe UI Light" w:cs="Segoe UI Light"/>
      <w:spacing w:val="-10"/>
      <w:kern w:val="28"/>
      <w:lang w:bidi="fr-FR"/>
    </w:rPr>
  </w:style>
  <w:style w:type="character" w:customStyle="1" w:styleId="TitleChar">
    <w:name w:val="Title Char"/>
    <w:basedOn w:val="DefaultParagraphFont"/>
    <w:link w:val="Title"/>
    <w:uiPriority w:val="10"/>
    <w:rsid w:val="00CF4CD4"/>
    <w:rPr>
      <w:rFonts w:ascii="Segoe UI Light" w:eastAsiaTheme="majorEastAsia" w:hAnsi="Segoe UI Light" w:cs="Segoe UI Light"/>
      <w:color w:val="54575A" w:themeColor="text1"/>
      <w:spacing w:val="-10"/>
      <w:kern w:val="28"/>
      <w:lang w:val="fr-CA" w:bidi="fr-FR"/>
    </w:rPr>
  </w:style>
  <w:style w:type="paragraph" w:styleId="NormalWeb">
    <w:name w:val="Normal (Web)"/>
    <w:basedOn w:val="Normal"/>
    <w:uiPriority w:val="99"/>
    <w:unhideWhenUsed/>
    <w:rsid w:val="0072388B"/>
    <w:pPr>
      <w:keepLines w:val="0"/>
      <w:spacing w:before="100" w:beforeAutospacing="1" w:after="100" w:afterAutospacing="1" w:line="240" w:lineRule="auto"/>
    </w:pPr>
    <w:rPr>
      <w:rFonts w:ascii="Verdana" w:eastAsia="Times New Roman" w:hAnsi="Verdana" w:cs="Times New Roman"/>
      <w:color w:val="auto"/>
      <w:sz w:val="24"/>
      <w:szCs w:val="24"/>
      <w:lang w:val="en-US"/>
    </w:rPr>
  </w:style>
  <w:style w:type="paragraph" w:customStyle="1" w:styleId="Level1">
    <w:name w:val="Level 1"/>
    <w:basedOn w:val="Normal"/>
    <w:uiPriority w:val="99"/>
    <w:rsid w:val="0072388B"/>
    <w:pPr>
      <w:keepLines w:val="0"/>
      <w:widowControl w:val="0"/>
      <w:spacing w:after="0" w:line="240" w:lineRule="auto"/>
    </w:pPr>
    <w:rPr>
      <w:rFonts w:ascii="Times New Roman" w:eastAsia="Times New Roman" w:hAnsi="Times New Roman" w:cs="Times New Roman"/>
      <w:color w:val="auto"/>
      <w:sz w:val="24"/>
      <w:szCs w:val="20"/>
      <w:lang w:val="en-US"/>
    </w:rPr>
  </w:style>
  <w:style w:type="character" w:styleId="Hyperlink">
    <w:name w:val="Hyperlink"/>
    <w:uiPriority w:val="99"/>
    <w:unhideWhenUsed/>
    <w:rsid w:val="0072388B"/>
    <w:rPr>
      <w:color w:val="0563C1"/>
      <w:u w:val="single"/>
    </w:rPr>
  </w:style>
  <w:style w:type="character" w:styleId="CommentReference">
    <w:name w:val="annotation reference"/>
    <w:uiPriority w:val="99"/>
    <w:semiHidden/>
    <w:unhideWhenUsed/>
    <w:rsid w:val="0072388B"/>
    <w:rPr>
      <w:sz w:val="16"/>
      <w:szCs w:val="16"/>
    </w:rPr>
  </w:style>
  <w:style w:type="paragraph" w:styleId="CommentText">
    <w:name w:val="annotation text"/>
    <w:basedOn w:val="Normal"/>
    <w:link w:val="CommentTextChar"/>
    <w:uiPriority w:val="99"/>
    <w:semiHidden/>
    <w:unhideWhenUsed/>
    <w:rsid w:val="0072388B"/>
    <w:pPr>
      <w:keepLines w:val="0"/>
      <w:spacing w:after="0" w:line="240" w:lineRule="auto"/>
    </w:pPr>
    <w:rPr>
      <w:rFonts w:ascii="Times New Roman" w:eastAsia="Times New Roman" w:hAnsi="Times New Roman" w:cs="Times New Roman"/>
      <w:color w:val="auto"/>
      <w:sz w:val="20"/>
      <w:szCs w:val="20"/>
      <w:lang w:val="en-US"/>
    </w:rPr>
  </w:style>
  <w:style w:type="character" w:customStyle="1" w:styleId="CommentTextChar">
    <w:name w:val="Comment Text Char"/>
    <w:basedOn w:val="DefaultParagraphFont"/>
    <w:link w:val="CommentText"/>
    <w:uiPriority w:val="99"/>
    <w:semiHidden/>
    <w:rsid w:val="0072388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388B"/>
    <w:rPr>
      <w:b/>
      <w:bCs/>
    </w:rPr>
  </w:style>
  <w:style w:type="character" w:customStyle="1" w:styleId="CommentSubjectChar">
    <w:name w:val="Comment Subject Char"/>
    <w:basedOn w:val="CommentTextChar"/>
    <w:link w:val="CommentSubject"/>
    <w:uiPriority w:val="99"/>
    <w:semiHidden/>
    <w:rsid w:val="0072388B"/>
    <w:rPr>
      <w:rFonts w:ascii="Times New Roman" w:eastAsia="Times New Roman" w:hAnsi="Times New Roman" w:cs="Times New Roman"/>
      <w:b/>
      <w:bCs/>
      <w:sz w:val="20"/>
      <w:szCs w:val="20"/>
      <w:lang w:val="en-US"/>
    </w:rPr>
  </w:style>
  <w:style w:type="paragraph" w:styleId="NoSpacing">
    <w:name w:val="No Spacing"/>
    <w:uiPriority w:val="1"/>
    <w:qFormat/>
    <w:rsid w:val="0072388B"/>
    <w:pPr>
      <w:spacing w:after="0" w:line="240" w:lineRule="auto"/>
    </w:pPr>
    <w:rPr>
      <w:rFonts w:ascii="Times New Roman" w:eastAsia="Times New Roman" w:hAnsi="Times New Roman" w:cs="Times New Roman"/>
      <w:sz w:val="24"/>
      <w:szCs w:val="20"/>
      <w:lang w:val="en-US"/>
    </w:rPr>
  </w:style>
  <w:style w:type="character" w:styleId="FollowedHyperlink">
    <w:name w:val="FollowedHyperlink"/>
    <w:uiPriority w:val="99"/>
    <w:semiHidden/>
    <w:unhideWhenUsed/>
    <w:rsid w:val="0072388B"/>
    <w:rPr>
      <w:color w:val="954F72"/>
      <w:u w:val="single"/>
    </w:rPr>
  </w:style>
  <w:style w:type="paragraph" w:styleId="EndnoteText">
    <w:name w:val="endnote text"/>
    <w:basedOn w:val="Normal"/>
    <w:link w:val="EndnoteTextChar"/>
    <w:unhideWhenUsed/>
    <w:rsid w:val="0072388B"/>
    <w:pPr>
      <w:keepLines w:val="0"/>
      <w:spacing w:after="0" w:line="240" w:lineRule="auto"/>
    </w:pPr>
    <w:rPr>
      <w:rFonts w:ascii="Arial" w:eastAsia="Times New Roman" w:hAnsi="Arial" w:cs="Times New Roman"/>
      <w:color w:val="auto"/>
      <w:sz w:val="20"/>
      <w:szCs w:val="20"/>
      <w:lang w:val="en-CA" w:eastAsia="en-CA"/>
    </w:rPr>
  </w:style>
  <w:style w:type="character" w:customStyle="1" w:styleId="EndnoteTextChar">
    <w:name w:val="Endnote Text Char"/>
    <w:basedOn w:val="DefaultParagraphFont"/>
    <w:link w:val="EndnoteText"/>
    <w:rsid w:val="0072388B"/>
    <w:rPr>
      <w:rFonts w:ascii="Arial" w:eastAsia="Times New Roman" w:hAnsi="Arial" w:cs="Times New Roman"/>
      <w:sz w:val="20"/>
      <w:szCs w:val="20"/>
      <w:lang w:eastAsia="en-CA"/>
    </w:rPr>
  </w:style>
  <w:style w:type="character" w:styleId="EndnoteReference">
    <w:name w:val="endnote reference"/>
    <w:uiPriority w:val="99"/>
    <w:semiHidden/>
    <w:unhideWhenUsed/>
    <w:rsid w:val="0072388B"/>
    <w:rPr>
      <w:vertAlign w:val="superscript"/>
    </w:rPr>
  </w:style>
  <w:style w:type="paragraph" w:customStyle="1" w:styleId="Style1">
    <w:name w:val="Style1"/>
    <w:basedOn w:val="Normal"/>
    <w:link w:val="Style1Char"/>
    <w:qFormat/>
    <w:rsid w:val="0072388B"/>
    <w:pPr>
      <w:keepLines w:val="0"/>
      <w:pBdr>
        <w:bottom w:val="single" w:sz="4" w:space="1" w:color="92D050"/>
      </w:pBdr>
      <w:autoSpaceDE w:val="0"/>
      <w:autoSpaceDN w:val="0"/>
      <w:adjustRightInd w:val="0"/>
      <w:spacing w:after="0" w:line="240" w:lineRule="auto"/>
      <w:ind w:right="50"/>
    </w:pPr>
    <w:rPr>
      <w:rFonts w:ascii="Arial" w:eastAsia="Times New Roman" w:hAnsi="Arial" w:cs="Arial"/>
      <w:b/>
      <w:caps/>
      <w:color w:val="92D050"/>
      <w:lang w:val="en-CA"/>
    </w:rPr>
  </w:style>
  <w:style w:type="paragraph" w:customStyle="1" w:styleId="Style2">
    <w:name w:val="Style2"/>
    <w:basedOn w:val="Normal"/>
    <w:link w:val="Style2Char"/>
    <w:qFormat/>
    <w:rsid w:val="0072388B"/>
    <w:pPr>
      <w:keepLines w:val="0"/>
      <w:shd w:val="clear" w:color="auto" w:fill="F2F2F2"/>
      <w:spacing w:after="0" w:line="240" w:lineRule="auto"/>
    </w:pPr>
    <w:rPr>
      <w:rFonts w:ascii="Arial" w:eastAsia="Times New Roman" w:hAnsi="Arial" w:cs="Arial"/>
      <w:b/>
      <w:color w:val="009999"/>
      <w:spacing w:val="-10"/>
      <w:lang w:val="en-CA"/>
    </w:rPr>
  </w:style>
  <w:style w:type="character" w:customStyle="1" w:styleId="Style1Char">
    <w:name w:val="Style1 Char"/>
    <w:basedOn w:val="DefaultParagraphFont"/>
    <w:link w:val="Style1"/>
    <w:rsid w:val="0072388B"/>
    <w:rPr>
      <w:rFonts w:ascii="Arial" w:eastAsia="Times New Roman" w:hAnsi="Arial" w:cs="Arial"/>
      <w:b/>
      <w:caps/>
      <w:color w:val="92D050"/>
    </w:rPr>
  </w:style>
  <w:style w:type="character" w:customStyle="1" w:styleId="Style2Char">
    <w:name w:val="Style2 Char"/>
    <w:basedOn w:val="DefaultParagraphFont"/>
    <w:link w:val="Style2"/>
    <w:rsid w:val="0072388B"/>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72388B"/>
    <w:pPr>
      <w:keepLines w:val="0"/>
      <w:spacing w:after="0" w:line="240" w:lineRule="auto"/>
      <w:jc w:val="center"/>
    </w:pPr>
    <w:rPr>
      <w:rFonts w:ascii="Arial" w:eastAsia="Times New Roman" w:hAnsi="Arial" w:cs="Arial"/>
      <w:b/>
      <w:color w:val="auto"/>
      <w:u w:val="single"/>
      <w:lang w:val="en-US"/>
    </w:rPr>
  </w:style>
  <w:style w:type="paragraph" w:customStyle="1" w:styleId="Style4">
    <w:name w:val="Style4"/>
    <w:basedOn w:val="Normal"/>
    <w:link w:val="Style4Char"/>
    <w:qFormat/>
    <w:rsid w:val="0072388B"/>
    <w:pPr>
      <w:keepLines w:val="0"/>
      <w:spacing w:after="0" w:line="240" w:lineRule="auto"/>
    </w:pPr>
    <w:rPr>
      <w:rFonts w:ascii="Arial" w:eastAsia="Times New Roman" w:hAnsi="Arial" w:cs="Arial"/>
      <w:color w:val="auto"/>
      <w:u w:val="single"/>
      <w:lang w:val="en-CA" w:eastAsia="en-CA"/>
    </w:rPr>
  </w:style>
  <w:style w:type="character" w:customStyle="1" w:styleId="Style3Char">
    <w:name w:val="Style3 Char"/>
    <w:basedOn w:val="DefaultParagraphFont"/>
    <w:link w:val="Style3"/>
    <w:rsid w:val="0072388B"/>
    <w:rPr>
      <w:rFonts w:ascii="Arial" w:eastAsia="Times New Roman" w:hAnsi="Arial" w:cs="Arial"/>
      <w:b/>
      <w:u w:val="single"/>
      <w:lang w:val="en-US"/>
    </w:rPr>
  </w:style>
  <w:style w:type="paragraph" w:customStyle="1" w:styleId="Style5">
    <w:name w:val="Style5"/>
    <w:basedOn w:val="Normal"/>
    <w:link w:val="Style5Char"/>
    <w:qFormat/>
    <w:rsid w:val="0072388B"/>
    <w:pPr>
      <w:keepLines w:val="0"/>
      <w:spacing w:after="0" w:line="240" w:lineRule="auto"/>
      <w:jc w:val="center"/>
    </w:pPr>
    <w:rPr>
      <w:rFonts w:ascii="Arial" w:eastAsia="Times New Roman" w:hAnsi="Arial" w:cs="Arial"/>
      <w:b/>
      <w:bCs/>
      <w:color w:val="auto"/>
      <w:lang w:val="en"/>
    </w:rPr>
  </w:style>
  <w:style w:type="character" w:customStyle="1" w:styleId="Style4Char">
    <w:name w:val="Style4 Char"/>
    <w:basedOn w:val="DefaultParagraphFont"/>
    <w:link w:val="Style4"/>
    <w:rsid w:val="0072388B"/>
    <w:rPr>
      <w:rFonts w:ascii="Arial" w:eastAsia="Times New Roman" w:hAnsi="Arial" w:cs="Arial"/>
      <w:u w:val="single"/>
      <w:lang w:eastAsia="en-CA"/>
    </w:rPr>
  </w:style>
  <w:style w:type="paragraph" w:customStyle="1" w:styleId="Style6">
    <w:name w:val="Style6"/>
    <w:basedOn w:val="Normal"/>
    <w:link w:val="Style6Char"/>
    <w:qFormat/>
    <w:rsid w:val="0072388B"/>
    <w:pPr>
      <w:keepLines w:val="0"/>
      <w:spacing w:after="0" w:line="240" w:lineRule="auto"/>
      <w:jc w:val="center"/>
    </w:pPr>
    <w:rPr>
      <w:rFonts w:ascii="Arial" w:eastAsia="Times New Roman" w:hAnsi="Arial" w:cs="Arial"/>
      <w:b/>
      <w:color w:val="009999"/>
      <w:sz w:val="24"/>
      <w:szCs w:val="24"/>
      <w:lang w:val="en-US"/>
    </w:rPr>
  </w:style>
  <w:style w:type="character" w:customStyle="1" w:styleId="Style5Char">
    <w:name w:val="Style5 Char"/>
    <w:basedOn w:val="DefaultParagraphFont"/>
    <w:link w:val="Style5"/>
    <w:rsid w:val="0072388B"/>
    <w:rPr>
      <w:rFonts w:ascii="Arial" w:eastAsia="Times New Roman" w:hAnsi="Arial" w:cs="Arial"/>
      <w:b/>
      <w:bCs/>
      <w:lang w:val="en"/>
    </w:rPr>
  </w:style>
  <w:style w:type="paragraph" w:customStyle="1" w:styleId="Style7">
    <w:name w:val="Style7"/>
    <w:basedOn w:val="Normal"/>
    <w:link w:val="Style7Char"/>
    <w:qFormat/>
    <w:rsid w:val="0072388B"/>
    <w:pPr>
      <w:keepLines w:val="0"/>
      <w:spacing w:after="0" w:line="240" w:lineRule="auto"/>
      <w:jc w:val="center"/>
    </w:pPr>
    <w:rPr>
      <w:rFonts w:ascii="Arial" w:eastAsia="Times New Roman" w:hAnsi="Arial" w:cs="Arial"/>
      <w:color w:val="009999"/>
      <w:szCs w:val="32"/>
      <w:lang w:val="en-US"/>
    </w:rPr>
  </w:style>
  <w:style w:type="character" w:customStyle="1" w:styleId="Style6Char">
    <w:name w:val="Style6 Char"/>
    <w:basedOn w:val="DefaultParagraphFont"/>
    <w:link w:val="Style6"/>
    <w:rsid w:val="0072388B"/>
    <w:rPr>
      <w:rFonts w:ascii="Arial" w:eastAsia="Times New Roman" w:hAnsi="Arial" w:cs="Arial"/>
      <w:b/>
      <w:color w:val="009999"/>
      <w:sz w:val="24"/>
      <w:szCs w:val="24"/>
      <w:lang w:val="en-US"/>
    </w:rPr>
  </w:style>
  <w:style w:type="paragraph" w:customStyle="1" w:styleId="Style8">
    <w:name w:val="Style8"/>
    <w:basedOn w:val="Normal"/>
    <w:link w:val="Style8Char"/>
    <w:qFormat/>
    <w:rsid w:val="0072388B"/>
    <w:pPr>
      <w:keepLines w:val="0"/>
      <w:spacing w:after="0" w:line="240" w:lineRule="auto"/>
    </w:pPr>
    <w:rPr>
      <w:rFonts w:ascii="Arial" w:eastAsia="Times New Roman" w:hAnsi="Arial" w:cs="Arial"/>
      <w:color w:val="767171"/>
      <w:sz w:val="16"/>
      <w:lang w:val="en-CA"/>
    </w:rPr>
  </w:style>
  <w:style w:type="character" w:customStyle="1" w:styleId="Style7Char">
    <w:name w:val="Style7 Char"/>
    <w:basedOn w:val="DefaultParagraphFont"/>
    <w:link w:val="Style7"/>
    <w:rsid w:val="0072388B"/>
    <w:rPr>
      <w:rFonts w:ascii="Arial" w:eastAsia="Times New Roman" w:hAnsi="Arial" w:cs="Arial"/>
      <w:color w:val="009999"/>
      <w:szCs w:val="32"/>
      <w:lang w:val="en-US"/>
    </w:rPr>
  </w:style>
  <w:style w:type="paragraph" w:customStyle="1" w:styleId="Style9">
    <w:name w:val="Style9"/>
    <w:basedOn w:val="Normal"/>
    <w:link w:val="Style9Char"/>
    <w:qFormat/>
    <w:rsid w:val="0072388B"/>
    <w:pPr>
      <w:keepLines w:val="0"/>
      <w:spacing w:after="0" w:line="240" w:lineRule="auto"/>
    </w:pPr>
    <w:rPr>
      <w:rFonts w:ascii="Arial" w:eastAsia="Times New Roman" w:hAnsi="Arial" w:cs="Arial"/>
      <w:b/>
      <w:color w:val="009999"/>
      <w:spacing w:val="-10"/>
      <w:lang w:val="en-CA"/>
    </w:rPr>
  </w:style>
  <w:style w:type="character" w:customStyle="1" w:styleId="Style8Char">
    <w:name w:val="Style8 Char"/>
    <w:basedOn w:val="DefaultParagraphFont"/>
    <w:link w:val="Style8"/>
    <w:rsid w:val="0072388B"/>
    <w:rPr>
      <w:rFonts w:ascii="Arial" w:eastAsia="Times New Roman" w:hAnsi="Arial" w:cs="Arial"/>
      <w:color w:val="767171"/>
      <w:sz w:val="16"/>
    </w:rPr>
  </w:style>
  <w:style w:type="character" w:customStyle="1" w:styleId="Style9Char">
    <w:name w:val="Style9 Char"/>
    <w:basedOn w:val="DefaultParagraphFont"/>
    <w:link w:val="Style9"/>
    <w:rsid w:val="0072388B"/>
    <w:rPr>
      <w:rFonts w:ascii="Arial" w:eastAsia="Times New Roman" w:hAnsi="Arial" w:cs="Arial"/>
      <w:b/>
      <w:color w:val="009999"/>
      <w:spacing w:val="-10"/>
    </w:rPr>
  </w:style>
  <w:style w:type="character" w:customStyle="1" w:styleId="tlid-translation">
    <w:name w:val="tlid-translation"/>
    <w:basedOn w:val="DefaultParagraphFont"/>
    <w:rsid w:val="0072388B"/>
  </w:style>
  <w:style w:type="character" w:styleId="Emphasis">
    <w:name w:val="Emphasis"/>
    <w:basedOn w:val="DefaultParagraphFont"/>
    <w:uiPriority w:val="20"/>
    <w:qFormat/>
    <w:rsid w:val="0072388B"/>
    <w:rPr>
      <w:i/>
      <w:iCs/>
    </w:rPr>
  </w:style>
  <w:style w:type="character" w:styleId="Strong">
    <w:name w:val="Strong"/>
    <w:basedOn w:val="DefaultParagraphFont"/>
    <w:uiPriority w:val="22"/>
    <w:qFormat/>
    <w:rsid w:val="00723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commission-fonction-publique/services/activites-surveillance/verification-services-donnees/rapports-termines/rapports-verification-2014-20151/rapports-verification-2014-2015-2-verification-citoyennete-immigration-canada.html" TargetMode="Externa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oter" Target="footer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m.gc.ca/fr/nouvelles/notes-dinformation/2019/08/07/catrina-tapley"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footer" Target="footer6.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eader" Target="header3.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000" b="1" i="0" baseline="0">
                <a:effectLst/>
              </a:rPr>
              <a:t>Population selon la durée d'emploi au 31 mars</a:t>
            </a:r>
            <a:endParaRPr lang="en-CA" sz="1000">
              <a:effectLst/>
            </a:endParaRPr>
          </a:p>
        </c:rich>
      </c:tx>
      <c:layout>
        <c:manualLayout>
          <c:xMode val="edge"/>
          <c:yMode val="edge"/>
          <c:x val="0.19680357653999353"/>
          <c:y val="1.5584415584415584E-2"/>
        </c:manualLayout>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(N=5 906) </c:v>
                </c:pt>
                <c:pt idx="1">
                  <c:v> 2015
(N=6 364) </c:v>
                </c:pt>
                <c:pt idx="2">
                  <c:v> 2016
(N=6 604) </c:v>
                </c:pt>
                <c:pt idx="3">
                  <c:v> 2017
(N=6 714) </c:v>
                </c:pt>
                <c:pt idx="4">
                  <c:v> 2018
(N=7 299) </c:v>
                </c:pt>
                <c:pt idx="5">
                  <c:v> 2019
(N=7 938) </c:v>
                </c:pt>
              </c:strCache>
            </c:strRef>
          </c:cat>
          <c:val>
            <c:numRef>
              <c:f>Sheet1!$B$2:$B$7</c:f>
              <c:numCache>
                <c:formatCode>#\ ###</c:formatCode>
                <c:ptCount val="6"/>
                <c:pt idx="0">
                  <c:v>4246</c:v>
                </c:pt>
                <c:pt idx="1">
                  <c:v>4235</c:v>
                </c:pt>
                <c:pt idx="2">
                  <c:v>4380</c:v>
                </c:pt>
                <c:pt idx="3">
                  <c:v>4598</c:v>
                </c:pt>
                <c:pt idx="4">
                  <c:v>4859</c:v>
                </c:pt>
                <c:pt idx="5">
                  <c:v>5404</c:v>
                </c:pt>
              </c:numCache>
            </c:numRef>
          </c:val>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6.1614294516327507E-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5.1948051948051471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7618497526100754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295823504343063E-16"/>
                  <c:y val="-1.03896103896103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(N=5 906) </c:v>
                </c:pt>
                <c:pt idx="1">
                  <c:v> 2015
(N=6 364) </c:v>
                </c:pt>
                <c:pt idx="2">
                  <c:v> 2016
(N=6 604) </c:v>
                </c:pt>
                <c:pt idx="3">
                  <c:v> 2017
(N=6 714) </c:v>
                </c:pt>
                <c:pt idx="4">
                  <c:v> 2018
(N=7 299) </c:v>
                </c:pt>
                <c:pt idx="5">
                  <c:v> 2019
(N=7 938) </c:v>
                </c:pt>
              </c:strCache>
            </c:strRef>
          </c:cat>
          <c:val>
            <c:numRef>
              <c:f>Sheet1!$C$2:$C$7</c:f>
              <c:numCache>
                <c:formatCode>#\ ###</c:formatCode>
                <c:ptCount val="6"/>
                <c:pt idx="0">
                  <c:v>690</c:v>
                </c:pt>
                <c:pt idx="1">
                  <c:v>976</c:v>
                </c:pt>
                <c:pt idx="2">
                  <c:v>1076</c:v>
                </c:pt>
                <c:pt idx="3">
                  <c:v>1195</c:v>
                </c:pt>
                <c:pt idx="4">
                  <c:v>1400</c:v>
                </c:pt>
                <c:pt idx="5">
                  <c:v>1554</c:v>
                </c:pt>
              </c:numCache>
            </c:numRef>
          </c:val>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(N=5 906) </c:v>
                </c:pt>
                <c:pt idx="1">
                  <c:v> 2015
(N=6 364) </c:v>
                </c:pt>
                <c:pt idx="2">
                  <c:v> 2016
(N=6 604) </c:v>
                </c:pt>
                <c:pt idx="3">
                  <c:v> 2017
(N=6 714) </c:v>
                </c:pt>
                <c:pt idx="4">
                  <c:v> 2018
(N=7 299) </c:v>
                </c:pt>
                <c:pt idx="5">
                  <c:v> 2019
(N=7 938) </c:v>
                </c:pt>
              </c:strCache>
            </c:strRef>
          </c:cat>
          <c:val>
            <c:numRef>
              <c:f>Sheet1!$D$2:$D$7</c:f>
              <c:numCache>
                <c:formatCode>#\ ###</c:formatCode>
                <c:ptCount val="6"/>
                <c:pt idx="0">
                  <c:v>822</c:v>
                </c:pt>
                <c:pt idx="1">
                  <c:v>1008</c:v>
                </c:pt>
                <c:pt idx="2">
                  <c:v>1012</c:v>
                </c:pt>
                <c:pt idx="3">
                  <c:v>834</c:v>
                </c:pt>
                <c:pt idx="4">
                  <c:v>928</c:v>
                </c:pt>
                <c:pt idx="5">
                  <c:v>817</c:v>
                </c:pt>
              </c:numCache>
            </c:numRef>
          </c:val>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(N=5 906) </c:v>
                </c:pt>
                <c:pt idx="1">
                  <c:v> 2015
(N=6 364) </c:v>
                </c:pt>
                <c:pt idx="2">
                  <c:v> 2016
(N=6 604) </c:v>
                </c:pt>
                <c:pt idx="3">
                  <c:v> 2017
(N=6 714) </c:v>
                </c:pt>
                <c:pt idx="4">
                  <c:v> 2018
(N=7 299) </c:v>
                </c:pt>
                <c:pt idx="5">
                  <c:v> 2019
(N=7 938) </c:v>
                </c:pt>
              </c:strCache>
            </c:strRef>
          </c:cat>
          <c:val>
            <c:numRef>
              <c:f>Sheet1!$E$2:$E$7</c:f>
              <c:numCache>
                <c:formatCode>#\ ###</c:formatCode>
                <c:ptCount val="6"/>
                <c:pt idx="0">
                  <c:v>148</c:v>
                </c:pt>
                <c:pt idx="1">
                  <c:v>145</c:v>
                </c:pt>
                <c:pt idx="2">
                  <c:v>136</c:v>
                </c:pt>
                <c:pt idx="3">
                  <c:v>87</c:v>
                </c:pt>
                <c:pt idx="4">
                  <c:v>112</c:v>
                </c:pt>
                <c:pt idx="5">
                  <c:v>163</c:v>
                </c:pt>
              </c:numCache>
            </c:numRef>
          </c:val>
        </c:ser>
        <c:dLbls>
          <c:dLblPos val="ctr"/>
          <c:showLegendKey val="0"/>
          <c:showVal val="1"/>
          <c:showCatName val="0"/>
          <c:showSerName val="0"/>
          <c:showPercent val="0"/>
          <c:showBubbleSize val="0"/>
        </c:dLbls>
        <c:gapWidth val="150"/>
        <c:overlap val="100"/>
        <c:axId val="870632344"/>
        <c:axId val="870632736"/>
      </c:barChart>
      <c:catAx>
        <c:axId val="870632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632736"/>
        <c:crosses val="autoZero"/>
        <c:auto val="1"/>
        <c:lblAlgn val="ctr"/>
        <c:lblOffset val="100"/>
        <c:noMultiLvlLbl val="0"/>
      </c:catAx>
      <c:valAx>
        <c:axId val="87063273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632344"/>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100" b="1"/>
              <a:t>Embauche</a:t>
            </a:r>
            <a:r>
              <a:rPr lang="en-CA" sz="1100" b="1" baseline="0"/>
              <a:t> d'étudiants</a:t>
            </a:r>
            <a:endParaRPr lang="en-CA" sz="1100" b="1"/>
          </a:p>
        </c:rich>
      </c:tx>
      <c:layout>
        <c:manualLayout>
          <c:xMode val="edge"/>
          <c:yMode val="edge"/>
          <c:x val="0.27470225872689941"/>
          <c:y val="2.6861089792785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(N=356)</c:v>
                </c:pt>
                <c:pt idx="1">
                  <c:v>2015-2016
 (N=365)</c:v>
                </c:pt>
                <c:pt idx="2">
                  <c:v>2016-2017
 (N=249)</c:v>
                </c:pt>
                <c:pt idx="3">
                  <c:v>2017-2018
 (N=243)</c:v>
                </c:pt>
                <c:pt idx="4">
                  <c:v>2018-2019
 (N=335)</c:v>
                </c:pt>
              </c:strCache>
            </c:strRef>
          </c:cat>
          <c:val>
            <c:numRef>
              <c:f>Sheet1!$B$2:$B$6</c:f>
              <c:numCache>
                <c:formatCode>General</c:formatCode>
                <c:ptCount val="5"/>
                <c:pt idx="0">
                  <c:v>290</c:v>
                </c:pt>
                <c:pt idx="1">
                  <c:v>336</c:v>
                </c:pt>
                <c:pt idx="2">
                  <c:v>216</c:v>
                </c:pt>
                <c:pt idx="3">
                  <c:v>197</c:v>
                </c:pt>
                <c:pt idx="4">
                  <c:v>235</c:v>
                </c:pt>
              </c:numCache>
            </c:numRef>
          </c:val>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(N=356)</c:v>
                </c:pt>
                <c:pt idx="1">
                  <c:v>2015-2016
 (N=365)</c:v>
                </c:pt>
                <c:pt idx="2">
                  <c:v>2016-2017
 (N=249)</c:v>
                </c:pt>
                <c:pt idx="3">
                  <c:v>2017-2018
 (N=243)</c:v>
                </c:pt>
                <c:pt idx="4">
                  <c:v>2018-2019
 (N=335)</c:v>
                </c:pt>
              </c:strCache>
            </c:strRef>
          </c:cat>
          <c:val>
            <c:numRef>
              <c:f>Sheet1!$C$2:$C$6</c:f>
              <c:numCache>
                <c:formatCode>General</c:formatCode>
                <c:ptCount val="5"/>
                <c:pt idx="0">
                  <c:v>14</c:v>
                </c:pt>
                <c:pt idx="1">
                  <c:v>17</c:v>
                </c:pt>
                <c:pt idx="2">
                  <c:v>33</c:v>
                </c:pt>
                <c:pt idx="3">
                  <c:v>46</c:v>
                </c:pt>
                <c:pt idx="4">
                  <c:v>100</c:v>
                </c:pt>
              </c:numCache>
            </c:numRef>
          </c:val>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3.7645013444658707E-17"/>
                  <c:y val="-6.33855331841909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982848620432513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(N=356)</c:v>
                </c:pt>
                <c:pt idx="1">
                  <c:v>2015-2016
 (N=365)</c:v>
                </c:pt>
                <c:pt idx="2">
                  <c:v>2016-2017
 (N=249)</c:v>
                </c:pt>
                <c:pt idx="3">
                  <c:v>2017-2018
 (N=243)</c:v>
                </c:pt>
                <c:pt idx="4">
                  <c:v>2018-2019
 (N=335)</c:v>
                </c:pt>
              </c:strCache>
            </c:strRef>
          </c:cat>
          <c:val>
            <c:numRef>
              <c:f>Sheet1!$D$2:$D$6</c:f>
              <c:numCache>
                <c:formatCode>General</c:formatCode>
                <c:ptCount val="5"/>
                <c:pt idx="0">
                  <c:v>52</c:v>
                </c:pt>
                <c:pt idx="1">
                  <c:v>12</c:v>
                </c:pt>
                <c:pt idx="2">
                  <c:v>0</c:v>
                </c:pt>
                <c:pt idx="3">
                  <c:v>0</c:v>
                </c:pt>
                <c:pt idx="4">
                  <c:v>0</c:v>
                </c:pt>
              </c:numCache>
            </c:numRef>
          </c:val>
        </c:ser>
        <c:dLbls>
          <c:dLblPos val="ctr"/>
          <c:showLegendKey val="0"/>
          <c:showVal val="1"/>
          <c:showCatName val="0"/>
          <c:showSerName val="0"/>
          <c:showPercent val="0"/>
          <c:showBubbleSize val="0"/>
        </c:dLbls>
        <c:gapWidth val="150"/>
        <c:overlap val="100"/>
        <c:axId val="734670720"/>
        <c:axId val="734674248"/>
      </c:barChart>
      <c:catAx>
        <c:axId val="73467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crossAx val="734674248"/>
        <c:crosses val="autoZero"/>
        <c:auto val="1"/>
        <c:lblAlgn val="ctr"/>
        <c:lblOffset val="100"/>
        <c:noMultiLvlLbl val="0"/>
      </c:catAx>
      <c:valAx>
        <c:axId val="7346742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0720"/>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b="1" i="0" baseline="0">
                <a:effectLst/>
              </a:rPr>
              <a:t>Activités d'embauche externe pour une période indéterminée et d'une durée déterminée : Programme de recrutement postsecondaire et embauche d'anciens étudiants</a:t>
            </a:r>
            <a:endParaRPr lang="en-CA" sz="1000">
              <a:effectLst/>
            </a:endParaRPr>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23270198274824003"/>
          <c:w val="0.90621744112971792"/>
          <c:h val="0.51258697101504613"/>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832412523020259E-3"/>
                  <c:y val="1.1189854531891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6832412523020931E-3"/>
                  <c:y val="1.11898545318911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38</c:v>
                </c:pt>
                <c:pt idx="1">
                  <c:v>50</c:v>
                </c:pt>
                <c:pt idx="2">
                  <c:v>16</c:v>
                </c:pt>
                <c:pt idx="3">
                  <c:v>32</c:v>
                </c:pt>
                <c:pt idx="4">
                  <c:v>30</c:v>
                </c:pt>
              </c:numCache>
            </c:numRef>
          </c:val>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3.729951510630361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832412523020931E-3"/>
                  <c:y val="1.491980604252144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50506191347977E-16"/>
                  <c:y val="3.7299515106303961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7.4599030212607062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#,##0_-;\-* #,##0_-;_-* "-"??_-;_-@_-</c:formatCode>
                <c:ptCount val="5"/>
                <c:pt idx="0">
                  <c:v>139</c:v>
                </c:pt>
                <c:pt idx="1">
                  <c:v>129</c:v>
                </c:pt>
                <c:pt idx="2">
                  <c:v>170</c:v>
                </c:pt>
                <c:pt idx="3">
                  <c:v>144</c:v>
                </c:pt>
                <c:pt idx="4">
                  <c:v>152</c:v>
                </c:pt>
              </c:numCache>
            </c:numRef>
          </c:val>
        </c:ser>
        <c:dLbls>
          <c:showLegendKey val="0"/>
          <c:showVal val="1"/>
          <c:showCatName val="0"/>
          <c:showSerName val="0"/>
          <c:showPercent val="0"/>
          <c:showBubbleSize val="0"/>
        </c:dLbls>
        <c:gapWidth val="150"/>
        <c:shape val="box"/>
        <c:axId val="734667976"/>
        <c:axId val="734676208"/>
        <c:axId val="0"/>
      </c:bar3DChart>
      <c:catAx>
        <c:axId val="7346679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6208"/>
        <c:crosses val="autoZero"/>
        <c:auto val="1"/>
        <c:lblAlgn val="ctr"/>
        <c:lblOffset val="100"/>
        <c:noMultiLvlLbl val="0"/>
      </c:catAx>
      <c:valAx>
        <c:axId val="73467620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67976"/>
        <c:crosses val="autoZero"/>
        <c:crossBetween val="between"/>
        <c:minorUnit val="1"/>
      </c:valAx>
      <c:spPr>
        <a:noFill/>
        <a:ln>
          <a:noFill/>
        </a:ln>
        <a:effectLst/>
      </c:spPr>
    </c:plotArea>
    <c:legend>
      <c:legendPos val="r"/>
      <c:layout>
        <c:manualLayout>
          <c:xMode val="edge"/>
          <c:yMode val="edge"/>
          <c:x val="4.3343629007700002E-2"/>
          <c:y val="0.82026156652089488"/>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50" baseline="0">
                <a:solidFill>
                  <a:sysClr val="windowText" lastClr="000000"/>
                </a:solidFill>
              </a:rPr>
              <a:t>Durée de dotation interne</a:t>
            </a:r>
          </a:p>
          <a:p>
            <a:pPr>
              <a:defRPr sz="1100"/>
            </a:pPr>
            <a:r>
              <a:rPr lang="en-CA" sz="1050" b="1" i="0" baseline="0">
                <a:solidFill>
                  <a:sysClr val="windowText" lastClr="000000"/>
                </a:solidFill>
                <a:effectLst/>
              </a:rPr>
              <a:t>Médiane pour la fonction publique = 176 jours</a:t>
            </a:r>
            <a:endParaRPr lang="en-CA" sz="1050">
              <a:solidFill>
                <a:sysClr val="windowText" lastClr="000000"/>
              </a:solidFill>
              <a:effectLst/>
            </a:endParaRPr>
          </a:p>
          <a:p>
            <a:pPr>
              <a:defRPr sz="1100"/>
            </a:pPr>
            <a:r>
              <a:rPr lang="en-CA" sz="1050" b="1" i="0" baseline="0">
                <a:effectLst/>
              </a:rPr>
              <a:t> </a:t>
            </a:r>
            <a:r>
              <a:rPr lang="en-CA" sz="1050" baseline="0">
                <a:solidFill>
                  <a:sysClr val="windowText" lastClr="000000"/>
                </a:solidFill>
              </a:rPr>
              <a:t>2018-2019</a:t>
            </a:r>
            <a:endParaRPr lang="en-CA" sz="1050">
              <a:solidFill>
                <a:sysClr val="windowText" lastClr="000000"/>
              </a:solidFill>
            </a:endParaRPr>
          </a:p>
        </c:rich>
      </c:tx>
      <c:layout>
        <c:manualLayout>
          <c:xMode val="edge"/>
          <c:yMode val="edge"/>
          <c:x val="0.19102453102453099"/>
          <c:y val="3.618259057823957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130</c:v>
                </c:pt>
                <c:pt idx="3">
                  <c:v>277</c:v>
                </c:pt>
                <c:pt idx="4">
                  <c:v>391</c:v>
                </c:pt>
                <c:pt idx="5">
                  <c:v>367</c:v>
                </c:pt>
                <c:pt idx="6">
                  <c:v>322</c:v>
                </c:pt>
                <c:pt idx="7">
                  <c:v>278</c:v>
                </c:pt>
                <c:pt idx="8">
                  <c:v>241</c:v>
                </c:pt>
                <c:pt idx="9">
                  <c:v>165</c:v>
                </c:pt>
                <c:pt idx="10">
                  <c:v>134</c:v>
                </c:pt>
                <c:pt idx="11">
                  <c:v>107</c:v>
                </c:pt>
                <c:pt idx="12">
                  <c:v>77</c:v>
                </c:pt>
                <c:pt idx="13">
                  <c:v>61</c:v>
                </c:pt>
                <c:pt idx="14">
                  <c:v>53</c:v>
                </c:pt>
                <c:pt idx="15">
                  <c:v>51</c:v>
                </c:pt>
                <c:pt idx="16">
                  <c:v>42</c:v>
                </c:pt>
                <c:pt idx="17">
                  <c:v>40</c:v>
                </c:pt>
                <c:pt idx="18">
                  <c:v>32</c:v>
                </c:pt>
                <c:pt idx="19">
                  <c:v>24</c:v>
                </c:pt>
                <c:pt idx="20">
                  <c:v>21</c:v>
                </c:pt>
                <c:pt idx="21">
                  <c:v>11</c:v>
                </c:pt>
                <c:pt idx="22">
                  <c:v>19</c:v>
                </c:pt>
                <c:pt idx="23">
                  <c:v>3</c:v>
                </c:pt>
                <c:pt idx="24">
                  <c:v>13</c:v>
                </c:pt>
                <c:pt idx="25">
                  <c:v>6</c:v>
                </c:pt>
                <c:pt idx="26">
                  <c:v>5</c:v>
                </c:pt>
                <c:pt idx="27">
                  <c:v>8</c:v>
                </c:pt>
                <c:pt idx="28">
                  <c:v>4</c:v>
                </c:pt>
                <c:pt idx="29">
                  <c:v>10</c:v>
                </c:pt>
                <c:pt idx="30">
                  <c:v>4</c:v>
                </c:pt>
                <c:pt idx="31">
                  <c:v>5</c:v>
                </c:pt>
                <c:pt idx="32">
                  <c:v>5</c:v>
                </c:pt>
                <c:pt idx="33">
                  <c:v>3</c:v>
                </c:pt>
                <c:pt idx="34">
                  <c:v>23</c:v>
                </c:pt>
              </c:numCache>
            </c:numRef>
          </c:val>
        </c:ser>
        <c:dLbls>
          <c:showLegendKey val="0"/>
          <c:showVal val="0"/>
          <c:showCatName val="0"/>
          <c:showSerName val="0"/>
          <c:showPercent val="0"/>
          <c:showBubbleSize val="0"/>
        </c:dLbls>
        <c:gapWidth val="150"/>
        <c:overlap val="100"/>
        <c:axId val="734677384"/>
        <c:axId val="734668368"/>
      </c:barChart>
      <c:catAx>
        <c:axId val="734677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68368"/>
        <c:crosses val="autoZero"/>
        <c:auto val="1"/>
        <c:lblAlgn val="ctr"/>
        <c:lblOffset val="100"/>
        <c:noMultiLvlLbl val="0"/>
      </c:catAx>
      <c:valAx>
        <c:axId val="734668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Fréquence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7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50" baseline="0">
                <a:solidFill>
                  <a:sysClr val="windowText" lastClr="000000"/>
                </a:solidFill>
              </a:rPr>
              <a:t>Durée de dotation externe</a:t>
            </a:r>
          </a:p>
          <a:p>
            <a:pPr>
              <a:defRPr sz="1100"/>
            </a:pPr>
            <a:r>
              <a:rPr lang="en-CA" sz="1050" b="1" i="0" baseline="0">
                <a:solidFill>
                  <a:sysClr val="windowText" lastClr="000000"/>
                </a:solidFill>
                <a:effectLst/>
              </a:rPr>
              <a:t>Médiane pour la fonction publique = 186 jours</a:t>
            </a:r>
            <a:endParaRPr lang="en-CA" sz="1050">
              <a:solidFill>
                <a:sysClr val="windowText" lastClr="000000"/>
              </a:solidFill>
              <a:effectLst/>
            </a:endParaRPr>
          </a:p>
          <a:p>
            <a:pPr>
              <a:defRPr sz="1100"/>
            </a:pPr>
            <a:r>
              <a:rPr lang="en-CA" sz="1050" b="1" i="0" baseline="0">
                <a:effectLst/>
              </a:rPr>
              <a:t> </a:t>
            </a:r>
            <a:r>
              <a:rPr lang="en-CA" sz="1050" baseline="0">
                <a:solidFill>
                  <a:sysClr val="windowText" lastClr="000000"/>
                </a:solidFill>
              </a:rPr>
              <a:t>2018-2019</a:t>
            </a:r>
            <a:endParaRPr lang="en-CA" sz="1050">
              <a:solidFill>
                <a:sysClr val="windowText" lastClr="000000"/>
              </a:solidFill>
            </a:endParaRP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734672680"/>
        <c:axId val="734676600"/>
      </c:barChart>
      <c:catAx>
        <c:axId val="7346726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6600"/>
        <c:crosses val="autoZero"/>
        <c:auto val="1"/>
        <c:lblAlgn val="ctr"/>
        <c:lblOffset val="100"/>
        <c:noMultiLvlLbl val="0"/>
      </c:catAx>
      <c:valAx>
        <c:axId val="734676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Fréquence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2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50" baseline="0">
                <a:solidFill>
                  <a:schemeClr val="tx1"/>
                </a:solidFill>
                <a:latin typeface="+mn-lt"/>
              </a:rPr>
              <a:t>Durée de dotation interne - </a:t>
            </a:r>
            <a:r>
              <a:rPr lang="en-CA" sz="1050" b="1" i="0" baseline="0">
                <a:solidFill>
                  <a:schemeClr val="tx1"/>
                </a:solidFill>
                <a:effectLst/>
                <a:latin typeface="+mn-lt"/>
              </a:rPr>
              <a:t>Médiane pour </a:t>
            </a:r>
          </a:p>
          <a:p>
            <a:pPr>
              <a:defRPr sz="1100"/>
            </a:pPr>
            <a:r>
              <a:rPr lang="en-CA" sz="1050" b="1" i="0" baseline="0">
                <a:solidFill>
                  <a:schemeClr val="tx1"/>
                </a:solidFill>
                <a:effectLst/>
                <a:latin typeface="+mn-lt"/>
              </a:rPr>
              <a:t>Immigration, Réfugiés et Citoyenneté Canada = 181 jours</a:t>
            </a:r>
            <a:endParaRPr lang="en-CA" sz="1050" b="1">
              <a:solidFill>
                <a:schemeClr val="tx1"/>
              </a:solidFill>
              <a:effectLst/>
              <a:latin typeface="+mn-lt"/>
            </a:endParaRPr>
          </a:p>
          <a:p>
            <a:pPr>
              <a:defRPr sz="1100"/>
            </a:pPr>
            <a:r>
              <a:rPr lang="en-CA" sz="1050" b="1" i="0" baseline="0">
                <a:solidFill>
                  <a:schemeClr val="tx1"/>
                </a:solidFill>
                <a:effectLst/>
                <a:latin typeface="+mn-lt"/>
              </a:rPr>
              <a:t> </a:t>
            </a:r>
            <a:r>
              <a:rPr lang="en-CA" sz="1050" baseline="0">
                <a:solidFill>
                  <a:schemeClr val="tx1"/>
                </a:solidFill>
                <a:latin typeface="+mn-lt"/>
              </a:rPr>
              <a:t>2018-2019</a:t>
            </a:r>
            <a:endParaRPr lang="en-CA" sz="1050">
              <a:solidFill>
                <a:schemeClr val="tx1"/>
              </a:solidFill>
              <a:latin typeface="+mn-lt"/>
            </a:endParaRPr>
          </a:p>
        </c:rich>
      </c:tx>
      <c:layout>
        <c:manualLayout>
          <c:xMode val="edge"/>
          <c:yMode val="edge"/>
          <c:x val="0.15639249639249639"/>
          <c:y val="3.6182062608027653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3">
                  <c:v>3</c:v>
                </c:pt>
                <c:pt idx="4">
                  <c:v>10</c:v>
                </c:pt>
                <c:pt idx="5">
                  <c:v>14</c:v>
                </c:pt>
                <c:pt idx="6">
                  <c:v>8</c:v>
                </c:pt>
                <c:pt idx="7">
                  <c:v>6</c:v>
                </c:pt>
                <c:pt idx="8">
                  <c:v>10</c:v>
                </c:pt>
                <c:pt idx="9">
                  <c:v>6</c:v>
                </c:pt>
                <c:pt idx="10">
                  <c:v>10</c:v>
                </c:pt>
                <c:pt idx="11">
                  <c:v>4</c:v>
                </c:pt>
                <c:pt idx="12">
                  <c:v>1</c:v>
                </c:pt>
                <c:pt idx="13">
                  <c:v>2</c:v>
                </c:pt>
                <c:pt idx="14">
                  <c:v>1</c:v>
                </c:pt>
                <c:pt idx="15">
                  <c:v>3</c:v>
                </c:pt>
                <c:pt idx="16">
                  <c:v>1</c:v>
                </c:pt>
                <c:pt idx="17">
                  <c:v>1</c:v>
                </c:pt>
                <c:pt idx="21">
                  <c:v>1</c:v>
                </c:pt>
                <c:pt idx="22">
                  <c:v>1</c:v>
                </c:pt>
                <c:pt idx="33">
                  <c:v>1</c:v>
                </c:pt>
              </c:numCache>
            </c:numRef>
          </c:val>
        </c:ser>
        <c:dLbls>
          <c:showLegendKey val="0"/>
          <c:showVal val="0"/>
          <c:showCatName val="0"/>
          <c:showSerName val="0"/>
          <c:showPercent val="0"/>
          <c:showBubbleSize val="0"/>
        </c:dLbls>
        <c:gapWidth val="150"/>
        <c:overlap val="100"/>
        <c:axId val="734677776"/>
        <c:axId val="740240968"/>
      </c:barChart>
      <c:catAx>
        <c:axId val="7346777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240968"/>
        <c:crosses val="autoZero"/>
        <c:auto val="1"/>
        <c:lblAlgn val="ctr"/>
        <c:lblOffset val="100"/>
        <c:noMultiLvlLbl val="0"/>
      </c:catAx>
      <c:valAx>
        <c:axId val="740240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CA"/>
                  <a:t>Fréquence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7776"/>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000" b="1" i="0" baseline="0">
                <a:effectLst/>
              </a:rPr>
              <a:t>Population selon le profil linguistique au 31 mars 2019 (N=7 938)</a:t>
            </a:r>
            <a:endParaRPr lang="en-CA" sz="1000">
              <a:effectLst/>
            </a:endParaRPr>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dPt>
          <c:dLbls>
            <c:dLbl>
              <c:idx val="0"/>
              <c:layout>
                <c:manualLayout>
                  <c:x val="-0.10689354275741711"/>
                  <c:y val="0.22157080908364715"/>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Lst>
            </c:dLbl>
            <c:dLbl>
              <c:idx val="1"/>
              <c:layout>
                <c:manualLayout>
                  <c:x val="0.16579440986107102"/>
                  <c:y val="-0.1965439102720856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2566</c:v>
                </c:pt>
                <c:pt idx="1">
                  <c:v>2942</c:v>
                </c:pt>
              </c:numCache>
            </c:numRef>
          </c:val>
        </c:ser>
        <c:dLbls>
          <c:showLegendKey val="0"/>
          <c:showVal val="0"/>
          <c:showCatName val="0"/>
          <c:showSerName val="0"/>
          <c:showPercent val="0"/>
          <c:showBubbleSize val="0"/>
          <c:showLeaderLines val="1"/>
        </c:dLbls>
        <c:firstSliceAng val="30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Population selon le groupe professionnel au 31 mars 2019</a:t>
            </a:r>
          </a:p>
        </c:rich>
      </c:tx>
      <c:layout>
        <c:manualLayout>
          <c:xMode val="edge"/>
          <c:yMode val="edge"/>
          <c:x val="0.11600531316564154"/>
          <c:y val="5.1079996323416775E-3"/>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bg2">
                  <a:lumMod val="90000"/>
                </a:schemeClr>
              </a:solidFill>
              <a:ln w="3175">
                <a:solidFill>
                  <a:schemeClr val="lt1"/>
                </a:solidFill>
              </a:ln>
              <a:effectLst/>
            </c:spPr>
          </c:dPt>
          <c:dPt>
            <c:idx val="3"/>
            <c:bubble3D val="0"/>
            <c:spPr>
              <a:solidFill>
                <a:schemeClr val="accent6"/>
              </a:solidFill>
              <a:ln w="3175">
                <a:solidFill>
                  <a:schemeClr val="lt1"/>
                </a:solidFill>
              </a:ln>
              <a:effectLst/>
            </c:spPr>
          </c:dPt>
          <c:dLbls>
            <c:dLbl>
              <c:idx val="0"/>
              <c:layout>
                <c:manualLayout>
                  <c:x val="0.13375855950967019"/>
                  <c:y val="-0.141530479896238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512256777958621"/>
                  <c:y val="0.135385683793416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715919588263765"/>
                  <c:y val="0.164505039982842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5.2141820261294151E-2"/>
                  <c:y val="6.79922791752188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PM</c:v>
                </c:pt>
                <c:pt idx="1">
                  <c:v>CR</c:v>
                </c:pt>
                <c:pt idx="2">
                  <c:v>AS</c:v>
                </c:pt>
                <c:pt idx="3">
                  <c:v>Autre</c:v>
                </c:pt>
              </c:strCache>
            </c:strRef>
          </c:cat>
          <c:val>
            <c:numRef>
              <c:f>Sheet1!$B$2:$B$5</c:f>
              <c:numCache>
                <c:formatCode>General</c:formatCode>
                <c:ptCount val="4"/>
                <c:pt idx="0">
                  <c:v>2853</c:v>
                </c:pt>
                <c:pt idx="1">
                  <c:v>2134</c:v>
                </c:pt>
                <c:pt idx="2">
                  <c:v>678</c:v>
                </c:pt>
                <c:pt idx="3">
                  <c:v>2110</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000" b="1" i="0" baseline="0">
                <a:effectLst/>
              </a:rPr>
              <a:t>Population selon la région au 31 mars 2019 (N=7 938)</a:t>
            </a:r>
            <a:endParaRPr lang="en-CA" sz="1000">
              <a:effectLst/>
            </a:endParaRPr>
          </a:p>
        </c:rich>
      </c:tx>
      <c:layout>
        <c:manualLayout>
          <c:xMode val="edge"/>
          <c:yMode val="edge"/>
          <c:x val="0.12792086473061834"/>
          <c:y val="2.0703933747412008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dLbl>
              <c:idx val="0"/>
              <c:layout>
                <c:manualLayout>
                  <c:x val="-0.1003584229390681"/>
                  <c:y val="0.15596175478065241"/>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Lst>
            </c:dLbl>
            <c:dLbl>
              <c:idx val="1"/>
              <c:layout>
                <c:manualLayout>
                  <c:x val="0.2078853046594982"/>
                  <c:y val="-0.1085525994033355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3445</c:v>
                </c:pt>
                <c:pt idx="1">
                  <c:v>4484</c:v>
                </c:pt>
              </c:numCache>
            </c:numRef>
          </c:val>
        </c:ser>
        <c:dLbls>
          <c:showLegendKey val="0"/>
          <c:showVal val="0"/>
          <c:showCatName val="0"/>
          <c:showSerName val="0"/>
          <c:showPercent val="0"/>
          <c:showBubbleSize val="0"/>
          <c:showLeaderLines val="1"/>
        </c:dLbls>
        <c:firstSliceAng val="34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Embauche externe pour une période</a:t>
            </a:r>
            <a:r>
              <a:rPr lang="en-US" sz="1000" baseline="0"/>
              <a:t> indéterminée selon le groupe professionnel</a:t>
            </a:r>
            <a:r>
              <a:rPr lang="en-US" sz="1000"/>
              <a:t>,</a:t>
            </a:r>
          </a:p>
          <a:p>
            <a:pPr>
              <a:defRPr sz="1000" b="1"/>
            </a:pPr>
            <a:r>
              <a:rPr lang="en-US" sz="1000"/>
              <a:t> 2018-2019 (N=204)</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25808005883322E-2"/>
          <c:y val="0.27052230296405749"/>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2"/>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bg1">
                  <a:lumMod val="75000"/>
                </a:schemeClr>
              </a:solidFill>
              <a:ln w="19050">
                <a:solidFill>
                  <a:schemeClr val="lt1"/>
                </a:solidFill>
              </a:ln>
              <a:effectLst/>
            </c:spPr>
          </c:dPt>
          <c:dPt>
            <c:idx val="3"/>
            <c:bubble3D val="0"/>
            <c:spPr>
              <a:solidFill>
                <a:schemeClr val="accent4">
                  <a:lumMod val="75000"/>
                </a:schemeClr>
              </a:solidFill>
              <a:ln w="19050">
                <a:solidFill>
                  <a:schemeClr val="lt1"/>
                </a:solidFill>
              </a:ln>
              <a:effectLst/>
            </c:spPr>
          </c:dPt>
          <c:dPt>
            <c:idx val="4"/>
            <c:bubble3D val="0"/>
            <c:spPr>
              <a:solidFill>
                <a:schemeClr val="accent2">
                  <a:lumMod val="60000"/>
                  <a:lumOff val="40000"/>
                </a:schemeClr>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9.6620893402817407E-3"/>
                  <c:y val="-3.283741203300744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Lst>
            </c:dLbl>
            <c:dLbl>
              <c:idx val="1"/>
              <c:layout>
                <c:manualLayout>
                  <c:x val="-8.4932861653162928E-3"/>
                  <c:y val="3.5162507000249649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Lst>
            </c:dLbl>
            <c:dLbl>
              <c:idx val="2"/>
              <c:layout>
                <c:manualLayout>
                  <c:x val="-5.4542457555124598E-3"/>
                  <c:y val="-3.937696764282482E-3"/>
                </c:manualLayout>
              </c:layout>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ext>
              </c:extLst>
            </c:dLbl>
            <c:dLbl>
              <c:idx val="3"/>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dLbl>
              <c:idx val="4"/>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dLbl>
              <c:idx val="5"/>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PM</c:v>
                </c:pt>
                <c:pt idx="1">
                  <c:v>CR</c:v>
                </c:pt>
                <c:pt idx="2">
                  <c:v>AS</c:v>
                </c:pt>
                <c:pt idx="3">
                  <c:v>CS</c:v>
                </c:pt>
                <c:pt idx="4">
                  <c:v>EC</c:v>
                </c:pt>
                <c:pt idx="5">
                  <c:v>Autre</c:v>
                </c:pt>
              </c:strCache>
            </c:strRef>
          </c:cat>
          <c:val>
            <c:numRef>
              <c:f>Sheet1!$B$2:$B$7</c:f>
              <c:numCache>
                <c:formatCode>General</c:formatCode>
                <c:ptCount val="6"/>
                <c:pt idx="0">
                  <c:v>40</c:v>
                </c:pt>
                <c:pt idx="1">
                  <c:v>39</c:v>
                </c:pt>
                <c:pt idx="2">
                  <c:v>37</c:v>
                </c:pt>
                <c:pt idx="3">
                  <c:v>36</c:v>
                </c:pt>
                <c:pt idx="4">
                  <c:v>24</c:v>
                </c:pt>
                <c:pt idx="5">
                  <c:v>28</c:v>
                </c:pt>
              </c:numCache>
            </c:numRef>
          </c:val>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Dotation selon la région</a:t>
            </a:r>
          </a:p>
        </c:rich>
      </c:tx>
      <c:layout>
        <c:manualLayout>
          <c:xMode val="edge"/>
          <c:yMode val="edge"/>
          <c:x val="0.31305054795782106"/>
          <c:y val="2.405695947249355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872265966754156E-4"/>
                  <c:y val="1.37056707212609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739743058433487E-3"/>
                  <c:y val="1.0495090375138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7804024496937879E-3"/>
                  <c:y val="1.791341955135510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0.56000000000000005</c:v>
                </c:pt>
                <c:pt idx="1">
                  <c:v>0.61</c:v>
                </c:pt>
                <c:pt idx="2">
                  <c:v>0.6</c:v>
                </c:pt>
                <c:pt idx="3">
                  <c:v>0.62</c:v>
                </c:pt>
                <c:pt idx="4">
                  <c:v>0.56999999999999995</c:v>
                </c:pt>
              </c:numCache>
            </c:numRef>
          </c:val>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00294700004537E-2"/>
                  <c:y val="7.84002136789608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152046783625733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0.44</c:v>
                </c:pt>
                <c:pt idx="1">
                  <c:v>0.39</c:v>
                </c:pt>
                <c:pt idx="2">
                  <c:v>0.4</c:v>
                </c:pt>
                <c:pt idx="3">
                  <c:v>0.38</c:v>
                </c:pt>
                <c:pt idx="4">
                  <c:v>0.43</c:v>
                </c:pt>
              </c:numCache>
            </c:numRef>
          </c:val>
        </c:ser>
        <c:dLbls>
          <c:showLegendKey val="0"/>
          <c:showVal val="0"/>
          <c:showCatName val="0"/>
          <c:showSerName val="0"/>
          <c:showPercent val="0"/>
          <c:showBubbleSize val="0"/>
        </c:dLbls>
        <c:gapWidth val="150"/>
        <c:axId val="870618232"/>
        <c:axId val="870627640"/>
      </c:barChart>
      <c:catAx>
        <c:axId val="8706182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627640"/>
        <c:crosses val="autoZero"/>
        <c:auto val="1"/>
        <c:lblAlgn val="ctr"/>
        <c:lblOffset val="100"/>
        <c:noMultiLvlLbl val="0"/>
      </c:catAx>
      <c:valAx>
        <c:axId val="870627640"/>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618232"/>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000"/>
              <a:t>Dotation selon le type de processus</a:t>
            </a:r>
          </a:p>
        </c:rich>
      </c:tx>
      <c:layout>
        <c:manualLayout>
          <c:xMode val="edge"/>
          <c:yMode val="edge"/>
          <c:x val="0.26553599648211512"/>
          <c:y val="1.720412411186309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229225927910855E-2"/>
          <c:y val="5.9911048038645665E-2"/>
          <c:w val="0.84333349635643373"/>
          <c:h val="0.56188906230819147"/>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863640736649E-3"/>
                  <c:y val="1.027925304094569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09749762955E-3"/>
                  <c:y val="1.73479257357692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2646246444333E-3"/>
                  <c:y val="1.79134195513551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468</c:v>
                </c:pt>
                <c:pt idx="1">
                  <c:v>335</c:v>
                </c:pt>
                <c:pt idx="2">
                  <c:v>381</c:v>
                </c:pt>
                <c:pt idx="3">
                  <c:v>901</c:v>
                </c:pt>
                <c:pt idx="4">
                  <c:v>1500</c:v>
                </c:pt>
              </c:numCache>
            </c:numRef>
          </c:val>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6.9808027923211171E-3"/>
                  <c:y val="2.02752195807629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0942408376963352E-2"/>
                  <c:y val="1.399327396907317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848</c:v>
                </c:pt>
                <c:pt idx="1">
                  <c:v>845</c:v>
                </c:pt>
                <c:pt idx="2">
                  <c:v>946</c:v>
                </c:pt>
                <c:pt idx="3">
                  <c:v>1056</c:v>
                </c:pt>
                <c:pt idx="4">
                  <c:v>1206</c:v>
                </c:pt>
              </c:numCache>
            </c:numRef>
          </c:val>
        </c:ser>
        <c:dLbls>
          <c:showLegendKey val="0"/>
          <c:showVal val="0"/>
          <c:showCatName val="0"/>
          <c:showSerName val="0"/>
          <c:showPercent val="0"/>
          <c:showBubbleSize val="0"/>
        </c:dLbls>
        <c:gapWidth val="150"/>
        <c:axId val="734680912"/>
        <c:axId val="734681304"/>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6.1038325706668867E-2"/>
                  <c:y val="3.89988385253453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5632463481331851E-2"/>
                  <c:y val="-3.42210093363136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0618378200107188E-2"/>
                  <c:y val="-2.18381516769886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73064819777109E-2"/>
                  <c:y val="-4.16112796590849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9248052108669662E-2"/>
                  <c:y val="-3.332474480607690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0.36</c:v>
                </c:pt>
                <c:pt idx="1">
                  <c:v>0.28000000000000003</c:v>
                </c:pt>
                <c:pt idx="2">
                  <c:v>0.28999999999999998</c:v>
                </c:pt>
                <c:pt idx="3">
                  <c:v>0.46</c:v>
                </c:pt>
                <c:pt idx="4">
                  <c:v>0.55000000000000004</c:v>
                </c:pt>
              </c:numCache>
            </c:numRef>
          </c:val>
          <c:smooth val="0"/>
        </c:ser>
        <c:dLbls>
          <c:showLegendKey val="0"/>
          <c:showVal val="0"/>
          <c:showCatName val="0"/>
          <c:showSerName val="0"/>
          <c:showPercent val="0"/>
          <c:showBubbleSize val="0"/>
        </c:dLbls>
        <c:marker val="1"/>
        <c:smooth val="0"/>
        <c:axId val="734681696"/>
        <c:axId val="734678560"/>
      </c:lineChart>
      <c:catAx>
        <c:axId val="734680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81304"/>
        <c:crosses val="autoZero"/>
        <c:auto val="1"/>
        <c:lblAlgn val="ctr"/>
        <c:lblOffset val="100"/>
        <c:noMultiLvlLbl val="0"/>
      </c:catAx>
      <c:valAx>
        <c:axId val="7346813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80912"/>
        <c:crosses val="autoZero"/>
        <c:crossBetween val="between"/>
      </c:valAx>
      <c:valAx>
        <c:axId val="734678560"/>
        <c:scaling>
          <c:orientation val="minMax"/>
          <c:max val="0.9"/>
          <c:min val="0.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81696"/>
        <c:crosses val="max"/>
        <c:crossBetween val="between"/>
      </c:valAx>
      <c:catAx>
        <c:axId val="734681696"/>
        <c:scaling>
          <c:orientation val="minMax"/>
        </c:scaling>
        <c:delete val="1"/>
        <c:axPos val="b"/>
        <c:numFmt formatCode="General" sourceLinked="1"/>
        <c:majorTickMark val="out"/>
        <c:minorTickMark val="none"/>
        <c:tickLblPos val="nextTo"/>
        <c:crossAx val="734678560"/>
        <c:crosses val="autoZero"/>
        <c:auto val="1"/>
        <c:lblAlgn val="ctr"/>
        <c:lblOffset val="100"/>
        <c:noMultiLvlLbl val="0"/>
      </c:catAx>
      <c:spPr>
        <a:noFill/>
        <a:ln>
          <a:noFill/>
        </a:ln>
        <a:effectLst/>
      </c:spPr>
    </c:plotArea>
    <c:legend>
      <c:legendPos val="b"/>
      <c:layout>
        <c:manualLayout>
          <c:xMode val="edge"/>
          <c:yMode val="edge"/>
          <c:x val="1.3961605584642234E-2"/>
          <c:y val="0.67666732317897038"/>
          <c:w val="0.98603839441535779"/>
          <c:h val="0.115127833963906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a:t>Dotation selon le type de nomination</a:t>
            </a:r>
          </a:p>
        </c:rich>
      </c:tx>
      <c:layout>
        <c:manualLayout>
          <c:xMode val="edge"/>
          <c:yMode val="edge"/>
          <c:x val="0.26583333333333331"/>
          <c:y val="2.461538461538461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9.62729658792651E-3"/>
                  <c:y val="1.76826973551383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62E-2"/>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(N=4 793)</c:v>
                </c:pt>
                <c:pt idx="1">
                  <c:v>2015-2016
(N=5 103)</c:v>
                </c:pt>
                <c:pt idx="2">
                  <c:v>2016-2017 
(N=5 230)</c:v>
                </c:pt>
                <c:pt idx="3">
                  <c:v>2017-2018
(N=6 169)</c:v>
                </c:pt>
                <c:pt idx="4">
                  <c:v>2018-2019
(N=7 472)</c:v>
                </c:pt>
              </c:strCache>
            </c:strRef>
          </c:cat>
          <c:val>
            <c:numRef>
              <c:f>Sheet1!$B$3:$B$7</c:f>
              <c:numCache>
                <c:formatCode>#\ ###</c:formatCode>
                <c:ptCount val="5"/>
                <c:pt idx="0">
                  <c:v>434</c:v>
                </c:pt>
                <c:pt idx="1">
                  <c:v>496</c:v>
                </c:pt>
                <c:pt idx="2">
                  <c:v>641</c:v>
                </c:pt>
                <c:pt idx="3">
                  <c:v>856</c:v>
                </c:pt>
                <c:pt idx="4">
                  <c:v>1418</c:v>
                </c:pt>
              </c:numCache>
            </c:numRef>
          </c:val>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56801938219261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4356E-3"/>
                  <c:y val="1.99652735715727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6666666666666767E-2"/>
                  <c:y val="1.17601453664445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888888888888788E-2"/>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(N=4 793)</c:v>
                </c:pt>
                <c:pt idx="1">
                  <c:v>2015-2016
(N=5 103)</c:v>
                </c:pt>
                <c:pt idx="2">
                  <c:v>2016-2017 
(N=5 230)</c:v>
                </c:pt>
                <c:pt idx="3">
                  <c:v>2017-2018
(N=6 169)</c:v>
                </c:pt>
                <c:pt idx="4">
                  <c:v>2018-2019
(N=7 472)</c:v>
                </c:pt>
              </c:strCache>
            </c:strRef>
          </c:cat>
          <c:val>
            <c:numRef>
              <c:f>Sheet1!$C$3:$C$7</c:f>
              <c:numCache>
                <c:formatCode>#\ ###</c:formatCode>
                <c:ptCount val="5"/>
                <c:pt idx="0">
                  <c:v>659</c:v>
                </c:pt>
                <c:pt idx="1">
                  <c:v>817</c:v>
                </c:pt>
                <c:pt idx="2">
                  <c:v>930</c:v>
                </c:pt>
                <c:pt idx="3">
                  <c:v>1056</c:v>
                </c:pt>
                <c:pt idx="4">
                  <c:v>1193</c:v>
                </c:pt>
              </c:numCache>
            </c:numRef>
          </c:val>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(N=4 793)</c:v>
                </c:pt>
                <c:pt idx="1">
                  <c:v>2015-2016
(N=5 103)</c:v>
                </c:pt>
                <c:pt idx="2">
                  <c:v>2016-2017 
(N=5 230)</c:v>
                </c:pt>
                <c:pt idx="3">
                  <c:v>2017-2018
(N=6 169)</c:v>
                </c:pt>
                <c:pt idx="4">
                  <c:v>2018-2019
(N=7 472)</c:v>
                </c:pt>
              </c:strCache>
            </c:strRef>
          </c:cat>
          <c:val>
            <c:numRef>
              <c:f>Sheet1!$D$3:$D$7</c:f>
              <c:numCache>
                <c:formatCode>#\ ###</c:formatCode>
                <c:ptCount val="5"/>
                <c:pt idx="0">
                  <c:v>2907</c:v>
                </c:pt>
                <c:pt idx="1">
                  <c:v>3016</c:v>
                </c:pt>
                <c:pt idx="2">
                  <c:v>2861</c:v>
                </c:pt>
                <c:pt idx="3">
                  <c:v>3293</c:v>
                </c:pt>
                <c:pt idx="4">
                  <c:v>3697</c:v>
                </c:pt>
              </c:numCache>
            </c:numRef>
          </c:val>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7495188101487313E-2"/>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(N=4 793)</c:v>
                </c:pt>
                <c:pt idx="1">
                  <c:v>2015-2016
(N=5 103)</c:v>
                </c:pt>
                <c:pt idx="2">
                  <c:v>2016-2017 
(N=5 230)</c:v>
                </c:pt>
                <c:pt idx="3">
                  <c:v>2017-2018
(N=6 169)</c:v>
                </c:pt>
                <c:pt idx="4">
                  <c:v>2018-2019
(N=7 472)</c:v>
                </c:pt>
              </c:strCache>
            </c:strRef>
          </c:cat>
          <c:val>
            <c:numRef>
              <c:f>Sheet1!$E$3:$E$7</c:f>
              <c:numCache>
                <c:formatCode>#\ ###</c:formatCode>
                <c:ptCount val="5"/>
                <c:pt idx="0">
                  <c:v>793</c:v>
                </c:pt>
                <c:pt idx="1">
                  <c:v>774</c:v>
                </c:pt>
                <c:pt idx="2">
                  <c:v>798</c:v>
                </c:pt>
                <c:pt idx="3">
                  <c:v>964</c:v>
                </c:pt>
                <c:pt idx="4">
                  <c:v>1164</c:v>
                </c:pt>
              </c:numCache>
            </c:numRef>
          </c:val>
        </c:ser>
        <c:dLbls>
          <c:showLegendKey val="0"/>
          <c:showVal val="0"/>
          <c:showCatName val="0"/>
          <c:showSerName val="0"/>
          <c:showPercent val="0"/>
          <c:showBubbleSize val="0"/>
        </c:dLbls>
        <c:gapWidth val="150"/>
        <c:shape val="box"/>
        <c:axId val="734680128"/>
        <c:axId val="734678952"/>
        <c:axId val="0"/>
      </c:bar3DChart>
      <c:catAx>
        <c:axId val="7346801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8952"/>
        <c:crosses val="autoZero"/>
        <c:auto val="0"/>
        <c:lblAlgn val="ctr"/>
        <c:lblOffset val="100"/>
        <c:noMultiLvlLbl val="0"/>
      </c:catAx>
      <c:valAx>
        <c:axId val="73467895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8012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CA" sz="1100"/>
              <a:t>Dotation selon la durée d'emploi</a:t>
            </a:r>
          </a:p>
        </c:rich>
      </c:tx>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0260975316148986"/>
          <c:w val="0.86277799650043729"/>
          <c:h val="0.60816022612558041"/>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(N=4 793)</c:v>
                </c:pt>
                <c:pt idx="1">
                  <c:v>2015-2016
 (N=5 103)</c:v>
                </c:pt>
                <c:pt idx="2">
                  <c:v>2016-2017
 (N=5 230)</c:v>
                </c:pt>
                <c:pt idx="3">
                  <c:v>2017-2018
 (N=6 169)</c:v>
                </c:pt>
                <c:pt idx="4">
                  <c:v>2018-2019
 (N=7 472)</c:v>
                </c:pt>
              </c:strCache>
            </c:strRef>
          </c:cat>
          <c:val>
            <c:numRef>
              <c:f>Sheet1!$B$2:$B$6</c:f>
              <c:numCache>
                <c:formatCode>#\ ###</c:formatCode>
                <c:ptCount val="5"/>
                <c:pt idx="0">
                  <c:v>1612</c:v>
                </c:pt>
                <c:pt idx="1">
                  <c:v>1789</c:v>
                </c:pt>
                <c:pt idx="2">
                  <c:v>2032</c:v>
                </c:pt>
                <c:pt idx="3">
                  <c:v>2558</c:v>
                </c:pt>
                <c:pt idx="4">
                  <c:v>3370</c:v>
                </c:pt>
              </c:numCache>
            </c:numRef>
          </c:val>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8286E-3"/>
                  <c:y val="2.42503533212193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8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888888888888888E-2"/>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(N=4 793)</c:v>
                </c:pt>
                <c:pt idx="1">
                  <c:v>2015-2016
 (N=5 103)</c:v>
                </c:pt>
                <c:pt idx="2">
                  <c:v>2016-2017
 (N=5 230)</c:v>
                </c:pt>
                <c:pt idx="3">
                  <c:v>2017-2018
 (N=6 169)</c:v>
                </c:pt>
                <c:pt idx="4">
                  <c:v>2018-2019
 (N=7 472)</c:v>
                </c:pt>
              </c:strCache>
            </c:strRef>
          </c:cat>
          <c:val>
            <c:numRef>
              <c:f>Sheet1!$C$2:$C$6</c:f>
              <c:numCache>
                <c:formatCode>#\ ###</c:formatCode>
                <c:ptCount val="5"/>
                <c:pt idx="0">
                  <c:v>1038</c:v>
                </c:pt>
                <c:pt idx="1">
                  <c:v>1091</c:v>
                </c:pt>
                <c:pt idx="2">
                  <c:v>1273</c:v>
                </c:pt>
                <c:pt idx="3">
                  <c:v>1446</c:v>
                </c:pt>
                <c:pt idx="4">
                  <c:v>1711</c:v>
                </c:pt>
              </c:numCache>
            </c:numRef>
          </c:val>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(N=4 793)</c:v>
                </c:pt>
                <c:pt idx="1">
                  <c:v>2015-2016
 (N=5 103)</c:v>
                </c:pt>
                <c:pt idx="2">
                  <c:v>2016-2017
 (N=5 230)</c:v>
                </c:pt>
                <c:pt idx="3">
                  <c:v>2017-2018
 (N=6 169)</c:v>
                </c:pt>
                <c:pt idx="4">
                  <c:v>2018-2019
 (N=7 472)</c:v>
                </c:pt>
              </c:strCache>
            </c:strRef>
          </c:cat>
          <c:val>
            <c:numRef>
              <c:f>Sheet1!$D$2:$D$6</c:f>
              <c:numCache>
                <c:formatCode>#\ ###</c:formatCode>
                <c:ptCount val="5"/>
                <c:pt idx="0">
                  <c:v>1787</c:v>
                </c:pt>
                <c:pt idx="1">
                  <c:v>1858</c:v>
                </c:pt>
                <c:pt idx="2">
                  <c:v>1676</c:v>
                </c:pt>
                <c:pt idx="3">
                  <c:v>1922</c:v>
                </c:pt>
                <c:pt idx="4">
                  <c:v>2056</c:v>
                </c:pt>
              </c:numCache>
            </c:numRef>
          </c:val>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185067526415994E-16"/>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(N=4 793)</c:v>
                </c:pt>
                <c:pt idx="1">
                  <c:v>2015-2016
 (N=5 103)</c:v>
                </c:pt>
                <c:pt idx="2">
                  <c:v>2016-2017
 (N=5 230)</c:v>
                </c:pt>
                <c:pt idx="3">
                  <c:v>2017-2018
 (N=6 169)</c:v>
                </c:pt>
                <c:pt idx="4">
                  <c:v>2018-2019
 (N=7 472)</c:v>
                </c:pt>
              </c:strCache>
            </c:strRef>
          </c:cat>
          <c:val>
            <c:numRef>
              <c:f>Sheet1!$E$2:$E$6</c:f>
              <c:numCache>
                <c:formatCode>#\ ###</c:formatCode>
                <c:ptCount val="5"/>
                <c:pt idx="0">
                  <c:v>356</c:v>
                </c:pt>
                <c:pt idx="1">
                  <c:v>365</c:v>
                </c:pt>
                <c:pt idx="2">
                  <c:v>249</c:v>
                </c:pt>
                <c:pt idx="3">
                  <c:v>243</c:v>
                </c:pt>
                <c:pt idx="4">
                  <c:v>335</c:v>
                </c:pt>
              </c:numCache>
            </c:numRef>
          </c:val>
        </c:ser>
        <c:dLbls>
          <c:showLegendKey val="0"/>
          <c:showVal val="1"/>
          <c:showCatName val="0"/>
          <c:showSerName val="0"/>
          <c:showPercent val="0"/>
          <c:showBubbleSize val="0"/>
        </c:dLbls>
        <c:gapWidth val="150"/>
        <c:shape val="box"/>
        <c:axId val="734666408"/>
        <c:axId val="734673464"/>
        <c:axId val="0"/>
      </c:bar3DChart>
      <c:catAx>
        <c:axId val="7346664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73464"/>
        <c:crosses val="autoZero"/>
        <c:auto val="1"/>
        <c:lblAlgn val="ctr"/>
        <c:lblOffset val="100"/>
        <c:noMultiLvlLbl val="0"/>
      </c:catAx>
      <c:valAx>
        <c:axId val="73467346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666408"/>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2 430</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9</a:t>
          </a: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0.77925</cdr:y>
    </cdr:from>
    <cdr:to>
      <cdr:x>0.97183</cdr:x>
      <cdr:y>0.99965</cdr:y>
    </cdr:to>
    <cdr:sp macro="" textlink="">
      <cdr:nvSpPr>
        <cdr:cNvPr id="2" name="Text Box 1"/>
        <cdr:cNvSpPr txBox="1"/>
      </cdr:nvSpPr>
      <cdr:spPr>
        <a:xfrm xmlns:a="http://schemas.openxmlformats.org/drawingml/2006/main">
          <a:off x="26375" y="2828925"/>
          <a:ext cx="3509673" cy="8000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(56</a:t>
          </a:r>
          <a:r>
            <a:rPr lang="en-CA" sz="850" baseline="0">
              <a:solidFill>
                <a:sysClr val="windowText" lastClr="000000"/>
              </a:solidFill>
            </a:rPr>
            <a:t>% à 70</a:t>
          </a:r>
          <a:r>
            <a:rPr lang="en-CA" sz="850" baseline="0"/>
            <a:t>% des nominations)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0.91477</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114675"/>
          <a:ext cx="3397053" cy="290195"/>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0.26843</cdr:x>
      <cdr:y>0.2066</cdr:y>
    </cdr:from>
    <cdr:to>
      <cdr:x>0.26982</cdr:x>
      <cdr:y>0.75662</cdr:y>
    </cdr:to>
    <cdr:cxnSp macro="">
      <cdr:nvCxnSpPr>
        <cdr:cNvPr id="5" name="Straight Connector 4" descr="Median line fof the specified organization's internal time to staff graphic"/>
        <cdr:cNvCxnSpPr/>
      </cdr:nvCxnSpPr>
      <cdr:spPr>
        <a:xfrm xmlns:a="http://schemas.openxmlformats.org/drawingml/2006/main" flipV="1">
          <a:off x="1181231" y="564789"/>
          <a:ext cx="6117" cy="1503576"/>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69B9FA50643CB9309AB4941F02E9C"/>
        <w:category>
          <w:name w:val="General"/>
          <w:gallery w:val="placeholder"/>
        </w:category>
        <w:types>
          <w:type w:val="bbPlcHdr"/>
        </w:types>
        <w:behaviors>
          <w:behavior w:val="content"/>
        </w:behaviors>
        <w:guid w:val="{7F91447C-BE15-4E42-A05E-0B470F809782}"/>
      </w:docPartPr>
      <w:docPartBody>
        <w:p w:rsidR="006E6E1D" w:rsidRDefault="006E6E1D" w:rsidP="006E6E1D">
          <w:pPr>
            <w:pStyle w:val="49469B9FA50643CB9309AB4941F02E9C"/>
          </w:pPr>
          <w:r w:rsidRPr="00275466">
            <w:rPr>
              <w:rFonts w:ascii="Arial" w:eastAsia="Arial" w:hAnsi="Arial" w:cs="Arial"/>
              <w:color w:val="A6A6A6" w:themeColor="background1" w:themeShade="A6"/>
              <w:kern w:val="2"/>
              <w:lang w:val="fr-FR" w:bidi="fr-FR"/>
              <w14:ligatures w14:val="standard"/>
            </w:rPr>
            <w:t>[Insérer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1D"/>
    <w:rsid w:val="003B62F1"/>
    <w:rsid w:val="006E6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69B9FA50643CB9309AB4941F02E9C">
    <w:name w:val="49469B9FA50643CB9309AB4941F02E9C"/>
    <w:rsid w:val="006E6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409BE-0631-4338-B583-08AC047A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67</TotalTime>
  <Pages>31</Pages>
  <Words>6475</Words>
  <Characters>36914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43303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Sandy Ferreira</cp:lastModifiedBy>
  <cp:revision>10</cp:revision>
  <dcterms:created xsi:type="dcterms:W3CDTF">2020-01-16T12:54:00Z</dcterms:created>
  <dcterms:modified xsi:type="dcterms:W3CDTF">2020-02-13T12:36:00Z</dcterms:modified>
</cp:coreProperties>
</file>