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567" w:rsidRPr="00625CD9" w:rsidRDefault="004B215E" w:rsidP="00625CD9">
      <w:pPr>
        <w:pStyle w:val="Title"/>
        <w:rPr>
          <w:sz w:val="64"/>
          <w:szCs w:val="64"/>
        </w:rPr>
      </w:pPr>
      <w:r w:rsidRPr="00625CD9">
        <w:rPr>
          <w:sz w:val="64"/>
          <w:szCs w:val="64"/>
        </w:rPr>
        <w:t>S</w:t>
      </w:r>
      <w:r w:rsidR="001A2567" w:rsidRPr="00625CD9">
        <w:rPr>
          <w:sz w:val="64"/>
          <w:szCs w:val="64"/>
        </w:rPr>
        <w:t>tratégie de gestion des données</w:t>
      </w:r>
      <w:r w:rsidRPr="00625CD9">
        <w:rPr>
          <w:sz w:val="64"/>
          <w:szCs w:val="64"/>
        </w:rPr>
        <w:t xml:space="preserve"> de la Commission de la fonction publique</w:t>
      </w:r>
      <w:r w:rsidR="001A2567" w:rsidRPr="00625CD9">
        <w:rPr>
          <w:sz w:val="64"/>
          <w:szCs w:val="64"/>
        </w:rPr>
        <w:t xml:space="preserve"> </w:t>
      </w:r>
    </w:p>
    <w:p w:rsidR="001A2567" w:rsidRPr="00625CD9" w:rsidRDefault="001A2567" w:rsidP="00625CD9">
      <w:pPr>
        <w:pStyle w:val="Title"/>
      </w:pPr>
      <w:r w:rsidRPr="00625CD9">
        <w:t>Plan de mise en œuvre – de la stratégie à la pratique</w:t>
      </w:r>
    </w:p>
    <w:p w:rsidR="001A2567" w:rsidRPr="001A2567" w:rsidRDefault="001A2567" w:rsidP="001A2567">
      <w:pPr>
        <w:keepLines w:val="0"/>
        <w:rPr>
          <w:rFonts w:ascii="Segoe UI Semilight" w:eastAsia="Segoe UI Semilight" w:hAnsi="Segoe UI Semilight" w:cs="Times New Roman"/>
          <w:color w:val="auto"/>
        </w:rPr>
      </w:pPr>
    </w:p>
    <w:p w:rsidR="001A2567" w:rsidRDefault="001A2567" w:rsidP="001A2567">
      <w:pPr>
        <w:keepLines w:val="0"/>
        <w:rPr>
          <w:rFonts w:ascii="Segoe UI Semilight" w:eastAsia="Segoe UI Semilight" w:hAnsi="Segoe UI Semilight" w:cs="Segoe UI Semilight"/>
          <w:b/>
          <w:bCs/>
          <w:color w:val="auto"/>
        </w:rPr>
      </w:pPr>
      <w:r w:rsidRPr="001A2567">
        <w:rPr>
          <w:rFonts w:ascii="Segoe UI Semilight" w:eastAsia="Segoe UI Semilight" w:hAnsi="Segoe UI Semilight" w:cs="Segoe UI Semilight"/>
          <w:b/>
          <w:bCs/>
          <w:color w:val="auto"/>
        </w:rPr>
        <w:t>Préparé par le Bureau de gestion des données</w:t>
      </w:r>
    </w:p>
    <w:p w:rsidR="00B61433" w:rsidRPr="001A2567" w:rsidRDefault="00B61433" w:rsidP="001A2567">
      <w:pPr>
        <w:keepLines w:val="0"/>
        <w:rPr>
          <w:rFonts w:ascii="Segoe UI Semilight" w:eastAsia="Segoe UI Semilight" w:hAnsi="Segoe UI Semilight" w:cs="Segoe UI Semilight"/>
          <w:b/>
          <w:bCs/>
          <w:color w:val="auto"/>
        </w:rPr>
      </w:pPr>
      <w:r w:rsidRPr="00B61433">
        <w:rPr>
          <w:rFonts w:ascii="Segoe UI Semilight" w:eastAsia="Segoe UI Semilight" w:hAnsi="Segoe UI Semilight" w:cs="Segoe UI Semilight"/>
          <w:b/>
          <w:bCs/>
          <w:color w:val="auto"/>
        </w:rPr>
        <w:t>GCDoc#9974261</w:t>
      </w:r>
    </w:p>
    <w:p w:rsidR="00D01F02" w:rsidRDefault="00D01F02" w:rsidP="001A2567">
      <w:pPr>
        <w:keepNext/>
        <w:keepLines w:val="0"/>
        <w:spacing w:before="240" w:after="240"/>
        <w:outlineLvl w:val="0"/>
        <w:rPr>
          <w:rFonts w:ascii="Segoe UI Light" w:eastAsia="Times New Roman" w:hAnsi="Segoe UI Light" w:cs="Times New Roman"/>
          <w:color w:val="5B315E"/>
          <w:sz w:val="48"/>
          <w:szCs w:val="48"/>
        </w:rPr>
      </w:pPr>
      <w:r>
        <w:rPr>
          <w:rFonts w:ascii="Segoe UI Light" w:eastAsia="Times New Roman" w:hAnsi="Segoe UI Light" w:cs="Times New Roman"/>
          <w:color w:val="5B315E"/>
          <w:sz w:val="48"/>
          <w:szCs w:val="48"/>
        </w:rPr>
        <w:br w:type="page"/>
      </w:r>
    </w:p>
    <w:p w:rsidR="001A2567" w:rsidRPr="00D01F02" w:rsidRDefault="001A2567" w:rsidP="00625CD9">
      <w:pPr>
        <w:pStyle w:val="Heading1"/>
        <w:rPr>
          <w:rFonts w:eastAsia="Times New Roman"/>
        </w:rPr>
      </w:pPr>
      <w:r w:rsidRPr="00D01F02">
        <w:rPr>
          <w:rFonts w:eastAsia="Times New Roman"/>
        </w:rPr>
        <w:lastRenderedPageBreak/>
        <w:t>Objectif</w:t>
      </w:r>
    </w:p>
    <w:p w:rsidR="001A2567" w:rsidRPr="001A2567" w:rsidRDefault="001A2567" w:rsidP="001A2567">
      <w:pPr>
        <w:keepLines w:val="0"/>
        <w:numPr>
          <w:ilvl w:val="0"/>
          <w:numId w:val="9"/>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Donner un aperçu du plan de mise en œuvre pour la Stratégie de gestion des données de la CFP</w:t>
      </w:r>
    </w:p>
    <w:p w:rsidR="001A2567" w:rsidRPr="001A2567" w:rsidRDefault="001A2567" w:rsidP="001A2567">
      <w:pPr>
        <w:keepLines w:val="0"/>
        <w:numPr>
          <w:ilvl w:val="0"/>
          <w:numId w:val="9"/>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Élaborer un document complémentaire à la :</w:t>
      </w:r>
    </w:p>
    <w:p w:rsidR="001A2567" w:rsidRPr="001A2567" w:rsidRDefault="001602C0" w:rsidP="001A2567">
      <w:pPr>
        <w:keepLines w:val="0"/>
        <w:numPr>
          <w:ilvl w:val="1"/>
          <w:numId w:val="9"/>
        </w:numPr>
        <w:spacing w:after="320"/>
        <w:ind w:left="1080"/>
        <w:contextualSpacing/>
        <w:rPr>
          <w:rFonts w:ascii="Segoe UI Semilight" w:eastAsia="Segoe UI Semilight" w:hAnsi="Segoe UI Semilight" w:cs="Times New Roman"/>
          <w:color w:val="0099A8"/>
          <w:u w:val="single"/>
        </w:rPr>
      </w:pPr>
      <w:hyperlink r:id="rId8" w:history="1">
        <w:r w:rsidR="001A2567" w:rsidRPr="001A2567">
          <w:rPr>
            <w:rFonts w:ascii="Segoe UI Semilight" w:eastAsia="Segoe UI Semilight" w:hAnsi="Segoe UI Semilight" w:cs="Times New Roman"/>
            <w:color w:val="0099A8"/>
            <w:u w:val="single"/>
          </w:rPr>
          <w:t>Stratégie de gestion des données de la CFP : composantes et catalyseurs</w:t>
        </w:r>
      </w:hyperlink>
    </w:p>
    <w:p w:rsidR="001A2567" w:rsidRPr="001A2567" w:rsidRDefault="001602C0" w:rsidP="001A2567">
      <w:pPr>
        <w:keepLines w:val="0"/>
        <w:numPr>
          <w:ilvl w:val="1"/>
          <w:numId w:val="9"/>
        </w:numPr>
        <w:spacing w:after="320"/>
        <w:ind w:left="1080"/>
        <w:contextualSpacing/>
        <w:rPr>
          <w:rFonts w:ascii="Segoe UI Semilight" w:eastAsia="Segoe UI Semilight" w:hAnsi="Segoe UI Semilight" w:cs="Times New Roman"/>
          <w:color w:val="auto"/>
        </w:rPr>
      </w:pPr>
      <w:hyperlink r:id="rId9" w:history="1">
        <w:r w:rsidR="001A2567" w:rsidRPr="001A2567">
          <w:rPr>
            <w:rFonts w:ascii="Segoe UI Semilight" w:eastAsia="Segoe UI Semilight" w:hAnsi="Segoe UI Semilight" w:cs="Times New Roman"/>
            <w:color w:val="0099A8"/>
            <w:u w:val="single"/>
          </w:rPr>
          <w:t>Vue d’ensemble de la stratégie de gestion des données de la CFP</w:t>
        </w:r>
      </w:hyperlink>
      <w:r w:rsidR="001A2567" w:rsidRPr="001A2567">
        <w:rPr>
          <w:rFonts w:ascii="Segoe UI Semilight" w:eastAsia="Segoe UI Semilight" w:hAnsi="Segoe UI Semilight" w:cs="Times New Roman"/>
          <w:color w:val="0099A8"/>
          <w:u w:val="single"/>
        </w:rPr>
        <w:t xml:space="preserve"> </w:t>
      </w:r>
    </w:p>
    <w:p w:rsidR="001A2567" w:rsidRPr="001A2567" w:rsidRDefault="001A2567" w:rsidP="001A2567">
      <w:pPr>
        <w:keepLines w:val="0"/>
        <w:kinsoku w:val="0"/>
        <w:overflowPunct w:val="0"/>
        <w:spacing w:after="240" w:line="240" w:lineRule="auto"/>
        <w:ind w:left="1440"/>
        <w:contextualSpacing/>
        <w:textAlignment w:val="baseline"/>
        <w:rPr>
          <w:rFonts w:ascii="Arial" w:eastAsia="Calibri" w:hAnsi="Arial" w:cs="+mn-cs"/>
          <w:color w:val="0563C1"/>
          <w:kern w:val="24"/>
          <w:sz w:val="20"/>
          <w:szCs w:val="20"/>
          <w:u w:val="single"/>
          <w:lang w:eastAsia="en-CA"/>
        </w:rPr>
      </w:pPr>
    </w:p>
    <w:p w:rsidR="001A2567" w:rsidRPr="00D01F02" w:rsidRDefault="001A2567" w:rsidP="00625CD9">
      <w:pPr>
        <w:pStyle w:val="Heading1"/>
        <w:rPr>
          <w:rFonts w:eastAsia="Times New Roman"/>
        </w:rPr>
      </w:pPr>
      <w:r w:rsidRPr="00D01F02">
        <w:rPr>
          <w:rFonts w:eastAsia="Times New Roman"/>
        </w:rPr>
        <w:t>Contexte</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Juin 2018 : le CEG a approuvé la Stratégie de gestion des données de la CFP*</w:t>
      </w:r>
    </w:p>
    <w:p w:rsidR="001A2567" w:rsidRPr="001A2567" w:rsidRDefault="001A2567" w:rsidP="001A2567">
      <w:pPr>
        <w:keepLines w:val="0"/>
        <w:numPr>
          <w:ilvl w:val="0"/>
          <w:numId w:val="10"/>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Élaborée selon les normes de l’industrie et divers éléments sur mesure qui répondent le mieux aux besoins de la CFP</w:t>
      </w:r>
    </w:p>
    <w:p w:rsidR="001A2567" w:rsidRPr="001A2567" w:rsidRDefault="001A2567" w:rsidP="001A2567">
      <w:pPr>
        <w:keepLines w:val="0"/>
        <w:numPr>
          <w:ilvl w:val="0"/>
          <w:numId w:val="10"/>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Est destinée à servir d’initiative à l’échelle de la CFP</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Automne 2018 : Publication d’une feuille de route de la Stratégie de gestion des données du gouvernement du Canada</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Hiver 2018 : </w:t>
      </w:r>
    </w:p>
    <w:p w:rsidR="001A2567" w:rsidRPr="001A2567" w:rsidRDefault="001A2567" w:rsidP="001A2567">
      <w:pPr>
        <w:keepLines w:val="0"/>
        <w:numPr>
          <w:ilvl w:val="0"/>
          <w:numId w:val="11"/>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Un exercice de concordance confirme l’harmonisation de la stratégie du gouvernement du Canada et de celle de la CFP</w:t>
      </w:r>
    </w:p>
    <w:p w:rsidR="001A2567" w:rsidRPr="001A2567" w:rsidRDefault="001A2567" w:rsidP="001A2567">
      <w:pPr>
        <w:keepLines w:val="0"/>
        <w:numPr>
          <w:ilvl w:val="0"/>
          <w:numId w:val="11"/>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Le plan de mise en œuvre est en cours d’élaboration</w:t>
      </w:r>
    </w:p>
    <w:p w:rsidR="001A2567" w:rsidRPr="001A2567" w:rsidRDefault="001A2567" w:rsidP="001A2567">
      <w:pPr>
        <w:keepLines w:val="0"/>
        <w:numPr>
          <w:ilvl w:val="1"/>
          <w:numId w:val="11"/>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Traité comme un projet mené à l’échelle de la CFP, avec plusieurs produits livrables</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*Voir l’annexe A pour connaître les vecteurs et la vision de la Stratégie de gestion des données.</w:t>
      </w:r>
      <w:r w:rsidRPr="001A2567">
        <w:rPr>
          <w:rFonts w:ascii="Segoe UI Semilight" w:eastAsia="Segoe UI Semilight" w:hAnsi="Segoe UI Semilight" w:cs="Times New Roman"/>
          <w:color w:val="auto"/>
        </w:rPr>
        <w:br w:type="page"/>
      </w:r>
    </w:p>
    <w:p w:rsidR="001A2567" w:rsidRPr="00D01F02" w:rsidRDefault="001A2567" w:rsidP="00625CD9">
      <w:pPr>
        <w:pStyle w:val="Heading1"/>
        <w:rPr>
          <w:rFonts w:eastAsia="Times New Roman"/>
        </w:rPr>
      </w:pPr>
      <w:r w:rsidRPr="00D01F02">
        <w:rPr>
          <w:rFonts w:eastAsia="Times New Roman"/>
        </w:rPr>
        <w:lastRenderedPageBreak/>
        <w:t>Feuille de route de la stratégie de gestion des données du gouvernement du Canada</w:t>
      </w:r>
    </w:p>
    <w:p w:rsidR="001A2567" w:rsidRDefault="001A2567" w:rsidP="00B62963">
      <w:pPr>
        <w:pStyle w:val="DataText"/>
      </w:pPr>
      <w:r w:rsidRPr="001A2567">
        <w:t>Officiellement connu sous le nom de Rapport au greffier du Conseil privé : Feuille de route de la Stratégie de données pour la fonction publique fédérale, la Stratégie de données du gouvernement du Canada et ses recommandations ont été soumises au greffier et ont été approuvées à l’automne 2018</w:t>
      </w:r>
    </w:p>
    <w:p w:rsidR="00B62963" w:rsidRPr="001A2567" w:rsidRDefault="00B62963" w:rsidP="00B62963">
      <w:pPr>
        <w:pStyle w:val="DataText"/>
      </w:pPr>
    </w:p>
    <w:p w:rsidR="001A2567" w:rsidRPr="001A2567" w:rsidRDefault="001A2567" w:rsidP="00B62963">
      <w:pPr>
        <w:pStyle w:val="DataText"/>
      </w:pPr>
      <w:r w:rsidRPr="001A2567">
        <w:t>La feuille de route contient 21 recommandations qui s'articulent autour de quatre thèmes :</w:t>
      </w:r>
    </w:p>
    <w:p w:rsidR="001A2567" w:rsidRPr="001A2567" w:rsidRDefault="001A2567" w:rsidP="001A2567">
      <w:pPr>
        <w:keepLines w:val="0"/>
        <w:numPr>
          <w:ilvl w:val="0"/>
          <w:numId w:val="12"/>
        </w:numPr>
        <w:spacing w:after="24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Gouvernance </w:t>
      </w:r>
      <w:r w:rsidRPr="001A2567">
        <w:rPr>
          <w:rFonts w:ascii="Segoe UI Semilight" w:eastAsia="Segoe UI Semilight" w:hAnsi="Segoe UI Semilight" w:cs="Times New Roman"/>
          <w:color w:val="auto"/>
        </w:rPr>
        <w:tab/>
      </w:r>
    </w:p>
    <w:p w:rsidR="001A2567" w:rsidRPr="001A2567" w:rsidRDefault="001A2567" w:rsidP="001A2567">
      <w:pPr>
        <w:keepLines w:val="0"/>
        <w:numPr>
          <w:ilvl w:val="0"/>
          <w:numId w:val="12"/>
        </w:numPr>
        <w:spacing w:after="24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Personnes et culture</w:t>
      </w:r>
    </w:p>
    <w:p w:rsidR="001A2567" w:rsidRPr="001A2567" w:rsidRDefault="001A2567" w:rsidP="001A2567">
      <w:pPr>
        <w:keepLines w:val="0"/>
        <w:numPr>
          <w:ilvl w:val="0"/>
          <w:numId w:val="12"/>
        </w:numPr>
        <w:spacing w:after="24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Données en tant qu’actif</w:t>
      </w:r>
      <w:r w:rsidRPr="001A2567">
        <w:rPr>
          <w:rFonts w:ascii="Segoe UI Semilight" w:eastAsia="Segoe UI Semilight" w:hAnsi="Segoe UI Semilight" w:cs="Times New Roman"/>
          <w:color w:val="auto"/>
        </w:rPr>
        <w:tab/>
      </w:r>
    </w:p>
    <w:p w:rsidR="001A2567" w:rsidRPr="001A2567" w:rsidRDefault="001A2567" w:rsidP="001A2567">
      <w:pPr>
        <w:keepLines w:val="0"/>
        <w:numPr>
          <w:ilvl w:val="0"/>
          <w:numId w:val="12"/>
        </w:numPr>
        <w:spacing w:after="24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Environnement et infrastructure numérique</w:t>
      </w:r>
    </w:p>
    <w:p w:rsidR="001A2567" w:rsidRPr="001A2567" w:rsidRDefault="001A2567" w:rsidP="00625CD9">
      <w:pPr>
        <w:pStyle w:val="Heading2"/>
        <w:rPr>
          <w:rFonts w:eastAsia="Times New Roman"/>
        </w:rPr>
      </w:pPr>
      <w:r w:rsidRPr="001A2567">
        <w:rPr>
          <w:rFonts w:eastAsia="Times New Roman"/>
        </w:rPr>
        <w:t>Exigences ministérielles d’ici septembre 2019</w:t>
      </w:r>
    </w:p>
    <w:p w:rsidR="001A2567" w:rsidRPr="001A2567" w:rsidRDefault="001A2567" w:rsidP="001A2567">
      <w:pPr>
        <w:keepLines w:val="0"/>
        <w:numPr>
          <w:ilvl w:val="0"/>
          <w:numId w:val="4"/>
        </w:numPr>
        <w:spacing w:after="240"/>
        <w:rPr>
          <w:rFonts w:ascii="Segoe UI Semilight" w:eastAsia="Segoe UI Semilight" w:hAnsi="Segoe UI Semilight" w:cs="Times New Roman"/>
          <w:bCs/>
          <w:color w:val="auto"/>
        </w:rPr>
      </w:pPr>
      <w:r w:rsidRPr="00625CD9">
        <w:rPr>
          <w:rStyle w:val="Strong"/>
        </w:rPr>
        <w:t>Recommandation no 4 : Élaborer des stratégies de données qui sont pertinentes, adaptées à leurs besoins et harmonisées avec la feuille de route de la Stratégie</w:t>
      </w:r>
      <w:r w:rsidRPr="001A2567">
        <w:rPr>
          <w:rFonts w:ascii="Segoe UI Semilight" w:eastAsia="Segoe UI Semilight" w:hAnsi="Segoe UI Semilight" w:cs="Times New Roman"/>
          <w:b/>
          <w:bCs/>
          <w:color w:val="auto"/>
        </w:rPr>
        <w:t xml:space="preserve"> </w:t>
      </w:r>
      <w:r w:rsidRPr="001A2567">
        <w:rPr>
          <w:rFonts w:ascii="Segoe UI Semilight" w:eastAsia="Segoe UI Semilight" w:hAnsi="Segoe UI Semilight" w:cs="Times New Roman"/>
          <w:bCs/>
          <w:color w:val="auto"/>
        </w:rPr>
        <w:t>- le plan de mise en œuvre est en cours d’élaboration</w:t>
      </w:r>
    </w:p>
    <w:p w:rsidR="001A2567" w:rsidRPr="001A2567" w:rsidRDefault="001A2567" w:rsidP="001A2567">
      <w:pPr>
        <w:keepLines w:val="0"/>
        <w:numPr>
          <w:ilvl w:val="0"/>
          <w:numId w:val="4"/>
        </w:numPr>
        <w:spacing w:after="240"/>
        <w:rPr>
          <w:rFonts w:ascii="Segoe UI Semilight" w:eastAsia="Segoe UI Semilight" w:hAnsi="Segoe UI Semilight" w:cs="Times New Roman"/>
          <w:bCs/>
          <w:color w:val="auto"/>
        </w:rPr>
      </w:pPr>
      <w:r w:rsidRPr="00625CD9">
        <w:rPr>
          <w:rStyle w:val="Strong"/>
        </w:rPr>
        <w:t>Recommandation no 5 : Exiger de tous les ministères qu’ils veillent à ce que les rôles et les responsabilités à l’égard des données soient appropriés</w:t>
      </w:r>
      <w:r w:rsidRPr="001A2567">
        <w:rPr>
          <w:rFonts w:ascii="Segoe UI Semilight" w:eastAsia="Segoe UI Semilight" w:hAnsi="Segoe UI Semilight" w:cs="Times New Roman"/>
          <w:b/>
          <w:bCs/>
          <w:color w:val="auto"/>
        </w:rPr>
        <w:t xml:space="preserve"> - </w:t>
      </w:r>
      <w:r w:rsidRPr="001A2567">
        <w:rPr>
          <w:rFonts w:ascii="Segoe UI Semilight" w:eastAsia="Segoe UI Semilight" w:hAnsi="Segoe UI Semilight" w:cs="Times New Roman"/>
          <w:bCs/>
          <w:color w:val="auto"/>
        </w:rPr>
        <w:t>fonction du DPD approuvée – communiquer maintenant le rôle et clarifier d’autres responsabilités liées aux données</w:t>
      </w:r>
    </w:p>
    <w:p w:rsidR="001A2567" w:rsidRPr="00D01F02" w:rsidRDefault="001A2567" w:rsidP="00625CD9">
      <w:pPr>
        <w:pStyle w:val="Heading1"/>
        <w:rPr>
          <w:rFonts w:eastAsia="Times New Roman"/>
        </w:rPr>
      </w:pPr>
      <w:r w:rsidRPr="00D01F02">
        <w:rPr>
          <w:rFonts w:eastAsia="Times New Roman"/>
        </w:rPr>
        <w:t>Contexte de la CFP</w:t>
      </w:r>
    </w:p>
    <w:p w:rsidR="001A2567" w:rsidRDefault="001A2567" w:rsidP="00B62963">
      <w:pPr>
        <w:pStyle w:val="DataText"/>
      </w:pPr>
      <w:r w:rsidRPr="001A2567">
        <w:t xml:space="preserve">En 2014-2015, la CFP a mené un examen de ses cadres de politique et de surveillance. L’examen visait à renforcer la réactivité du système de dotation face au contexte organisationnel et aux risques opérationnels. </w:t>
      </w:r>
    </w:p>
    <w:p w:rsidR="00B62963" w:rsidRPr="001A2567" w:rsidRDefault="00B62963" w:rsidP="00B62963">
      <w:pPr>
        <w:pStyle w:val="DataText"/>
      </w:pPr>
    </w:p>
    <w:p w:rsidR="001A2567" w:rsidRDefault="001A2567" w:rsidP="00B62963">
      <w:pPr>
        <w:pStyle w:val="DataText"/>
      </w:pPr>
      <w:r w:rsidRPr="001A2567">
        <w:t>Le résultat de cet examen, une Nouvelle orientation en dotation, constituait une déréglementation avisée du système de dotation visant à doter les gestionnaires d’embauche du pouvoir discrétionnaire de choisir la stratégie de ressourcement qui appuie au mieux leurs résultats organisationnels.</w:t>
      </w:r>
    </w:p>
    <w:p w:rsidR="00B62963" w:rsidRPr="001A2567" w:rsidRDefault="00B62963" w:rsidP="00B62963">
      <w:pPr>
        <w:pStyle w:val="DataText"/>
      </w:pPr>
    </w:p>
    <w:p w:rsidR="001A2567" w:rsidRPr="001A2567" w:rsidRDefault="001A2567" w:rsidP="00B62963">
      <w:pPr>
        <w:pStyle w:val="DataText"/>
      </w:pPr>
      <w:r w:rsidRPr="001A2567">
        <w:t>Pour les gestionnaires d’embauche, le fait d’exercer un plus grand pouvoir discrétionnaire permettra de passer d’un système de dotation axé sur les valeurs dans un environnement réglementé à un processus décisionnel axé sur les valeurs dans lequel des valeurs opposées peuvent entrer en ligne de compte.</w:t>
      </w:r>
    </w:p>
    <w:p w:rsidR="001A2567" w:rsidRPr="00D01F02" w:rsidRDefault="001A2567" w:rsidP="00625CD9">
      <w:pPr>
        <w:pStyle w:val="Heading1"/>
        <w:rPr>
          <w:rFonts w:eastAsia="Times New Roman"/>
        </w:rPr>
      </w:pPr>
      <w:r w:rsidRPr="00D01F02">
        <w:rPr>
          <w:rFonts w:eastAsia="Times New Roman"/>
        </w:rPr>
        <w:lastRenderedPageBreak/>
        <w:t>Pourquoi les données sont-elles importantes pour la CFP?</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Bien que notre environnement de dotation ait changé, les résultats escomptés du système de dotation demeurent les mêmes :</w:t>
      </w:r>
    </w:p>
    <w:p w:rsidR="001A2567" w:rsidRPr="001A2567" w:rsidRDefault="001A2567" w:rsidP="001A2567">
      <w:pPr>
        <w:keepLines w:val="0"/>
        <w:numPr>
          <w:ilvl w:val="0"/>
          <w:numId w:val="13"/>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une fonction publique hautement compétente et non partisane dans l’ensemble du pays, qui profite de la diversité, de la dualité linguistique et d’un éventail d’antécédents professionnels et de compétences;</w:t>
      </w:r>
    </w:p>
    <w:p w:rsidR="001A2567" w:rsidRPr="001A2567" w:rsidRDefault="001A2567" w:rsidP="001A2567">
      <w:pPr>
        <w:keepLines w:val="0"/>
        <w:numPr>
          <w:ilvl w:val="0"/>
          <w:numId w:val="13"/>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des processus de nomination conçus de manière à ne pas faire de discrimination ou de créer des obstacles systémiques;</w:t>
      </w:r>
    </w:p>
    <w:p w:rsidR="001A2567" w:rsidRPr="001A2567" w:rsidRDefault="001A2567" w:rsidP="001A2567">
      <w:pPr>
        <w:keepLines w:val="0"/>
        <w:numPr>
          <w:ilvl w:val="0"/>
          <w:numId w:val="13"/>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des processus de nomination menés de façon équitable et de bonne foi, exempt de toute influence politique, fraude, inconduite, favoritisme personnel et préjugés;  </w:t>
      </w:r>
    </w:p>
    <w:p w:rsidR="001A2567" w:rsidRPr="001A2567" w:rsidRDefault="001A2567" w:rsidP="001A2567">
      <w:pPr>
        <w:keepLines w:val="0"/>
        <w:numPr>
          <w:ilvl w:val="0"/>
          <w:numId w:val="13"/>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correction rapide des erreurs et des omissions.</w:t>
      </w:r>
    </w:p>
    <w:p w:rsidR="001A2567" w:rsidRPr="00D01F02" w:rsidRDefault="001A2567" w:rsidP="00625CD9">
      <w:pPr>
        <w:pStyle w:val="Heading1"/>
        <w:rPr>
          <w:rFonts w:eastAsia="Times New Roman"/>
        </w:rPr>
      </w:pPr>
      <w:r w:rsidRPr="00D01F02">
        <w:rPr>
          <w:rFonts w:eastAsia="Times New Roman"/>
        </w:rPr>
        <w:t>Miser sur les données pour « encourager » l’environnement de dotation</w:t>
      </w:r>
    </w:p>
    <w:p w:rsidR="001A2567" w:rsidRPr="001A2567" w:rsidRDefault="001A2567" w:rsidP="001A2567">
      <w:pPr>
        <w:keepLines w:val="0"/>
        <w:numPr>
          <w:ilvl w:val="0"/>
          <w:numId w:val="5"/>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Selon les principes de l’économie comportementale, la recherche pointe sur la valeur de fournir aux décideurs des outils et de l’information afin d’appuyer l’obtention de meilleurs résultats. En fait, il s’agit de ne pas contraindre ou réglementer les bons comportements, mais d’« encourager » les gestionnaires d’embauche à prendre de meilleures décisions.</w:t>
      </w:r>
    </w:p>
    <w:p w:rsidR="001A2567" w:rsidRPr="001A2567" w:rsidRDefault="001A2567" w:rsidP="001A2567">
      <w:pPr>
        <w:keepLines w:val="0"/>
        <w:numPr>
          <w:ilvl w:val="0"/>
          <w:numId w:val="5"/>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Un environnement dérèglementé représente une occasion unique pour la CFP de jouer un rôle essentiel dans la promotion des résultats escomptés dans le système de dotation. </w:t>
      </w:r>
    </w:p>
    <w:p w:rsidR="001A2567" w:rsidRPr="001A2567" w:rsidRDefault="001A2567" w:rsidP="001A2567">
      <w:pPr>
        <w:keepLines w:val="0"/>
        <w:numPr>
          <w:ilvl w:val="0"/>
          <w:numId w:val="5"/>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Par conséquent, grâce à la recherche pertinente et novatrice et aux données qui aident à mettre en lumière les enjeux à l’échelle du système, la CFP peut « encourager » efficacement les gestionnaires d’embauche à prendre des décisions de dotation efficaces axées sur les valeurs.</w:t>
      </w:r>
    </w:p>
    <w:p w:rsidR="001A2567" w:rsidRPr="001A2567" w:rsidRDefault="001A2567" w:rsidP="001A2567">
      <w:pPr>
        <w:keepLines w:val="0"/>
        <w:spacing w:after="320"/>
        <w:ind w:left="720"/>
        <w:contextualSpacing/>
        <w:rPr>
          <w:rFonts w:ascii="Segoe UI Semilight" w:eastAsia="Segoe UI Semilight" w:hAnsi="Segoe UI Semilight" w:cs="Times New Roman"/>
          <w:color w:val="auto"/>
        </w:rPr>
      </w:pPr>
    </w:p>
    <w:p w:rsidR="001A2567" w:rsidRPr="00D01F02" w:rsidRDefault="001A2567" w:rsidP="00625CD9">
      <w:pPr>
        <w:pStyle w:val="Heading1"/>
        <w:rPr>
          <w:rFonts w:eastAsia="Times New Roman"/>
        </w:rPr>
      </w:pPr>
      <w:r w:rsidRPr="00D01F02">
        <w:rPr>
          <w:rFonts w:eastAsia="Times New Roman"/>
        </w:rPr>
        <w:lastRenderedPageBreak/>
        <w:t>À garder à l’esprit alors que nous allons de l’avant</w:t>
      </w:r>
    </w:p>
    <w:p w:rsidR="001A2567" w:rsidRDefault="001A2567" w:rsidP="00B62963">
      <w:pPr>
        <w:pStyle w:val="DataText"/>
      </w:pPr>
      <w:r w:rsidRPr="001A2567">
        <w:t xml:space="preserve">C’est en optimisant l’utilisation de ses données que la CFP sera plus à même d’élaborer une orientation, des produits et des services pertinents et novateurs pour aider les ministères à faire face à leurs réalités opérationnelles. </w:t>
      </w:r>
    </w:p>
    <w:p w:rsidR="00B62963" w:rsidRPr="001A2567" w:rsidRDefault="00B62963" w:rsidP="00B62963">
      <w:pPr>
        <w:pStyle w:val="DataText"/>
      </w:pPr>
    </w:p>
    <w:p w:rsidR="001A2567" w:rsidRPr="001A2567" w:rsidRDefault="001A2567" w:rsidP="00B62963">
      <w:pPr>
        <w:pStyle w:val="DataText"/>
      </w:pPr>
      <w:r w:rsidRPr="001A2567">
        <w:t>En planifiant la mise en œuvre de la Stratégie de gestion des données, le Comité exécutif de gestion a souligné l’importance des éléments suivants :</w:t>
      </w:r>
    </w:p>
    <w:p w:rsidR="001A2567" w:rsidRPr="001A2567" w:rsidRDefault="001A2567" w:rsidP="001A2567">
      <w:pPr>
        <w:keepLines w:val="0"/>
        <w:numPr>
          <w:ilvl w:val="0"/>
          <w:numId w:val="14"/>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L’aspect humain qui sous-tend la Stratégie, et son incidence sur les employés </w:t>
      </w:r>
    </w:p>
    <w:p w:rsidR="001A2567" w:rsidRPr="001A2567" w:rsidRDefault="001A2567" w:rsidP="001A2567">
      <w:pPr>
        <w:keepLines w:val="0"/>
        <w:numPr>
          <w:ilvl w:val="0"/>
          <w:numId w:val="14"/>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La tolérance au risque relativement à une erreur</w:t>
      </w:r>
    </w:p>
    <w:p w:rsidR="001A2567" w:rsidRPr="001A2567" w:rsidRDefault="001A2567" w:rsidP="001A2567">
      <w:pPr>
        <w:keepLines w:val="0"/>
        <w:numPr>
          <w:ilvl w:val="0"/>
          <w:numId w:val="14"/>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L’utilisation éthique des données</w:t>
      </w:r>
    </w:p>
    <w:p w:rsidR="001A2567" w:rsidRPr="00D01F02" w:rsidRDefault="001A2567" w:rsidP="00625CD9">
      <w:pPr>
        <w:pStyle w:val="Heading1"/>
        <w:rPr>
          <w:rFonts w:eastAsia="Times New Roman"/>
        </w:rPr>
      </w:pPr>
      <w:r w:rsidRPr="00D01F02">
        <w:rPr>
          <w:rFonts w:eastAsia="Times New Roman"/>
        </w:rPr>
        <w:t>L’aspect humain</w:t>
      </w:r>
    </w:p>
    <w:p w:rsidR="001A2567" w:rsidRPr="001A2567" w:rsidRDefault="001A2567" w:rsidP="001A2567">
      <w:pPr>
        <w:keepLines w:val="0"/>
        <w:numPr>
          <w:ilvl w:val="0"/>
          <w:numId w:val="15"/>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L’aspect humain sera abordé en élaborant un : </w:t>
      </w:r>
    </w:p>
    <w:p w:rsidR="001A2567" w:rsidRPr="001A2567" w:rsidRDefault="001A2567" w:rsidP="001A2567">
      <w:pPr>
        <w:keepLines w:val="0"/>
        <w:numPr>
          <w:ilvl w:val="1"/>
          <w:numId w:val="6"/>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plan de gestion du changement et de communication dans la première année de mise en œuvre; </w:t>
      </w:r>
    </w:p>
    <w:p w:rsidR="001A2567" w:rsidRPr="001A2567" w:rsidRDefault="001A2567" w:rsidP="001A2567">
      <w:pPr>
        <w:keepLines w:val="0"/>
        <w:numPr>
          <w:ilvl w:val="1"/>
          <w:numId w:val="6"/>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plan de littératie des données de la CFP afin de donner suite aux résultats de l’enquête de référence sur la gestion des données. </w:t>
      </w:r>
    </w:p>
    <w:p w:rsidR="001A2567" w:rsidRPr="001A2567" w:rsidRDefault="001A2567" w:rsidP="001A2567">
      <w:pPr>
        <w:keepLines w:val="0"/>
        <w:numPr>
          <w:ilvl w:val="0"/>
          <w:numId w:val="6"/>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Il sera également indispensable de miser sur les médias sociaux afin de mieux faire connaître la Stratégie de gestion des données et de changer la culture organisationnelle vers une utilisation et un savoir accrus des données. </w:t>
      </w:r>
    </w:p>
    <w:p w:rsidR="001A2567" w:rsidRPr="001A2567" w:rsidRDefault="001A2567" w:rsidP="001A2567">
      <w:pPr>
        <w:keepLines w:val="0"/>
        <w:numPr>
          <w:ilvl w:val="0"/>
          <w:numId w:val="6"/>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L’équipe d’apprentissage ministérielle jouera un rôle clé dans le soutien de l’expérience d’apprentissage des employés.</w:t>
      </w:r>
    </w:p>
    <w:p w:rsidR="001A2567" w:rsidRPr="00D01F02" w:rsidRDefault="001A2567" w:rsidP="00625CD9">
      <w:pPr>
        <w:pStyle w:val="Heading1"/>
        <w:rPr>
          <w:rFonts w:eastAsia="Times New Roman"/>
        </w:rPr>
      </w:pPr>
      <w:r w:rsidRPr="00D01F02">
        <w:rPr>
          <w:rFonts w:eastAsia="Times New Roman"/>
        </w:rPr>
        <w:t>Tolérance au risque relativement à une erreur</w:t>
      </w:r>
    </w:p>
    <w:p w:rsidR="001A2567" w:rsidRPr="001A2567" w:rsidRDefault="001A2567" w:rsidP="001602C0">
      <w:pPr>
        <w:pStyle w:val="ListParagraph"/>
      </w:pPr>
      <w:r w:rsidRPr="001A2567">
        <w:t>Le degré d’incertitude qui est acceptable pour l’organisation, selon la nature et l’objet des données, n’est pas bien compris.</w:t>
      </w:r>
    </w:p>
    <w:p w:rsidR="001A2567" w:rsidRPr="001A2567" w:rsidRDefault="001A2567" w:rsidP="001602C0">
      <w:pPr>
        <w:pStyle w:val="ListParagraph"/>
      </w:pPr>
      <w:r w:rsidRPr="001A2567">
        <w:t xml:space="preserve">La lumière sera faite sur cette considération en : </w:t>
      </w:r>
    </w:p>
    <w:p w:rsidR="001A2567" w:rsidRPr="001A2567" w:rsidRDefault="001A2567" w:rsidP="001A2567">
      <w:pPr>
        <w:keepLines w:val="0"/>
        <w:numPr>
          <w:ilvl w:val="0"/>
          <w:numId w:val="16"/>
        </w:numPr>
        <w:tabs>
          <w:tab w:val="num" w:pos="1440"/>
        </w:tabs>
        <w:ind w:left="144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clarifiant les rôles et les responsabilités des divers acteurs en ce qui concerne les données; </w:t>
      </w:r>
    </w:p>
    <w:p w:rsidR="001A2567" w:rsidRPr="001A2567" w:rsidRDefault="001A2567" w:rsidP="001A2567">
      <w:pPr>
        <w:keepLines w:val="0"/>
        <w:numPr>
          <w:ilvl w:val="0"/>
          <w:numId w:val="16"/>
        </w:numPr>
        <w:tabs>
          <w:tab w:val="num" w:pos="1440"/>
        </w:tabs>
        <w:ind w:left="144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lastRenderedPageBreak/>
        <w:t xml:space="preserve">opérationnalisant le Protocole d’approbation et de diffusion des données dans l’ensemble de l’organisation; </w:t>
      </w:r>
    </w:p>
    <w:p w:rsidR="001A2567" w:rsidRPr="001A2567" w:rsidRDefault="001A2567" w:rsidP="001A2567">
      <w:pPr>
        <w:keepLines w:val="0"/>
        <w:numPr>
          <w:ilvl w:val="0"/>
          <w:numId w:val="16"/>
        </w:numPr>
        <w:tabs>
          <w:tab w:val="num" w:pos="1440"/>
        </w:tabs>
        <w:ind w:left="144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élaborant des outils/une orientation visant à appuyer la qualité des données dans tous les secteurs.</w:t>
      </w:r>
    </w:p>
    <w:p w:rsidR="001A2567" w:rsidRPr="00D01F02" w:rsidRDefault="001A2567" w:rsidP="00625CD9">
      <w:pPr>
        <w:pStyle w:val="Heading1"/>
        <w:rPr>
          <w:rFonts w:eastAsia="Times New Roman"/>
        </w:rPr>
      </w:pPr>
      <w:r w:rsidRPr="00D01F02">
        <w:rPr>
          <w:rFonts w:eastAsia="Times New Roman"/>
        </w:rPr>
        <w:t>L’utilisation éthique des données demeure une priorité</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Alors que l’intérêt grandit à l’égard des données de dotation, il faut réfléchir au-delà des questions de protection des renseignements privés et de la sécurité afin de mieux définir les conditions sous lesquelles les données de la CFP peuvent et devraient être utilisées et partagées. </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Des lignes directrices et des modèles pour les ententes de partage des données seront élaborés pour refléter :</w:t>
      </w:r>
    </w:p>
    <w:p w:rsidR="001A2567" w:rsidRPr="001A2567" w:rsidRDefault="001A2567" w:rsidP="001A2567">
      <w:pPr>
        <w:keepLines w:val="0"/>
        <w:numPr>
          <w:ilvl w:val="0"/>
          <w:numId w:val="17"/>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La protection des renseignements personnels : protéger les renseignements personnels des individus selon les directives de la Loi sur la protection des renseignements personnels et la Loi sur l’accès à l’information.</w:t>
      </w:r>
    </w:p>
    <w:p w:rsidR="001A2567" w:rsidRPr="001A2567" w:rsidRDefault="001A2567" w:rsidP="001A2567">
      <w:pPr>
        <w:keepLines w:val="0"/>
        <w:numPr>
          <w:ilvl w:val="0"/>
          <w:numId w:val="17"/>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Le consentement - à quoi les personnes consentent-elles lorsqu’elles fournissent des renseignements;</w:t>
      </w:r>
    </w:p>
    <w:p w:rsidR="001A2567" w:rsidRPr="001A2567" w:rsidRDefault="001A2567" w:rsidP="001A2567">
      <w:pPr>
        <w:keepLines w:val="0"/>
        <w:numPr>
          <w:ilvl w:val="0"/>
          <w:numId w:val="17"/>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Le mandat de l’organisation qui collecte les renseignements par rapport au mandat de l’organisation qui souhaite obtenir et utiliser les données de la CFP;</w:t>
      </w:r>
    </w:p>
    <w:p w:rsidR="001A2567" w:rsidRPr="001A2567" w:rsidRDefault="001A2567" w:rsidP="001A2567">
      <w:pPr>
        <w:keepLines w:val="0"/>
        <w:numPr>
          <w:ilvl w:val="0"/>
          <w:numId w:val="17"/>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L’utilisation prévue des données - intention initiale par opposition aux possibilités nouvelles, telles que la recherche et l’intelligence artificielle. </w:t>
      </w:r>
    </w:p>
    <w:p w:rsidR="001A2567" w:rsidRPr="001A2567" w:rsidRDefault="001A2567" w:rsidP="00B62963">
      <w:pPr>
        <w:pStyle w:val="DataText"/>
      </w:pPr>
      <w:r w:rsidRPr="001A2567">
        <w:t xml:space="preserve">De plus, nous : </w:t>
      </w:r>
    </w:p>
    <w:p w:rsidR="001A2567" w:rsidRPr="001A2567" w:rsidRDefault="001A2567" w:rsidP="001A2567">
      <w:pPr>
        <w:keepLines w:val="0"/>
        <w:numPr>
          <w:ilvl w:val="0"/>
          <w:numId w:val="17"/>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Créerons une liste ministérielle des ententes de partage des données et confirmerons l’harmonisation avec la Loi sur la protection des renseignements personnels et la Loi sur l’accès à l’information; </w:t>
      </w:r>
    </w:p>
    <w:p w:rsidR="001A2567" w:rsidRPr="001A2567" w:rsidRDefault="001A2567" w:rsidP="001A2567">
      <w:pPr>
        <w:keepLines w:val="0"/>
        <w:numPr>
          <w:ilvl w:val="0"/>
          <w:numId w:val="17"/>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Examinerons les énoncés de confidentialité;</w:t>
      </w:r>
    </w:p>
    <w:p w:rsidR="001A2567" w:rsidRPr="001A2567" w:rsidRDefault="001A2567" w:rsidP="001A2567">
      <w:pPr>
        <w:keepLines w:val="0"/>
        <w:numPr>
          <w:ilvl w:val="0"/>
          <w:numId w:val="17"/>
        </w:numPr>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Mettrons en œuvre des mécanismes visant à atténuer le double emploi des fonds de données, locaux et acquis.</w:t>
      </w:r>
    </w:p>
    <w:p w:rsidR="001A2567" w:rsidRPr="001A2567" w:rsidRDefault="001A2567" w:rsidP="001A2567">
      <w:pPr>
        <w:keepLines w:val="0"/>
        <w:rPr>
          <w:rFonts w:ascii="Segoe UI Light" w:eastAsia="Times New Roman" w:hAnsi="Segoe UI Light" w:cs="Times New Roman"/>
          <w:color w:val="auto"/>
          <w:sz w:val="48"/>
          <w:szCs w:val="48"/>
        </w:rPr>
      </w:pPr>
      <w:r w:rsidRPr="001A2567">
        <w:rPr>
          <w:rFonts w:ascii="Segoe UI Light" w:eastAsia="Times New Roman" w:hAnsi="Segoe UI Light" w:cs="Times New Roman"/>
          <w:color w:val="auto"/>
          <w:sz w:val="48"/>
          <w:szCs w:val="48"/>
        </w:rPr>
        <w:br w:type="page"/>
      </w:r>
    </w:p>
    <w:p w:rsidR="001A2567" w:rsidRPr="00D01F02" w:rsidRDefault="001A2567" w:rsidP="00625CD9">
      <w:pPr>
        <w:pStyle w:val="Heading1"/>
        <w:rPr>
          <w:rFonts w:ascii="Segoe UI Semilight" w:eastAsia="Segoe UI Semilight" w:hAnsi="Segoe UI Semilight"/>
        </w:rPr>
      </w:pPr>
      <w:r w:rsidRPr="00D01F02">
        <w:rPr>
          <w:rFonts w:eastAsia="Times New Roman"/>
        </w:rPr>
        <w:lastRenderedPageBreak/>
        <w:t>Où en sommes-nous maintenant?</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b/>
          <w:bCs/>
          <w:color w:val="auto"/>
        </w:rPr>
        <w:t xml:space="preserve">Gestion des données : </w:t>
      </w:r>
    </w:p>
    <w:p w:rsidR="001A2567" w:rsidRPr="001A2567" w:rsidRDefault="001A2567" w:rsidP="001A2567">
      <w:pPr>
        <w:keepLines w:val="0"/>
        <w:numPr>
          <w:ilvl w:val="0"/>
          <w:numId w:val="18"/>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Gouvernance des données établie</w:t>
      </w:r>
    </w:p>
    <w:p w:rsidR="001A2567" w:rsidRPr="001A2567" w:rsidRDefault="001A2567" w:rsidP="001A2567">
      <w:pPr>
        <w:keepLines w:val="0"/>
        <w:numPr>
          <w:ilvl w:val="1"/>
          <w:numId w:val="18"/>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Partenariats entre les propriétaires fonctionnels, les experts en données et des responsables de la technologie</w:t>
      </w:r>
    </w:p>
    <w:p w:rsidR="001A2567" w:rsidRPr="001A2567" w:rsidRDefault="001A2567" w:rsidP="001A2567">
      <w:pPr>
        <w:keepLines w:val="0"/>
        <w:numPr>
          <w:ilvl w:val="0"/>
          <w:numId w:val="18"/>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Fonction du DPD approuvée et le Bureau de gestion des données est en place</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b/>
          <w:bCs/>
          <w:color w:val="auto"/>
        </w:rPr>
        <w:t xml:space="preserve">Infrastructure de données : </w:t>
      </w:r>
    </w:p>
    <w:p w:rsidR="001A2567" w:rsidRPr="001A2567" w:rsidRDefault="001A2567" w:rsidP="001A2567">
      <w:pPr>
        <w:keepLines w:val="0"/>
        <w:numPr>
          <w:ilvl w:val="0"/>
          <w:numId w:val="18"/>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Analyse de faisabilité du lac de données est en cours</w:t>
      </w:r>
    </w:p>
    <w:p w:rsidR="001A2567" w:rsidRPr="001A2567" w:rsidRDefault="001A2567" w:rsidP="001A2567">
      <w:pPr>
        <w:keepLines w:val="0"/>
        <w:numPr>
          <w:ilvl w:val="1"/>
          <w:numId w:val="18"/>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Commencer avec le Système de gestion de l’information sur les priorités (SGIP)</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b/>
          <w:bCs/>
          <w:color w:val="auto"/>
        </w:rPr>
        <w:t>Utilisateurs des données :</w:t>
      </w:r>
    </w:p>
    <w:p w:rsidR="001A2567" w:rsidRPr="001A2567" w:rsidRDefault="001A2567" w:rsidP="001A2567">
      <w:pPr>
        <w:keepLines w:val="0"/>
        <w:numPr>
          <w:ilvl w:val="0"/>
          <w:numId w:val="7"/>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Se préparer pour le plan de littératie des données de la CFP</w:t>
      </w:r>
    </w:p>
    <w:p w:rsidR="001A2567" w:rsidRPr="001A2567" w:rsidRDefault="001A2567" w:rsidP="001A2567">
      <w:pPr>
        <w:keepLines w:val="0"/>
        <w:numPr>
          <w:ilvl w:val="1"/>
          <w:numId w:val="7"/>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La conduite de l’enquête de référence auprès des utilisateurs de données de la CFP est terminée, et l’analyse des résultats est en cours</w:t>
      </w:r>
    </w:p>
    <w:p w:rsidR="001A2567" w:rsidRPr="001A2567" w:rsidRDefault="001A2567" w:rsidP="001A2567">
      <w:pPr>
        <w:keepLines w:val="0"/>
        <w:numPr>
          <w:ilvl w:val="2"/>
          <w:numId w:val="7"/>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Comment les données sont utilisées à la CFP</w:t>
      </w:r>
    </w:p>
    <w:p w:rsidR="001A2567" w:rsidRPr="001A2567" w:rsidRDefault="001A2567" w:rsidP="001A2567">
      <w:pPr>
        <w:keepLines w:val="0"/>
        <w:numPr>
          <w:ilvl w:val="2"/>
          <w:numId w:val="7"/>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Le type de soutien qui aiderait les employés</w:t>
      </w:r>
    </w:p>
    <w:p w:rsidR="001A2567" w:rsidRPr="001A2567" w:rsidRDefault="001A2567" w:rsidP="001A2567">
      <w:pPr>
        <w:keepLines w:val="0"/>
        <w:numPr>
          <w:ilvl w:val="2"/>
          <w:numId w:val="7"/>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Les compétences qui sont requises</w:t>
      </w:r>
    </w:p>
    <w:p w:rsidR="001A2567" w:rsidRPr="001A2567" w:rsidRDefault="001A2567" w:rsidP="001A2567">
      <w:pPr>
        <w:keepLines w:val="0"/>
        <w:numPr>
          <w:ilvl w:val="0"/>
          <w:numId w:val="7"/>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Cadre fondé sur les compétences pour les analystes/scientifiques de données</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br w:type="page"/>
      </w:r>
    </w:p>
    <w:p w:rsidR="00B11253" w:rsidRDefault="001A2567" w:rsidP="00625CD9">
      <w:pPr>
        <w:pStyle w:val="Heading1"/>
        <w:rPr>
          <w:rFonts w:eastAsia="Times New Roman"/>
        </w:rPr>
      </w:pPr>
      <w:r w:rsidRPr="001A2567">
        <w:rPr>
          <w:rFonts w:eastAsia="Times New Roman"/>
        </w:rPr>
        <w:lastRenderedPageBreak/>
        <w:t>Phases proposées et produits livrables clés</w:t>
      </w:r>
      <w:r w:rsidR="00B11253">
        <w:rPr>
          <w:rFonts w:eastAsia="Times New Roman"/>
        </w:rPr>
        <w:t xml:space="preserve"> </w:t>
      </w:r>
    </w:p>
    <w:p w:rsidR="00B11253" w:rsidRPr="00B11253" w:rsidRDefault="00B62963" w:rsidP="00B62963">
      <w:hyperlink w:anchor="_Annexe_B_-" w:history="1">
        <w:r w:rsidR="00B11253" w:rsidRPr="00B62963">
          <w:rPr>
            <w:rStyle w:val="Hyperlink"/>
          </w:rPr>
          <w:t>(Voir l’annexe B pour les priorités et les échéanciers)</w:t>
        </w:r>
      </w:hyperlink>
    </w:p>
    <w:p w:rsidR="001A2567" w:rsidRPr="001A2567" w:rsidRDefault="001A2567" w:rsidP="00625CD9">
      <w:pPr>
        <w:pStyle w:val="Heading2"/>
        <w:rPr>
          <w:rFonts w:eastAsia="Times New Roman"/>
        </w:rPr>
      </w:pPr>
      <w:r w:rsidRPr="001A2567">
        <w:rPr>
          <w:rFonts w:eastAsia="Times New Roman"/>
        </w:rPr>
        <w:t>Phase 1 : Établir les bases (2019-2020)</w:t>
      </w:r>
    </w:p>
    <w:p w:rsidR="001A2567" w:rsidRPr="001A2567" w:rsidRDefault="001A2567" w:rsidP="001A2567">
      <w:pPr>
        <w:keepLines w:val="0"/>
        <w:numPr>
          <w:ilvl w:val="0"/>
          <w:numId w:val="19"/>
        </w:numPr>
        <w:tabs>
          <w:tab w:val="num" w:pos="720"/>
        </w:tabs>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Définir clairement les rôles et responsabilités liés aux données (p. ex. DPD, partenaires d’affaires, responsables/conservateurs des données, gardiens des données) </w:t>
      </w:r>
    </w:p>
    <w:p w:rsidR="001A2567" w:rsidRPr="001A2567" w:rsidRDefault="001A2567" w:rsidP="001A2567">
      <w:pPr>
        <w:keepLines w:val="0"/>
        <w:numPr>
          <w:ilvl w:val="0"/>
          <w:numId w:val="19"/>
        </w:numPr>
        <w:tabs>
          <w:tab w:val="num" w:pos="720"/>
        </w:tabs>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Évaluation de la maturité en gestion des données d’entreprise - y compris une évaluation des risques, comme la capacité, la sécurité et la protection des renseignements personnels</w:t>
      </w:r>
    </w:p>
    <w:p w:rsidR="001A2567" w:rsidRPr="001A2567" w:rsidRDefault="001A2567" w:rsidP="001A2567">
      <w:pPr>
        <w:keepLines w:val="0"/>
        <w:numPr>
          <w:ilvl w:val="1"/>
          <w:numId w:val="19"/>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Commencer avec une auto-évaluation au moyen du SGIP</w:t>
      </w:r>
    </w:p>
    <w:p w:rsidR="001A2567" w:rsidRPr="001A2567" w:rsidRDefault="001A2567" w:rsidP="001A2567">
      <w:pPr>
        <w:keepLines w:val="0"/>
        <w:numPr>
          <w:ilvl w:val="0"/>
          <w:numId w:val="19"/>
        </w:numPr>
        <w:tabs>
          <w:tab w:val="num" w:pos="720"/>
        </w:tabs>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Étude de faisabilité pour un lac de données et échéancier pour l’infrastructure de SPC</w:t>
      </w:r>
    </w:p>
    <w:p w:rsidR="001A2567" w:rsidRPr="001A2567" w:rsidRDefault="001A2567" w:rsidP="001A2567">
      <w:pPr>
        <w:keepLines w:val="0"/>
        <w:numPr>
          <w:ilvl w:val="0"/>
          <w:numId w:val="19"/>
        </w:numPr>
        <w:tabs>
          <w:tab w:val="num" w:pos="720"/>
        </w:tabs>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Plan de littératie des données de la CFP - en complément aux initiatives d’apprentissage du gouvernement du Canada</w:t>
      </w:r>
    </w:p>
    <w:p w:rsidR="001A2567" w:rsidRPr="001A2567" w:rsidRDefault="001A2567" w:rsidP="001A2567">
      <w:pPr>
        <w:keepLines w:val="0"/>
        <w:numPr>
          <w:ilvl w:val="0"/>
          <w:numId w:val="19"/>
        </w:numPr>
        <w:tabs>
          <w:tab w:val="num" w:pos="720"/>
        </w:tabs>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Plan d’accès aux données centré sur l’utilisateur – à partir des résultats des activités d’engagement sur les besoins de la CFP et du gouvernement ouvert en matière de données</w:t>
      </w:r>
    </w:p>
    <w:p w:rsidR="001A2567" w:rsidRPr="001A2567" w:rsidRDefault="001A2567" w:rsidP="001A2567">
      <w:pPr>
        <w:keepLines w:val="0"/>
        <w:numPr>
          <w:ilvl w:val="1"/>
          <w:numId w:val="19"/>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Commencer avec le remplacement du système Impromptu</w:t>
      </w:r>
    </w:p>
    <w:p w:rsidR="001A2567" w:rsidRPr="001A2567" w:rsidRDefault="001A2567" w:rsidP="001A2567">
      <w:pPr>
        <w:keepLines w:val="0"/>
        <w:numPr>
          <w:ilvl w:val="0"/>
          <w:numId w:val="19"/>
        </w:numPr>
        <w:tabs>
          <w:tab w:val="num" w:pos="720"/>
        </w:tabs>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 xml:space="preserve">Meilleures pratiques de gestion de données et utilisation éthique des données </w:t>
      </w:r>
    </w:p>
    <w:p w:rsidR="001A2567" w:rsidRPr="001A2567" w:rsidRDefault="001A2567" w:rsidP="00625CD9">
      <w:pPr>
        <w:pStyle w:val="Heading2"/>
        <w:rPr>
          <w:rFonts w:eastAsia="Times New Roman"/>
        </w:rPr>
      </w:pPr>
      <w:r w:rsidRPr="001A2567">
        <w:rPr>
          <w:rFonts w:eastAsia="Times New Roman"/>
        </w:rPr>
        <w:t>Phase 2: Poursuivre sur la lancée (2020-2021)</w:t>
      </w:r>
    </w:p>
    <w:p w:rsidR="001A2567" w:rsidRPr="001A2567" w:rsidRDefault="001A2567" w:rsidP="00B62963">
      <w:pPr>
        <w:pStyle w:val="DataText"/>
      </w:pPr>
      <w:r w:rsidRPr="001A2567">
        <w:t>Plans d’action/stratégies d’atténuation élaborés et mesures prises pour traiter les risques liés aux données et les constatations en matière de maturité</w:t>
      </w:r>
    </w:p>
    <w:p w:rsidR="001A2567" w:rsidRPr="001A2567" w:rsidRDefault="001A2567" w:rsidP="001602C0">
      <w:pPr>
        <w:pStyle w:val="ListParagraph"/>
      </w:pPr>
      <w:r w:rsidRPr="001A2567">
        <w:t xml:space="preserve">Infrastructure de données en place ou en cours d’élaboration -  lac de données (ou solution de rechange) assujetti au processus d’établissement des priorités </w:t>
      </w:r>
    </w:p>
    <w:p w:rsidR="001A2567" w:rsidRPr="001A2567" w:rsidRDefault="001A2567" w:rsidP="001602C0">
      <w:pPr>
        <w:pStyle w:val="ListParagraph"/>
      </w:pPr>
      <w:r w:rsidRPr="001A2567">
        <w:t xml:space="preserve">Plan de gestion </w:t>
      </w:r>
      <w:proofErr w:type="gramStart"/>
      <w:r w:rsidRPr="001A2567">
        <w:t>des données maitres</w:t>
      </w:r>
      <w:proofErr w:type="gramEnd"/>
    </w:p>
    <w:p w:rsidR="001A2567" w:rsidRPr="001A2567" w:rsidRDefault="001A2567" w:rsidP="001602C0">
      <w:pPr>
        <w:pStyle w:val="ListParagraph"/>
      </w:pPr>
      <w:r w:rsidRPr="001A2567">
        <w:t>Plan d’accès et de diffusion des données - y compris des analyses des données et une approche/des outils de visualisation</w:t>
      </w:r>
    </w:p>
    <w:p w:rsidR="001A2567" w:rsidRPr="001A2567" w:rsidRDefault="001A2567" w:rsidP="001602C0">
      <w:pPr>
        <w:pStyle w:val="ListParagraph"/>
      </w:pPr>
      <w:r w:rsidRPr="001A2567">
        <w:t>Prestation de modules d’apprentissage</w:t>
      </w:r>
    </w:p>
    <w:p w:rsidR="001A2567" w:rsidRPr="001A2567" w:rsidRDefault="001A2567" w:rsidP="001602C0">
      <w:pPr>
        <w:pStyle w:val="ListParagraph"/>
      </w:pPr>
      <w:r w:rsidRPr="001A2567">
        <w:t>Alignement de la Stratégie de gestion des données de la CFP avec l’orientation du gouvernement du Canada et les besoins en matière de données du système de RH de la prochaine génération</w:t>
      </w:r>
    </w:p>
    <w:p w:rsidR="001A2567" w:rsidRPr="001A2567" w:rsidRDefault="001A2567" w:rsidP="00625CD9">
      <w:pPr>
        <w:pStyle w:val="Heading2"/>
        <w:rPr>
          <w:rFonts w:eastAsia="Times New Roman"/>
        </w:rPr>
      </w:pPr>
      <w:r w:rsidRPr="001A2567">
        <w:rPr>
          <w:rFonts w:eastAsia="Times New Roman"/>
        </w:rPr>
        <w:t>Phase 3: Évaluer les progrès et s’adapter (2021-2022)</w:t>
      </w:r>
    </w:p>
    <w:p w:rsidR="001A2567" w:rsidRPr="001A2567" w:rsidRDefault="001A2567" w:rsidP="001A2567">
      <w:pPr>
        <w:keepLines w:val="0"/>
        <w:numPr>
          <w:ilvl w:val="0"/>
          <w:numId w:val="21"/>
        </w:numPr>
        <w:tabs>
          <w:tab w:val="num" w:pos="720"/>
        </w:tabs>
        <w:spacing w:after="320"/>
        <w:contextualSpacing/>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Mesurer et évaluer les progrès (vérification interne prévue pour 2021)</w:t>
      </w:r>
    </w:p>
    <w:p w:rsidR="001A2567" w:rsidRPr="00D01F02" w:rsidRDefault="001A2567" w:rsidP="00625CD9">
      <w:pPr>
        <w:pStyle w:val="Heading1"/>
        <w:rPr>
          <w:rFonts w:eastAsia="Times New Roman"/>
        </w:rPr>
      </w:pPr>
      <w:r w:rsidRPr="00D01F02">
        <w:rPr>
          <w:rFonts w:eastAsia="Times New Roman"/>
        </w:rPr>
        <w:lastRenderedPageBreak/>
        <w:t>Prochaine étapes</w:t>
      </w:r>
    </w:p>
    <w:p w:rsidR="001A2567" w:rsidRPr="001A2567" w:rsidRDefault="001A2567" w:rsidP="001A2567">
      <w:pPr>
        <w:keepLines w:val="0"/>
        <w:numPr>
          <w:ilvl w:val="0"/>
          <w:numId w:val="8"/>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Élaborer une charte du projet</w:t>
      </w:r>
    </w:p>
    <w:p w:rsidR="001A2567" w:rsidRPr="001A2567" w:rsidRDefault="001A2567" w:rsidP="001A2567">
      <w:pPr>
        <w:keepLines w:val="0"/>
        <w:numPr>
          <w:ilvl w:val="0"/>
          <w:numId w:val="8"/>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Élaborer un plan du projet</w:t>
      </w:r>
    </w:p>
    <w:p w:rsidR="001A2567" w:rsidRPr="001A2567" w:rsidRDefault="001A2567" w:rsidP="001A2567">
      <w:pPr>
        <w:keepLines w:val="0"/>
        <w:numPr>
          <w:ilvl w:val="0"/>
          <w:numId w:val="8"/>
        </w:numPr>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t>Rendre compte des progrès réalisés à la gouvernance des données</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br w:type="page"/>
      </w:r>
    </w:p>
    <w:p w:rsidR="001A2567" w:rsidRPr="00D01F02" w:rsidRDefault="001A2567" w:rsidP="00625CD9">
      <w:pPr>
        <w:pStyle w:val="Heading1"/>
        <w:rPr>
          <w:rFonts w:eastAsia="Times New Roman"/>
        </w:rPr>
      </w:pPr>
      <w:r w:rsidRPr="00D01F02">
        <w:rPr>
          <w:rFonts w:eastAsia="Times New Roman"/>
        </w:rPr>
        <w:lastRenderedPageBreak/>
        <w:t>Annexe A – Stratégie de gestion des données de la CFP</w:t>
      </w:r>
    </w:p>
    <w:p w:rsidR="001A2567" w:rsidRPr="00D01F02" w:rsidRDefault="001A2567" w:rsidP="00625CD9">
      <w:pPr>
        <w:pStyle w:val="Heading1"/>
        <w:rPr>
          <w:rFonts w:eastAsia="Times New Roman"/>
        </w:rPr>
      </w:pPr>
      <w:r w:rsidRPr="00D01F02">
        <w:rPr>
          <w:rFonts w:eastAsia="Times New Roman"/>
        </w:rPr>
        <w:t>Vecteurs et vision</w:t>
      </w:r>
    </w:p>
    <w:p w:rsidR="001A2567" w:rsidRDefault="001A2567" w:rsidP="00625CD9">
      <w:pPr>
        <w:pStyle w:val="Heading2"/>
        <w:rPr>
          <w:rFonts w:eastAsia="Times New Roman"/>
        </w:rPr>
      </w:pPr>
      <w:r w:rsidRPr="001A2567">
        <w:rPr>
          <w:rFonts w:eastAsia="Times New Roman"/>
        </w:rPr>
        <w:t>Vecteurs de la CFP pour une stratégie des données</w:t>
      </w:r>
    </w:p>
    <w:p w:rsidR="0023368A" w:rsidRPr="00FA4136" w:rsidRDefault="0023368A" w:rsidP="00B62963">
      <w:pPr>
        <w:pStyle w:val="DataText"/>
      </w:pPr>
      <w:r w:rsidRPr="00FA4136">
        <w:t>De</w:t>
      </w:r>
      <w:r w:rsidR="00FA4136">
        <w:t> :</w:t>
      </w:r>
      <w:r w:rsidRPr="00FA4136">
        <w:t> </w:t>
      </w:r>
    </w:p>
    <w:p w:rsidR="0023368A" w:rsidRPr="00FA4136" w:rsidRDefault="0023368A" w:rsidP="001602C0">
      <w:pPr>
        <w:pStyle w:val="DataText"/>
        <w:numPr>
          <w:ilvl w:val="0"/>
          <w:numId w:val="32"/>
        </w:numPr>
      </w:pPr>
      <w:r w:rsidRPr="00FA4136">
        <w:t>Gestion inégale des données en silos</w:t>
      </w:r>
    </w:p>
    <w:p w:rsidR="0023368A" w:rsidRPr="0023368A" w:rsidRDefault="0023368A" w:rsidP="001602C0">
      <w:pPr>
        <w:pStyle w:val="DataText"/>
        <w:numPr>
          <w:ilvl w:val="0"/>
          <w:numId w:val="32"/>
        </w:numPr>
      </w:pPr>
      <w:r w:rsidRPr="0023368A">
        <w:t xml:space="preserve">Absence de surveillance stratégique de l’utilisation des données </w:t>
      </w:r>
    </w:p>
    <w:p w:rsidR="0023368A" w:rsidRPr="0023368A" w:rsidRDefault="0023368A" w:rsidP="001602C0">
      <w:pPr>
        <w:pStyle w:val="DataText"/>
        <w:numPr>
          <w:ilvl w:val="0"/>
          <w:numId w:val="32"/>
        </w:numPr>
        <w:rPr>
          <w:rFonts w:eastAsia="Times New Roman" w:cstheme="minorHAnsi"/>
        </w:rPr>
      </w:pPr>
      <w:r w:rsidRPr="0023368A">
        <w:rPr>
          <w:rFonts w:eastAsia="Times New Roman" w:cstheme="minorHAnsi"/>
        </w:rPr>
        <w:t>Les employés de la CFP n’ont pas toujours accès aux données dont ils ont besoin</w:t>
      </w:r>
    </w:p>
    <w:p w:rsidR="0023368A" w:rsidRPr="0023368A" w:rsidRDefault="0023368A" w:rsidP="001602C0">
      <w:pPr>
        <w:pStyle w:val="DataText"/>
        <w:numPr>
          <w:ilvl w:val="0"/>
          <w:numId w:val="32"/>
        </w:numPr>
        <w:rPr>
          <w:rFonts w:eastAsia="Times New Roman" w:cstheme="minorHAnsi"/>
        </w:rPr>
      </w:pPr>
      <w:r w:rsidRPr="0023368A">
        <w:rPr>
          <w:rFonts w:eastAsia="Times New Roman" w:cstheme="minorHAnsi"/>
        </w:rPr>
        <w:t xml:space="preserve">Les données ne sont pas systématiquement traitées comme un actif stratégique pour appuyer la prise de décision </w:t>
      </w:r>
    </w:p>
    <w:p w:rsidR="0023368A" w:rsidRPr="0023368A" w:rsidRDefault="0023368A" w:rsidP="001602C0">
      <w:pPr>
        <w:pStyle w:val="DataText"/>
        <w:numPr>
          <w:ilvl w:val="0"/>
          <w:numId w:val="32"/>
        </w:numPr>
        <w:rPr>
          <w:rFonts w:eastAsia="Times New Roman" w:cstheme="minorHAnsi"/>
        </w:rPr>
      </w:pPr>
      <w:r w:rsidRPr="0023368A">
        <w:rPr>
          <w:rFonts w:eastAsia="Times New Roman" w:cstheme="minorHAnsi"/>
        </w:rPr>
        <w:t>Certains employés n’ont peut-être pas les compétences et les outils dont ils ont besoin pour utiliser les données efficacement</w:t>
      </w:r>
    </w:p>
    <w:p w:rsidR="0023368A" w:rsidRPr="00FA4136" w:rsidRDefault="0023368A" w:rsidP="00B62963">
      <w:r w:rsidRPr="00FA4136">
        <w:t>Par le biais de</w:t>
      </w:r>
      <w:r w:rsidR="00FA4136">
        <w:t> :</w:t>
      </w:r>
      <w:r w:rsidRPr="00FA4136">
        <w:t> </w:t>
      </w:r>
    </w:p>
    <w:p w:rsidR="0023368A" w:rsidRPr="0023368A" w:rsidRDefault="0023368A" w:rsidP="001602C0">
      <w:pPr>
        <w:pStyle w:val="DataText"/>
        <w:numPr>
          <w:ilvl w:val="0"/>
          <w:numId w:val="33"/>
        </w:numPr>
      </w:pPr>
      <w:r w:rsidRPr="0023368A">
        <w:t>Gouvernance et gérance robustes des données</w:t>
      </w:r>
    </w:p>
    <w:p w:rsidR="0023368A" w:rsidRPr="0023368A" w:rsidRDefault="0023368A" w:rsidP="001602C0">
      <w:pPr>
        <w:pStyle w:val="DataText"/>
        <w:numPr>
          <w:ilvl w:val="0"/>
          <w:numId w:val="33"/>
        </w:numPr>
      </w:pPr>
      <w:r w:rsidRPr="0023368A">
        <w:t>Philosophie centrée sur l’utilisateur des données</w:t>
      </w:r>
    </w:p>
    <w:p w:rsidR="0023368A" w:rsidRPr="0023368A" w:rsidRDefault="0023368A" w:rsidP="001602C0">
      <w:pPr>
        <w:pStyle w:val="DataText"/>
        <w:numPr>
          <w:ilvl w:val="0"/>
          <w:numId w:val="33"/>
        </w:numPr>
      </w:pPr>
      <w:r w:rsidRPr="0023368A">
        <w:t>Disponibilité et interopérabilité accrues des données</w:t>
      </w:r>
    </w:p>
    <w:p w:rsidR="0023368A" w:rsidRPr="0023368A" w:rsidRDefault="0023368A" w:rsidP="001602C0">
      <w:pPr>
        <w:pStyle w:val="DataText"/>
        <w:numPr>
          <w:ilvl w:val="0"/>
          <w:numId w:val="33"/>
        </w:numPr>
      </w:pPr>
      <w:r w:rsidRPr="0023368A">
        <w:t xml:space="preserve">Analyse approfondie des données et utilisation efficace des données </w:t>
      </w:r>
    </w:p>
    <w:p w:rsidR="0023368A" w:rsidRPr="0023368A" w:rsidRDefault="0023368A" w:rsidP="001602C0">
      <w:pPr>
        <w:pStyle w:val="DataText"/>
        <w:numPr>
          <w:ilvl w:val="0"/>
          <w:numId w:val="33"/>
        </w:numPr>
      </w:pPr>
      <w:r w:rsidRPr="0023368A">
        <w:t>Renforcement de la capacité de littératie et l’utilisation des données</w:t>
      </w:r>
    </w:p>
    <w:p w:rsidR="0023368A" w:rsidRPr="00FA4136" w:rsidRDefault="0023368A" w:rsidP="00B62963">
      <w:r w:rsidRPr="00FA4136">
        <w:t>À</w:t>
      </w:r>
      <w:r w:rsidR="00FA4136">
        <w:t> :</w:t>
      </w:r>
    </w:p>
    <w:p w:rsidR="0069227E" w:rsidRPr="00FA4136" w:rsidRDefault="0023368A" w:rsidP="00B62963">
      <w:r w:rsidRPr="00FA4136">
        <w:t>Résultats attendus </w:t>
      </w:r>
    </w:p>
    <w:p w:rsidR="0023368A" w:rsidRPr="00FA4136" w:rsidRDefault="0023368A" w:rsidP="001602C0">
      <w:pPr>
        <w:pStyle w:val="DataText"/>
        <w:numPr>
          <w:ilvl w:val="0"/>
          <w:numId w:val="34"/>
        </w:numPr>
        <w:rPr>
          <w:b/>
        </w:rPr>
      </w:pPr>
      <w:r w:rsidRPr="00FA4136">
        <w:t xml:space="preserve">Les données sont gérées comme un actif à l’échelle de la CFP de façon à respecter la </w:t>
      </w:r>
      <w:r w:rsidRPr="00FA4136">
        <w:rPr>
          <w:b/>
        </w:rPr>
        <w:t>protection des renseignements personnels, la sécurité</w:t>
      </w:r>
      <w:r w:rsidRPr="00FA4136">
        <w:t xml:space="preserve"> et les pratiques de </w:t>
      </w:r>
      <w:r w:rsidRPr="00FA4136">
        <w:rPr>
          <w:b/>
        </w:rPr>
        <w:t>GI</w:t>
      </w:r>
    </w:p>
    <w:p w:rsidR="0023368A" w:rsidRPr="0023368A" w:rsidRDefault="0023368A" w:rsidP="001602C0">
      <w:pPr>
        <w:pStyle w:val="DataText"/>
        <w:numPr>
          <w:ilvl w:val="0"/>
          <w:numId w:val="34"/>
        </w:numPr>
      </w:pPr>
      <w:r w:rsidRPr="0023368A">
        <w:t xml:space="preserve">Des </w:t>
      </w:r>
      <w:r w:rsidRPr="0023368A">
        <w:rPr>
          <w:b/>
        </w:rPr>
        <w:t>données plus robustes</w:t>
      </w:r>
      <w:r w:rsidRPr="0023368A">
        <w:t xml:space="preserve"> sont utilisées pour faire rapport au Parlement, orienter et résoudre des problèmes d’affaires, appuyer des modifications fondées sur des données probantes apportées à des politiques, déterminer les améliorations à apporter à la prestation de programmes et de services</w:t>
      </w:r>
    </w:p>
    <w:p w:rsidR="0023368A" w:rsidRPr="0023368A" w:rsidRDefault="0023368A" w:rsidP="001602C0">
      <w:pPr>
        <w:pStyle w:val="DataText"/>
        <w:numPr>
          <w:ilvl w:val="0"/>
          <w:numId w:val="34"/>
        </w:numPr>
      </w:pPr>
      <w:r w:rsidRPr="0023368A">
        <w:t xml:space="preserve">La CFP a la </w:t>
      </w:r>
      <w:r w:rsidRPr="0023368A">
        <w:rPr>
          <w:b/>
        </w:rPr>
        <w:t>capacité et les compétences</w:t>
      </w:r>
      <w:r w:rsidRPr="0023368A">
        <w:t xml:space="preserve"> d’utiliser des données et a accès à des analyses de données modernes et hautement performantes </w:t>
      </w:r>
    </w:p>
    <w:p w:rsidR="0023368A" w:rsidRPr="0023368A" w:rsidRDefault="0023368A" w:rsidP="001602C0">
      <w:pPr>
        <w:pStyle w:val="DataText"/>
        <w:numPr>
          <w:ilvl w:val="0"/>
          <w:numId w:val="34"/>
        </w:numPr>
        <w:rPr>
          <w:b/>
        </w:rPr>
      </w:pPr>
      <w:r w:rsidRPr="0023368A">
        <w:t xml:space="preserve">La CFP est un chef de file en matière de </w:t>
      </w:r>
      <w:r w:rsidRPr="0023368A">
        <w:rPr>
          <w:b/>
        </w:rPr>
        <w:t>libre-service et de données ouvertes</w:t>
      </w:r>
    </w:p>
    <w:p w:rsidR="001A2567" w:rsidRPr="001A2567" w:rsidRDefault="001A2567" w:rsidP="001A2567">
      <w:pPr>
        <w:keepLines w:val="0"/>
        <w:rPr>
          <w:rFonts w:ascii="Segoe UI Semilight" w:eastAsia="Segoe UI Semilight" w:hAnsi="Segoe UI Semilight" w:cs="Times New Roman"/>
          <w:color w:val="auto"/>
        </w:rPr>
      </w:pPr>
    </w:p>
    <w:p w:rsidR="001A2567" w:rsidRPr="00D01F02" w:rsidRDefault="001A2567" w:rsidP="00625CD9">
      <w:pPr>
        <w:pStyle w:val="Heading2"/>
        <w:rPr>
          <w:rFonts w:eastAsia="Times New Roman"/>
        </w:rPr>
      </w:pPr>
      <w:r w:rsidRPr="00D01F02">
        <w:rPr>
          <w:rFonts w:eastAsia="Times New Roman"/>
        </w:rPr>
        <w:lastRenderedPageBreak/>
        <w:t>Vision : les bonnes données, la bonne façon, entre les bonnes mains, au bon moment</w:t>
      </w:r>
    </w:p>
    <w:p w:rsidR="00DF0841" w:rsidRDefault="00DF0841" w:rsidP="001A2567">
      <w:pPr>
        <w:keepLines w:val="0"/>
        <w:rPr>
          <w:rFonts w:ascii="Segoe UI Light" w:eastAsia="Segoe UI Semilight" w:hAnsi="Segoe UI Light" w:cs="Segoe UI Light"/>
          <w:b/>
          <w:color w:val="auto"/>
        </w:rPr>
      </w:pPr>
    </w:p>
    <w:p w:rsidR="001A2567" w:rsidRPr="001A2567" w:rsidRDefault="001A2567" w:rsidP="001A2567">
      <w:pPr>
        <w:keepLines w:val="0"/>
        <w:rPr>
          <w:rFonts w:ascii="Segoe UI Light" w:eastAsia="Segoe UI Semilight" w:hAnsi="Segoe UI Light" w:cs="Segoe UI Light"/>
          <w:color w:val="auto"/>
        </w:rPr>
      </w:pPr>
      <w:r w:rsidRPr="001A2567">
        <w:rPr>
          <w:rFonts w:ascii="Segoe UI Light" w:eastAsia="Segoe UI Semilight" w:hAnsi="Segoe UI Light" w:cs="Segoe UI Light"/>
          <w:b/>
          <w:color w:val="auto"/>
        </w:rPr>
        <w:t>Figure 1 :</w:t>
      </w:r>
      <w:r w:rsidRPr="001A2567">
        <w:rPr>
          <w:rFonts w:ascii="Segoe UI Light" w:eastAsia="Segoe UI Semilight" w:hAnsi="Segoe UI Light" w:cs="Segoe UI Light"/>
          <w:color w:val="auto"/>
        </w:rPr>
        <w:t xml:space="preserve"> Éléments de la Stratégie de gestion des données de la CFP</w:t>
      </w:r>
    </w:p>
    <w:p w:rsidR="001A2567" w:rsidRPr="001A2567" w:rsidRDefault="001E13A6" w:rsidP="001A2567">
      <w:pPr>
        <w:keepLines w:val="0"/>
        <w:rPr>
          <w:rFonts w:ascii="Segoe UI Semilight" w:eastAsia="Segoe UI Semilight" w:hAnsi="Segoe UI Semilight" w:cs="Times New Roman"/>
          <w:color w:val="auto"/>
        </w:rPr>
      </w:pPr>
      <w:r>
        <w:rPr>
          <w:noProof/>
          <w:lang w:val="en-CA" w:eastAsia="en-CA"/>
        </w:rPr>
        <w:drawing>
          <wp:inline distT="0" distB="0" distL="0" distR="0" wp14:anchorId="24136C89" wp14:editId="706AB05D">
            <wp:extent cx="5965200" cy="2545200"/>
            <wp:effectExtent l="0" t="0" r="0" b="7620"/>
            <wp:docPr id="1" name="Picture 1" title="Éléments de la Stratégie de gestion des données de la C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239" t="27366" r="6938" b="15847"/>
                    <a:stretch/>
                  </pic:blipFill>
                  <pic:spPr bwMode="auto">
                    <a:xfrm>
                      <a:off x="0" y="0"/>
                      <a:ext cx="5965200" cy="2545200"/>
                    </a:xfrm>
                    <a:prstGeom prst="rect">
                      <a:avLst/>
                    </a:prstGeom>
                    <a:ln>
                      <a:noFill/>
                    </a:ln>
                    <a:extLst>
                      <a:ext uri="{53640926-AAD7-44D8-BBD7-CCE9431645EC}">
                        <a14:shadowObscured xmlns:a14="http://schemas.microsoft.com/office/drawing/2010/main"/>
                      </a:ext>
                    </a:extLst>
                  </pic:spPr>
                </pic:pic>
              </a:graphicData>
            </a:graphic>
          </wp:inline>
        </w:drawing>
      </w:r>
    </w:p>
    <w:p w:rsidR="001A2567" w:rsidRPr="001A2567" w:rsidRDefault="001A2567" w:rsidP="001A2567">
      <w:pPr>
        <w:keepLines w:val="0"/>
        <w:spacing w:after="0"/>
        <w:jc w:val="both"/>
        <w:rPr>
          <w:rFonts w:ascii="Segoe UI Light" w:eastAsia="Segoe UI Semilight" w:hAnsi="Segoe UI Light" w:cs="Segoe UI Light"/>
          <w:color w:val="auto"/>
        </w:rPr>
      </w:pPr>
      <w:r w:rsidRPr="001A2567">
        <w:rPr>
          <w:rFonts w:ascii="Segoe UI Light" w:eastAsia="Segoe UI Semilight" w:hAnsi="Segoe UI Light" w:cs="Segoe UI Light"/>
          <w:color w:val="auto"/>
        </w:rPr>
        <w:t>Texte alternatif :</w:t>
      </w:r>
    </w:p>
    <w:p w:rsidR="001A2567" w:rsidRPr="001A2567" w:rsidRDefault="001A2567" w:rsidP="001A2567">
      <w:pPr>
        <w:keepLines w:val="0"/>
        <w:spacing w:after="0"/>
        <w:jc w:val="both"/>
        <w:rPr>
          <w:rFonts w:ascii="Segoe UI Light" w:eastAsia="Segoe UI Semilight" w:hAnsi="Segoe UI Light" w:cs="Segoe UI Light"/>
          <w:color w:val="auto"/>
        </w:rPr>
      </w:pPr>
      <w:r w:rsidRPr="001A2567">
        <w:rPr>
          <w:rFonts w:ascii="Segoe UI Light" w:eastAsia="Segoe UI Semilight" w:hAnsi="Segoe UI Light" w:cs="Segoe UI Light"/>
          <w:color w:val="auto"/>
        </w:rPr>
        <w:t xml:space="preserve">Les sous-éléments reliés à l'infrastructure des données sont la définition des </w:t>
      </w:r>
      <w:r w:rsidR="00A92531">
        <w:rPr>
          <w:rFonts w:ascii="Segoe UI Light" w:eastAsia="Segoe UI Semilight" w:hAnsi="Segoe UI Light" w:cs="Segoe UI Light"/>
          <w:color w:val="auto"/>
        </w:rPr>
        <w:t>exigences opérationnelles</w:t>
      </w:r>
      <w:r w:rsidRPr="001A2567">
        <w:rPr>
          <w:rFonts w:ascii="Segoe UI Light" w:eastAsia="Segoe UI Semilight" w:hAnsi="Segoe UI Light" w:cs="Segoe UI Light"/>
          <w:color w:val="auto"/>
        </w:rPr>
        <w:t>, les technologies habilitantes et les outils de</w:t>
      </w:r>
      <w:r w:rsidR="00A92531">
        <w:rPr>
          <w:rFonts w:ascii="Segoe UI Light" w:eastAsia="Segoe UI Semilight" w:hAnsi="Segoe UI Light" w:cs="Segoe UI Light"/>
          <w:color w:val="auto"/>
        </w:rPr>
        <w:t xml:space="preserve"> production de</w:t>
      </w:r>
      <w:r w:rsidRPr="001A2567">
        <w:rPr>
          <w:rFonts w:ascii="Segoe UI Light" w:eastAsia="Segoe UI Semilight" w:hAnsi="Segoe UI Light" w:cs="Segoe UI Light"/>
          <w:color w:val="auto"/>
        </w:rPr>
        <w:t xml:space="preserve"> rapport</w:t>
      </w:r>
      <w:r w:rsidR="00A92531">
        <w:rPr>
          <w:rFonts w:ascii="Segoe UI Light" w:eastAsia="Segoe UI Semilight" w:hAnsi="Segoe UI Light" w:cs="Segoe UI Light"/>
          <w:color w:val="auto"/>
        </w:rPr>
        <w:t>s</w:t>
      </w:r>
      <w:r w:rsidRPr="001A2567">
        <w:rPr>
          <w:rFonts w:ascii="Segoe UI Light" w:eastAsia="Segoe UI Semilight" w:hAnsi="Segoe UI Light" w:cs="Segoe UI Light"/>
          <w:color w:val="auto"/>
        </w:rPr>
        <w:t>.</w:t>
      </w:r>
    </w:p>
    <w:p w:rsidR="001A2567" w:rsidRPr="001A2567" w:rsidRDefault="001A2567" w:rsidP="001A2567">
      <w:pPr>
        <w:keepLines w:val="0"/>
        <w:spacing w:after="0"/>
        <w:jc w:val="both"/>
        <w:rPr>
          <w:rFonts w:ascii="Segoe UI Light" w:eastAsia="Segoe UI Semilight" w:hAnsi="Segoe UI Light" w:cs="Segoe UI Light"/>
          <w:color w:val="auto"/>
        </w:rPr>
      </w:pPr>
      <w:r w:rsidRPr="001A2567">
        <w:rPr>
          <w:rFonts w:ascii="Segoe UI Light" w:eastAsia="Segoe UI Semilight" w:hAnsi="Segoe UI Light" w:cs="Segoe UI Light"/>
          <w:color w:val="auto"/>
        </w:rPr>
        <w:t>Les sous-éléments reliés aux utilisateurs des données sont</w:t>
      </w:r>
      <w:r w:rsidR="008711B8">
        <w:rPr>
          <w:rFonts w:ascii="Segoe UI Light" w:eastAsia="Segoe UI Semilight" w:hAnsi="Segoe UI Light" w:cs="Segoe UI Light"/>
          <w:color w:val="auto"/>
        </w:rPr>
        <w:t xml:space="preserve"> le libre-service, la culture "O</w:t>
      </w:r>
      <w:r w:rsidRPr="001A2567">
        <w:rPr>
          <w:rFonts w:ascii="Segoe UI Light" w:eastAsia="Segoe UI Semilight" w:hAnsi="Segoe UI Light" w:cs="Segoe UI Light"/>
          <w:color w:val="auto"/>
        </w:rPr>
        <w:t>uverte par défaut" et les données et informations à valeur ajoutée.</w:t>
      </w:r>
    </w:p>
    <w:p w:rsidR="001A2567" w:rsidRPr="001A2567" w:rsidRDefault="001A2567" w:rsidP="001A2567">
      <w:pPr>
        <w:keepLines w:val="0"/>
        <w:spacing w:after="0"/>
        <w:jc w:val="both"/>
        <w:rPr>
          <w:rFonts w:ascii="Segoe UI Light" w:eastAsia="Segoe UI Semilight" w:hAnsi="Segoe UI Light" w:cs="Segoe UI Light"/>
          <w:color w:val="auto"/>
        </w:rPr>
      </w:pPr>
      <w:r w:rsidRPr="001A2567">
        <w:rPr>
          <w:rFonts w:ascii="Segoe UI Light" w:eastAsia="Segoe UI Semilight" w:hAnsi="Segoe UI Light" w:cs="Segoe UI Light"/>
          <w:color w:val="auto"/>
        </w:rPr>
        <w:t>Les sous-éléments reliés à la gestion des données sont la vision et gouvernance, les rôles et responsabi</w:t>
      </w:r>
      <w:r w:rsidR="008711B8">
        <w:rPr>
          <w:rFonts w:ascii="Segoe UI Light" w:eastAsia="Segoe UI Semilight" w:hAnsi="Segoe UI Light" w:cs="Segoe UI Light"/>
          <w:color w:val="auto"/>
        </w:rPr>
        <w:t>lités, l'intégrité des données y compris</w:t>
      </w:r>
      <w:r w:rsidRPr="001A2567">
        <w:rPr>
          <w:rFonts w:ascii="Segoe UI Light" w:eastAsia="Segoe UI Semilight" w:hAnsi="Segoe UI Light" w:cs="Segoe UI Light"/>
          <w:color w:val="auto"/>
        </w:rPr>
        <w:t xml:space="preserve"> la qualité, la sécurité et la </w:t>
      </w:r>
      <w:r w:rsidR="008711B8">
        <w:rPr>
          <w:rFonts w:ascii="Segoe UI Light" w:eastAsia="Segoe UI Semilight" w:hAnsi="Segoe UI Light" w:cs="Segoe UI Light"/>
          <w:color w:val="auto"/>
        </w:rPr>
        <w:t>protection des renseignements personnels</w:t>
      </w:r>
      <w:r w:rsidRPr="001A2567">
        <w:rPr>
          <w:rFonts w:ascii="Segoe UI Light" w:eastAsia="Segoe UI Semilight" w:hAnsi="Segoe UI Light" w:cs="Segoe UI Light"/>
          <w:color w:val="auto"/>
        </w:rPr>
        <w:t>.</w:t>
      </w:r>
    </w:p>
    <w:p w:rsidR="001A2567" w:rsidRPr="001A2567" w:rsidRDefault="001A2567" w:rsidP="001A2567">
      <w:pPr>
        <w:keepLines w:val="0"/>
        <w:spacing w:after="0"/>
        <w:jc w:val="both"/>
        <w:rPr>
          <w:rFonts w:ascii="Segoe UI Semilight" w:eastAsia="Segoe UI Semilight" w:hAnsi="Segoe UI Semilight" w:cs="Times New Roman"/>
          <w:color w:val="auto"/>
          <w:lang w:eastAsia="en-CA"/>
        </w:rPr>
      </w:pPr>
      <w:r w:rsidRPr="001A2567">
        <w:rPr>
          <w:rFonts w:ascii="Segoe UI Light" w:eastAsia="Segoe UI Semilight" w:hAnsi="Segoe UI Light" w:cs="Segoe UI Light"/>
          <w:color w:val="auto"/>
        </w:rPr>
        <w:t xml:space="preserve">Les sous-éléments reliés au bureau de la gestion des données sont </w:t>
      </w:r>
      <w:r w:rsidR="008711B8">
        <w:rPr>
          <w:rFonts w:ascii="Segoe UI Light" w:eastAsia="Segoe UI Semilight" w:hAnsi="Segoe UI Light" w:cs="Segoe UI Light"/>
          <w:color w:val="auto"/>
        </w:rPr>
        <w:t xml:space="preserve">le </w:t>
      </w:r>
      <w:r w:rsidRPr="001A2567">
        <w:rPr>
          <w:rFonts w:ascii="Segoe UI Light" w:eastAsia="Segoe UI Semilight" w:hAnsi="Segoe UI Light" w:cs="Segoe UI Light"/>
          <w:color w:val="auto"/>
        </w:rPr>
        <w:t>changement</w:t>
      </w:r>
      <w:r w:rsidR="008711B8">
        <w:rPr>
          <w:rFonts w:ascii="Segoe UI Light" w:eastAsia="Segoe UI Semilight" w:hAnsi="Segoe UI Light" w:cs="Segoe UI Light"/>
          <w:color w:val="auto"/>
        </w:rPr>
        <w:t xml:space="preserve"> de culture</w:t>
      </w:r>
      <w:r w:rsidRPr="001A2567">
        <w:rPr>
          <w:rFonts w:ascii="Segoe UI Light" w:eastAsia="Segoe UI Semilight" w:hAnsi="Segoe UI Light" w:cs="Segoe UI Light"/>
          <w:color w:val="auto"/>
        </w:rPr>
        <w:t xml:space="preserve">, la gestion de projet, la mesure de performance et l'alignement </w:t>
      </w:r>
      <w:r w:rsidR="008711B8">
        <w:rPr>
          <w:rFonts w:ascii="Segoe UI Light" w:eastAsia="Segoe UI Semilight" w:hAnsi="Segoe UI Light" w:cs="Segoe UI Light"/>
          <w:color w:val="auto"/>
        </w:rPr>
        <w:t xml:space="preserve">avec le </w:t>
      </w:r>
      <w:r w:rsidRPr="001A2567">
        <w:rPr>
          <w:rFonts w:ascii="Segoe UI Light" w:eastAsia="Segoe UI Semilight" w:hAnsi="Segoe UI Light" w:cs="Segoe UI Light"/>
          <w:color w:val="auto"/>
        </w:rPr>
        <w:t>GC.</w:t>
      </w:r>
    </w:p>
    <w:p w:rsidR="001A2567" w:rsidRPr="001A2567" w:rsidRDefault="001A2567" w:rsidP="001A2567">
      <w:pPr>
        <w:keepLines w:val="0"/>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rPr>
        <w:br w:type="page"/>
      </w:r>
    </w:p>
    <w:p w:rsidR="001A2567" w:rsidRPr="001A2567" w:rsidRDefault="001A2567" w:rsidP="00625CD9">
      <w:pPr>
        <w:pStyle w:val="Heading2"/>
        <w:rPr>
          <w:rFonts w:eastAsia="Times New Roman"/>
        </w:rPr>
      </w:pPr>
      <w:r w:rsidRPr="001A2567">
        <w:rPr>
          <w:rFonts w:eastAsia="Times New Roman"/>
        </w:rPr>
        <w:lastRenderedPageBreak/>
        <w:t>Éléments fondamentaux de l’infrastructure de données</w:t>
      </w:r>
    </w:p>
    <w:p w:rsidR="001A2567" w:rsidRPr="001A2567" w:rsidRDefault="001A2567" w:rsidP="001A2567">
      <w:pPr>
        <w:keepLines w:val="0"/>
        <w:rPr>
          <w:rFonts w:ascii="Segoe UI Light" w:eastAsia="Segoe UI Semilight" w:hAnsi="Segoe UI Light" w:cs="Segoe UI Light"/>
          <w:color w:val="auto"/>
        </w:rPr>
      </w:pPr>
      <w:r w:rsidRPr="001A2567">
        <w:rPr>
          <w:rFonts w:ascii="Segoe UI Light" w:eastAsia="Segoe UI Semilight" w:hAnsi="Segoe UI Light" w:cs="Segoe UI Light"/>
          <w:b/>
          <w:color w:val="auto"/>
        </w:rPr>
        <w:t>Figure 2 :</w:t>
      </w:r>
      <w:r w:rsidRPr="001A2567">
        <w:rPr>
          <w:rFonts w:ascii="Segoe UI Light" w:eastAsia="Segoe UI Semilight" w:hAnsi="Segoe UI Light" w:cs="Segoe UI Light"/>
          <w:color w:val="auto"/>
        </w:rPr>
        <w:t xml:space="preserve"> Concept de l'infrastructure de données</w:t>
      </w:r>
    </w:p>
    <w:p w:rsidR="001A2567" w:rsidRPr="001A2567" w:rsidRDefault="008F0EBF" w:rsidP="001A2567">
      <w:pPr>
        <w:keepLines w:val="0"/>
        <w:rPr>
          <w:rFonts w:ascii="Segoe UI Semilight" w:eastAsia="Segoe UI Semilight" w:hAnsi="Segoe UI Semilight" w:cs="Times New Roman"/>
          <w:color w:val="auto"/>
        </w:rPr>
      </w:pPr>
      <w:r>
        <w:rPr>
          <w:noProof/>
          <w:lang w:val="en-CA" w:eastAsia="en-CA"/>
        </w:rPr>
        <w:drawing>
          <wp:inline distT="0" distB="0" distL="0" distR="0" wp14:anchorId="10938540" wp14:editId="066BADDD">
            <wp:extent cx="5943600" cy="2611868"/>
            <wp:effectExtent l="0" t="0" r="0" b="0"/>
            <wp:docPr id="3" name="Picture 3" title="Concept de l'infrastructure de donn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918" t="27586" r="7777" b="15880"/>
                    <a:stretch/>
                  </pic:blipFill>
                  <pic:spPr bwMode="auto">
                    <a:xfrm>
                      <a:off x="0" y="0"/>
                      <a:ext cx="5943600" cy="2611868"/>
                    </a:xfrm>
                    <a:prstGeom prst="rect">
                      <a:avLst/>
                    </a:prstGeom>
                    <a:ln>
                      <a:noFill/>
                    </a:ln>
                    <a:extLst>
                      <a:ext uri="{53640926-AAD7-44D8-BBD7-CCE9431645EC}">
                        <a14:shadowObscured xmlns:a14="http://schemas.microsoft.com/office/drawing/2010/main"/>
                      </a:ext>
                    </a:extLst>
                  </pic:spPr>
                </pic:pic>
              </a:graphicData>
            </a:graphic>
          </wp:inline>
        </w:drawing>
      </w:r>
    </w:p>
    <w:p w:rsidR="001A2567" w:rsidRPr="001A2567" w:rsidRDefault="001A2567" w:rsidP="001A2567">
      <w:pPr>
        <w:keepLines w:val="0"/>
        <w:spacing w:after="0"/>
        <w:jc w:val="both"/>
        <w:rPr>
          <w:rFonts w:ascii="Segoe UI Light" w:eastAsia="Segoe UI Semilight" w:hAnsi="Segoe UI Light" w:cs="Segoe UI Light"/>
          <w:color w:val="auto"/>
        </w:rPr>
      </w:pPr>
      <w:r w:rsidRPr="001A2567">
        <w:rPr>
          <w:rFonts w:ascii="Segoe UI Light" w:eastAsia="Segoe UI Semilight" w:hAnsi="Segoe UI Light" w:cs="Segoe UI Light"/>
          <w:color w:val="auto"/>
        </w:rPr>
        <w:t>Texte alternatif :</w:t>
      </w:r>
    </w:p>
    <w:p w:rsidR="001A2567" w:rsidRPr="001A2567" w:rsidRDefault="001A2567" w:rsidP="001A2567">
      <w:pPr>
        <w:keepLines w:val="0"/>
        <w:spacing w:after="0"/>
        <w:jc w:val="both"/>
        <w:rPr>
          <w:rFonts w:ascii="Segoe UI Light" w:eastAsia="Segoe UI Semilight" w:hAnsi="Segoe UI Light" w:cs="Segoe UI Light"/>
          <w:color w:val="auto"/>
        </w:rPr>
      </w:pPr>
      <w:r w:rsidRPr="001A2567">
        <w:rPr>
          <w:rFonts w:ascii="Segoe UI Light" w:eastAsia="Segoe UI Semilight" w:hAnsi="Segoe UI Light" w:cs="Segoe UI Light"/>
          <w:color w:val="auto"/>
        </w:rPr>
        <w:t xml:space="preserve">Les </w:t>
      </w:r>
      <w:r w:rsidR="006402F4">
        <w:rPr>
          <w:rFonts w:ascii="Segoe UI Light" w:eastAsia="Segoe UI Semilight" w:hAnsi="Segoe UI Light" w:cs="Segoe UI Light"/>
          <w:color w:val="auto"/>
        </w:rPr>
        <w:t>données</w:t>
      </w:r>
      <w:r w:rsidRPr="001A2567">
        <w:rPr>
          <w:rFonts w:ascii="Segoe UI Light" w:eastAsia="Segoe UI Semilight" w:hAnsi="Segoe UI Light" w:cs="Segoe UI Light"/>
          <w:color w:val="auto"/>
        </w:rPr>
        <w:t xml:space="preserve"> sont le </w:t>
      </w:r>
      <w:r w:rsidR="00951481">
        <w:rPr>
          <w:rFonts w:ascii="Segoe UI Light" w:eastAsia="Segoe UI Semilight" w:hAnsi="Segoe UI Light" w:cs="Segoe UI Light"/>
          <w:color w:val="auto"/>
        </w:rPr>
        <w:t>SR</w:t>
      </w:r>
      <w:r w:rsidR="00A34828">
        <w:rPr>
          <w:rFonts w:ascii="Segoe UI Light" w:eastAsia="Segoe UI Semilight" w:hAnsi="Segoe UI Light" w:cs="Segoe UI Light"/>
          <w:color w:val="auto"/>
        </w:rPr>
        <w:t>FP</w:t>
      </w:r>
      <w:r w:rsidR="00951481">
        <w:rPr>
          <w:rFonts w:ascii="Segoe UI Light" w:eastAsia="Segoe UI Semilight" w:hAnsi="Segoe UI Light" w:cs="Segoe UI Light"/>
          <w:color w:val="auto"/>
        </w:rPr>
        <w:t xml:space="preserve">, le SGIP, le système </w:t>
      </w:r>
      <w:r w:rsidRPr="001A2567">
        <w:rPr>
          <w:rFonts w:ascii="Segoe UI Light" w:eastAsia="Segoe UI Semilight" w:hAnsi="Segoe UI Light" w:cs="Segoe UI Light"/>
          <w:color w:val="auto"/>
        </w:rPr>
        <w:t>C</w:t>
      </w:r>
      <w:r w:rsidR="00951481">
        <w:rPr>
          <w:rFonts w:ascii="Segoe UI Light" w:eastAsia="Segoe UI Semilight" w:hAnsi="Segoe UI Light" w:cs="Segoe UI Light"/>
          <w:color w:val="auto"/>
        </w:rPr>
        <w:t>PP</w:t>
      </w:r>
      <w:r w:rsidRPr="001A2567">
        <w:rPr>
          <w:rFonts w:ascii="Segoe UI Light" w:eastAsia="Segoe UI Semilight" w:hAnsi="Segoe UI Light" w:cs="Segoe UI Light"/>
          <w:color w:val="auto"/>
        </w:rPr>
        <w:t>, Phénix, et autres.</w:t>
      </w:r>
    </w:p>
    <w:p w:rsidR="001A2567" w:rsidRPr="001A2567" w:rsidRDefault="001A2567" w:rsidP="001A2567">
      <w:pPr>
        <w:keepLines w:val="0"/>
        <w:spacing w:after="0"/>
        <w:jc w:val="both"/>
        <w:rPr>
          <w:rFonts w:ascii="Segoe UI Light" w:eastAsia="Segoe UI Semilight" w:hAnsi="Segoe UI Light" w:cs="Segoe UI Light"/>
          <w:color w:val="auto"/>
        </w:rPr>
      </w:pPr>
      <w:r w:rsidRPr="001A2567">
        <w:rPr>
          <w:rFonts w:ascii="Segoe UI Light" w:eastAsia="Segoe UI Semilight" w:hAnsi="Segoe UI Light" w:cs="Segoe UI Light"/>
          <w:color w:val="auto"/>
        </w:rPr>
        <w:t>Le</w:t>
      </w:r>
      <w:r w:rsidR="000C3169">
        <w:rPr>
          <w:rFonts w:ascii="Segoe UI Light" w:eastAsia="Segoe UI Semilight" w:hAnsi="Segoe UI Light" w:cs="Segoe UI Light"/>
          <w:color w:val="auto"/>
        </w:rPr>
        <w:t>s</w:t>
      </w:r>
      <w:r w:rsidRPr="001A2567">
        <w:rPr>
          <w:rFonts w:ascii="Segoe UI Light" w:eastAsia="Segoe UI Semilight" w:hAnsi="Segoe UI Light" w:cs="Segoe UI Light"/>
          <w:color w:val="auto"/>
        </w:rPr>
        <w:t xml:space="preserve"> </w:t>
      </w:r>
      <w:r w:rsidR="006402F4">
        <w:rPr>
          <w:rFonts w:ascii="Segoe UI Light" w:eastAsia="Segoe UI Semilight" w:hAnsi="Segoe UI Light" w:cs="Segoe UI Light"/>
          <w:color w:val="auto"/>
        </w:rPr>
        <w:t xml:space="preserve">fonds de données (le </w:t>
      </w:r>
      <w:r w:rsidRPr="001A2567">
        <w:rPr>
          <w:rFonts w:ascii="Segoe UI Light" w:eastAsia="Segoe UI Semilight" w:hAnsi="Segoe UI Light" w:cs="Segoe UI Light"/>
          <w:color w:val="auto"/>
        </w:rPr>
        <w:t>lac de données</w:t>
      </w:r>
      <w:r w:rsidR="006402F4">
        <w:rPr>
          <w:rFonts w:ascii="Segoe UI Light" w:eastAsia="Segoe UI Semilight" w:hAnsi="Segoe UI Light" w:cs="Segoe UI Light"/>
          <w:color w:val="auto"/>
        </w:rPr>
        <w:t>)</w:t>
      </w:r>
      <w:r w:rsidRPr="001A2567">
        <w:rPr>
          <w:rFonts w:ascii="Segoe UI Light" w:eastAsia="Segoe UI Semilight" w:hAnsi="Segoe UI Light" w:cs="Segoe UI Light"/>
          <w:color w:val="auto"/>
        </w:rPr>
        <w:t xml:space="preserve"> </w:t>
      </w:r>
      <w:r w:rsidR="006402F4">
        <w:rPr>
          <w:rFonts w:ascii="Segoe UI Light" w:eastAsia="Segoe UI Semilight" w:hAnsi="Segoe UI Light" w:cs="Segoe UI Light"/>
          <w:color w:val="auto"/>
        </w:rPr>
        <w:t>se conforme</w:t>
      </w:r>
      <w:r w:rsidR="00A34828">
        <w:rPr>
          <w:rFonts w:ascii="Segoe UI Light" w:eastAsia="Segoe UI Semilight" w:hAnsi="Segoe UI Light" w:cs="Segoe UI Light"/>
          <w:color w:val="auto"/>
        </w:rPr>
        <w:t>nt</w:t>
      </w:r>
      <w:r w:rsidR="006402F4">
        <w:rPr>
          <w:rFonts w:ascii="Segoe UI Light" w:eastAsia="Segoe UI Semilight" w:hAnsi="Segoe UI Light" w:cs="Segoe UI Light"/>
          <w:color w:val="auto"/>
        </w:rPr>
        <w:t>, centralise</w:t>
      </w:r>
      <w:r w:rsidR="00A34828">
        <w:rPr>
          <w:rFonts w:ascii="Segoe UI Light" w:eastAsia="Segoe UI Semilight" w:hAnsi="Segoe UI Light" w:cs="Segoe UI Light"/>
          <w:color w:val="auto"/>
        </w:rPr>
        <w:t>nt</w:t>
      </w:r>
      <w:r w:rsidR="006402F4">
        <w:rPr>
          <w:rFonts w:ascii="Segoe UI Light" w:eastAsia="Segoe UI Semilight" w:hAnsi="Segoe UI Light" w:cs="Segoe UI Light"/>
          <w:color w:val="auto"/>
        </w:rPr>
        <w:t xml:space="preserve"> et harmonise</w:t>
      </w:r>
      <w:r w:rsidR="00A34828">
        <w:rPr>
          <w:rFonts w:ascii="Segoe UI Light" w:eastAsia="Segoe UI Semilight" w:hAnsi="Segoe UI Light" w:cs="Segoe UI Light"/>
          <w:color w:val="auto"/>
        </w:rPr>
        <w:t>nt</w:t>
      </w:r>
      <w:r w:rsidR="006402F4">
        <w:rPr>
          <w:rFonts w:ascii="Segoe UI Light" w:eastAsia="Segoe UI Semilight" w:hAnsi="Segoe UI Light" w:cs="Segoe UI Light"/>
          <w:color w:val="auto"/>
        </w:rPr>
        <w:t>.</w:t>
      </w:r>
    </w:p>
    <w:p w:rsidR="001A2567" w:rsidRPr="001A2567" w:rsidRDefault="000C3169" w:rsidP="001A2567">
      <w:pPr>
        <w:keepLines w:val="0"/>
        <w:spacing w:after="0"/>
        <w:jc w:val="both"/>
        <w:rPr>
          <w:rFonts w:ascii="Segoe UI Light" w:eastAsia="Segoe UI Semilight" w:hAnsi="Segoe UI Light" w:cs="Segoe UI Light"/>
          <w:color w:val="auto"/>
        </w:rPr>
      </w:pPr>
      <w:r>
        <w:rPr>
          <w:rFonts w:ascii="Segoe UI Light" w:eastAsia="Segoe UI Semilight" w:hAnsi="Segoe UI Light" w:cs="Segoe UI Light"/>
          <w:color w:val="auto"/>
        </w:rPr>
        <w:t xml:space="preserve">Le centre d’analyse </w:t>
      </w:r>
      <w:r w:rsidR="001A2567" w:rsidRPr="001A2567">
        <w:rPr>
          <w:rFonts w:ascii="Segoe UI Light" w:eastAsia="Segoe UI Semilight" w:hAnsi="Segoe UI Light" w:cs="Segoe UI Light"/>
          <w:color w:val="auto"/>
        </w:rPr>
        <w:t xml:space="preserve">permet </w:t>
      </w:r>
      <w:r w:rsidR="006402F4">
        <w:rPr>
          <w:rFonts w:ascii="Segoe UI Light" w:eastAsia="Segoe UI Semilight" w:hAnsi="Segoe UI Light" w:cs="Segoe UI Light"/>
          <w:color w:val="auto"/>
        </w:rPr>
        <w:t xml:space="preserve">de dépersonnaliser, transformer, regrouper </w:t>
      </w:r>
      <w:r w:rsidR="001A2567" w:rsidRPr="001A2567">
        <w:rPr>
          <w:rFonts w:ascii="Segoe UI Light" w:eastAsia="Segoe UI Semilight" w:hAnsi="Segoe UI Light" w:cs="Segoe UI Light"/>
          <w:color w:val="auto"/>
        </w:rPr>
        <w:t>et analyser.</w:t>
      </w:r>
    </w:p>
    <w:p w:rsidR="001A2567" w:rsidRPr="000C3169" w:rsidRDefault="006402F4" w:rsidP="001A2567">
      <w:pPr>
        <w:keepLines w:val="0"/>
        <w:spacing w:after="0"/>
        <w:jc w:val="both"/>
        <w:rPr>
          <w:rFonts w:ascii="Segoe UI Light" w:eastAsia="Segoe UI Semilight" w:hAnsi="Segoe UI Light" w:cs="Segoe UI Light"/>
          <w:color w:val="auto"/>
        </w:rPr>
      </w:pPr>
      <w:r w:rsidRPr="000C3169">
        <w:rPr>
          <w:rFonts w:ascii="Segoe UI Light" w:eastAsia="Segoe UI Semilight" w:hAnsi="Segoe UI Light" w:cs="Segoe UI Light"/>
          <w:color w:val="auto"/>
        </w:rPr>
        <w:t>Rendre les données disponibles : les données sont partagées et exploitées,</w:t>
      </w:r>
      <w:r w:rsidR="000C3169" w:rsidRPr="000C3169">
        <w:rPr>
          <w:rFonts w:ascii="Segoe UI Light" w:eastAsia="Segoe UI Semilight" w:hAnsi="Segoe UI Light" w:cs="Segoe UI Light"/>
          <w:color w:val="auto"/>
        </w:rPr>
        <w:t xml:space="preserve"> elles sont disponibles en libre-service sur un portail de</w:t>
      </w:r>
      <w:r w:rsidR="00D314F3">
        <w:rPr>
          <w:rFonts w:ascii="Segoe UI Light" w:eastAsia="Segoe UI Semilight" w:hAnsi="Segoe UI Light" w:cs="Segoe UI Light"/>
          <w:color w:val="auto"/>
        </w:rPr>
        <w:t>s</w:t>
      </w:r>
      <w:r w:rsidR="000C3169" w:rsidRPr="000C3169">
        <w:rPr>
          <w:rFonts w:ascii="Segoe UI Light" w:eastAsia="Segoe UI Semilight" w:hAnsi="Segoe UI Light" w:cs="Segoe UI Light"/>
          <w:color w:val="auto"/>
        </w:rPr>
        <w:t xml:space="preserve"> données.</w:t>
      </w:r>
      <w:r w:rsidRPr="000C3169">
        <w:rPr>
          <w:rFonts w:ascii="Segoe UI Light" w:eastAsia="Segoe UI Semilight" w:hAnsi="Segoe UI Light" w:cs="Segoe UI Light"/>
          <w:color w:val="auto"/>
        </w:rPr>
        <w:t xml:space="preserve"> </w:t>
      </w:r>
    </w:p>
    <w:p w:rsidR="001A2567" w:rsidRPr="001A2567" w:rsidRDefault="001A2567" w:rsidP="001A2567">
      <w:pPr>
        <w:keepLines w:val="0"/>
        <w:spacing w:after="0"/>
        <w:jc w:val="both"/>
        <w:rPr>
          <w:rFonts w:ascii="Segoe UI Light" w:eastAsia="Segoe UI Semilight" w:hAnsi="Segoe UI Light" w:cs="Segoe UI Light"/>
          <w:color w:val="auto"/>
        </w:rPr>
      </w:pPr>
      <w:r w:rsidRPr="001A2567">
        <w:rPr>
          <w:rFonts w:ascii="Segoe UI Light" w:eastAsia="Segoe UI Semilight" w:hAnsi="Segoe UI Light" w:cs="Segoe UI Light"/>
          <w:color w:val="auto"/>
        </w:rPr>
        <w:t xml:space="preserve">Les utilisateurs sont les citoyens, la direction, les employés, les départements, les secteurs d'activités interne/externe, les décideurs politiques et les chercheurs. </w:t>
      </w:r>
      <w:r w:rsidRPr="001A2567">
        <w:rPr>
          <w:rFonts w:ascii="Segoe UI Light" w:eastAsia="Segoe UI Semilight" w:hAnsi="Segoe UI Light" w:cs="Segoe UI Light"/>
          <w:color w:val="auto"/>
        </w:rPr>
        <w:br w:type="page"/>
      </w:r>
    </w:p>
    <w:p w:rsidR="001A2567" w:rsidRPr="001A2567" w:rsidRDefault="001A2567" w:rsidP="00E0788E">
      <w:pPr>
        <w:pStyle w:val="Heading1"/>
        <w:rPr>
          <w:rFonts w:eastAsia="Times New Roman"/>
        </w:rPr>
      </w:pPr>
      <w:bookmarkStart w:id="0" w:name="_Annexe_B_-"/>
      <w:bookmarkEnd w:id="0"/>
      <w:r w:rsidRPr="001A2567">
        <w:rPr>
          <w:rFonts w:eastAsia="Times New Roman"/>
        </w:rPr>
        <w:lastRenderedPageBreak/>
        <w:t>Annexe B - Stratégie de gestion des données de la CFP</w:t>
      </w:r>
      <w:r w:rsidR="00E0788E">
        <w:rPr>
          <w:rFonts w:eastAsia="Times New Roman"/>
        </w:rPr>
        <w:t xml:space="preserve">- </w:t>
      </w:r>
      <w:r w:rsidRPr="001A2567">
        <w:rPr>
          <w:rFonts w:eastAsia="Times New Roman"/>
        </w:rPr>
        <w:t>Priorités et échéanciers proposés</w:t>
      </w:r>
    </w:p>
    <w:p w:rsidR="001A2567" w:rsidRPr="001A2567" w:rsidRDefault="001A2567" w:rsidP="00E0788E">
      <w:pPr>
        <w:pStyle w:val="Heading2"/>
        <w:rPr>
          <w:rFonts w:eastAsia="Times New Roman"/>
        </w:rPr>
      </w:pPr>
      <w:bookmarkStart w:id="1" w:name="_GoBack"/>
      <w:bookmarkEnd w:id="1"/>
      <w:r w:rsidRPr="00D9399C">
        <w:rPr>
          <w:rFonts w:eastAsia="Times New Roman"/>
        </w:rPr>
        <w:t>PRIORITÉS DE LA PHASE 1 : ÉTABLIR LES BASES</w:t>
      </w:r>
      <w:r w:rsidR="00077877" w:rsidRPr="00D9399C">
        <w:rPr>
          <w:rFonts w:eastAsia="Times New Roman"/>
        </w:rPr>
        <w:t xml:space="preserve"> – GESTION DES DONNÉES</w:t>
      </w:r>
    </w:p>
    <w:tbl>
      <w:tblPr>
        <w:tblW w:w="11395" w:type="dxa"/>
        <w:jc w:val="center"/>
        <w:tblCellMar>
          <w:left w:w="0" w:type="dxa"/>
          <w:right w:w="0" w:type="dxa"/>
        </w:tblCellMar>
        <w:tblLook w:val="04A0" w:firstRow="1" w:lastRow="0" w:firstColumn="1" w:lastColumn="0" w:noHBand="0" w:noVBand="1"/>
        <w:tblCaption w:val="PRIORITÉS DE LA PHASE 1 : ÉTABLIR LES BASES – GESTION DES DONNÉES"/>
        <w:tblDescription w:val="Énumération des principales actions, activités et échéanciers proposés."/>
      </w:tblPr>
      <w:tblGrid>
        <w:gridCol w:w="2993"/>
        <w:gridCol w:w="11"/>
        <w:gridCol w:w="4933"/>
        <w:gridCol w:w="3458"/>
      </w:tblGrid>
      <w:tr w:rsidR="00077877" w:rsidRPr="001A2567" w:rsidTr="00E0788E">
        <w:trPr>
          <w:trHeight w:val="281"/>
          <w:tblHeader/>
          <w:jc w:val="center"/>
        </w:trPr>
        <w:tc>
          <w:tcPr>
            <w:tcW w:w="3004" w:type="dxa"/>
            <w:gridSpan w:val="2"/>
            <w:tcBorders>
              <w:top w:val="nil"/>
              <w:left w:val="nil"/>
              <w:right w:val="nil"/>
            </w:tcBorders>
            <w:shd w:val="clear" w:color="auto" w:fill="5B315E"/>
            <w:tcMar>
              <w:top w:w="72" w:type="dxa"/>
              <w:left w:w="144" w:type="dxa"/>
              <w:bottom w:w="72" w:type="dxa"/>
              <w:right w:w="144" w:type="dxa"/>
            </w:tcMar>
            <w:vAlign w:val="center"/>
          </w:tcPr>
          <w:p w:rsidR="00077877" w:rsidRPr="001A2567" w:rsidRDefault="00077877" w:rsidP="00E0788E">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Actions</w:t>
            </w:r>
          </w:p>
        </w:tc>
        <w:tc>
          <w:tcPr>
            <w:tcW w:w="4933" w:type="dxa"/>
            <w:tcBorders>
              <w:top w:val="nil"/>
              <w:left w:val="nil"/>
              <w:right w:val="nil"/>
            </w:tcBorders>
            <w:shd w:val="clear" w:color="auto" w:fill="5B315E"/>
            <w:vAlign w:val="center"/>
          </w:tcPr>
          <w:p w:rsidR="00077877" w:rsidRPr="001A2567" w:rsidRDefault="00077877" w:rsidP="00E0788E">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Activités</w:t>
            </w:r>
          </w:p>
        </w:tc>
        <w:tc>
          <w:tcPr>
            <w:tcW w:w="3458" w:type="dxa"/>
            <w:tcBorders>
              <w:top w:val="nil"/>
              <w:left w:val="nil"/>
              <w:right w:val="nil"/>
            </w:tcBorders>
            <w:shd w:val="clear" w:color="auto" w:fill="5B315E"/>
            <w:vAlign w:val="center"/>
          </w:tcPr>
          <w:p w:rsidR="00077877" w:rsidRPr="001A2567" w:rsidRDefault="00077877" w:rsidP="00E0788E">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Échéancier</w:t>
            </w:r>
          </w:p>
        </w:tc>
      </w:tr>
      <w:tr w:rsidR="007F0AE8" w:rsidRPr="001A2567" w:rsidTr="00E0788E">
        <w:trPr>
          <w:trHeight w:val="618"/>
          <w:tblHeader/>
          <w:jc w:val="center"/>
        </w:trPr>
        <w:tc>
          <w:tcPr>
            <w:tcW w:w="2993" w:type="dxa"/>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7F0AE8"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Clarifier les responsabilités relatives à la gestion des données</w:t>
            </w: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7F0AE8"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Définir les rôles et les responsabilités du DPD et des utilisateurs des données, notamment à l’appui du protocole de partage des données de la CFP</w:t>
            </w:r>
          </w:p>
        </w:tc>
        <w:tc>
          <w:tcPr>
            <w:tcW w:w="3457" w:type="dxa"/>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994ECA"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A</w:t>
            </w:r>
            <w:r w:rsidR="007F0AE8" w:rsidRPr="001A2567">
              <w:rPr>
                <w:rFonts w:ascii="Segoe UI Light" w:eastAsia="Times New Roman" w:hAnsi="Segoe UI Light" w:cs="Segoe UI Light"/>
                <w:color w:val="3C3C3B"/>
                <w:kern w:val="24"/>
                <w:sz w:val="18"/>
                <w:szCs w:val="18"/>
                <w:lang w:eastAsia="en-CA"/>
              </w:rPr>
              <w:t>vril à mai 2019</w:t>
            </w:r>
          </w:p>
        </w:tc>
      </w:tr>
      <w:tr w:rsidR="007F0AE8" w:rsidRPr="001A2567" w:rsidTr="00E0788E">
        <w:trPr>
          <w:trHeight w:val="449"/>
          <w:jc w:val="center"/>
        </w:trPr>
        <w:tc>
          <w:tcPr>
            <w:tcW w:w="2993" w:type="dxa"/>
            <w:vMerge w:val="restart"/>
            <w:tcBorders>
              <w:top w:val="nil"/>
              <w:left w:val="nil"/>
              <w:right w:val="nil"/>
            </w:tcBorders>
            <w:shd w:val="clear" w:color="auto" w:fill="F9F5F9"/>
            <w:tcMar>
              <w:top w:w="72" w:type="dxa"/>
              <w:left w:w="144" w:type="dxa"/>
              <w:bottom w:w="72" w:type="dxa"/>
              <w:right w:w="144" w:type="dxa"/>
            </w:tcMar>
            <w:vAlign w:val="center"/>
            <w:hideMark/>
          </w:tcPr>
          <w:p w:rsidR="007F0AE8" w:rsidRPr="001A2567" w:rsidRDefault="007F0AE8"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 xml:space="preserve">Évaluer la situation actuelle </w:t>
            </w:r>
          </w:p>
        </w:tc>
        <w:tc>
          <w:tcPr>
            <w:tcW w:w="4944" w:type="dxa"/>
            <w:gridSpan w:val="2"/>
            <w:tcBorders>
              <w:top w:val="nil"/>
              <w:left w:val="nil"/>
              <w:bottom w:val="nil"/>
              <w:right w:val="nil"/>
            </w:tcBorders>
            <w:shd w:val="clear" w:color="auto" w:fill="F9F5F9"/>
            <w:tcMar>
              <w:top w:w="72" w:type="dxa"/>
              <w:left w:w="144" w:type="dxa"/>
              <w:bottom w:w="72" w:type="dxa"/>
              <w:right w:w="144" w:type="dxa"/>
            </w:tcMar>
            <w:vAlign w:val="center"/>
            <w:hideMark/>
          </w:tcPr>
          <w:p w:rsidR="007F0AE8" w:rsidRPr="001A2567" w:rsidRDefault="007F0AE8" w:rsidP="00E0788E">
            <w:pPr>
              <w:keepLines w:val="0"/>
              <w:spacing w:before="60"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 xml:space="preserve">Évaluer les risques liés aux données de la CFP/première auto-évaluation </w:t>
            </w:r>
          </w:p>
        </w:tc>
        <w:tc>
          <w:tcPr>
            <w:tcW w:w="3457" w:type="dxa"/>
            <w:tcBorders>
              <w:top w:val="nil"/>
              <w:left w:val="nil"/>
              <w:bottom w:val="nil"/>
              <w:right w:val="nil"/>
            </w:tcBorders>
            <w:shd w:val="clear" w:color="auto" w:fill="F9F5F9"/>
            <w:tcMar>
              <w:top w:w="72" w:type="dxa"/>
              <w:left w:w="144" w:type="dxa"/>
              <w:bottom w:w="72" w:type="dxa"/>
              <w:right w:w="144" w:type="dxa"/>
            </w:tcMar>
            <w:vAlign w:val="center"/>
            <w:hideMark/>
          </w:tcPr>
          <w:p w:rsidR="007F0AE8" w:rsidRPr="001A2567" w:rsidRDefault="00994ECA"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M</w:t>
            </w:r>
            <w:r w:rsidR="007F0AE8" w:rsidRPr="001A2567">
              <w:rPr>
                <w:rFonts w:ascii="Segoe UI Light" w:eastAsia="Times New Roman" w:hAnsi="Segoe UI Light" w:cs="Segoe UI Light"/>
                <w:color w:val="3C3C3B"/>
                <w:kern w:val="24"/>
                <w:sz w:val="18"/>
                <w:szCs w:val="18"/>
                <w:lang w:eastAsia="en-CA"/>
              </w:rPr>
              <w:t>ai à août 2019 et septembre 2019 à janvier 2020</w:t>
            </w:r>
          </w:p>
        </w:tc>
      </w:tr>
      <w:tr w:rsidR="007F0AE8" w:rsidRPr="001A2567" w:rsidTr="00E0788E">
        <w:trPr>
          <w:trHeight w:val="449"/>
          <w:jc w:val="center"/>
        </w:trPr>
        <w:tc>
          <w:tcPr>
            <w:tcW w:w="2993" w:type="dxa"/>
            <w:vMerge/>
            <w:tcBorders>
              <w:left w:val="nil"/>
              <w:right w:val="nil"/>
            </w:tcBorders>
            <w:shd w:val="clear" w:color="auto" w:fill="F9F5F9"/>
            <w:tcMar>
              <w:top w:w="72" w:type="dxa"/>
              <w:left w:w="144" w:type="dxa"/>
              <w:bottom w:w="72" w:type="dxa"/>
              <w:right w:w="144" w:type="dxa"/>
            </w:tcMar>
            <w:vAlign w:val="center"/>
            <w:hideMark/>
          </w:tcPr>
          <w:p w:rsidR="007F0AE8" w:rsidRPr="001A2567" w:rsidRDefault="007F0AE8" w:rsidP="00E0788E">
            <w:pPr>
              <w:keepLines w:val="0"/>
              <w:spacing w:after="0" w:line="240" w:lineRule="auto"/>
              <w:rPr>
                <w:rFonts w:ascii="Segoe UI Light" w:eastAsia="Times New Roman" w:hAnsi="Segoe UI Light" w:cs="Segoe UI Light"/>
                <w:color w:val="auto"/>
                <w:sz w:val="18"/>
                <w:szCs w:val="18"/>
                <w:lang w:eastAsia="en-CA"/>
              </w:rPr>
            </w:pPr>
          </w:p>
        </w:tc>
        <w:tc>
          <w:tcPr>
            <w:tcW w:w="4944" w:type="dxa"/>
            <w:gridSpan w:val="2"/>
            <w:tcBorders>
              <w:top w:val="nil"/>
              <w:left w:val="nil"/>
              <w:bottom w:val="nil"/>
              <w:right w:val="nil"/>
            </w:tcBorders>
            <w:shd w:val="clear" w:color="auto" w:fill="F9F5F9"/>
            <w:tcMar>
              <w:top w:w="72" w:type="dxa"/>
              <w:left w:w="144" w:type="dxa"/>
              <w:bottom w:w="72" w:type="dxa"/>
              <w:right w:w="144" w:type="dxa"/>
            </w:tcMar>
            <w:vAlign w:val="center"/>
            <w:hideMark/>
          </w:tcPr>
          <w:p w:rsidR="007F0AE8" w:rsidRPr="001A2567" w:rsidRDefault="007F0AE8" w:rsidP="00E0788E">
            <w:pPr>
              <w:keepLines w:val="0"/>
              <w:spacing w:before="60"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Effectuer un diagnostic de la maturité en gestion de données de la CFP / première auto-évaluation</w:t>
            </w:r>
          </w:p>
        </w:tc>
        <w:tc>
          <w:tcPr>
            <w:tcW w:w="3457" w:type="dxa"/>
            <w:tcBorders>
              <w:top w:val="nil"/>
              <w:left w:val="nil"/>
              <w:bottom w:val="nil"/>
              <w:right w:val="nil"/>
            </w:tcBorders>
            <w:shd w:val="clear" w:color="auto" w:fill="F9F5F9"/>
            <w:tcMar>
              <w:top w:w="72" w:type="dxa"/>
              <w:left w:w="144" w:type="dxa"/>
              <w:bottom w:w="72" w:type="dxa"/>
              <w:right w:w="144" w:type="dxa"/>
            </w:tcMar>
            <w:vAlign w:val="center"/>
            <w:hideMark/>
          </w:tcPr>
          <w:p w:rsidR="007F0AE8" w:rsidRPr="001A2567" w:rsidRDefault="00994ECA"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M</w:t>
            </w:r>
            <w:r w:rsidR="007F0AE8" w:rsidRPr="001A2567">
              <w:rPr>
                <w:rFonts w:ascii="Segoe UI Light" w:eastAsia="Times New Roman" w:hAnsi="Segoe UI Light" w:cs="Segoe UI Light"/>
                <w:color w:val="3C3C3B"/>
                <w:kern w:val="24"/>
                <w:sz w:val="18"/>
                <w:szCs w:val="18"/>
                <w:lang w:eastAsia="en-CA"/>
              </w:rPr>
              <w:t>ai à août 2019 et septembre 2019 à janvier 2020</w:t>
            </w:r>
          </w:p>
        </w:tc>
      </w:tr>
      <w:tr w:rsidR="007F0AE8" w:rsidRPr="001A2567" w:rsidTr="00E0788E">
        <w:trPr>
          <w:trHeight w:val="281"/>
          <w:jc w:val="center"/>
        </w:trPr>
        <w:tc>
          <w:tcPr>
            <w:tcW w:w="2993" w:type="dxa"/>
            <w:vMerge/>
            <w:tcBorders>
              <w:left w:val="nil"/>
              <w:right w:val="nil"/>
            </w:tcBorders>
            <w:shd w:val="clear" w:color="auto" w:fill="F9F5F9"/>
            <w:tcMar>
              <w:top w:w="72" w:type="dxa"/>
              <w:left w:w="144" w:type="dxa"/>
              <w:bottom w:w="72" w:type="dxa"/>
              <w:right w:w="144" w:type="dxa"/>
            </w:tcMar>
            <w:vAlign w:val="center"/>
            <w:hideMark/>
          </w:tcPr>
          <w:p w:rsidR="007F0AE8" w:rsidRPr="001A2567" w:rsidRDefault="007F0AE8" w:rsidP="00E0788E">
            <w:pPr>
              <w:keepLines w:val="0"/>
              <w:spacing w:after="0" w:line="240" w:lineRule="auto"/>
              <w:rPr>
                <w:rFonts w:ascii="Segoe UI Light" w:eastAsia="Times New Roman" w:hAnsi="Segoe UI Light" w:cs="Segoe UI Light"/>
                <w:color w:val="auto"/>
                <w:sz w:val="18"/>
                <w:szCs w:val="18"/>
                <w:lang w:eastAsia="en-CA"/>
              </w:rPr>
            </w:pPr>
          </w:p>
        </w:tc>
        <w:tc>
          <w:tcPr>
            <w:tcW w:w="4944" w:type="dxa"/>
            <w:gridSpan w:val="2"/>
            <w:tcBorders>
              <w:top w:val="nil"/>
              <w:left w:val="nil"/>
              <w:bottom w:val="nil"/>
              <w:right w:val="nil"/>
            </w:tcBorders>
            <w:shd w:val="clear" w:color="auto" w:fill="F9F5F9"/>
            <w:tcMar>
              <w:top w:w="72" w:type="dxa"/>
              <w:left w:w="144" w:type="dxa"/>
              <w:bottom w:w="72" w:type="dxa"/>
              <w:right w:w="144" w:type="dxa"/>
            </w:tcMar>
            <w:vAlign w:val="center"/>
            <w:hideMark/>
          </w:tcPr>
          <w:p w:rsidR="007F0AE8" w:rsidRPr="001A2567" w:rsidRDefault="007F0AE8" w:rsidP="00E0788E">
            <w:pPr>
              <w:keepLines w:val="0"/>
              <w:spacing w:before="60"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Élaborer des plans d’action/stratégies d’atténuation</w:t>
            </w:r>
          </w:p>
        </w:tc>
        <w:tc>
          <w:tcPr>
            <w:tcW w:w="3457" w:type="dxa"/>
            <w:tcBorders>
              <w:top w:val="nil"/>
              <w:left w:val="nil"/>
              <w:bottom w:val="nil"/>
              <w:right w:val="nil"/>
            </w:tcBorders>
            <w:shd w:val="clear" w:color="auto" w:fill="F9F5F9"/>
            <w:tcMar>
              <w:top w:w="72" w:type="dxa"/>
              <w:left w:w="144" w:type="dxa"/>
              <w:bottom w:w="72" w:type="dxa"/>
              <w:right w:w="144" w:type="dxa"/>
            </w:tcMar>
            <w:vAlign w:val="center"/>
            <w:hideMark/>
          </w:tcPr>
          <w:p w:rsidR="007F0AE8" w:rsidRPr="001A2567" w:rsidRDefault="00994ECA"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J</w:t>
            </w:r>
            <w:r w:rsidR="007F0AE8" w:rsidRPr="001A2567">
              <w:rPr>
                <w:rFonts w:ascii="Segoe UI Light" w:eastAsia="Times New Roman" w:hAnsi="Segoe UI Light" w:cs="Segoe UI Light"/>
                <w:color w:val="3C3C3B"/>
                <w:kern w:val="24"/>
                <w:sz w:val="18"/>
                <w:szCs w:val="18"/>
                <w:lang w:eastAsia="en-CA"/>
              </w:rPr>
              <w:t>anvier à mars 2020</w:t>
            </w:r>
          </w:p>
        </w:tc>
      </w:tr>
      <w:tr w:rsidR="007F0AE8" w:rsidRPr="001A2567" w:rsidTr="00E0788E">
        <w:trPr>
          <w:trHeight w:val="281"/>
          <w:jc w:val="center"/>
        </w:trPr>
        <w:tc>
          <w:tcPr>
            <w:tcW w:w="2993" w:type="dxa"/>
            <w:vMerge/>
            <w:tcBorders>
              <w:left w:val="nil"/>
              <w:bottom w:val="nil"/>
              <w:right w:val="nil"/>
            </w:tcBorders>
            <w:shd w:val="clear" w:color="auto" w:fill="F9F5F9"/>
            <w:tcMar>
              <w:top w:w="72" w:type="dxa"/>
              <w:left w:w="144" w:type="dxa"/>
              <w:bottom w:w="72" w:type="dxa"/>
              <w:right w:w="144" w:type="dxa"/>
            </w:tcMar>
            <w:vAlign w:val="center"/>
            <w:hideMark/>
          </w:tcPr>
          <w:p w:rsidR="007F0AE8" w:rsidRPr="001A2567" w:rsidRDefault="007F0AE8" w:rsidP="00E0788E">
            <w:pPr>
              <w:keepLines w:val="0"/>
              <w:spacing w:after="0" w:line="240" w:lineRule="auto"/>
              <w:rPr>
                <w:rFonts w:ascii="Segoe UI Light" w:eastAsia="Times New Roman" w:hAnsi="Segoe UI Light" w:cs="Segoe UI Light"/>
                <w:color w:val="auto"/>
                <w:sz w:val="18"/>
                <w:szCs w:val="18"/>
                <w:lang w:eastAsia="en-CA"/>
              </w:rPr>
            </w:pPr>
          </w:p>
        </w:tc>
        <w:tc>
          <w:tcPr>
            <w:tcW w:w="4944" w:type="dxa"/>
            <w:gridSpan w:val="2"/>
            <w:tcBorders>
              <w:top w:val="nil"/>
              <w:left w:val="nil"/>
              <w:bottom w:val="nil"/>
              <w:right w:val="nil"/>
            </w:tcBorders>
            <w:shd w:val="clear" w:color="auto" w:fill="F9F5F9"/>
            <w:tcMar>
              <w:top w:w="72" w:type="dxa"/>
              <w:left w:w="144" w:type="dxa"/>
              <w:bottom w:w="72" w:type="dxa"/>
              <w:right w:w="144" w:type="dxa"/>
            </w:tcMar>
            <w:vAlign w:val="center"/>
            <w:hideMark/>
          </w:tcPr>
          <w:p w:rsidR="007F0AE8" w:rsidRPr="001A2567" w:rsidRDefault="007F0AE8" w:rsidP="00E0788E">
            <w:pPr>
              <w:keepLines w:val="0"/>
              <w:spacing w:before="60"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Examiner les énoncés de confidentialité</w:t>
            </w:r>
          </w:p>
        </w:tc>
        <w:tc>
          <w:tcPr>
            <w:tcW w:w="3457" w:type="dxa"/>
            <w:tcBorders>
              <w:top w:val="nil"/>
              <w:left w:val="nil"/>
              <w:bottom w:val="nil"/>
              <w:right w:val="nil"/>
            </w:tcBorders>
            <w:shd w:val="clear" w:color="auto" w:fill="F9F5F9"/>
            <w:tcMar>
              <w:top w:w="72" w:type="dxa"/>
              <w:left w:w="144" w:type="dxa"/>
              <w:bottom w:w="72" w:type="dxa"/>
              <w:right w:w="144" w:type="dxa"/>
            </w:tcMar>
            <w:vAlign w:val="center"/>
            <w:hideMark/>
          </w:tcPr>
          <w:p w:rsidR="007F0AE8" w:rsidRPr="001A2567" w:rsidRDefault="00994ECA"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D</w:t>
            </w:r>
            <w:r w:rsidR="007F0AE8" w:rsidRPr="001A2567">
              <w:rPr>
                <w:rFonts w:ascii="Segoe UI Light" w:eastAsia="Times New Roman" w:hAnsi="Segoe UI Light" w:cs="Segoe UI Light"/>
                <w:color w:val="3C3C3B"/>
                <w:kern w:val="24"/>
                <w:sz w:val="18"/>
                <w:szCs w:val="18"/>
                <w:lang w:eastAsia="en-CA"/>
              </w:rPr>
              <w:t>écembre 2019 à avril 2020</w:t>
            </w:r>
          </w:p>
        </w:tc>
      </w:tr>
      <w:tr w:rsidR="007F0AE8" w:rsidRPr="001A2567" w:rsidTr="00E0788E">
        <w:trPr>
          <w:trHeight w:val="281"/>
          <w:jc w:val="center"/>
        </w:trPr>
        <w:tc>
          <w:tcPr>
            <w:tcW w:w="2993" w:type="dxa"/>
            <w:vMerge w:val="restart"/>
            <w:tcBorders>
              <w:top w:val="nil"/>
              <w:left w:val="nil"/>
              <w:right w:val="nil"/>
            </w:tcBorders>
            <w:shd w:val="clear" w:color="auto" w:fill="EEE1EF"/>
            <w:tcMar>
              <w:top w:w="72" w:type="dxa"/>
              <w:left w:w="144" w:type="dxa"/>
              <w:bottom w:w="72" w:type="dxa"/>
              <w:right w:w="144" w:type="dxa"/>
            </w:tcMar>
            <w:vAlign w:val="center"/>
            <w:hideMark/>
          </w:tcPr>
          <w:p w:rsidR="007F0AE8" w:rsidRPr="001A2567" w:rsidRDefault="007F0AE8"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Planifier</w:t>
            </w: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7F0AE8"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Élaborer un cadre de mesure des résultats</w:t>
            </w:r>
          </w:p>
        </w:tc>
        <w:tc>
          <w:tcPr>
            <w:tcW w:w="3457" w:type="dxa"/>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994ECA"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A</w:t>
            </w:r>
            <w:r w:rsidR="007F0AE8" w:rsidRPr="001A2567">
              <w:rPr>
                <w:rFonts w:ascii="Segoe UI Light" w:eastAsia="Times New Roman" w:hAnsi="Segoe UI Light" w:cs="Segoe UI Light"/>
                <w:color w:val="3C3C3B"/>
                <w:kern w:val="24"/>
                <w:sz w:val="18"/>
                <w:szCs w:val="18"/>
                <w:lang w:eastAsia="en-CA"/>
              </w:rPr>
              <w:t xml:space="preserve">vril à août 2019 </w:t>
            </w:r>
          </w:p>
        </w:tc>
      </w:tr>
      <w:tr w:rsidR="007F0AE8" w:rsidRPr="001A2567" w:rsidTr="00E0788E">
        <w:trPr>
          <w:trHeight w:val="449"/>
          <w:jc w:val="center"/>
        </w:trPr>
        <w:tc>
          <w:tcPr>
            <w:tcW w:w="2993" w:type="dxa"/>
            <w:vMerge/>
            <w:tcBorders>
              <w:left w:val="nil"/>
              <w:right w:val="nil"/>
            </w:tcBorders>
            <w:shd w:val="clear" w:color="auto" w:fill="EEE1EF"/>
            <w:tcMar>
              <w:top w:w="72" w:type="dxa"/>
              <w:left w:w="144" w:type="dxa"/>
              <w:bottom w:w="72" w:type="dxa"/>
              <w:right w:w="144" w:type="dxa"/>
            </w:tcMar>
            <w:vAlign w:val="center"/>
          </w:tcPr>
          <w:p w:rsidR="007F0AE8" w:rsidRPr="001A2567" w:rsidRDefault="007F0AE8" w:rsidP="00E0788E">
            <w:pPr>
              <w:keepLines w:val="0"/>
              <w:spacing w:after="0" w:line="240" w:lineRule="auto"/>
              <w:rPr>
                <w:rFonts w:ascii="Segoe UI Light" w:eastAsia="Times New Roman" w:hAnsi="Segoe UI Light" w:cs="Segoe UI Light"/>
                <w:color w:val="auto"/>
                <w:sz w:val="18"/>
                <w:szCs w:val="18"/>
                <w:lang w:eastAsia="en-CA"/>
              </w:rPr>
            </w:pP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7F0AE8"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Élaborer une stratégie de gestion du changement/de communications</w:t>
            </w:r>
          </w:p>
        </w:tc>
        <w:tc>
          <w:tcPr>
            <w:tcW w:w="3457" w:type="dxa"/>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994ECA"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J</w:t>
            </w:r>
            <w:r w:rsidR="007F0AE8" w:rsidRPr="001A2567">
              <w:rPr>
                <w:rFonts w:ascii="Segoe UI Light" w:eastAsia="Times New Roman" w:hAnsi="Segoe UI Light" w:cs="Segoe UI Light"/>
                <w:color w:val="3C3C3B"/>
                <w:kern w:val="24"/>
                <w:sz w:val="18"/>
                <w:szCs w:val="18"/>
                <w:lang w:eastAsia="en-CA"/>
              </w:rPr>
              <w:t>uin à décembre 2019</w:t>
            </w:r>
          </w:p>
        </w:tc>
      </w:tr>
      <w:tr w:rsidR="007F0AE8" w:rsidRPr="001A2567" w:rsidTr="00E0788E">
        <w:trPr>
          <w:trHeight w:val="449"/>
          <w:jc w:val="center"/>
        </w:trPr>
        <w:tc>
          <w:tcPr>
            <w:tcW w:w="2993" w:type="dxa"/>
            <w:vMerge/>
            <w:tcBorders>
              <w:left w:val="nil"/>
              <w:right w:val="nil"/>
            </w:tcBorders>
            <w:shd w:val="clear" w:color="auto" w:fill="EEE1EF"/>
            <w:tcMar>
              <w:top w:w="72" w:type="dxa"/>
              <w:left w:w="144" w:type="dxa"/>
              <w:bottom w:w="72" w:type="dxa"/>
              <w:right w:w="144" w:type="dxa"/>
            </w:tcMar>
            <w:vAlign w:val="center"/>
          </w:tcPr>
          <w:p w:rsidR="007F0AE8" w:rsidRPr="001A2567" w:rsidRDefault="007F0AE8" w:rsidP="00E0788E">
            <w:pPr>
              <w:keepLines w:val="0"/>
              <w:spacing w:after="0" w:line="240" w:lineRule="auto"/>
              <w:rPr>
                <w:rFonts w:ascii="Segoe UI Light" w:eastAsia="Times New Roman" w:hAnsi="Segoe UI Light" w:cs="Segoe UI Light"/>
                <w:color w:val="auto"/>
                <w:sz w:val="18"/>
                <w:szCs w:val="18"/>
                <w:lang w:eastAsia="en-CA"/>
              </w:rPr>
            </w:pP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7F0AE8"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Dresser une liste ministérielle des ententes de partage de données</w:t>
            </w:r>
          </w:p>
        </w:tc>
        <w:tc>
          <w:tcPr>
            <w:tcW w:w="3457" w:type="dxa"/>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994ECA"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J</w:t>
            </w:r>
            <w:r w:rsidR="007F0AE8" w:rsidRPr="001A2567">
              <w:rPr>
                <w:rFonts w:ascii="Segoe UI Light" w:eastAsia="Times New Roman" w:hAnsi="Segoe UI Light" w:cs="Segoe UI Light"/>
                <w:color w:val="3C3C3B"/>
                <w:kern w:val="24"/>
                <w:sz w:val="18"/>
                <w:szCs w:val="18"/>
                <w:lang w:eastAsia="en-CA"/>
              </w:rPr>
              <w:t>uillet à septembre 2019</w:t>
            </w:r>
          </w:p>
        </w:tc>
      </w:tr>
      <w:tr w:rsidR="007F0AE8" w:rsidRPr="001A2567" w:rsidTr="00E0788E">
        <w:trPr>
          <w:trHeight w:val="449"/>
          <w:jc w:val="center"/>
        </w:trPr>
        <w:tc>
          <w:tcPr>
            <w:tcW w:w="2993" w:type="dxa"/>
            <w:vMerge/>
            <w:tcBorders>
              <w:left w:val="nil"/>
              <w:right w:val="nil"/>
            </w:tcBorders>
            <w:shd w:val="clear" w:color="auto" w:fill="EEE1EF"/>
            <w:tcMar>
              <w:top w:w="72" w:type="dxa"/>
              <w:left w:w="144" w:type="dxa"/>
              <w:bottom w:w="72" w:type="dxa"/>
              <w:right w:w="144" w:type="dxa"/>
            </w:tcMar>
            <w:vAlign w:val="center"/>
          </w:tcPr>
          <w:p w:rsidR="007F0AE8" w:rsidRPr="001A2567" w:rsidRDefault="007F0AE8" w:rsidP="00E0788E">
            <w:pPr>
              <w:keepLines w:val="0"/>
              <w:spacing w:after="0" w:line="240" w:lineRule="auto"/>
              <w:rPr>
                <w:rFonts w:ascii="Segoe UI Light" w:eastAsia="Times New Roman" w:hAnsi="Segoe UI Light" w:cs="Segoe UI Light"/>
                <w:color w:val="auto"/>
                <w:sz w:val="18"/>
                <w:szCs w:val="18"/>
                <w:lang w:eastAsia="en-CA"/>
              </w:rPr>
            </w:pP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7F0AE8"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Créer des modèles et des lignes directrices pour l’échange de données à l’intérieur et à l’extérieur de la CFP</w:t>
            </w:r>
          </w:p>
        </w:tc>
        <w:tc>
          <w:tcPr>
            <w:tcW w:w="3457" w:type="dxa"/>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994ECA"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J</w:t>
            </w:r>
            <w:r w:rsidR="007F0AE8" w:rsidRPr="001A2567">
              <w:rPr>
                <w:rFonts w:ascii="Segoe UI Light" w:eastAsia="Times New Roman" w:hAnsi="Segoe UI Light" w:cs="Segoe UI Light"/>
                <w:color w:val="3C3C3B"/>
                <w:kern w:val="24"/>
                <w:sz w:val="18"/>
                <w:szCs w:val="18"/>
                <w:lang w:eastAsia="en-CA"/>
              </w:rPr>
              <w:t>uillet 2019 à janvier 2020</w:t>
            </w:r>
          </w:p>
        </w:tc>
      </w:tr>
      <w:tr w:rsidR="007F0AE8" w:rsidRPr="001A2567" w:rsidTr="00E0788E">
        <w:trPr>
          <w:trHeight w:val="449"/>
          <w:jc w:val="center"/>
        </w:trPr>
        <w:tc>
          <w:tcPr>
            <w:tcW w:w="2993" w:type="dxa"/>
            <w:vMerge/>
            <w:tcBorders>
              <w:left w:val="nil"/>
              <w:bottom w:val="nil"/>
              <w:right w:val="nil"/>
            </w:tcBorders>
            <w:shd w:val="clear" w:color="auto" w:fill="EEE1EF"/>
            <w:tcMar>
              <w:top w:w="72" w:type="dxa"/>
              <w:left w:w="144" w:type="dxa"/>
              <w:bottom w:w="72" w:type="dxa"/>
              <w:right w:w="144" w:type="dxa"/>
            </w:tcMar>
            <w:vAlign w:val="center"/>
            <w:hideMark/>
          </w:tcPr>
          <w:p w:rsidR="007F0AE8" w:rsidRPr="001A2567" w:rsidRDefault="007F0AE8" w:rsidP="00E0788E">
            <w:pPr>
              <w:keepLines w:val="0"/>
              <w:spacing w:after="0" w:line="240" w:lineRule="auto"/>
              <w:rPr>
                <w:rFonts w:ascii="Segoe UI Light" w:eastAsia="Times New Roman" w:hAnsi="Segoe UI Light" w:cs="Segoe UI Light"/>
                <w:color w:val="auto"/>
                <w:sz w:val="18"/>
                <w:szCs w:val="18"/>
                <w:lang w:eastAsia="en-CA"/>
              </w:rPr>
            </w:pP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7F0AE8"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Mettre en œuvre des mécanismes visant à atténuer le double emploi de fonds de données</w:t>
            </w:r>
          </w:p>
        </w:tc>
        <w:tc>
          <w:tcPr>
            <w:tcW w:w="3457" w:type="dxa"/>
            <w:tcBorders>
              <w:top w:val="nil"/>
              <w:left w:val="nil"/>
              <w:bottom w:val="nil"/>
              <w:right w:val="nil"/>
            </w:tcBorders>
            <w:shd w:val="clear" w:color="auto" w:fill="EEE1EF"/>
            <w:tcMar>
              <w:top w:w="72" w:type="dxa"/>
              <w:left w:w="144" w:type="dxa"/>
              <w:bottom w:w="72" w:type="dxa"/>
              <w:right w:w="144" w:type="dxa"/>
            </w:tcMar>
            <w:vAlign w:val="center"/>
            <w:hideMark/>
          </w:tcPr>
          <w:p w:rsidR="007F0AE8" w:rsidRPr="001A2567" w:rsidRDefault="00994ECA"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D</w:t>
            </w:r>
            <w:r w:rsidR="007F0AE8" w:rsidRPr="001A2567">
              <w:rPr>
                <w:rFonts w:ascii="Segoe UI Light" w:eastAsia="Times New Roman" w:hAnsi="Segoe UI Light" w:cs="Segoe UI Light"/>
                <w:color w:val="3C3C3B"/>
                <w:kern w:val="24"/>
                <w:sz w:val="18"/>
                <w:szCs w:val="18"/>
                <w:lang w:eastAsia="en-CA"/>
              </w:rPr>
              <w:t>écembre 2019 à avril 2020</w:t>
            </w:r>
          </w:p>
        </w:tc>
      </w:tr>
    </w:tbl>
    <w:p w:rsidR="00077877" w:rsidRPr="001A2567" w:rsidRDefault="00077877" w:rsidP="00E0788E">
      <w:pPr>
        <w:pStyle w:val="Heading2"/>
        <w:spacing w:before="240"/>
        <w:rPr>
          <w:rFonts w:eastAsia="Times New Roman"/>
        </w:rPr>
      </w:pPr>
      <w:r w:rsidRPr="00D9399C">
        <w:rPr>
          <w:rFonts w:eastAsia="Times New Roman"/>
        </w:rPr>
        <w:t>PRIORITÉS DE LA PHASE 1 : ÉTABLIR LES BASES – INFRASTRUCTURE DES DONNÉES</w:t>
      </w:r>
    </w:p>
    <w:tbl>
      <w:tblPr>
        <w:tblW w:w="11396" w:type="dxa"/>
        <w:jc w:val="center"/>
        <w:tblCellMar>
          <w:left w:w="0" w:type="dxa"/>
          <w:right w:w="0" w:type="dxa"/>
        </w:tblCellMar>
        <w:tblLook w:val="04A0" w:firstRow="1" w:lastRow="0" w:firstColumn="1" w:lastColumn="0" w:noHBand="0" w:noVBand="1"/>
        <w:tblCaption w:val="Priorités de la phase 1: établir les bases infrastructure des données"/>
        <w:tblDescription w:val="Énumération des principales actions, activités et échéanciers proposés."/>
      </w:tblPr>
      <w:tblGrid>
        <w:gridCol w:w="7938"/>
        <w:gridCol w:w="3458"/>
      </w:tblGrid>
      <w:tr w:rsidR="00263F5B" w:rsidRPr="001A2567" w:rsidTr="00263F5B">
        <w:trPr>
          <w:trHeight w:val="281"/>
          <w:tblHeader/>
          <w:jc w:val="center"/>
        </w:trPr>
        <w:tc>
          <w:tcPr>
            <w:tcW w:w="7938" w:type="dxa"/>
            <w:tcBorders>
              <w:top w:val="nil"/>
              <w:left w:val="nil"/>
              <w:right w:val="nil"/>
            </w:tcBorders>
            <w:shd w:val="clear" w:color="auto" w:fill="5B315E"/>
            <w:vAlign w:val="center"/>
          </w:tcPr>
          <w:p w:rsidR="00263F5B" w:rsidRPr="001A2567" w:rsidRDefault="00263F5B" w:rsidP="00E0788E">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Activités</w:t>
            </w:r>
          </w:p>
        </w:tc>
        <w:tc>
          <w:tcPr>
            <w:tcW w:w="3458" w:type="dxa"/>
            <w:tcBorders>
              <w:top w:val="nil"/>
              <w:left w:val="nil"/>
              <w:right w:val="nil"/>
            </w:tcBorders>
            <w:shd w:val="clear" w:color="auto" w:fill="5B315E"/>
            <w:vAlign w:val="center"/>
          </w:tcPr>
          <w:p w:rsidR="00263F5B" w:rsidRPr="001A2567" w:rsidRDefault="00263F5B" w:rsidP="00E0788E">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Échéancier</w:t>
            </w:r>
          </w:p>
        </w:tc>
      </w:tr>
      <w:tr w:rsidR="00077877" w:rsidRPr="001A2567" w:rsidTr="00263F5B">
        <w:trPr>
          <w:trHeight w:val="281"/>
          <w:jc w:val="center"/>
        </w:trPr>
        <w:tc>
          <w:tcPr>
            <w:tcW w:w="7938" w:type="dxa"/>
            <w:tcBorders>
              <w:top w:val="nil"/>
              <w:left w:val="nil"/>
              <w:bottom w:val="nil"/>
              <w:right w:val="nil"/>
            </w:tcBorders>
            <w:shd w:val="clear" w:color="auto" w:fill="F9F5F9"/>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Entreprendre une étude de faisabilité pour un lac de données – SGIP</w:t>
            </w:r>
          </w:p>
        </w:tc>
        <w:tc>
          <w:tcPr>
            <w:tcW w:w="3458" w:type="dxa"/>
            <w:tcBorders>
              <w:top w:val="nil"/>
              <w:left w:val="nil"/>
              <w:bottom w:val="nil"/>
              <w:right w:val="nil"/>
            </w:tcBorders>
            <w:shd w:val="clear" w:color="auto" w:fill="F9F5F9"/>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M</w:t>
            </w:r>
            <w:r w:rsidRPr="001A2567">
              <w:rPr>
                <w:rFonts w:ascii="Segoe UI Light" w:eastAsia="Times New Roman" w:hAnsi="Segoe UI Light" w:cs="Segoe UI Light"/>
                <w:color w:val="3C3C3B"/>
                <w:kern w:val="24"/>
                <w:sz w:val="18"/>
                <w:szCs w:val="18"/>
                <w:lang w:eastAsia="en-CA"/>
              </w:rPr>
              <w:t>ars à juillet 2019</w:t>
            </w:r>
          </w:p>
        </w:tc>
      </w:tr>
      <w:tr w:rsidR="00077877" w:rsidRPr="001A2567" w:rsidTr="00263F5B">
        <w:trPr>
          <w:trHeight w:val="281"/>
          <w:jc w:val="center"/>
        </w:trPr>
        <w:tc>
          <w:tcPr>
            <w:tcW w:w="7938" w:type="dxa"/>
            <w:tcBorders>
              <w:top w:val="nil"/>
              <w:left w:val="nil"/>
              <w:bottom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3C3C3B"/>
                <w:kern w:val="24"/>
                <w:sz w:val="18"/>
                <w:szCs w:val="18"/>
                <w:lang w:eastAsia="en-CA"/>
              </w:rPr>
              <w:t>Entreprendre un inventaire des biens de données ministériels de la CFP</w:t>
            </w:r>
          </w:p>
        </w:tc>
        <w:tc>
          <w:tcPr>
            <w:tcW w:w="3458" w:type="dxa"/>
            <w:tcBorders>
              <w:top w:val="nil"/>
              <w:left w:val="nil"/>
              <w:bottom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J</w:t>
            </w:r>
            <w:r w:rsidRPr="001A2567">
              <w:rPr>
                <w:rFonts w:ascii="Segoe UI Light" w:eastAsia="Times New Roman" w:hAnsi="Segoe UI Light" w:cs="Segoe UI Light"/>
                <w:color w:val="3C3C3B"/>
                <w:kern w:val="24"/>
                <w:sz w:val="18"/>
                <w:szCs w:val="18"/>
                <w:lang w:eastAsia="en-CA"/>
              </w:rPr>
              <w:t>uillet 2019 à avril 2020</w:t>
            </w:r>
          </w:p>
        </w:tc>
      </w:tr>
    </w:tbl>
    <w:p w:rsidR="00077877" w:rsidRPr="00077877" w:rsidRDefault="00077877" w:rsidP="00E0788E">
      <w:pPr>
        <w:pStyle w:val="Heading2"/>
        <w:rPr>
          <w:rFonts w:eastAsia="Times New Roman"/>
        </w:rPr>
      </w:pPr>
      <w:r w:rsidRPr="00D9399C">
        <w:rPr>
          <w:rFonts w:eastAsia="Times New Roman"/>
        </w:rPr>
        <w:lastRenderedPageBreak/>
        <w:t>PRIORITÉS DE LA PHASE 1 : ÉTABLIR LES BASES – UTILISATEURS DES DONNÉES</w:t>
      </w:r>
    </w:p>
    <w:tbl>
      <w:tblPr>
        <w:tblW w:w="11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Priorités de la phase 1: établir les bases utilisateurs des données"/>
        <w:tblDescription w:val="Énumération des principales actions, activités et échéanciers proposés."/>
      </w:tblPr>
      <w:tblGrid>
        <w:gridCol w:w="2993"/>
        <w:gridCol w:w="11"/>
        <w:gridCol w:w="4930"/>
        <w:gridCol w:w="3460"/>
      </w:tblGrid>
      <w:tr w:rsidR="00077877" w:rsidRPr="001A2567" w:rsidTr="00263F5B">
        <w:trPr>
          <w:trHeight w:val="281"/>
          <w:tblHeader/>
          <w:jc w:val="center"/>
        </w:trPr>
        <w:tc>
          <w:tcPr>
            <w:tcW w:w="3004" w:type="dxa"/>
            <w:gridSpan w:val="2"/>
            <w:tcBorders>
              <w:top w:val="nil"/>
              <w:left w:val="nil"/>
              <w:bottom w:val="nil"/>
              <w:right w:val="nil"/>
            </w:tcBorders>
            <w:shd w:val="clear" w:color="auto" w:fill="5B315E"/>
            <w:tcMar>
              <w:top w:w="72" w:type="dxa"/>
              <w:left w:w="144" w:type="dxa"/>
              <w:bottom w:w="72" w:type="dxa"/>
              <w:right w:w="144" w:type="dxa"/>
            </w:tcMar>
            <w:vAlign w:val="center"/>
            <w:hideMark/>
          </w:tcPr>
          <w:p w:rsidR="00077877" w:rsidRPr="001A2567" w:rsidRDefault="00077877" w:rsidP="00E0788E">
            <w:pPr>
              <w:keepLines w:val="0"/>
              <w:spacing w:after="0" w:line="240" w:lineRule="auto"/>
              <w:jc w:val="center"/>
              <w:rPr>
                <w:rFonts w:ascii="Segoe UI Light" w:eastAsia="Times New Roman" w:hAnsi="Segoe UI Light" w:cs="Segoe UI Light"/>
                <w:color w:val="auto"/>
                <w:sz w:val="18"/>
                <w:szCs w:val="18"/>
                <w:lang w:eastAsia="en-CA"/>
              </w:rPr>
            </w:pPr>
            <w:r>
              <w:rPr>
                <w:rFonts w:ascii="Segoe UI Light" w:eastAsia="Times New Roman" w:hAnsi="Segoe UI Light" w:cs="Segoe UI Light"/>
                <w:b/>
                <w:bCs/>
                <w:color w:val="FFFFFF"/>
                <w:kern w:val="24"/>
                <w:sz w:val="18"/>
                <w:szCs w:val="18"/>
                <w:lang w:eastAsia="en-CA"/>
              </w:rPr>
              <w:t>Actions</w:t>
            </w:r>
          </w:p>
        </w:tc>
        <w:tc>
          <w:tcPr>
            <w:tcW w:w="4930" w:type="dxa"/>
            <w:tcBorders>
              <w:top w:val="nil"/>
              <w:left w:val="nil"/>
              <w:bottom w:val="nil"/>
              <w:right w:val="nil"/>
            </w:tcBorders>
            <w:shd w:val="clear" w:color="auto" w:fill="5B315E"/>
            <w:vAlign w:val="center"/>
          </w:tcPr>
          <w:p w:rsidR="00077877" w:rsidRPr="0098495E" w:rsidRDefault="00077877" w:rsidP="00E0788E">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Activités</w:t>
            </w:r>
          </w:p>
        </w:tc>
        <w:tc>
          <w:tcPr>
            <w:tcW w:w="3458" w:type="dxa"/>
            <w:tcBorders>
              <w:top w:val="nil"/>
              <w:left w:val="nil"/>
              <w:bottom w:val="nil"/>
              <w:right w:val="nil"/>
            </w:tcBorders>
            <w:shd w:val="clear" w:color="auto" w:fill="5B315E"/>
            <w:vAlign w:val="center"/>
          </w:tcPr>
          <w:p w:rsidR="00077877" w:rsidRPr="0098495E" w:rsidRDefault="00077877" w:rsidP="00E0788E">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Échéancier</w:t>
            </w:r>
          </w:p>
        </w:tc>
      </w:tr>
      <w:tr w:rsidR="00077877" w:rsidRPr="001A2567" w:rsidTr="00263F5B">
        <w:trPr>
          <w:trHeight w:val="618"/>
          <w:jc w:val="center"/>
        </w:trPr>
        <w:tc>
          <w:tcPr>
            <w:tcW w:w="2993" w:type="dxa"/>
            <w:vMerge w:val="restart"/>
            <w:tcBorders>
              <w:top w:val="nil"/>
              <w:left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Évaluer l’état de la littératie des données</w:t>
            </w:r>
          </w:p>
        </w:tc>
        <w:tc>
          <w:tcPr>
            <w:tcW w:w="4941"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Analyser les résultats de l’enquête de référence</w:t>
            </w:r>
          </w:p>
        </w:tc>
        <w:tc>
          <w:tcPr>
            <w:tcW w:w="3460" w:type="dxa"/>
            <w:tcBorders>
              <w:top w:val="nil"/>
              <w:left w:val="nil"/>
              <w:bottom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M</w:t>
            </w:r>
            <w:r w:rsidRPr="001A2567">
              <w:rPr>
                <w:rFonts w:ascii="Segoe UI Light" w:eastAsia="Times New Roman" w:hAnsi="Segoe UI Light" w:cs="Segoe UI Light"/>
                <w:color w:val="3C3C3B"/>
                <w:kern w:val="24"/>
                <w:sz w:val="18"/>
                <w:szCs w:val="18"/>
                <w:lang w:eastAsia="en-CA"/>
              </w:rPr>
              <w:t>ars à avril 2019</w:t>
            </w:r>
          </w:p>
        </w:tc>
      </w:tr>
      <w:tr w:rsidR="00077877" w:rsidRPr="001A2567" w:rsidTr="00263F5B">
        <w:trPr>
          <w:trHeight w:val="449"/>
          <w:jc w:val="center"/>
        </w:trPr>
        <w:tc>
          <w:tcPr>
            <w:tcW w:w="2993" w:type="dxa"/>
            <w:vMerge/>
            <w:tcBorders>
              <w:left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p>
        </w:tc>
        <w:tc>
          <w:tcPr>
            <w:tcW w:w="4941"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before="60"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Élaborer un plan de littératie des données de la CFP</w:t>
            </w:r>
          </w:p>
        </w:tc>
        <w:tc>
          <w:tcPr>
            <w:tcW w:w="3460" w:type="dxa"/>
            <w:tcBorders>
              <w:top w:val="nil"/>
              <w:left w:val="nil"/>
              <w:bottom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A</w:t>
            </w:r>
            <w:r w:rsidRPr="001A2567">
              <w:rPr>
                <w:rFonts w:ascii="Segoe UI Light" w:eastAsia="Times New Roman" w:hAnsi="Segoe UI Light" w:cs="Segoe UI Light"/>
                <w:color w:val="3C3C3B"/>
                <w:kern w:val="24"/>
                <w:sz w:val="18"/>
                <w:szCs w:val="18"/>
                <w:lang w:eastAsia="en-CA"/>
              </w:rPr>
              <w:t>vril à juillet 2019</w:t>
            </w:r>
          </w:p>
        </w:tc>
      </w:tr>
      <w:tr w:rsidR="00077877" w:rsidRPr="001A2567" w:rsidTr="00263F5B">
        <w:trPr>
          <w:trHeight w:val="281"/>
          <w:jc w:val="center"/>
        </w:trPr>
        <w:tc>
          <w:tcPr>
            <w:tcW w:w="2993" w:type="dxa"/>
            <w:vMerge/>
            <w:tcBorders>
              <w:left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p>
        </w:tc>
        <w:tc>
          <w:tcPr>
            <w:tcW w:w="4941"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 xml:space="preserve">Élaborer du matériel de littératie des données (un module à la fois - en commençant avec la qualité des données) </w:t>
            </w:r>
          </w:p>
        </w:tc>
        <w:tc>
          <w:tcPr>
            <w:tcW w:w="3460" w:type="dxa"/>
            <w:tcBorders>
              <w:top w:val="nil"/>
              <w:left w:val="nil"/>
              <w:bottom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J</w:t>
            </w:r>
            <w:r w:rsidRPr="001A2567">
              <w:rPr>
                <w:rFonts w:ascii="Segoe UI Light" w:eastAsia="Times New Roman" w:hAnsi="Segoe UI Light" w:cs="Segoe UI Light"/>
                <w:color w:val="3C3C3B"/>
                <w:kern w:val="24"/>
                <w:sz w:val="18"/>
                <w:szCs w:val="18"/>
                <w:lang w:eastAsia="en-CA"/>
              </w:rPr>
              <w:t>uillet 2019 à janvier 2020</w:t>
            </w:r>
          </w:p>
        </w:tc>
      </w:tr>
      <w:tr w:rsidR="00077877" w:rsidRPr="001A2567" w:rsidTr="00263F5B">
        <w:trPr>
          <w:trHeight w:val="449"/>
          <w:jc w:val="center"/>
        </w:trPr>
        <w:tc>
          <w:tcPr>
            <w:tcW w:w="2993" w:type="dxa"/>
            <w:vMerge/>
            <w:tcBorders>
              <w:left w:val="nil"/>
              <w:bottom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p>
        </w:tc>
        <w:tc>
          <w:tcPr>
            <w:tcW w:w="4941"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Présenter des modules d’apprentissage</w:t>
            </w:r>
          </w:p>
        </w:tc>
        <w:tc>
          <w:tcPr>
            <w:tcW w:w="3460" w:type="dxa"/>
            <w:tcBorders>
              <w:top w:val="nil"/>
              <w:left w:val="nil"/>
              <w:bottom w:val="nil"/>
              <w:right w:val="nil"/>
            </w:tcBorders>
            <w:shd w:val="clear" w:color="auto" w:fill="EEE1EF"/>
            <w:tcMar>
              <w:top w:w="72" w:type="dxa"/>
              <w:left w:w="144" w:type="dxa"/>
              <w:bottom w:w="72" w:type="dxa"/>
              <w:right w:w="144" w:type="dxa"/>
            </w:tcMar>
            <w:vAlign w:val="center"/>
            <w:hideMark/>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3C3C3B"/>
                <w:kern w:val="24"/>
                <w:sz w:val="18"/>
                <w:szCs w:val="18"/>
                <w:lang w:eastAsia="en-CA"/>
              </w:rPr>
              <w:t>O</w:t>
            </w:r>
            <w:r w:rsidRPr="001A2567">
              <w:rPr>
                <w:rFonts w:ascii="Segoe UI Light" w:eastAsia="Times New Roman" w:hAnsi="Segoe UI Light" w:cs="Segoe UI Light"/>
                <w:color w:val="3C3C3B"/>
                <w:kern w:val="24"/>
                <w:sz w:val="18"/>
                <w:szCs w:val="18"/>
                <w:lang w:eastAsia="en-CA"/>
              </w:rPr>
              <w:t>ctobre 2019 à avril 2020</w:t>
            </w:r>
          </w:p>
        </w:tc>
      </w:tr>
      <w:tr w:rsidR="00077877" w:rsidRPr="001A2567" w:rsidTr="00263F5B">
        <w:trPr>
          <w:trHeight w:val="449"/>
          <w:jc w:val="center"/>
        </w:trPr>
        <w:tc>
          <w:tcPr>
            <w:tcW w:w="2993" w:type="dxa"/>
            <w:vMerge w:val="restart"/>
            <w:tcBorders>
              <w:top w:val="nil"/>
              <w:left w:val="nil"/>
              <w:right w:val="nil"/>
            </w:tcBorders>
            <w:shd w:val="clear" w:color="auto" w:fill="F9F5F9"/>
            <w:tcMar>
              <w:top w:w="72" w:type="dxa"/>
              <w:left w:w="144" w:type="dxa"/>
              <w:bottom w:w="72" w:type="dxa"/>
              <w:right w:w="144" w:type="dxa"/>
            </w:tcMar>
            <w:vAlign w:val="center"/>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Diffuser des données de valeur</w:t>
            </w:r>
          </w:p>
        </w:tc>
        <w:tc>
          <w:tcPr>
            <w:tcW w:w="4941" w:type="dxa"/>
            <w:gridSpan w:val="2"/>
            <w:tcBorders>
              <w:top w:val="nil"/>
              <w:left w:val="nil"/>
              <w:bottom w:val="nil"/>
              <w:right w:val="nil"/>
            </w:tcBorders>
            <w:shd w:val="clear" w:color="auto" w:fill="F9F5F9"/>
            <w:tcMar>
              <w:top w:w="72" w:type="dxa"/>
              <w:left w:w="144" w:type="dxa"/>
              <w:bottom w:w="72" w:type="dxa"/>
              <w:right w:w="144" w:type="dxa"/>
            </w:tcMar>
            <w:vAlign w:val="center"/>
          </w:tcPr>
          <w:p w:rsidR="00077877" w:rsidRPr="001A2567" w:rsidRDefault="00077877"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S’engager à fournir des données à valeur ajoutée</w:t>
            </w:r>
          </w:p>
        </w:tc>
        <w:tc>
          <w:tcPr>
            <w:tcW w:w="3460" w:type="dxa"/>
            <w:tcBorders>
              <w:top w:val="nil"/>
              <w:left w:val="nil"/>
              <w:bottom w:val="nil"/>
              <w:right w:val="nil"/>
            </w:tcBorders>
            <w:shd w:val="clear" w:color="auto" w:fill="F9F5F9"/>
            <w:tcMar>
              <w:top w:w="72" w:type="dxa"/>
              <w:left w:w="144" w:type="dxa"/>
              <w:bottom w:w="72" w:type="dxa"/>
              <w:right w:w="144" w:type="dxa"/>
            </w:tcMar>
            <w:vAlign w:val="center"/>
          </w:tcPr>
          <w:p w:rsidR="00077877" w:rsidRPr="001A2567" w:rsidRDefault="00077877" w:rsidP="00E0788E">
            <w:pPr>
              <w:keepLines w:val="0"/>
              <w:spacing w:after="0" w:line="240" w:lineRule="auto"/>
              <w:rPr>
                <w:rFonts w:ascii="Segoe UI Light" w:eastAsia="Times New Roman" w:hAnsi="Segoe UI Light" w:cs="Segoe UI Light"/>
                <w:color w:val="3C3C3B"/>
                <w:kern w:val="24"/>
                <w:sz w:val="18"/>
                <w:szCs w:val="18"/>
                <w:lang w:eastAsia="en-CA"/>
              </w:rPr>
            </w:pPr>
            <w:r>
              <w:rPr>
                <w:rFonts w:ascii="Segoe UI Light" w:eastAsia="Times New Roman" w:hAnsi="Segoe UI Light" w:cs="Segoe UI Light"/>
                <w:color w:val="3C3C3B"/>
                <w:kern w:val="24"/>
                <w:sz w:val="18"/>
                <w:szCs w:val="18"/>
                <w:lang w:eastAsia="en-CA"/>
              </w:rPr>
              <w:t>M</w:t>
            </w:r>
            <w:r w:rsidRPr="001A2567">
              <w:rPr>
                <w:rFonts w:ascii="Segoe UI Light" w:eastAsia="Times New Roman" w:hAnsi="Segoe UI Light" w:cs="Segoe UI Light"/>
                <w:color w:val="3C3C3B"/>
                <w:kern w:val="24"/>
                <w:sz w:val="18"/>
                <w:szCs w:val="18"/>
                <w:lang w:eastAsia="en-CA"/>
              </w:rPr>
              <w:t>ars à septembre 2019</w:t>
            </w:r>
          </w:p>
        </w:tc>
      </w:tr>
      <w:tr w:rsidR="00077877" w:rsidRPr="001A2567" w:rsidTr="00263F5B">
        <w:trPr>
          <w:trHeight w:val="449"/>
          <w:jc w:val="center"/>
        </w:trPr>
        <w:tc>
          <w:tcPr>
            <w:tcW w:w="2993" w:type="dxa"/>
            <w:vMerge/>
            <w:tcBorders>
              <w:left w:val="nil"/>
              <w:bottom w:val="nil"/>
              <w:right w:val="nil"/>
            </w:tcBorders>
            <w:shd w:val="clear" w:color="auto" w:fill="F9F5F9"/>
            <w:tcMar>
              <w:top w:w="72" w:type="dxa"/>
              <w:left w:w="144" w:type="dxa"/>
              <w:bottom w:w="72" w:type="dxa"/>
              <w:right w:w="144" w:type="dxa"/>
            </w:tcMar>
            <w:vAlign w:val="center"/>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p>
        </w:tc>
        <w:tc>
          <w:tcPr>
            <w:tcW w:w="4941" w:type="dxa"/>
            <w:gridSpan w:val="2"/>
            <w:tcBorders>
              <w:top w:val="nil"/>
              <w:left w:val="nil"/>
              <w:bottom w:val="nil"/>
              <w:right w:val="nil"/>
            </w:tcBorders>
            <w:shd w:val="clear" w:color="auto" w:fill="F9F5F9"/>
            <w:tcMar>
              <w:top w:w="72" w:type="dxa"/>
              <w:left w:w="144" w:type="dxa"/>
              <w:bottom w:w="72" w:type="dxa"/>
              <w:right w:w="144" w:type="dxa"/>
            </w:tcMar>
            <w:vAlign w:val="center"/>
          </w:tcPr>
          <w:p w:rsidR="00077877" w:rsidRPr="001A2567" w:rsidRDefault="00077877"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Mettre à jour les ensembles de données ouverts et en diffuser de nouveaux</w:t>
            </w:r>
          </w:p>
        </w:tc>
        <w:tc>
          <w:tcPr>
            <w:tcW w:w="3460" w:type="dxa"/>
            <w:tcBorders>
              <w:top w:val="nil"/>
              <w:left w:val="nil"/>
              <w:bottom w:val="nil"/>
              <w:right w:val="nil"/>
            </w:tcBorders>
            <w:shd w:val="clear" w:color="auto" w:fill="F9F5F9"/>
            <w:tcMar>
              <w:top w:w="72" w:type="dxa"/>
              <w:left w:w="144" w:type="dxa"/>
              <w:bottom w:w="72" w:type="dxa"/>
              <w:right w:w="144" w:type="dxa"/>
            </w:tcMar>
            <w:vAlign w:val="center"/>
          </w:tcPr>
          <w:p w:rsidR="00077877" w:rsidRPr="001A2567" w:rsidRDefault="00077877" w:rsidP="00E0788E">
            <w:pPr>
              <w:keepLines w:val="0"/>
              <w:spacing w:after="0" w:line="240" w:lineRule="auto"/>
              <w:rPr>
                <w:rFonts w:ascii="Segoe UI Light" w:eastAsia="Times New Roman" w:hAnsi="Segoe UI Light" w:cs="Segoe UI Light"/>
                <w:color w:val="3C3C3B"/>
                <w:kern w:val="24"/>
                <w:sz w:val="18"/>
                <w:szCs w:val="18"/>
                <w:lang w:eastAsia="en-CA"/>
              </w:rPr>
            </w:pPr>
            <w:r>
              <w:rPr>
                <w:rFonts w:ascii="Segoe UI Light" w:eastAsia="Times New Roman" w:hAnsi="Segoe UI Light" w:cs="Segoe UI Light"/>
                <w:color w:val="3C3C3B"/>
                <w:kern w:val="24"/>
                <w:sz w:val="18"/>
                <w:szCs w:val="18"/>
                <w:lang w:eastAsia="en-CA"/>
              </w:rPr>
              <w:t>S</w:t>
            </w:r>
            <w:r w:rsidRPr="001A2567">
              <w:rPr>
                <w:rFonts w:ascii="Segoe UI Light" w:eastAsia="Times New Roman" w:hAnsi="Segoe UI Light" w:cs="Segoe UI Light"/>
                <w:color w:val="3C3C3B"/>
                <w:kern w:val="24"/>
                <w:sz w:val="18"/>
                <w:szCs w:val="18"/>
                <w:lang w:eastAsia="en-CA"/>
              </w:rPr>
              <w:t>eptembre 2019 à avril 2020</w:t>
            </w:r>
          </w:p>
        </w:tc>
      </w:tr>
      <w:tr w:rsidR="00077877" w:rsidRPr="001A2567" w:rsidTr="00263F5B">
        <w:trPr>
          <w:trHeight w:val="449"/>
          <w:jc w:val="center"/>
        </w:trPr>
        <w:tc>
          <w:tcPr>
            <w:tcW w:w="2993" w:type="dxa"/>
            <w:vMerge w:val="restart"/>
            <w:tcBorders>
              <w:top w:val="nil"/>
              <w:left w:val="nil"/>
              <w:bottom w:val="nil"/>
              <w:right w:val="nil"/>
            </w:tcBorders>
            <w:shd w:val="clear" w:color="auto" w:fill="EEE1EF"/>
            <w:tcMar>
              <w:top w:w="72" w:type="dxa"/>
              <w:left w:w="144" w:type="dxa"/>
              <w:bottom w:w="72" w:type="dxa"/>
              <w:right w:w="144" w:type="dxa"/>
            </w:tcMar>
            <w:vAlign w:val="center"/>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auto"/>
                <w:sz w:val="18"/>
                <w:szCs w:val="18"/>
                <w:lang w:eastAsia="en-CA"/>
              </w:rPr>
              <w:t>Renforcer la capacité analytique</w:t>
            </w:r>
          </w:p>
        </w:tc>
        <w:tc>
          <w:tcPr>
            <w:tcW w:w="4941" w:type="dxa"/>
            <w:gridSpan w:val="2"/>
            <w:tcBorders>
              <w:top w:val="nil"/>
              <w:left w:val="nil"/>
              <w:bottom w:val="nil"/>
              <w:right w:val="nil"/>
            </w:tcBorders>
            <w:shd w:val="clear" w:color="auto" w:fill="EEE1EF"/>
            <w:tcMar>
              <w:top w:w="72" w:type="dxa"/>
              <w:left w:w="144" w:type="dxa"/>
              <w:bottom w:w="72" w:type="dxa"/>
              <w:right w:w="144" w:type="dxa"/>
            </w:tcMar>
            <w:vAlign w:val="center"/>
          </w:tcPr>
          <w:p w:rsidR="00077877" w:rsidRPr="001A2567" w:rsidRDefault="00077877"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auto"/>
                <w:sz w:val="18"/>
                <w:szCs w:val="18"/>
                <w:lang w:eastAsia="en-CA"/>
              </w:rPr>
              <w:t>Élaborer et mettre en œuvre</w:t>
            </w:r>
            <w:r>
              <w:t xml:space="preserve"> </w:t>
            </w:r>
            <w:r w:rsidRPr="006C6EA4">
              <w:rPr>
                <w:rFonts w:ascii="Segoe UI Light" w:eastAsia="Times New Roman" w:hAnsi="Segoe UI Light" w:cs="Segoe UI Light"/>
                <w:color w:val="auto"/>
                <w:sz w:val="18"/>
                <w:szCs w:val="18"/>
                <w:lang w:eastAsia="en-CA"/>
              </w:rPr>
              <w:t>un cadre fondé sur les compétences pour les analystes/scientifiques de données</w:t>
            </w:r>
          </w:p>
        </w:tc>
        <w:tc>
          <w:tcPr>
            <w:tcW w:w="3460" w:type="dxa"/>
            <w:tcBorders>
              <w:top w:val="nil"/>
              <w:left w:val="nil"/>
              <w:bottom w:val="nil"/>
              <w:right w:val="nil"/>
            </w:tcBorders>
            <w:shd w:val="clear" w:color="auto" w:fill="EEE1EF"/>
            <w:tcMar>
              <w:top w:w="72" w:type="dxa"/>
              <w:left w:w="144" w:type="dxa"/>
              <w:bottom w:w="72" w:type="dxa"/>
              <w:right w:w="144" w:type="dxa"/>
            </w:tcMar>
            <w:vAlign w:val="center"/>
          </w:tcPr>
          <w:p w:rsidR="00077877" w:rsidRPr="001A2567" w:rsidRDefault="00077877" w:rsidP="00E0788E">
            <w:pPr>
              <w:keepLines w:val="0"/>
              <w:spacing w:after="0" w:line="240" w:lineRule="auto"/>
              <w:rPr>
                <w:rFonts w:ascii="Segoe UI Light" w:eastAsia="Times New Roman" w:hAnsi="Segoe UI Light" w:cs="Segoe UI Light"/>
                <w:color w:val="3C3C3B"/>
                <w:kern w:val="24"/>
                <w:sz w:val="18"/>
                <w:szCs w:val="18"/>
                <w:lang w:eastAsia="en-CA"/>
              </w:rPr>
            </w:pPr>
            <w:r>
              <w:rPr>
                <w:rFonts w:ascii="Segoe UI Light" w:eastAsia="Times New Roman" w:hAnsi="Segoe UI Light" w:cs="Segoe UI Light"/>
                <w:color w:val="3C3C3B"/>
                <w:kern w:val="24"/>
                <w:sz w:val="18"/>
                <w:szCs w:val="18"/>
                <w:lang w:eastAsia="en-CA"/>
              </w:rPr>
              <w:t>M</w:t>
            </w:r>
            <w:r w:rsidRPr="006C6EA4">
              <w:rPr>
                <w:rFonts w:ascii="Segoe UI Light" w:eastAsia="Times New Roman" w:hAnsi="Segoe UI Light" w:cs="Segoe UI Light"/>
                <w:color w:val="3C3C3B"/>
                <w:kern w:val="24"/>
                <w:sz w:val="18"/>
                <w:szCs w:val="18"/>
                <w:lang w:eastAsia="en-CA"/>
              </w:rPr>
              <w:t>ars 2019 à avril 2020</w:t>
            </w:r>
          </w:p>
        </w:tc>
      </w:tr>
      <w:tr w:rsidR="00077877" w:rsidRPr="001A2567" w:rsidTr="00263F5B">
        <w:trPr>
          <w:trHeight w:val="449"/>
          <w:jc w:val="center"/>
        </w:trPr>
        <w:tc>
          <w:tcPr>
            <w:tcW w:w="2993" w:type="dxa"/>
            <w:vMerge/>
            <w:tcBorders>
              <w:top w:val="nil"/>
              <w:left w:val="nil"/>
              <w:bottom w:val="nil"/>
              <w:right w:val="nil"/>
            </w:tcBorders>
            <w:shd w:val="clear" w:color="auto" w:fill="EEE1EF"/>
            <w:tcMar>
              <w:top w:w="72" w:type="dxa"/>
              <w:left w:w="144" w:type="dxa"/>
              <w:bottom w:w="72" w:type="dxa"/>
              <w:right w:w="144" w:type="dxa"/>
            </w:tcMar>
            <w:vAlign w:val="center"/>
          </w:tcPr>
          <w:p w:rsidR="00077877" w:rsidRPr="001A2567" w:rsidRDefault="00077877" w:rsidP="00E0788E">
            <w:pPr>
              <w:keepLines w:val="0"/>
              <w:spacing w:after="0" w:line="240" w:lineRule="auto"/>
              <w:rPr>
                <w:rFonts w:ascii="Segoe UI Light" w:eastAsia="Times New Roman" w:hAnsi="Segoe UI Light" w:cs="Segoe UI Light"/>
                <w:color w:val="auto"/>
                <w:sz w:val="18"/>
                <w:szCs w:val="18"/>
                <w:lang w:eastAsia="en-CA"/>
              </w:rPr>
            </w:pPr>
          </w:p>
        </w:tc>
        <w:tc>
          <w:tcPr>
            <w:tcW w:w="4941" w:type="dxa"/>
            <w:gridSpan w:val="2"/>
            <w:tcBorders>
              <w:top w:val="nil"/>
              <w:left w:val="nil"/>
              <w:bottom w:val="nil"/>
              <w:right w:val="nil"/>
            </w:tcBorders>
            <w:shd w:val="clear" w:color="auto" w:fill="EEE1EF"/>
            <w:tcMar>
              <w:top w:w="72" w:type="dxa"/>
              <w:left w:w="144" w:type="dxa"/>
              <w:bottom w:w="72" w:type="dxa"/>
              <w:right w:w="144" w:type="dxa"/>
            </w:tcMar>
            <w:vAlign w:val="center"/>
          </w:tcPr>
          <w:p w:rsidR="00077877" w:rsidRPr="001A2567" w:rsidRDefault="00077877"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auto"/>
                <w:sz w:val="18"/>
                <w:szCs w:val="18"/>
                <w:lang w:eastAsia="en-CA"/>
              </w:rPr>
              <w:t>Créer un bac à sable</w:t>
            </w:r>
            <w:r>
              <w:t xml:space="preserve"> </w:t>
            </w:r>
            <w:r w:rsidRPr="006C6EA4">
              <w:rPr>
                <w:rFonts w:ascii="Segoe UI Light" w:eastAsia="Times New Roman" w:hAnsi="Segoe UI Light" w:cs="Segoe UI Light"/>
                <w:color w:val="auto"/>
                <w:sz w:val="18"/>
                <w:szCs w:val="18"/>
                <w:lang w:eastAsia="en-CA"/>
              </w:rPr>
              <w:t>pour mettre à l’essai et obtenir des outils d’analyse et de visualisation perfectionnés</w:t>
            </w:r>
          </w:p>
        </w:tc>
        <w:tc>
          <w:tcPr>
            <w:tcW w:w="3460" w:type="dxa"/>
            <w:tcBorders>
              <w:top w:val="nil"/>
              <w:left w:val="nil"/>
              <w:bottom w:val="nil"/>
              <w:right w:val="nil"/>
            </w:tcBorders>
            <w:shd w:val="clear" w:color="auto" w:fill="EEE1EF"/>
            <w:tcMar>
              <w:top w:w="72" w:type="dxa"/>
              <w:left w:w="144" w:type="dxa"/>
              <w:bottom w:w="72" w:type="dxa"/>
              <w:right w:w="144" w:type="dxa"/>
            </w:tcMar>
            <w:vAlign w:val="center"/>
          </w:tcPr>
          <w:p w:rsidR="00077877" w:rsidRPr="001A2567" w:rsidRDefault="00077877" w:rsidP="00E0788E">
            <w:pPr>
              <w:keepLines w:val="0"/>
              <w:spacing w:after="0" w:line="240" w:lineRule="auto"/>
              <w:rPr>
                <w:rFonts w:ascii="Segoe UI Light" w:eastAsia="Times New Roman" w:hAnsi="Segoe UI Light" w:cs="Segoe UI Light"/>
                <w:color w:val="3C3C3B"/>
                <w:kern w:val="24"/>
                <w:sz w:val="18"/>
                <w:szCs w:val="18"/>
                <w:lang w:eastAsia="en-CA"/>
              </w:rPr>
            </w:pPr>
            <w:r>
              <w:rPr>
                <w:rFonts w:ascii="Segoe UI Light" w:eastAsia="Times New Roman" w:hAnsi="Segoe UI Light" w:cs="Segoe UI Light"/>
                <w:color w:val="3C3C3B"/>
                <w:kern w:val="24"/>
                <w:sz w:val="18"/>
                <w:szCs w:val="18"/>
                <w:lang w:eastAsia="en-CA"/>
              </w:rPr>
              <w:t>M</w:t>
            </w:r>
            <w:r w:rsidRPr="006C6EA4">
              <w:rPr>
                <w:rFonts w:ascii="Segoe UI Light" w:eastAsia="Times New Roman" w:hAnsi="Segoe UI Light" w:cs="Segoe UI Light"/>
                <w:color w:val="3C3C3B"/>
                <w:kern w:val="24"/>
                <w:sz w:val="18"/>
                <w:szCs w:val="18"/>
                <w:lang w:eastAsia="en-CA"/>
              </w:rPr>
              <w:t>ars à septembre 2019</w:t>
            </w:r>
          </w:p>
        </w:tc>
      </w:tr>
    </w:tbl>
    <w:p w:rsidR="001A2567" w:rsidRPr="00D9399C" w:rsidRDefault="001A2567" w:rsidP="00E0788E">
      <w:pPr>
        <w:pStyle w:val="Heading2"/>
        <w:rPr>
          <w:rFonts w:ascii="Segoe UI Semilight" w:eastAsia="Segoe UI Semilight" w:hAnsi="Segoe UI Semilight" w:cs="Times New Roman"/>
          <w:color w:val="auto"/>
        </w:rPr>
      </w:pPr>
      <w:r w:rsidRPr="001A2567">
        <w:rPr>
          <w:rFonts w:ascii="Segoe UI Semilight" w:eastAsia="Segoe UI Semilight" w:hAnsi="Segoe UI Semilight" w:cs="Times New Roman"/>
          <w:color w:val="auto"/>
          <w:highlight w:val="yellow"/>
        </w:rPr>
        <w:br w:type="page"/>
      </w:r>
      <w:r w:rsidRPr="001A2567">
        <w:rPr>
          <w:rFonts w:eastAsia="Times New Roman"/>
        </w:rPr>
        <w:lastRenderedPageBreak/>
        <w:t xml:space="preserve">PRIORITÉS </w:t>
      </w:r>
      <w:r w:rsidRPr="00D9399C">
        <w:rPr>
          <w:rFonts w:eastAsia="Times New Roman"/>
        </w:rPr>
        <w:t>DE LA PHASE 2 : POURSUIVRE SUR LA LANCÉE</w:t>
      </w:r>
      <w:r w:rsidR="005D361D" w:rsidRPr="00D9399C">
        <w:rPr>
          <w:rFonts w:eastAsia="Times New Roman"/>
        </w:rPr>
        <w:t xml:space="preserve"> – GESTION DES DONNÉES</w:t>
      </w:r>
    </w:p>
    <w:tbl>
      <w:tblPr>
        <w:tblW w:w="11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Priorités de la phase 2: poursuivre sur al lancée - gestion des données"/>
        <w:tblDescription w:val="Énumération des principales actions, activités et échéanciers proposés."/>
      </w:tblPr>
      <w:tblGrid>
        <w:gridCol w:w="3966"/>
        <w:gridCol w:w="3968"/>
        <w:gridCol w:w="3460"/>
      </w:tblGrid>
      <w:tr w:rsidR="0098495E" w:rsidRPr="001A2567" w:rsidTr="00263F5B">
        <w:trPr>
          <w:trHeight w:val="281"/>
          <w:tblHeader/>
          <w:jc w:val="center"/>
        </w:trPr>
        <w:tc>
          <w:tcPr>
            <w:tcW w:w="3966" w:type="dxa"/>
            <w:tcBorders>
              <w:top w:val="nil"/>
              <w:left w:val="nil"/>
              <w:bottom w:val="nil"/>
              <w:right w:val="nil"/>
            </w:tcBorders>
            <w:shd w:val="clear" w:color="auto" w:fill="5B315E"/>
            <w:tcMar>
              <w:top w:w="72" w:type="dxa"/>
              <w:left w:w="144" w:type="dxa"/>
              <w:bottom w:w="72" w:type="dxa"/>
              <w:right w:w="144" w:type="dxa"/>
            </w:tcMar>
            <w:vAlign w:val="center"/>
          </w:tcPr>
          <w:p w:rsidR="0098495E" w:rsidRPr="001A2567" w:rsidRDefault="0098495E" w:rsidP="00E0788E">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Actions</w:t>
            </w:r>
          </w:p>
        </w:tc>
        <w:tc>
          <w:tcPr>
            <w:tcW w:w="3968" w:type="dxa"/>
            <w:tcBorders>
              <w:top w:val="nil"/>
              <w:left w:val="nil"/>
              <w:bottom w:val="nil"/>
              <w:right w:val="nil"/>
            </w:tcBorders>
            <w:shd w:val="clear" w:color="auto" w:fill="5B315E"/>
            <w:vAlign w:val="center"/>
          </w:tcPr>
          <w:p w:rsidR="0098495E" w:rsidRPr="001A2567" w:rsidRDefault="0098495E" w:rsidP="00E0788E">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Activités</w:t>
            </w:r>
          </w:p>
        </w:tc>
        <w:tc>
          <w:tcPr>
            <w:tcW w:w="3458" w:type="dxa"/>
            <w:tcBorders>
              <w:top w:val="nil"/>
              <w:left w:val="nil"/>
              <w:bottom w:val="nil"/>
              <w:right w:val="nil"/>
            </w:tcBorders>
            <w:shd w:val="clear" w:color="auto" w:fill="5B315E"/>
            <w:vAlign w:val="center"/>
          </w:tcPr>
          <w:p w:rsidR="0098495E" w:rsidRPr="001A2567" w:rsidRDefault="0098495E" w:rsidP="00E0788E">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Échéancier</w:t>
            </w:r>
          </w:p>
        </w:tc>
      </w:tr>
      <w:tr w:rsidR="0098495E" w:rsidRPr="001A2567" w:rsidTr="00263F5B">
        <w:trPr>
          <w:trHeight w:val="336"/>
          <w:jc w:val="center"/>
        </w:trPr>
        <w:tc>
          <w:tcPr>
            <w:tcW w:w="793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Élaborer une politique sur la qualité des données de la CFP</w:t>
            </w:r>
          </w:p>
        </w:tc>
        <w:tc>
          <w:tcPr>
            <w:tcW w:w="3460" w:type="dxa"/>
            <w:tcBorders>
              <w:top w:val="nil"/>
              <w:left w:val="nil"/>
              <w:bottom w:val="nil"/>
              <w:right w:val="nil"/>
            </w:tcBorders>
            <w:shd w:val="clear" w:color="auto" w:fill="EEE1EF"/>
            <w:tcMar>
              <w:top w:w="72" w:type="dxa"/>
              <w:left w:w="144" w:type="dxa"/>
              <w:bottom w:w="72" w:type="dxa"/>
              <w:right w:w="144" w:type="dxa"/>
            </w:tcMar>
            <w:vAlign w:val="center"/>
            <w:hideMark/>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auto"/>
                <w:sz w:val="18"/>
                <w:szCs w:val="18"/>
                <w:lang w:eastAsia="en-CA"/>
              </w:rPr>
              <w:t>A</w:t>
            </w:r>
            <w:r w:rsidRPr="001A2567">
              <w:rPr>
                <w:rFonts w:ascii="Segoe UI Light" w:eastAsia="Times New Roman" w:hAnsi="Segoe UI Light" w:cs="Segoe UI Light"/>
                <w:color w:val="auto"/>
                <w:sz w:val="18"/>
                <w:szCs w:val="18"/>
                <w:lang w:eastAsia="en-CA"/>
              </w:rPr>
              <w:t>vril 2020 à janvier 2021</w:t>
            </w:r>
          </w:p>
        </w:tc>
      </w:tr>
      <w:tr w:rsidR="0098495E" w:rsidRPr="001A2567" w:rsidTr="00263F5B">
        <w:trPr>
          <w:trHeight w:val="697"/>
          <w:jc w:val="center"/>
        </w:trPr>
        <w:tc>
          <w:tcPr>
            <w:tcW w:w="3966" w:type="dxa"/>
            <w:vMerge w:val="restart"/>
            <w:tcBorders>
              <w:top w:val="nil"/>
              <w:left w:val="nil"/>
              <w:right w:val="nil"/>
            </w:tcBorders>
            <w:shd w:val="clear" w:color="auto" w:fill="F9F5F9"/>
            <w:tcMar>
              <w:top w:w="72" w:type="dxa"/>
              <w:left w:w="144" w:type="dxa"/>
              <w:bottom w:w="72" w:type="dxa"/>
              <w:right w:w="144" w:type="dxa"/>
            </w:tcMar>
            <w:vAlign w:val="center"/>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Poursuivre la mise en œuvre des plans d’action/stratégies d’atténuation à aborder</w:t>
            </w:r>
          </w:p>
        </w:tc>
        <w:tc>
          <w:tcPr>
            <w:tcW w:w="3968" w:type="dxa"/>
            <w:tcBorders>
              <w:top w:val="nil"/>
              <w:left w:val="nil"/>
              <w:bottom w:val="nil"/>
              <w:right w:val="nil"/>
            </w:tcBorders>
            <w:shd w:val="clear" w:color="auto" w:fill="F9F5F9"/>
            <w:vAlign w:val="center"/>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Constatations du diagnostic de maturité</w:t>
            </w:r>
          </w:p>
        </w:tc>
        <w:tc>
          <w:tcPr>
            <w:tcW w:w="3460" w:type="dxa"/>
            <w:tcBorders>
              <w:top w:val="nil"/>
              <w:left w:val="nil"/>
              <w:bottom w:val="nil"/>
              <w:right w:val="nil"/>
            </w:tcBorders>
            <w:shd w:val="clear" w:color="auto" w:fill="F9F5F9"/>
            <w:tcMar>
              <w:top w:w="72" w:type="dxa"/>
              <w:left w:w="144" w:type="dxa"/>
              <w:bottom w:w="72" w:type="dxa"/>
              <w:right w:w="144" w:type="dxa"/>
            </w:tcMar>
            <w:vAlign w:val="center"/>
          </w:tcPr>
          <w:p w:rsidR="0098495E" w:rsidRPr="001A2567" w:rsidRDefault="0098495E" w:rsidP="00E0788E">
            <w:pPr>
              <w:keepLines w:val="0"/>
              <w:spacing w:after="0" w:line="240" w:lineRule="auto"/>
              <w:rPr>
                <w:rFonts w:ascii="Segoe UI Light" w:eastAsia="Times New Roman" w:hAnsi="Segoe UI Light" w:cs="Segoe UI Light"/>
                <w:color w:val="3C3C3B"/>
                <w:kern w:val="24"/>
                <w:sz w:val="18"/>
                <w:szCs w:val="18"/>
                <w:lang w:eastAsia="en-CA"/>
              </w:rPr>
            </w:pPr>
            <w:r>
              <w:rPr>
                <w:rFonts w:ascii="Segoe UI Light" w:eastAsia="Times New Roman" w:hAnsi="Segoe UI Light" w:cs="Segoe UI Light"/>
                <w:color w:val="3C3C3B"/>
                <w:kern w:val="24"/>
                <w:sz w:val="18"/>
                <w:szCs w:val="18"/>
                <w:lang w:eastAsia="en-CA"/>
              </w:rPr>
              <w:t>M</w:t>
            </w:r>
            <w:r w:rsidRPr="001A2567">
              <w:rPr>
                <w:rFonts w:ascii="Segoe UI Light" w:eastAsia="Times New Roman" w:hAnsi="Segoe UI Light" w:cs="Segoe UI Light"/>
                <w:color w:val="3C3C3B"/>
                <w:kern w:val="24"/>
                <w:sz w:val="18"/>
                <w:szCs w:val="18"/>
                <w:lang w:eastAsia="en-CA"/>
              </w:rPr>
              <w:t>ars 2020 à avril 2021</w:t>
            </w:r>
          </w:p>
        </w:tc>
      </w:tr>
      <w:tr w:rsidR="0098495E" w:rsidRPr="001A2567" w:rsidTr="00263F5B">
        <w:trPr>
          <w:trHeight w:val="697"/>
          <w:jc w:val="center"/>
        </w:trPr>
        <w:tc>
          <w:tcPr>
            <w:tcW w:w="3966" w:type="dxa"/>
            <w:vMerge/>
            <w:tcBorders>
              <w:left w:val="nil"/>
              <w:bottom w:val="nil"/>
              <w:right w:val="nil"/>
            </w:tcBorders>
            <w:shd w:val="clear" w:color="auto" w:fill="F9F5F9"/>
            <w:tcMar>
              <w:top w:w="72" w:type="dxa"/>
              <w:left w:w="144" w:type="dxa"/>
              <w:bottom w:w="72" w:type="dxa"/>
              <w:right w:w="144" w:type="dxa"/>
            </w:tcMar>
            <w:vAlign w:val="center"/>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p>
        </w:tc>
        <w:tc>
          <w:tcPr>
            <w:tcW w:w="3968" w:type="dxa"/>
            <w:tcBorders>
              <w:top w:val="nil"/>
              <w:left w:val="nil"/>
              <w:bottom w:val="nil"/>
              <w:right w:val="nil"/>
            </w:tcBorders>
            <w:shd w:val="clear" w:color="auto" w:fill="F9F5F9"/>
            <w:vAlign w:val="center"/>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Constations des risques</w:t>
            </w:r>
          </w:p>
        </w:tc>
        <w:tc>
          <w:tcPr>
            <w:tcW w:w="3460" w:type="dxa"/>
            <w:tcBorders>
              <w:top w:val="nil"/>
              <w:left w:val="nil"/>
              <w:bottom w:val="nil"/>
              <w:right w:val="nil"/>
            </w:tcBorders>
            <w:shd w:val="clear" w:color="auto" w:fill="F9F5F9"/>
            <w:tcMar>
              <w:top w:w="72" w:type="dxa"/>
              <w:left w:w="144" w:type="dxa"/>
              <w:bottom w:w="72" w:type="dxa"/>
              <w:right w:w="144" w:type="dxa"/>
            </w:tcMar>
            <w:vAlign w:val="center"/>
          </w:tcPr>
          <w:p w:rsidR="0098495E" w:rsidRPr="001A2567" w:rsidRDefault="0098495E" w:rsidP="00E0788E">
            <w:pPr>
              <w:keepLines w:val="0"/>
              <w:spacing w:after="0" w:line="240" w:lineRule="auto"/>
              <w:rPr>
                <w:rFonts w:ascii="Segoe UI Light" w:eastAsia="Times New Roman" w:hAnsi="Segoe UI Light" w:cs="Segoe UI Light"/>
                <w:color w:val="3C3C3B"/>
                <w:kern w:val="24"/>
                <w:sz w:val="18"/>
                <w:szCs w:val="18"/>
                <w:lang w:eastAsia="en-CA"/>
              </w:rPr>
            </w:pPr>
            <w:r>
              <w:rPr>
                <w:rFonts w:ascii="Segoe UI Light" w:eastAsia="Times New Roman" w:hAnsi="Segoe UI Light" w:cs="Segoe UI Light"/>
                <w:color w:val="3C3C3B"/>
                <w:kern w:val="24"/>
                <w:sz w:val="18"/>
                <w:szCs w:val="18"/>
                <w:lang w:eastAsia="en-CA"/>
              </w:rPr>
              <w:t>M</w:t>
            </w:r>
            <w:r w:rsidRPr="001A2567">
              <w:rPr>
                <w:rFonts w:ascii="Segoe UI Light" w:eastAsia="Times New Roman" w:hAnsi="Segoe UI Light" w:cs="Segoe UI Light"/>
                <w:color w:val="3C3C3B"/>
                <w:kern w:val="24"/>
                <w:sz w:val="18"/>
                <w:szCs w:val="18"/>
                <w:lang w:eastAsia="en-CA"/>
              </w:rPr>
              <w:t>ars 2020 à avril 2021</w:t>
            </w:r>
          </w:p>
        </w:tc>
      </w:tr>
      <w:tr w:rsidR="0098495E" w:rsidRPr="001A2567" w:rsidTr="00263F5B">
        <w:trPr>
          <w:trHeight w:val="315"/>
          <w:jc w:val="center"/>
        </w:trPr>
        <w:tc>
          <w:tcPr>
            <w:tcW w:w="793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Mettre en œuvre des activités de gestion du changement/de stratégie de communications</w:t>
            </w:r>
          </w:p>
        </w:tc>
        <w:tc>
          <w:tcPr>
            <w:tcW w:w="3460" w:type="dxa"/>
            <w:tcBorders>
              <w:top w:val="nil"/>
              <w:left w:val="nil"/>
              <w:bottom w:val="nil"/>
              <w:right w:val="nil"/>
            </w:tcBorders>
            <w:shd w:val="clear" w:color="auto" w:fill="EEE1EF"/>
            <w:tcMar>
              <w:top w:w="72" w:type="dxa"/>
              <w:left w:w="144" w:type="dxa"/>
              <w:bottom w:w="72" w:type="dxa"/>
              <w:right w:w="144" w:type="dxa"/>
            </w:tcMar>
            <w:vAlign w:val="center"/>
            <w:hideMark/>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auto"/>
                <w:sz w:val="18"/>
                <w:szCs w:val="18"/>
                <w:lang w:eastAsia="en-CA"/>
              </w:rPr>
              <w:t>M</w:t>
            </w:r>
            <w:r w:rsidRPr="001A2567">
              <w:rPr>
                <w:rFonts w:ascii="Segoe UI Light" w:eastAsia="Times New Roman" w:hAnsi="Segoe UI Light" w:cs="Segoe UI Light"/>
                <w:color w:val="auto"/>
                <w:sz w:val="18"/>
                <w:szCs w:val="18"/>
                <w:lang w:eastAsia="en-CA"/>
              </w:rPr>
              <w:t>ars à octobre 2020</w:t>
            </w:r>
          </w:p>
        </w:tc>
      </w:tr>
      <w:tr w:rsidR="0098495E" w:rsidRPr="001A2567" w:rsidTr="00263F5B">
        <w:trPr>
          <w:trHeight w:val="281"/>
          <w:jc w:val="center"/>
        </w:trPr>
        <w:tc>
          <w:tcPr>
            <w:tcW w:w="7934" w:type="dxa"/>
            <w:gridSpan w:val="2"/>
            <w:tcBorders>
              <w:top w:val="nil"/>
              <w:left w:val="nil"/>
              <w:bottom w:val="nil"/>
              <w:right w:val="nil"/>
            </w:tcBorders>
            <w:shd w:val="clear" w:color="auto" w:fill="F9F5F9"/>
            <w:tcMar>
              <w:top w:w="72" w:type="dxa"/>
              <w:left w:w="144" w:type="dxa"/>
              <w:bottom w:w="72" w:type="dxa"/>
              <w:right w:w="144" w:type="dxa"/>
            </w:tcMar>
            <w:vAlign w:val="center"/>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Évaluer les progrès en fonction du Cadre de mesure des résultats pour la SGD</w:t>
            </w:r>
          </w:p>
        </w:tc>
        <w:tc>
          <w:tcPr>
            <w:tcW w:w="3460" w:type="dxa"/>
            <w:tcBorders>
              <w:top w:val="nil"/>
              <w:left w:val="nil"/>
              <w:bottom w:val="nil"/>
              <w:right w:val="nil"/>
            </w:tcBorders>
            <w:shd w:val="clear" w:color="auto" w:fill="F9F5F9"/>
            <w:tcMar>
              <w:top w:w="72" w:type="dxa"/>
              <w:left w:w="144" w:type="dxa"/>
              <w:bottom w:w="72" w:type="dxa"/>
              <w:right w:w="144" w:type="dxa"/>
            </w:tcMar>
            <w:vAlign w:val="center"/>
          </w:tcPr>
          <w:p w:rsidR="0098495E" w:rsidRPr="001A2567" w:rsidRDefault="0098495E" w:rsidP="00E0788E">
            <w:pPr>
              <w:keepLines w:val="0"/>
              <w:spacing w:after="0" w:line="240" w:lineRule="auto"/>
              <w:rPr>
                <w:rFonts w:ascii="Segoe UI Light" w:eastAsia="Times New Roman" w:hAnsi="Segoe UI Light" w:cs="Segoe UI Light"/>
                <w:color w:val="3C3C3B"/>
                <w:kern w:val="24"/>
                <w:sz w:val="18"/>
                <w:szCs w:val="18"/>
                <w:lang w:eastAsia="en-CA"/>
              </w:rPr>
            </w:pPr>
            <w:r>
              <w:rPr>
                <w:rFonts w:ascii="Segoe UI Light" w:eastAsia="Times New Roman" w:hAnsi="Segoe UI Light" w:cs="Segoe UI Light"/>
                <w:color w:val="3C3C3B"/>
                <w:kern w:val="24"/>
                <w:sz w:val="18"/>
                <w:szCs w:val="18"/>
                <w:lang w:eastAsia="en-CA"/>
              </w:rPr>
              <w:t>O</w:t>
            </w:r>
            <w:r w:rsidRPr="001A2567">
              <w:rPr>
                <w:rFonts w:ascii="Segoe UI Light" w:eastAsia="Times New Roman" w:hAnsi="Segoe UI Light" w:cs="Segoe UI Light"/>
                <w:color w:val="3C3C3B"/>
                <w:kern w:val="24"/>
                <w:sz w:val="18"/>
                <w:szCs w:val="18"/>
                <w:lang w:eastAsia="en-CA"/>
              </w:rPr>
              <w:t>ctobre 2020 à avril 2021</w:t>
            </w:r>
          </w:p>
        </w:tc>
      </w:tr>
    </w:tbl>
    <w:p w:rsidR="0098495E" w:rsidRPr="001A2567" w:rsidRDefault="0098495E" w:rsidP="001A2567">
      <w:pPr>
        <w:keepLines w:val="0"/>
        <w:rPr>
          <w:rFonts w:ascii="Segoe UI Semilight" w:eastAsia="Segoe UI Semilight" w:hAnsi="Segoe UI Semilight" w:cs="Times New Roman"/>
          <w:color w:val="auto"/>
        </w:rPr>
      </w:pPr>
    </w:p>
    <w:p w:rsidR="005D361D" w:rsidRPr="001A2567" w:rsidRDefault="005D361D" w:rsidP="00E0788E">
      <w:pPr>
        <w:pStyle w:val="Heading2"/>
        <w:rPr>
          <w:rFonts w:eastAsia="Times New Roman"/>
        </w:rPr>
      </w:pPr>
      <w:r w:rsidRPr="00D9399C">
        <w:rPr>
          <w:rFonts w:eastAsia="Times New Roman"/>
        </w:rPr>
        <w:t xml:space="preserve">PRIORITÉS DE LA PHASE 2 : POURSUIVRE SUR LA LANCÉE – </w:t>
      </w:r>
      <w:r w:rsidR="009D32FD">
        <w:rPr>
          <w:rFonts w:eastAsia="Times New Roman"/>
        </w:rPr>
        <w:t xml:space="preserve">INFRASTRUCTURE </w:t>
      </w:r>
      <w:r w:rsidRPr="00D9399C">
        <w:rPr>
          <w:rFonts w:eastAsia="Times New Roman"/>
        </w:rPr>
        <w:t>DES DONNÉES</w:t>
      </w:r>
    </w:p>
    <w:tbl>
      <w:tblPr>
        <w:tblW w:w="11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Priorités de la phase 2: poursuivre sur la lancée - infrastructure des données"/>
        <w:tblDescription w:val="Énumération des principales actions, activités et échéanciers proposés."/>
      </w:tblPr>
      <w:tblGrid>
        <w:gridCol w:w="7935"/>
        <w:gridCol w:w="3459"/>
      </w:tblGrid>
      <w:tr w:rsidR="00263F5B" w:rsidRPr="001A2567" w:rsidTr="00263F5B">
        <w:trPr>
          <w:trHeight w:val="281"/>
          <w:tblHeader/>
          <w:jc w:val="center"/>
        </w:trPr>
        <w:tc>
          <w:tcPr>
            <w:tcW w:w="7935" w:type="dxa"/>
            <w:tcBorders>
              <w:top w:val="nil"/>
              <w:left w:val="nil"/>
              <w:bottom w:val="nil"/>
              <w:right w:val="nil"/>
            </w:tcBorders>
            <w:shd w:val="clear" w:color="auto" w:fill="5B315E"/>
            <w:vAlign w:val="center"/>
          </w:tcPr>
          <w:p w:rsidR="00263F5B" w:rsidRPr="001A2567" w:rsidRDefault="00263F5B" w:rsidP="00263F5B">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Activités</w:t>
            </w:r>
          </w:p>
        </w:tc>
        <w:tc>
          <w:tcPr>
            <w:tcW w:w="3458" w:type="dxa"/>
            <w:tcBorders>
              <w:top w:val="nil"/>
              <w:left w:val="nil"/>
              <w:bottom w:val="nil"/>
              <w:right w:val="nil"/>
            </w:tcBorders>
            <w:shd w:val="clear" w:color="auto" w:fill="5B315E"/>
            <w:vAlign w:val="center"/>
          </w:tcPr>
          <w:p w:rsidR="00263F5B" w:rsidRPr="001A2567" w:rsidRDefault="00263F5B" w:rsidP="00263F5B">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Échéancier</w:t>
            </w:r>
          </w:p>
        </w:tc>
      </w:tr>
      <w:tr w:rsidR="0098495E" w:rsidRPr="001A2567" w:rsidTr="00263F5B">
        <w:trPr>
          <w:trHeight w:val="281"/>
          <w:jc w:val="center"/>
        </w:trPr>
        <w:tc>
          <w:tcPr>
            <w:tcW w:w="7935" w:type="dxa"/>
            <w:tcBorders>
              <w:top w:val="nil"/>
              <w:left w:val="single" w:sz="4" w:space="0" w:color="FFFFFF" w:themeColor="background1"/>
              <w:bottom w:val="nil"/>
              <w:right w:val="nil"/>
            </w:tcBorders>
            <w:shd w:val="clear" w:color="auto" w:fill="EEE1EF"/>
            <w:tcMar>
              <w:top w:w="72" w:type="dxa"/>
              <w:left w:w="144" w:type="dxa"/>
              <w:bottom w:w="72" w:type="dxa"/>
              <w:right w:w="144" w:type="dxa"/>
            </w:tcMar>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Segoe UI Semilight" w:hAnsi="Segoe UI Light" w:cs="Segoe UI Light"/>
                <w:color w:val="auto"/>
                <w:sz w:val="18"/>
                <w:szCs w:val="18"/>
              </w:rPr>
              <w:t>Mettre en œuvre l’environnement du lac de données</w:t>
            </w:r>
          </w:p>
        </w:tc>
        <w:tc>
          <w:tcPr>
            <w:tcW w:w="3459" w:type="dxa"/>
            <w:tcBorders>
              <w:top w:val="nil"/>
              <w:left w:val="nil"/>
              <w:bottom w:val="nil"/>
              <w:right w:val="nil"/>
            </w:tcBorders>
            <w:shd w:val="clear" w:color="auto" w:fill="EEE1EF"/>
            <w:tcMar>
              <w:top w:w="72" w:type="dxa"/>
              <w:left w:w="144" w:type="dxa"/>
              <w:bottom w:w="72" w:type="dxa"/>
              <w:right w:w="144" w:type="dxa"/>
            </w:tcMar>
            <w:vAlign w:val="center"/>
          </w:tcPr>
          <w:p w:rsidR="0098495E" w:rsidRPr="001A2567" w:rsidRDefault="0098495E" w:rsidP="00E0788E">
            <w:pPr>
              <w:keepLines w:val="0"/>
              <w:spacing w:after="0" w:line="240" w:lineRule="auto"/>
              <w:rPr>
                <w:rFonts w:ascii="Segoe UI Light" w:eastAsia="Times New Roman" w:hAnsi="Segoe UI Light" w:cs="Segoe UI Light"/>
                <w:color w:val="3C3C3B"/>
                <w:kern w:val="24"/>
                <w:sz w:val="18"/>
                <w:szCs w:val="18"/>
                <w:lang w:eastAsia="en-CA"/>
              </w:rPr>
            </w:pPr>
            <w:r>
              <w:rPr>
                <w:rFonts w:ascii="Segoe UI Light" w:eastAsia="Times New Roman" w:hAnsi="Segoe UI Light" w:cs="Segoe UI Light"/>
                <w:color w:val="3C3C3B"/>
                <w:kern w:val="24"/>
                <w:sz w:val="18"/>
                <w:szCs w:val="18"/>
                <w:lang w:eastAsia="en-CA"/>
              </w:rPr>
              <w:t>J</w:t>
            </w:r>
            <w:r w:rsidRPr="001A2567">
              <w:rPr>
                <w:rFonts w:ascii="Segoe UI Light" w:eastAsia="Times New Roman" w:hAnsi="Segoe UI Light" w:cs="Segoe UI Light"/>
                <w:color w:val="3C3C3B"/>
                <w:kern w:val="24"/>
                <w:sz w:val="18"/>
                <w:szCs w:val="18"/>
                <w:lang w:eastAsia="en-CA"/>
              </w:rPr>
              <w:t>uillet 2020 à avril 2021</w:t>
            </w:r>
          </w:p>
        </w:tc>
      </w:tr>
      <w:tr w:rsidR="0098495E" w:rsidRPr="001A2567" w:rsidTr="00263F5B">
        <w:trPr>
          <w:trHeight w:val="281"/>
          <w:jc w:val="center"/>
        </w:trPr>
        <w:tc>
          <w:tcPr>
            <w:tcW w:w="7935" w:type="dxa"/>
            <w:tcBorders>
              <w:top w:val="nil"/>
              <w:left w:val="nil"/>
              <w:bottom w:val="nil"/>
              <w:right w:val="nil"/>
            </w:tcBorders>
            <w:shd w:val="clear" w:color="auto" w:fill="F9F5F9"/>
            <w:tcMar>
              <w:top w:w="72" w:type="dxa"/>
              <w:left w:w="144" w:type="dxa"/>
              <w:bottom w:w="72" w:type="dxa"/>
              <w:right w:w="144" w:type="dxa"/>
            </w:tcMar>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Segoe UI Semilight" w:hAnsi="Segoe UI Light" w:cs="Segoe UI Light"/>
                <w:color w:val="auto"/>
                <w:sz w:val="18"/>
                <w:szCs w:val="18"/>
              </w:rPr>
              <w:t xml:space="preserve">Établir un plan de gestion </w:t>
            </w:r>
            <w:proofErr w:type="gramStart"/>
            <w:r w:rsidRPr="001A2567">
              <w:rPr>
                <w:rFonts w:ascii="Segoe UI Light" w:eastAsia="Segoe UI Semilight" w:hAnsi="Segoe UI Light" w:cs="Segoe UI Light"/>
                <w:color w:val="auto"/>
                <w:sz w:val="18"/>
                <w:szCs w:val="18"/>
              </w:rPr>
              <w:t>des données maitres</w:t>
            </w:r>
            <w:proofErr w:type="gramEnd"/>
          </w:p>
        </w:tc>
        <w:tc>
          <w:tcPr>
            <w:tcW w:w="3459" w:type="dxa"/>
            <w:tcBorders>
              <w:top w:val="nil"/>
              <w:left w:val="nil"/>
              <w:bottom w:val="nil"/>
              <w:right w:val="nil"/>
            </w:tcBorders>
            <w:shd w:val="clear" w:color="auto" w:fill="F9F5F9"/>
            <w:tcMar>
              <w:top w:w="72" w:type="dxa"/>
              <w:left w:w="144" w:type="dxa"/>
              <w:bottom w:w="72" w:type="dxa"/>
              <w:right w:w="144" w:type="dxa"/>
            </w:tcMar>
            <w:vAlign w:val="center"/>
          </w:tcPr>
          <w:p w:rsidR="0098495E" w:rsidRPr="001A2567" w:rsidRDefault="0098495E" w:rsidP="00E0788E">
            <w:pPr>
              <w:keepLines w:val="0"/>
              <w:spacing w:after="0" w:line="240" w:lineRule="auto"/>
              <w:rPr>
                <w:rFonts w:ascii="Segoe UI Light" w:eastAsia="Times New Roman" w:hAnsi="Segoe UI Light" w:cs="Segoe UI Light"/>
                <w:color w:val="3C3C3B"/>
                <w:kern w:val="24"/>
                <w:sz w:val="18"/>
                <w:szCs w:val="18"/>
                <w:lang w:eastAsia="en-CA"/>
              </w:rPr>
            </w:pPr>
            <w:r>
              <w:rPr>
                <w:rFonts w:ascii="Segoe UI Light" w:eastAsia="Times New Roman" w:hAnsi="Segoe UI Light" w:cs="Segoe UI Light"/>
                <w:color w:val="3C3C3B"/>
                <w:kern w:val="24"/>
                <w:sz w:val="18"/>
                <w:szCs w:val="18"/>
                <w:lang w:eastAsia="en-CA"/>
              </w:rPr>
              <w:t>A</w:t>
            </w:r>
            <w:r w:rsidRPr="001A2567">
              <w:rPr>
                <w:rFonts w:ascii="Segoe UI Light" w:eastAsia="Times New Roman" w:hAnsi="Segoe UI Light" w:cs="Segoe UI Light"/>
                <w:color w:val="3C3C3B"/>
                <w:kern w:val="24"/>
                <w:sz w:val="18"/>
                <w:szCs w:val="18"/>
                <w:lang w:eastAsia="en-CA"/>
              </w:rPr>
              <w:t>vril 2020 à janvier 2021</w:t>
            </w:r>
          </w:p>
        </w:tc>
      </w:tr>
      <w:tr w:rsidR="0098495E" w:rsidRPr="001A2567" w:rsidTr="00263F5B">
        <w:trPr>
          <w:trHeight w:val="281"/>
          <w:jc w:val="center"/>
        </w:trPr>
        <w:tc>
          <w:tcPr>
            <w:tcW w:w="7935" w:type="dxa"/>
            <w:tcBorders>
              <w:top w:val="nil"/>
              <w:left w:val="nil"/>
              <w:bottom w:val="nil"/>
              <w:right w:val="nil"/>
            </w:tcBorders>
            <w:shd w:val="clear" w:color="auto" w:fill="EEE1EF"/>
            <w:tcMar>
              <w:top w:w="72" w:type="dxa"/>
              <w:left w:w="144" w:type="dxa"/>
              <w:bottom w:w="72" w:type="dxa"/>
              <w:right w:w="144" w:type="dxa"/>
            </w:tcMar>
          </w:tcPr>
          <w:p w:rsidR="0098495E" w:rsidRPr="001A2567" w:rsidRDefault="0098495E"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Segoe UI Semilight" w:hAnsi="Segoe UI Light" w:cs="Segoe UI Light"/>
                <w:color w:val="auto"/>
                <w:sz w:val="18"/>
                <w:szCs w:val="18"/>
              </w:rPr>
              <w:t>Élaborer une politique sur la sécurité des données et la protection des renseignements personnels de la CFP</w:t>
            </w:r>
          </w:p>
        </w:tc>
        <w:tc>
          <w:tcPr>
            <w:tcW w:w="3459" w:type="dxa"/>
            <w:tcBorders>
              <w:top w:val="nil"/>
              <w:left w:val="nil"/>
              <w:bottom w:val="nil"/>
              <w:right w:val="nil"/>
            </w:tcBorders>
            <w:shd w:val="clear" w:color="auto" w:fill="EEE1EF"/>
            <w:tcMar>
              <w:top w:w="72" w:type="dxa"/>
              <w:left w:w="144" w:type="dxa"/>
              <w:bottom w:w="72" w:type="dxa"/>
              <w:right w:w="144" w:type="dxa"/>
            </w:tcMar>
            <w:vAlign w:val="center"/>
          </w:tcPr>
          <w:p w:rsidR="0098495E" w:rsidRPr="001A2567" w:rsidRDefault="0098495E" w:rsidP="00E0788E">
            <w:pPr>
              <w:keepLines w:val="0"/>
              <w:spacing w:after="0" w:line="240" w:lineRule="auto"/>
              <w:rPr>
                <w:rFonts w:ascii="Segoe UI Light" w:eastAsia="Times New Roman" w:hAnsi="Segoe UI Light" w:cs="Segoe UI Light"/>
                <w:color w:val="3C3C3B"/>
                <w:kern w:val="24"/>
                <w:sz w:val="18"/>
                <w:szCs w:val="18"/>
                <w:lang w:eastAsia="en-CA"/>
              </w:rPr>
            </w:pPr>
            <w:r>
              <w:rPr>
                <w:rFonts w:ascii="Segoe UI Light" w:eastAsia="Times New Roman" w:hAnsi="Segoe UI Light" w:cs="Segoe UI Light"/>
                <w:color w:val="3C3C3B"/>
                <w:kern w:val="24"/>
                <w:sz w:val="18"/>
                <w:szCs w:val="18"/>
                <w:lang w:eastAsia="en-CA"/>
              </w:rPr>
              <w:t>A</w:t>
            </w:r>
            <w:r w:rsidRPr="001A2567">
              <w:rPr>
                <w:rFonts w:ascii="Segoe UI Light" w:eastAsia="Times New Roman" w:hAnsi="Segoe UI Light" w:cs="Segoe UI Light"/>
                <w:color w:val="3C3C3B"/>
                <w:kern w:val="24"/>
                <w:sz w:val="18"/>
                <w:szCs w:val="18"/>
                <w:lang w:eastAsia="en-CA"/>
              </w:rPr>
              <w:t>vril 2020 à janvier 2021</w:t>
            </w:r>
          </w:p>
        </w:tc>
      </w:tr>
    </w:tbl>
    <w:p w:rsidR="001A2567" w:rsidRPr="001A2567" w:rsidRDefault="001A2567" w:rsidP="001A2567">
      <w:pPr>
        <w:keepLines w:val="0"/>
        <w:rPr>
          <w:rFonts w:ascii="Segoe UI Semilight" w:eastAsia="Segoe UI Semilight" w:hAnsi="Segoe UI Semilight" w:cs="Times New Roman"/>
          <w:color w:val="auto"/>
          <w:highlight w:val="yellow"/>
        </w:rPr>
      </w:pPr>
      <w:r w:rsidRPr="001A2567">
        <w:rPr>
          <w:rFonts w:ascii="Segoe UI Semilight" w:eastAsia="Segoe UI Semilight" w:hAnsi="Segoe UI Semilight" w:cs="Times New Roman"/>
          <w:color w:val="auto"/>
          <w:highlight w:val="yellow"/>
        </w:rPr>
        <w:br w:type="page"/>
      </w:r>
    </w:p>
    <w:p w:rsidR="001A2567" w:rsidRPr="001A2567" w:rsidRDefault="001A2567" w:rsidP="00625CD9">
      <w:pPr>
        <w:pStyle w:val="Heading2"/>
        <w:rPr>
          <w:rFonts w:eastAsia="Times New Roman"/>
        </w:rPr>
      </w:pPr>
      <w:r w:rsidRPr="006F2FBF">
        <w:rPr>
          <w:rFonts w:eastAsia="Times New Roman"/>
        </w:rPr>
        <w:lastRenderedPageBreak/>
        <w:t>PRIORITÉS DE LA PHASE 3 : ÉVALUER ET MODIFIER</w:t>
      </w:r>
      <w:r w:rsidR="00994ECA" w:rsidRPr="006F2FBF">
        <w:rPr>
          <w:rFonts w:eastAsia="Times New Roman"/>
        </w:rPr>
        <w:t xml:space="preserve"> – GESTION DES DONNÉES</w:t>
      </w:r>
    </w:p>
    <w:tbl>
      <w:tblPr>
        <w:tblW w:w="11396" w:type="dxa"/>
        <w:jc w:val="center"/>
        <w:tblCellMar>
          <w:left w:w="0" w:type="dxa"/>
          <w:right w:w="0" w:type="dxa"/>
        </w:tblCellMar>
        <w:tblLook w:val="04A0" w:firstRow="1" w:lastRow="0" w:firstColumn="1" w:lastColumn="0" w:noHBand="0" w:noVBand="1"/>
        <w:tblCaption w:val="Priorités de la phase 3: évaluer et modifier - gestion des données"/>
        <w:tblDescription w:val="Énumération des principales actions, activités et échéanciers proposés."/>
      </w:tblPr>
      <w:tblGrid>
        <w:gridCol w:w="2994"/>
        <w:gridCol w:w="11"/>
        <w:gridCol w:w="4933"/>
        <w:gridCol w:w="28"/>
        <w:gridCol w:w="3430"/>
      </w:tblGrid>
      <w:tr w:rsidR="00670A0D" w:rsidRPr="001A2567" w:rsidTr="00263F5B">
        <w:trPr>
          <w:trHeight w:val="281"/>
          <w:tblHeader/>
          <w:jc w:val="center"/>
        </w:trPr>
        <w:tc>
          <w:tcPr>
            <w:tcW w:w="3005" w:type="dxa"/>
            <w:gridSpan w:val="2"/>
            <w:shd w:val="clear" w:color="auto" w:fill="5B315E"/>
            <w:tcMar>
              <w:top w:w="72" w:type="dxa"/>
              <w:left w:w="144" w:type="dxa"/>
              <w:bottom w:w="72" w:type="dxa"/>
              <w:right w:w="144" w:type="dxa"/>
            </w:tcMar>
            <w:vAlign w:val="center"/>
          </w:tcPr>
          <w:p w:rsidR="00670A0D" w:rsidRPr="001A2567" w:rsidRDefault="00670A0D" w:rsidP="00263F5B">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Actions</w:t>
            </w:r>
          </w:p>
        </w:tc>
        <w:tc>
          <w:tcPr>
            <w:tcW w:w="4961" w:type="dxa"/>
            <w:gridSpan w:val="2"/>
            <w:shd w:val="clear" w:color="auto" w:fill="5B315E"/>
            <w:vAlign w:val="center"/>
          </w:tcPr>
          <w:p w:rsidR="00670A0D" w:rsidRPr="001A2567" w:rsidRDefault="00670A0D" w:rsidP="00263F5B">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Activités</w:t>
            </w:r>
          </w:p>
        </w:tc>
        <w:tc>
          <w:tcPr>
            <w:tcW w:w="3430" w:type="dxa"/>
            <w:shd w:val="clear" w:color="auto" w:fill="5B315E"/>
            <w:vAlign w:val="center"/>
          </w:tcPr>
          <w:p w:rsidR="00670A0D" w:rsidRPr="001A2567" w:rsidRDefault="00670A0D" w:rsidP="00263F5B">
            <w:pPr>
              <w:keepLines w:val="0"/>
              <w:spacing w:after="0" w:line="240" w:lineRule="auto"/>
              <w:jc w:val="center"/>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Échéancier</w:t>
            </w:r>
          </w:p>
        </w:tc>
      </w:tr>
      <w:tr w:rsidR="00670A0D" w:rsidRPr="001A2567" w:rsidTr="00263F5B">
        <w:trPr>
          <w:trHeight w:val="393"/>
          <w:jc w:val="center"/>
        </w:trPr>
        <w:tc>
          <w:tcPr>
            <w:tcW w:w="2994" w:type="dxa"/>
            <w:shd w:val="clear" w:color="auto" w:fill="EEE1EF"/>
            <w:tcMar>
              <w:top w:w="72" w:type="dxa"/>
              <w:left w:w="144" w:type="dxa"/>
              <w:bottom w:w="72" w:type="dxa"/>
              <w:right w:w="144" w:type="dxa"/>
            </w:tcMar>
            <w:vAlign w:val="center"/>
            <w:hideMark/>
          </w:tcPr>
          <w:p w:rsidR="00670A0D" w:rsidRPr="001A2567" w:rsidRDefault="00670A0D"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Intégrer de nouveaux fonds de données dans le lac de données</w:t>
            </w:r>
          </w:p>
        </w:tc>
        <w:tc>
          <w:tcPr>
            <w:tcW w:w="4944" w:type="dxa"/>
            <w:gridSpan w:val="2"/>
            <w:shd w:val="clear" w:color="auto" w:fill="EEE1EF"/>
            <w:tcMar>
              <w:top w:w="72" w:type="dxa"/>
              <w:left w:w="144" w:type="dxa"/>
              <w:bottom w:w="72" w:type="dxa"/>
              <w:right w:w="144" w:type="dxa"/>
            </w:tcMar>
            <w:vAlign w:val="center"/>
            <w:hideMark/>
          </w:tcPr>
          <w:p w:rsidR="00670A0D" w:rsidRPr="001A2567" w:rsidRDefault="00670A0D"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Fonds de données (à déterminer)</w:t>
            </w:r>
          </w:p>
        </w:tc>
        <w:tc>
          <w:tcPr>
            <w:tcW w:w="3456" w:type="dxa"/>
            <w:gridSpan w:val="2"/>
            <w:shd w:val="clear" w:color="auto" w:fill="EEE1EF"/>
            <w:tcMar>
              <w:top w:w="72" w:type="dxa"/>
              <w:left w:w="144" w:type="dxa"/>
              <w:bottom w:w="72" w:type="dxa"/>
              <w:right w:w="144" w:type="dxa"/>
            </w:tcMar>
            <w:vAlign w:val="center"/>
            <w:hideMark/>
          </w:tcPr>
          <w:p w:rsidR="00670A0D" w:rsidRPr="001A2567" w:rsidRDefault="00670A0D"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auto"/>
                <w:sz w:val="18"/>
                <w:szCs w:val="18"/>
                <w:lang w:eastAsia="en-CA"/>
              </w:rPr>
              <w:t>A</w:t>
            </w:r>
            <w:r w:rsidRPr="001A2567">
              <w:rPr>
                <w:rFonts w:ascii="Segoe UI Light" w:eastAsia="Times New Roman" w:hAnsi="Segoe UI Light" w:cs="Segoe UI Light"/>
                <w:color w:val="auto"/>
                <w:sz w:val="18"/>
                <w:szCs w:val="18"/>
                <w:lang w:eastAsia="en-CA"/>
              </w:rPr>
              <w:t>vril 2021 à avril 2022</w:t>
            </w:r>
          </w:p>
        </w:tc>
      </w:tr>
      <w:tr w:rsidR="00670A0D" w:rsidRPr="001A2567" w:rsidTr="00263F5B">
        <w:trPr>
          <w:trHeight w:val="393"/>
          <w:jc w:val="center"/>
        </w:trPr>
        <w:tc>
          <w:tcPr>
            <w:tcW w:w="2994" w:type="dxa"/>
            <w:vMerge w:val="restart"/>
            <w:shd w:val="clear" w:color="auto" w:fill="F9F5F9"/>
            <w:tcMar>
              <w:top w:w="72" w:type="dxa"/>
              <w:left w:w="144" w:type="dxa"/>
              <w:bottom w:w="72" w:type="dxa"/>
              <w:right w:w="144" w:type="dxa"/>
            </w:tcMar>
            <w:vAlign w:val="center"/>
          </w:tcPr>
          <w:p w:rsidR="00670A0D" w:rsidRPr="001A2567" w:rsidRDefault="00670A0D" w:rsidP="00E0788E">
            <w:pPr>
              <w:keepLines w:val="0"/>
              <w:spacing w:after="0" w:line="240" w:lineRule="auto"/>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Élargir les pratiques de gestion des données</w:t>
            </w:r>
          </w:p>
        </w:tc>
        <w:tc>
          <w:tcPr>
            <w:tcW w:w="4944" w:type="dxa"/>
            <w:gridSpan w:val="2"/>
            <w:shd w:val="clear" w:color="auto" w:fill="F9F5F9"/>
            <w:tcMar>
              <w:top w:w="72" w:type="dxa"/>
              <w:left w:w="144" w:type="dxa"/>
              <w:bottom w:w="72" w:type="dxa"/>
              <w:right w:w="144" w:type="dxa"/>
            </w:tcMar>
            <w:vAlign w:val="center"/>
          </w:tcPr>
          <w:p w:rsidR="00670A0D" w:rsidRPr="001A2567" w:rsidRDefault="00670A0D"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Établir</w:t>
            </w:r>
            <w:r w:rsidRPr="001A2567">
              <w:rPr>
                <w:rFonts w:ascii="Segoe UI Semilight" w:eastAsia="Segoe UI Semilight" w:hAnsi="Segoe UI Semilight" w:cs="Times New Roman"/>
                <w:color w:val="auto"/>
              </w:rPr>
              <w:t xml:space="preserve"> </w:t>
            </w:r>
            <w:r w:rsidRPr="001A2567">
              <w:rPr>
                <w:rFonts w:ascii="Segoe UI Light" w:eastAsia="Times New Roman" w:hAnsi="Segoe UI Light" w:cs="Segoe UI Light"/>
                <w:color w:val="auto"/>
                <w:sz w:val="18"/>
                <w:szCs w:val="18"/>
                <w:lang w:eastAsia="en-CA"/>
              </w:rPr>
              <w:t>des normes organisationnelles concernant la saisie et l’utilisation des métadonnées</w:t>
            </w:r>
          </w:p>
        </w:tc>
        <w:tc>
          <w:tcPr>
            <w:tcW w:w="3456" w:type="dxa"/>
            <w:gridSpan w:val="2"/>
            <w:shd w:val="clear" w:color="auto" w:fill="F9F5F9"/>
            <w:tcMar>
              <w:top w:w="72" w:type="dxa"/>
              <w:left w:w="144" w:type="dxa"/>
              <w:bottom w:w="72" w:type="dxa"/>
              <w:right w:w="144" w:type="dxa"/>
            </w:tcMar>
            <w:vAlign w:val="center"/>
          </w:tcPr>
          <w:p w:rsidR="00670A0D" w:rsidRPr="001A2567" w:rsidRDefault="00670A0D"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auto"/>
                <w:sz w:val="18"/>
                <w:szCs w:val="18"/>
                <w:lang w:eastAsia="en-CA"/>
              </w:rPr>
              <w:t>A</w:t>
            </w:r>
            <w:r w:rsidRPr="001A2567">
              <w:rPr>
                <w:rFonts w:ascii="Segoe UI Light" w:eastAsia="Times New Roman" w:hAnsi="Segoe UI Light" w:cs="Segoe UI Light"/>
                <w:color w:val="auto"/>
                <w:sz w:val="18"/>
                <w:szCs w:val="18"/>
                <w:lang w:eastAsia="en-CA"/>
              </w:rPr>
              <w:t>vril à octobre 2021</w:t>
            </w:r>
          </w:p>
        </w:tc>
      </w:tr>
      <w:tr w:rsidR="00670A0D" w:rsidRPr="001A2567" w:rsidTr="00263F5B">
        <w:trPr>
          <w:trHeight w:val="340"/>
          <w:jc w:val="center"/>
        </w:trPr>
        <w:tc>
          <w:tcPr>
            <w:tcW w:w="2994" w:type="dxa"/>
            <w:vMerge/>
            <w:shd w:val="clear" w:color="auto" w:fill="F9F5F9"/>
            <w:tcMar>
              <w:top w:w="72" w:type="dxa"/>
              <w:left w:w="144" w:type="dxa"/>
              <w:bottom w:w="72" w:type="dxa"/>
              <w:right w:w="144" w:type="dxa"/>
            </w:tcMar>
            <w:vAlign w:val="center"/>
          </w:tcPr>
          <w:p w:rsidR="00670A0D" w:rsidRPr="001A2567" w:rsidRDefault="00670A0D" w:rsidP="00E0788E">
            <w:pPr>
              <w:keepLines w:val="0"/>
              <w:spacing w:after="0" w:line="240" w:lineRule="auto"/>
              <w:rPr>
                <w:rFonts w:ascii="Segoe UI Light" w:eastAsia="Times New Roman" w:hAnsi="Segoe UI Light" w:cs="Segoe UI Light"/>
                <w:color w:val="auto"/>
                <w:sz w:val="18"/>
                <w:szCs w:val="18"/>
                <w:lang w:eastAsia="en-CA"/>
              </w:rPr>
            </w:pPr>
          </w:p>
        </w:tc>
        <w:tc>
          <w:tcPr>
            <w:tcW w:w="4944" w:type="dxa"/>
            <w:gridSpan w:val="2"/>
            <w:shd w:val="clear" w:color="auto" w:fill="F9F5F9"/>
            <w:tcMar>
              <w:top w:w="72" w:type="dxa"/>
              <w:left w:w="144" w:type="dxa"/>
              <w:bottom w:w="72" w:type="dxa"/>
              <w:right w:w="144" w:type="dxa"/>
            </w:tcMar>
            <w:vAlign w:val="center"/>
          </w:tcPr>
          <w:p w:rsidR="00670A0D" w:rsidRPr="001A2567" w:rsidRDefault="00670A0D"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1A2567">
              <w:rPr>
                <w:rFonts w:ascii="Segoe UI Light" w:eastAsia="Times New Roman" w:hAnsi="Segoe UI Light" w:cs="Segoe UI Light"/>
                <w:color w:val="auto"/>
                <w:sz w:val="18"/>
                <w:szCs w:val="18"/>
                <w:lang w:eastAsia="en-CA"/>
              </w:rPr>
              <w:t>Mettre en œuvre</w:t>
            </w:r>
            <w:r w:rsidRPr="001A2567">
              <w:rPr>
                <w:rFonts w:ascii="Segoe UI Semilight" w:eastAsia="Segoe UI Semilight" w:hAnsi="Segoe UI Semilight" w:cs="Times New Roman"/>
                <w:color w:val="auto"/>
              </w:rPr>
              <w:t xml:space="preserve"> </w:t>
            </w:r>
            <w:r w:rsidRPr="001A2567">
              <w:rPr>
                <w:rFonts w:ascii="Segoe UI Light" w:eastAsia="Times New Roman" w:hAnsi="Segoe UI Light" w:cs="Segoe UI Light"/>
                <w:color w:val="auto"/>
                <w:sz w:val="18"/>
                <w:szCs w:val="18"/>
                <w:lang w:eastAsia="en-CA"/>
              </w:rPr>
              <w:t>et normaliser les tableaux de référence pour les classifications, par régions, par départements</w:t>
            </w:r>
          </w:p>
        </w:tc>
        <w:tc>
          <w:tcPr>
            <w:tcW w:w="3456" w:type="dxa"/>
            <w:gridSpan w:val="2"/>
            <w:shd w:val="clear" w:color="auto" w:fill="F9F5F9"/>
            <w:tcMar>
              <w:top w:w="72" w:type="dxa"/>
              <w:left w:w="144" w:type="dxa"/>
              <w:bottom w:w="72" w:type="dxa"/>
              <w:right w:w="144" w:type="dxa"/>
            </w:tcMar>
            <w:vAlign w:val="center"/>
          </w:tcPr>
          <w:p w:rsidR="00670A0D" w:rsidRPr="001A2567" w:rsidRDefault="00670A0D" w:rsidP="00E0788E">
            <w:pPr>
              <w:keepLines w:val="0"/>
              <w:spacing w:after="0" w:line="240" w:lineRule="auto"/>
              <w:rPr>
                <w:rFonts w:ascii="Segoe UI Light" w:eastAsia="Times New Roman" w:hAnsi="Segoe UI Light" w:cs="Segoe UI Light"/>
                <w:color w:val="auto"/>
                <w:sz w:val="18"/>
                <w:szCs w:val="18"/>
                <w:lang w:eastAsia="en-CA"/>
              </w:rPr>
            </w:pPr>
            <w:r>
              <w:rPr>
                <w:rFonts w:ascii="Segoe UI Light" w:eastAsia="Times New Roman" w:hAnsi="Segoe UI Light" w:cs="Segoe UI Light"/>
                <w:color w:val="auto"/>
                <w:sz w:val="18"/>
                <w:szCs w:val="18"/>
                <w:lang w:eastAsia="en-CA"/>
              </w:rPr>
              <w:t>A</w:t>
            </w:r>
            <w:r w:rsidRPr="001A2567">
              <w:rPr>
                <w:rFonts w:ascii="Segoe UI Light" w:eastAsia="Times New Roman" w:hAnsi="Segoe UI Light" w:cs="Segoe UI Light"/>
                <w:color w:val="auto"/>
                <w:sz w:val="18"/>
                <w:szCs w:val="18"/>
                <w:lang w:eastAsia="en-CA"/>
              </w:rPr>
              <w:t>vril 2021 à janvier 2022</w:t>
            </w:r>
          </w:p>
        </w:tc>
      </w:tr>
    </w:tbl>
    <w:p w:rsidR="00994ECA" w:rsidRPr="001A2567" w:rsidRDefault="00994ECA" w:rsidP="00625CD9">
      <w:pPr>
        <w:pStyle w:val="Heading2"/>
        <w:spacing w:before="240"/>
        <w:rPr>
          <w:rFonts w:eastAsia="Times New Roman"/>
        </w:rPr>
      </w:pPr>
      <w:r w:rsidRPr="00D9399C">
        <w:rPr>
          <w:rFonts w:eastAsia="Times New Roman"/>
        </w:rPr>
        <w:t>PRIORITÉS DE LA PHASE 3 : ÉVALUER ET MODIFIER –</w:t>
      </w:r>
      <w:r>
        <w:rPr>
          <w:rFonts w:eastAsia="Times New Roman"/>
        </w:rPr>
        <w:t xml:space="preserve"> INFRASTRUCTURE DES DONNÉES</w:t>
      </w:r>
    </w:p>
    <w:tbl>
      <w:tblPr>
        <w:tblW w:w="11395" w:type="dxa"/>
        <w:jc w:val="center"/>
        <w:tblCellMar>
          <w:left w:w="0" w:type="dxa"/>
          <w:right w:w="0" w:type="dxa"/>
        </w:tblCellMar>
        <w:tblLook w:val="04A0" w:firstRow="1" w:lastRow="0" w:firstColumn="1" w:lastColumn="0" w:noHBand="0" w:noVBand="1"/>
        <w:tblCaption w:val="Priorités de la phase 3: évaluer et modifier - infrastructure des données"/>
        <w:tblDescription w:val="Énumération des principales actions, activités et échéanciers proposés."/>
      </w:tblPr>
      <w:tblGrid>
        <w:gridCol w:w="2993"/>
        <w:gridCol w:w="11"/>
        <w:gridCol w:w="4933"/>
        <w:gridCol w:w="3458"/>
      </w:tblGrid>
      <w:tr w:rsidR="00994ECA" w:rsidRPr="00D9399C" w:rsidTr="00263F5B">
        <w:trPr>
          <w:trHeight w:val="281"/>
          <w:tblHeader/>
          <w:jc w:val="center"/>
        </w:trPr>
        <w:tc>
          <w:tcPr>
            <w:tcW w:w="3004" w:type="dxa"/>
            <w:gridSpan w:val="2"/>
            <w:shd w:val="clear" w:color="auto" w:fill="5B315E"/>
            <w:tcMar>
              <w:top w:w="72" w:type="dxa"/>
              <w:left w:w="144" w:type="dxa"/>
              <w:bottom w:w="72" w:type="dxa"/>
              <w:right w:w="144" w:type="dxa"/>
            </w:tcMar>
            <w:vAlign w:val="center"/>
          </w:tcPr>
          <w:p w:rsidR="00994ECA" w:rsidRPr="00D9399C" w:rsidRDefault="00994ECA" w:rsidP="00263F5B">
            <w:pPr>
              <w:keepLines w:val="0"/>
              <w:spacing w:after="0" w:line="240" w:lineRule="auto"/>
              <w:jc w:val="center"/>
              <w:rPr>
                <w:rFonts w:ascii="Segoe UI Light" w:eastAsia="Times New Roman" w:hAnsi="Segoe UI Light" w:cs="Segoe UI Light"/>
                <w:bCs/>
                <w:color w:val="FFFFFF"/>
                <w:kern w:val="24"/>
                <w:sz w:val="18"/>
                <w:szCs w:val="18"/>
                <w:lang w:eastAsia="en-CA"/>
              </w:rPr>
            </w:pPr>
            <w:r w:rsidRPr="00D9399C">
              <w:rPr>
                <w:rFonts w:ascii="Segoe UI Light" w:eastAsia="Times New Roman" w:hAnsi="Segoe UI Light" w:cs="Segoe UI Light"/>
                <w:bCs/>
                <w:color w:val="FFFFFF"/>
                <w:kern w:val="24"/>
                <w:sz w:val="18"/>
                <w:szCs w:val="18"/>
                <w:lang w:eastAsia="en-CA"/>
              </w:rPr>
              <w:t>Actions</w:t>
            </w:r>
          </w:p>
        </w:tc>
        <w:tc>
          <w:tcPr>
            <w:tcW w:w="4933" w:type="dxa"/>
            <w:shd w:val="clear" w:color="auto" w:fill="5B315E"/>
            <w:vAlign w:val="center"/>
          </w:tcPr>
          <w:p w:rsidR="00994ECA" w:rsidRPr="00D9399C" w:rsidRDefault="00994ECA" w:rsidP="00263F5B">
            <w:pPr>
              <w:keepLines w:val="0"/>
              <w:spacing w:after="0" w:line="240" w:lineRule="auto"/>
              <w:jc w:val="center"/>
              <w:rPr>
                <w:rFonts w:ascii="Segoe UI Light" w:eastAsia="Times New Roman" w:hAnsi="Segoe UI Light" w:cs="Segoe UI Light"/>
                <w:bCs/>
                <w:color w:val="FFFFFF"/>
                <w:kern w:val="24"/>
                <w:sz w:val="18"/>
                <w:szCs w:val="18"/>
                <w:lang w:eastAsia="en-CA"/>
              </w:rPr>
            </w:pPr>
            <w:r w:rsidRPr="00D9399C">
              <w:rPr>
                <w:rFonts w:ascii="Segoe UI Light" w:eastAsia="Times New Roman" w:hAnsi="Segoe UI Light" w:cs="Segoe UI Light"/>
                <w:bCs/>
                <w:color w:val="FFFFFF"/>
                <w:kern w:val="24"/>
                <w:sz w:val="18"/>
                <w:szCs w:val="18"/>
                <w:lang w:eastAsia="en-CA"/>
              </w:rPr>
              <w:t>Activités</w:t>
            </w:r>
          </w:p>
        </w:tc>
        <w:tc>
          <w:tcPr>
            <w:tcW w:w="3458" w:type="dxa"/>
            <w:shd w:val="clear" w:color="auto" w:fill="5B315E"/>
            <w:vAlign w:val="center"/>
          </w:tcPr>
          <w:p w:rsidR="00994ECA" w:rsidRPr="00D9399C" w:rsidRDefault="00994ECA" w:rsidP="00263F5B">
            <w:pPr>
              <w:keepLines w:val="0"/>
              <w:spacing w:after="0" w:line="240" w:lineRule="auto"/>
              <w:jc w:val="center"/>
              <w:rPr>
                <w:rFonts w:ascii="Segoe UI Light" w:eastAsia="Times New Roman" w:hAnsi="Segoe UI Light" w:cs="Segoe UI Light"/>
                <w:bCs/>
                <w:color w:val="FFFFFF"/>
                <w:kern w:val="24"/>
                <w:sz w:val="18"/>
                <w:szCs w:val="18"/>
                <w:lang w:eastAsia="en-CA"/>
              </w:rPr>
            </w:pPr>
            <w:r w:rsidRPr="00D9399C">
              <w:rPr>
                <w:rFonts w:ascii="Segoe UI Light" w:eastAsia="Times New Roman" w:hAnsi="Segoe UI Light" w:cs="Segoe UI Light"/>
                <w:bCs/>
                <w:color w:val="FFFFFF"/>
                <w:kern w:val="24"/>
                <w:sz w:val="18"/>
                <w:szCs w:val="18"/>
                <w:lang w:eastAsia="en-CA"/>
              </w:rPr>
              <w:t>Échéancier</w:t>
            </w:r>
          </w:p>
        </w:tc>
      </w:tr>
      <w:tr w:rsidR="00D9399C" w:rsidRPr="00D9399C" w:rsidTr="00263F5B">
        <w:trPr>
          <w:trHeight w:val="393"/>
          <w:jc w:val="center"/>
        </w:trPr>
        <w:tc>
          <w:tcPr>
            <w:tcW w:w="2993" w:type="dxa"/>
            <w:shd w:val="clear" w:color="auto" w:fill="EEE1EF"/>
            <w:tcMar>
              <w:top w:w="72" w:type="dxa"/>
              <w:left w:w="144" w:type="dxa"/>
              <w:bottom w:w="72" w:type="dxa"/>
              <w:right w:w="144" w:type="dxa"/>
            </w:tcMar>
            <w:hideMark/>
          </w:tcPr>
          <w:p w:rsidR="00D9399C" w:rsidRPr="006F2FBF" w:rsidRDefault="00D9399C" w:rsidP="00E0788E">
            <w:pPr>
              <w:rPr>
                <w:rFonts w:ascii="Segoe UI Light" w:eastAsia="Times New Roman" w:hAnsi="Segoe UI Light" w:cs="Segoe UI Light"/>
                <w:color w:val="auto"/>
                <w:sz w:val="18"/>
                <w:szCs w:val="18"/>
                <w:lang w:eastAsia="en-CA"/>
              </w:rPr>
            </w:pPr>
            <w:r w:rsidRPr="006F2FBF">
              <w:rPr>
                <w:rFonts w:ascii="Segoe UI Light" w:eastAsia="Times New Roman" w:hAnsi="Segoe UI Light" w:cs="Segoe UI Light"/>
                <w:color w:val="auto"/>
                <w:sz w:val="18"/>
                <w:szCs w:val="18"/>
                <w:lang w:eastAsia="en-CA"/>
              </w:rPr>
              <w:t xml:space="preserve">Évaluer les </w:t>
            </w:r>
            <w:r w:rsidR="006F2FBF" w:rsidRPr="006F2FBF">
              <w:rPr>
                <w:rFonts w:ascii="Segoe UI Light" w:eastAsia="Times New Roman" w:hAnsi="Segoe UI Light" w:cs="Segoe UI Light"/>
                <w:color w:val="auto"/>
                <w:sz w:val="18"/>
                <w:szCs w:val="18"/>
                <w:lang w:eastAsia="en-CA"/>
              </w:rPr>
              <w:t>progrès</w:t>
            </w:r>
            <w:r w:rsidRPr="006F2FBF">
              <w:rPr>
                <w:rFonts w:ascii="Segoe UI Light" w:eastAsia="Times New Roman" w:hAnsi="Segoe UI Light" w:cs="Segoe UI Light"/>
                <w:color w:val="auto"/>
                <w:sz w:val="18"/>
                <w:szCs w:val="18"/>
                <w:lang w:eastAsia="en-CA"/>
              </w:rPr>
              <w:t xml:space="preserve"> réalisés en matière de littératie des données de la CFP</w:t>
            </w:r>
          </w:p>
        </w:tc>
        <w:tc>
          <w:tcPr>
            <w:tcW w:w="4944" w:type="dxa"/>
            <w:gridSpan w:val="2"/>
            <w:shd w:val="clear" w:color="auto" w:fill="EEE1EF"/>
            <w:tcMar>
              <w:top w:w="72" w:type="dxa"/>
              <w:left w:w="144" w:type="dxa"/>
              <w:bottom w:w="72" w:type="dxa"/>
              <w:right w:w="144" w:type="dxa"/>
            </w:tcMar>
            <w:hideMark/>
          </w:tcPr>
          <w:p w:rsidR="00D9399C" w:rsidRPr="006F2FBF" w:rsidRDefault="006F2FBF" w:rsidP="00E0788E">
            <w:pPr>
              <w:rPr>
                <w:rFonts w:ascii="Segoe UI Light" w:eastAsia="Times New Roman" w:hAnsi="Segoe UI Light" w:cs="Segoe UI Light"/>
                <w:color w:val="auto"/>
                <w:sz w:val="18"/>
                <w:szCs w:val="18"/>
                <w:lang w:eastAsia="en-CA"/>
              </w:rPr>
            </w:pPr>
            <w:r w:rsidRPr="006F2FBF">
              <w:rPr>
                <w:rFonts w:ascii="Segoe UI Light" w:eastAsia="Times New Roman" w:hAnsi="Segoe UI Light" w:cs="Segoe UI Light"/>
                <w:color w:val="auto"/>
                <w:sz w:val="18"/>
                <w:szCs w:val="18"/>
                <w:lang w:eastAsia="en-CA"/>
              </w:rPr>
              <w:t>Administrer et analyser les résultats de la deuxième enquête</w:t>
            </w:r>
          </w:p>
        </w:tc>
        <w:tc>
          <w:tcPr>
            <w:tcW w:w="3457" w:type="dxa"/>
            <w:shd w:val="clear" w:color="auto" w:fill="EEE1EF"/>
            <w:tcMar>
              <w:top w:w="72" w:type="dxa"/>
              <w:left w:w="144" w:type="dxa"/>
              <w:bottom w:w="72" w:type="dxa"/>
              <w:right w:w="144" w:type="dxa"/>
            </w:tcMar>
            <w:hideMark/>
          </w:tcPr>
          <w:p w:rsidR="00D9399C" w:rsidRPr="006F2FBF" w:rsidRDefault="006F2FBF" w:rsidP="00E0788E">
            <w:pPr>
              <w:rPr>
                <w:rFonts w:ascii="Segoe UI Light" w:eastAsia="Times New Roman" w:hAnsi="Segoe UI Light" w:cs="Segoe UI Light"/>
                <w:color w:val="auto"/>
                <w:sz w:val="18"/>
                <w:szCs w:val="18"/>
                <w:lang w:eastAsia="en-CA"/>
              </w:rPr>
            </w:pPr>
            <w:r w:rsidRPr="006F2FBF">
              <w:rPr>
                <w:rFonts w:ascii="Segoe UI Light" w:eastAsia="Times New Roman" w:hAnsi="Segoe UI Light" w:cs="Segoe UI Light"/>
                <w:color w:val="auto"/>
                <w:sz w:val="18"/>
                <w:szCs w:val="18"/>
                <w:lang w:eastAsia="en-CA"/>
              </w:rPr>
              <w:t>Avril à juillet</w:t>
            </w:r>
            <w:r w:rsidR="00D9399C" w:rsidRPr="006F2FBF">
              <w:rPr>
                <w:rFonts w:ascii="Segoe UI Light" w:eastAsia="Times New Roman" w:hAnsi="Segoe UI Light" w:cs="Segoe UI Light"/>
                <w:color w:val="auto"/>
                <w:sz w:val="18"/>
                <w:szCs w:val="18"/>
                <w:lang w:eastAsia="en-CA"/>
              </w:rPr>
              <w:t xml:space="preserve"> 2021</w:t>
            </w:r>
          </w:p>
        </w:tc>
      </w:tr>
      <w:tr w:rsidR="00D9399C" w:rsidRPr="00D9399C" w:rsidTr="00263F5B">
        <w:trPr>
          <w:trHeight w:val="393"/>
          <w:jc w:val="center"/>
        </w:trPr>
        <w:tc>
          <w:tcPr>
            <w:tcW w:w="2993" w:type="dxa"/>
            <w:shd w:val="clear" w:color="auto" w:fill="F9F5F9"/>
            <w:tcMar>
              <w:top w:w="72" w:type="dxa"/>
              <w:left w:w="144" w:type="dxa"/>
              <w:bottom w:w="72" w:type="dxa"/>
              <w:right w:w="144" w:type="dxa"/>
            </w:tcMar>
          </w:tcPr>
          <w:p w:rsidR="00D9399C" w:rsidRPr="006F2FBF" w:rsidRDefault="006F2FBF" w:rsidP="00E0788E">
            <w:pPr>
              <w:rPr>
                <w:rFonts w:ascii="Segoe UI Light" w:eastAsia="Times New Roman" w:hAnsi="Segoe UI Light" w:cs="Segoe UI Light"/>
                <w:color w:val="auto"/>
                <w:sz w:val="18"/>
                <w:szCs w:val="18"/>
                <w:lang w:eastAsia="en-CA"/>
              </w:rPr>
            </w:pPr>
            <w:r w:rsidRPr="006F2FBF">
              <w:rPr>
                <w:rFonts w:ascii="Segoe UI Light" w:eastAsia="Times New Roman" w:hAnsi="Segoe UI Light" w:cs="Segoe UI Light"/>
                <w:color w:val="auto"/>
                <w:sz w:val="18"/>
                <w:szCs w:val="18"/>
                <w:lang w:eastAsia="en-CA"/>
              </w:rPr>
              <w:t>Aligner la SGD de la CFP sur l’orientation du gouvernement du Canada</w:t>
            </w:r>
          </w:p>
        </w:tc>
        <w:tc>
          <w:tcPr>
            <w:tcW w:w="4944" w:type="dxa"/>
            <w:gridSpan w:val="2"/>
            <w:shd w:val="clear" w:color="auto" w:fill="F9F5F9"/>
            <w:tcMar>
              <w:top w:w="72" w:type="dxa"/>
              <w:left w:w="144" w:type="dxa"/>
              <w:bottom w:w="72" w:type="dxa"/>
              <w:right w:w="144" w:type="dxa"/>
            </w:tcMar>
          </w:tcPr>
          <w:p w:rsidR="00D9399C" w:rsidRPr="006F2FBF" w:rsidRDefault="006F2FBF" w:rsidP="00E0788E">
            <w:pPr>
              <w:rPr>
                <w:rFonts w:ascii="Segoe UI Light" w:eastAsia="Times New Roman" w:hAnsi="Segoe UI Light" w:cs="Segoe UI Light"/>
                <w:color w:val="auto"/>
                <w:sz w:val="18"/>
                <w:szCs w:val="18"/>
                <w:lang w:eastAsia="en-CA"/>
              </w:rPr>
            </w:pPr>
            <w:r w:rsidRPr="006F2FBF">
              <w:rPr>
                <w:rFonts w:ascii="Segoe UI Light" w:eastAsia="Times New Roman" w:hAnsi="Segoe UI Light" w:cs="Segoe UI Light"/>
                <w:color w:val="auto"/>
                <w:sz w:val="18"/>
                <w:szCs w:val="18"/>
                <w:lang w:eastAsia="en-CA"/>
              </w:rPr>
              <w:t>Mettre à jour la SGD de la CFP et l’aligner sur l’orientation du gouvernement du Canada et les besoins de la Commission</w:t>
            </w:r>
          </w:p>
        </w:tc>
        <w:tc>
          <w:tcPr>
            <w:tcW w:w="3457" w:type="dxa"/>
            <w:shd w:val="clear" w:color="auto" w:fill="F9F5F9"/>
            <w:tcMar>
              <w:top w:w="72" w:type="dxa"/>
              <w:left w:w="144" w:type="dxa"/>
              <w:bottom w:w="72" w:type="dxa"/>
              <w:right w:w="144" w:type="dxa"/>
            </w:tcMar>
          </w:tcPr>
          <w:p w:rsidR="00D9399C" w:rsidRPr="006F2FBF" w:rsidRDefault="006F2FBF" w:rsidP="00E0788E">
            <w:pPr>
              <w:rPr>
                <w:rFonts w:ascii="Segoe UI Light" w:eastAsia="Times New Roman" w:hAnsi="Segoe UI Light" w:cs="Segoe UI Light"/>
                <w:color w:val="auto"/>
                <w:sz w:val="18"/>
                <w:szCs w:val="18"/>
                <w:lang w:eastAsia="en-CA"/>
              </w:rPr>
            </w:pPr>
            <w:r w:rsidRPr="006F2FBF">
              <w:rPr>
                <w:rFonts w:ascii="Segoe UI Light" w:eastAsia="Times New Roman" w:hAnsi="Segoe UI Light" w:cs="Segoe UI Light"/>
                <w:color w:val="auto"/>
                <w:sz w:val="18"/>
                <w:szCs w:val="18"/>
                <w:lang w:eastAsia="en-CA"/>
              </w:rPr>
              <w:t xml:space="preserve">Juillet à </w:t>
            </w:r>
            <w:r>
              <w:rPr>
                <w:rFonts w:ascii="Segoe UI Light" w:eastAsia="Times New Roman" w:hAnsi="Segoe UI Light" w:cs="Segoe UI Light"/>
                <w:color w:val="auto"/>
                <w:sz w:val="18"/>
                <w:szCs w:val="18"/>
                <w:lang w:eastAsia="en-CA"/>
              </w:rPr>
              <w:t>décembre 2021</w:t>
            </w:r>
          </w:p>
        </w:tc>
      </w:tr>
    </w:tbl>
    <w:p w:rsidR="00263F5B" w:rsidRPr="005D361D" w:rsidRDefault="00263F5B" w:rsidP="00625CD9">
      <w:pPr>
        <w:pStyle w:val="Heading2"/>
        <w:spacing w:before="240"/>
        <w:rPr>
          <w:rFonts w:eastAsia="Times New Roman"/>
        </w:rPr>
      </w:pPr>
      <w:r w:rsidRPr="00D9399C">
        <w:rPr>
          <w:rFonts w:eastAsia="Times New Roman"/>
        </w:rPr>
        <w:t>PRIORITÉS DE LA PHASE 3 : ÉVALUER ET MODIFIER –</w:t>
      </w:r>
      <w:r>
        <w:rPr>
          <w:rFonts w:eastAsia="Times New Roman"/>
        </w:rPr>
        <w:t xml:space="preserve"> UTILISATEURS DES DONNÉES</w:t>
      </w:r>
    </w:p>
    <w:tbl>
      <w:tblPr>
        <w:tblW w:w="11394" w:type="dxa"/>
        <w:jc w:val="center"/>
        <w:tblCellMar>
          <w:left w:w="0" w:type="dxa"/>
          <w:right w:w="0" w:type="dxa"/>
        </w:tblCellMar>
        <w:tblLook w:val="04A0" w:firstRow="1" w:lastRow="0" w:firstColumn="1" w:lastColumn="0" w:noHBand="0" w:noVBand="1"/>
        <w:tblCaption w:val="Priorités de la phase 3: évaluer et modifier - utilisateur des données"/>
        <w:tblDescription w:val="Énumération des principales actions, activités et échéanciers proposés."/>
      </w:tblPr>
      <w:tblGrid>
        <w:gridCol w:w="7938"/>
        <w:gridCol w:w="142"/>
        <w:gridCol w:w="3314"/>
      </w:tblGrid>
      <w:tr w:rsidR="00670A0D" w:rsidRPr="001A2567" w:rsidTr="00263F5B">
        <w:trPr>
          <w:trHeight w:val="281"/>
          <w:tblHeader/>
          <w:jc w:val="center"/>
        </w:trPr>
        <w:tc>
          <w:tcPr>
            <w:tcW w:w="8080" w:type="dxa"/>
            <w:gridSpan w:val="2"/>
            <w:shd w:val="clear" w:color="auto" w:fill="5B315E"/>
            <w:tcMar>
              <w:top w:w="72" w:type="dxa"/>
              <w:left w:w="144" w:type="dxa"/>
              <w:bottom w:w="72" w:type="dxa"/>
              <w:right w:w="144" w:type="dxa"/>
            </w:tcMar>
            <w:vAlign w:val="center"/>
          </w:tcPr>
          <w:p w:rsidR="00670A0D" w:rsidRPr="001A2567" w:rsidRDefault="00670A0D" w:rsidP="00E0788E">
            <w:pPr>
              <w:keepLines w:val="0"/>
              <w:spacing w:after="0" w:line="240" w:lineRule="auto"/>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Action</w:t>
            </w:r>
          </w:p>
        </w:tc>
        <w:tc>
          <w:tcPr>
            <w:tcW w:w="3314" w:type="dxa"/>
            <w:shd w:val="clear" w:color="auto" w:fill="5B315E"/>
            <w:vAlign w:val="center"/>
          </w:tcPr>
          <w:p w:rsidR="00670A0D" w:rsidRPr="001A2567" w:rsidRDefault="00670A0D" w:rsidP="00E0788E">
            <w:pPr>
              <w:keepLines w:val="0"/>
              <w:spacing w:after="0" w:line="240" w:lineRule="auto"/>
              <w:rPr>
                <w:rFonts w:ascii="Segoe UI Light" w:eastAsia="Times New Roman" w:hAnsi="Segoe UI Light" w:cs="Segoe UI Light"/>
                <w:b/>
                <w:bCs/>
                <w:color w:val="FFFFFF"/>
                <w:kern w:val="24"/>
                <w:sz w:val="18"/>
                <w:szCs w:val="18"/>
                <w:lang w:eastAsia="en-CA"/>
              </w:rPr>
            </w:pPr>
            <w:r>
              <w:rPr>
                <w:rFonts w:ascii="Segoe UI Light" w:eastAsia="Times New Roman" w:hAnsi="Segoe UI Light" w:cs="Segoe UI Light"/>
                <w:b/>
                <w:bCs/>
                <w:color w:val="FFFFFF"/>
                <w:kern w:val="24"/>
                <w:sz w:val="18"/>
                <w:szCs w:val="18"/>
                <w:lang w:eastAsia="en-CA"/>
              </w:rPr>
              <w:t>Échéancier</w:t>
            </w:r>
          </w:p>
        </w:tc>
      </w:tr>
      <w:tr w:rsidR="00670A0D" w:rsidRPr="001A2567" w:rsidTr="00263F5B">
        <w:trPr>
          <w:trHeight w:val="340"/>
          <w:jc w:val="center"/>
        </w:trPr>
        <w:tc>
          <w:tcPr>
            <w:tcW w:w="7938" w:type="dxa"/>
            <w:shd w:val="clear" w:color="auto" w:fill="EEE1EF"/>
            <w:tcMar>
              <w:top w:w="72" w:type="dxa"/>
              <w:left w:w="144" w:type="dxa"/>
              <w:bottom w:w="72" w:type="dxa"/>
              <w:right w:w="144" w:type="dxa"/>
            </w:tcMar>
            <w:vAlign w:val="center"/>
          </w:tcPr>
          <w:p w:rsidR="00670A0D" w:rsidRPr="005D361D" w:rsidRDefault="00670A0D" w:rsidP="00E0788E">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eastAsia="en-CA"/>
              </w:rPr>
            </w:pPr>
            <w:r w:rsidRPr="005D361D">
              <w:rPr>
                <w:rFonts w:ascii="Segoe UI Light" w:eastAsia="Times New Roman" w:hAnsi="Segoe UI Light" w:cs="Segoe UI Light"/>
                <w:color w:val="auto"/>
                <w:sz w:val="18"/>
                <w:szCs w:val="18"/>
                <w:lang w:eastAsia="en-CA"/>
              </w:rPr>
              <w:t>Évaluer les résultats de la Stratégie</w:t>
            </w:r>
          </w:p>
        </w:tc>
        <w:tc>
          <w:tcPr>
            <w:tcW w:w="3456" w:type="dxa"/>
            <w:gridSpan w:val="2"/>
            <w:shd w:val="clear" w:color="auto" w:fill="EEE1EF"/>
            <w:tcMar>
              <w:top w:w="72" w:type="dxa"/>
              <w:left w:w="144" w:type="dxa"/>
              <w:bottom w:w="72" w:type="dxa"/>
              <w:right w:w="144" w:type="dxa"/>
            </w:tcMar>
            <w:vAlign w:val="center"/>
          </w:tcPr>
          <w:p w:rsidR="00670A0D" w:rsidRPr="005D361D" w:rsidRDefault="00670A0D" w:rsidP="00E0788E">
            <w:pPr>
              <w:keepLines w:val="0"/>
              <w:spacing w:after="0" w:line="240" w:lineRule="auto"/>
              <w:rPr>
                <w:rFonts w:ascii="Segoe UI Light" w:eastAsia="Times New Roman" w:hAnsi="Segoe UI Light" w:cs="Segoe UI Light"/>
                <w:color w:val="auto"/>
                <w:sz w:val="18"/>
                <w:szCs w:val="18"/>
                <w:lang w:eastAsia="en-CA"/>
              </w:rPr>
            </w:pPr>
            <w:r w:rsidRPr="005D361D">
              <w:rPr>
                <w:rFonts w:ascii="Segoe UI Light" w:eastAsia="Times New Roman" w:hAnsi="Segoe UI Light" w:cs="Segoe UI Light"/>
                <w:color w:val="auto"/>
                <w:sz w:val="18"/>
                <w:szCs w:val="18"/>
                <w:lang w:eastAsia="en-CA"/>
              </w:rPr>
              <w:t>Avril 2021 à avril 2022</w:t>
            </w:r>
          </w:p>
        </w:tc>
      </w:tr>
    </w:tbl>
    <w:p w:rsidR="00670A0D" w:rsidRPr="005D361D" w:rsidRDefault="00670A0D" w:rsidP="00964C37">
      <w:pPr>
        <w:keepNext/>
        <w:keepLines w:val="0"/>
        <w:spacing w:before="40" w:after="240"/>
        <w:outlineLvl w:val="1"/>
        <w:rPr>
          <w:rFonts w:ascii="Segoe UI" w:eastAsia="Times New Roman" w:hAnsi="Segoe UI" w:cs="Segoe UI"/>
          <w:b/>
          <w:color w:val="5B315E"/>
          <w:sz w:val="32"/>
          <w:szCs w:val="32"/>
        </w:rPr>
      </w:pPr>
    </w:p>
    <w:sectPr w:rsidR="00670A0D" w:rsidRPr="005D361D" w:rsidSect="007563A2">
      <w:footerReference w:type="even" r:id="rId12"/>
      <w:footerReference w:type="default" r:id="rId13"/>
      <w:headerReference w:type="first" r:id="rId14"/>
      <w:footerReference w:type="first" r:id="rId15"/>
      <w:pgSz w:w="12240" w:h="15840"/>
      <w:pgMar w:top="1560" w:right="1440" w:bottom="1985" w:left="1440" w:header="709" w:footer="35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567" w:rsidRDefault="001A2567" w:rsidP="00A2240C">
      <w:r>
        <w:separator/>
      </w:r>
    </w:p>
  </w:endnote>
  <w:endnote w:type="continuationSeparator" w:id="0">
    <w:p w:rsidR="001A2567" w:rsidRDefault="001A2567" w:rsidP="00A2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860177"/>
      <w:docPartObj>
        <w:docPartGallery w:val="Page Numbers (Bottom of Page)"/>
        <w:docPartUnique/>
      </w:docPartObj>
    </w:sdtPr>
    <w:sdtEndPr>
      <w:rPr>
        <w:noProof/>
      </w:rPr>
    </w:sdtEndPr>
    <w:sdtContent>
      <w:p w:rsidR="00646A04" w:rsidRDefault="00646A04" w:rsidP="00A2240C">
        <w:pPr>
          <w:pStyle w:val="Footer"/>
          <w:rPr>
            <w:noProof/>
          </w:rPr>
        </w:pPr>
        <w:r>
          <w:rPr>
            <w:noProof/>
            <w:lang w:val="en-CA" w:eastAsia="en-CA"/>
          </w:rPr>
          <w:drawing>
            <wp:anchor distT="0" distB="0" distL="114300" distR="114300" simplePos="0" relativeHeight="251659264" behindDoc="1" locked="0" layoutInCell="1" allowOverlap="1">
              <wp:simplePos x="0" y="0"/>
              <wp:positionH relativeFrom="column">
                <wp:posOffset>-886460</wp:posOffset>
              </wp:positionH>
              <wp:positionV relativeFrom="paragraph">
                <wp:posOffset>219075</wp:posOffset>
              </wp:positionV>
              <wp:extent cx="7829550" cy="651510"/>
              <wp:effectExtent l="0" t="0" r="0" b="0"/>
              <wp:wrapNone/>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550" cy="65151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CB0ADE">
          <w:rPr>
            <w:noProof/>
          </w:rPr>
          <w:t>2</w:t>
        </w:r>
        <w:r>
          <w:rPr>
            <w:noProof/>
          </w:rPr>
          <w:fldChar w:fldCharType="end"/>
        </w:r>
      </w:p>
      <w:p w:rsidR="00646A04" w:rsidRDefault="001602C0" w:rsidP="00A2240C">
        <w:pPr>
          <w:pStyle w:val="Footer"/>
        </w:pPr>
      </w:p>
    </w:sdtContent>
  </w:sdt>
  <w:p w:rsidR="00646A04" w:rsidRDefault="00646A04" w:rsidP="00A2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ADE" w:rsidRDefault="00CB0ADE" w:rsidP="00A2240C">
    <w:pPr>
      <w:pStyle w:val="Footer"/>
    </w:pPr>
    <w:r>
      <w:rPr>
        <w:noProof/>
        <w:lang w:val="en-CA" w:eastAsia="en-CA"/>
      </w:rPr>
      <w:drawing>
        <wp:anchor distT="0" distB="0" distL="114300" distR="114300" simplePos="0" relativeHeight="251660288" behindDoc="1" locked="0" layoutInCell="1" allowOverlap="1">
          <wp:simplePos x="0" y="0"/>
          <wp:positionH relativeFrom="column">
            <wp:posOffset>-967105</wp:posOffset>
          </wp:positionH>
          <wp:positionV relativeFrom="page">
            <wp:posOffset>9352970</wp:posOffset>
          </wp:positionV>
          <wp:extent cx="7830000" cy="643620"/>
          <wp:effectExtent l="0" t="0" r="0" b="4445"/>
          <wp:wrapNone/>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1602C0">
      <w:rPr>
        <w:noProof/>
      </w:rPr>
      <w:t>14</w:t>
    </w:r>
    <w:r>
      <w:rPr>
        <w:noProof/>
      </w:rPr>
      <w:fldChar w:fldCharType="end"/>
    </w:r>
    <w:r>
      <w:rPr>
        <w:noProof/>
      </w:rPr>
      <w:t xml:space="preserve"> </w:t>
    </w:r>
    <w:r w:rsidR="00067BCD">
      <w:rPr>
        <w:noProof/>
      </w:rPr>
      <w:t>–</w:t>
    </w:r>
    <w:r w:rsidR="00CB6DD0">
      <w:rPr>
        <w:noProof/>
      </w:rPr>
      <w:t xml:space="preserve"> </w:t>
    </w:r>
    <w:r w:rsidR="00CB6DD0">
      <w:t>Plan de mise en œuvre – de la stratégie à la pratique</w:t>
    </w:r>
  </w:p>
  <w:p w:rsidR="00CB6DD0" w:rsidRDefault="00CB6DD0" w:rsidP="00A2240C">
    <w:pPr>
      <w:pStyle w:val="Footer"/>
    </w:pPr>
  </w:p>
  <w:p w:rsidR="00CB0ADE" w:rsidRDefault="00CB0ADE" w:rsidP="00A224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2E" w:rsidRDefault="0010662E" w:rsidP="00A2240C">
    <w:pPr>
      <w:pStyle w:val="Footer"/>
    </w:pPr>
    <w:r>
      <w:rPr>
        <w:noProof/>
        <w:lang w:val="en-CA" w:eastAsia="en-CA"/>
      </w:rPr>
      <w:drawing>
        <wp:anchor distT="0" distB="0" distL="114300" distR="114300" simplePos="0" relativeHeight="251658240" behindDoc="1" locked="0" layoutInCell="1" allowOverlap="1">
          <wp:simplePos x="0" y="0"/>
          <wp:positionH relativeFrom="column">
            <wp:posOffset>-892175</wp:posOffset>
          </wp:positionH>
          <wp:positionV relativeFrom="page">
            <wp:posOffset>5787228</wp:posOffset>
          </wp:positionV>
          <wp:extent cx="7800212" cy="3891600"/>
          <wp:effectExtent l="0" t="0" r="0" b="0"/>
          <wp:wrapNone/>
          <wp:docPr id="530" name="Picture 530" descr="Page courverture du " title="Page 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Footer-colobars.png"/>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567" w:rsidRDefault="001A2567" w:rsidP="00A2240C">
      <w:r>
        <w:separator/>
      </w:r>
    </w:p>
  </w:footnote>
  <w:footnote w:type="continuationSeparator" w:id="0">
    <w:p w:rsidR="001A2567" w:rsidRDefault="001A2567" w:rsidP="00A22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2E" w:rsidRDefault="0010662E" w:rsidP="00A2240C">
    <w:pPr>
      <w:pStyle w:val="Header"/>
    </w:pPr>
    <w:r>
      <w:rPr>
        <w:noProof/>
        <w:lang w:val="en-CA" w:eastAsia="en-CA"/>
      </w:rPr>
      <w:drawing>
        <wp:inline distT="0" distB="0" distL="0" distR="0">
          <wp:extent cx="4510800" cy="267086"/>
          <wp:effectExtent l="0" t="0" r="0" b="0"/>
          <wp:docPr id="529" name="Picture 529" descr="Commission de la fonction publique du Canada avec le drapeau canadien." title="Commission de la fonction publiqu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ign-FR.png"/>
                  <pic:cNvPicPr/>
                </pic:nvPicPr>
                <pic:blipFill>
                  <a:blip r:embed="rId1">
                    <a:extLst>
                      <a:ext uri="{28A0092B-C50C-407E-A947-70E740481C1C}">
                        <a14:useLocalDpi xmlns:a14="http://schemas.microsoft.com/office/drawing/2010/main" val="0"/>
                      </a:ext>
                    </a:extLst>
                  </a:blip>
                  <a:stretch>
                    <a:fillRect/>
                  </a:stretch>
                </pic:blipFill>
                <pic:spPr>
                  <a:xfrm>
                    <a:off x="0" y="0"/>
                    <a:ext cx="4510800" cy="2670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95632"/>
    <w:multiLevelType w:val="hybridMultilevel"/>
    <w:tmpl w:val="7F06A818"/>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2CE39FF"/>
    <w:multiLevelType w:val="hybridMultilevel"/>
    <w:tmpl w:val="3738F2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5ED7504"/>
    <w:multiLevelType w:val="hybridMultilevel"/>
    <w:tmpl w:val="B1FA5426"/>
    <w:lvl w:ilvl="0" w:tplc="B9E622FA">
      <w:start w:val="1"/>
      <w:numFmt w:val="bullet"/>
      <w:lvlText w:val="•"/>
      <w:lvlJc w:val="left"/>
      <w:pPr>
        <w:tabs>
          <w:tab w:val="num" w:pos="346"/>
        </w:tabs>
        <w:ind w:left="346" w:hanging="360"/>
      </w:pPr>
      <w:rPr>
        <w:rFonts w:ascii="Times New Roman" w:hAnsi="Times New Roman" w:hint="default"/>
      </w:rPr>
    </w:lvl>
    <w:lvl w:ilvl="1" w:tplc="3B1036AC" w:tentative="1">
      <w:start w:val="1"/>
      <w:numFmt w:val="bullet"/>
      <w:lvlText w:val="•"/>
      <w:lvlJc w:val="left"/>
      <w:pPr>
        <w:tabs>
          <w:tab w:val="num" w:pos="1066"/>
        </w:tabs>
        <w:ind w:left="1066" w:hanging="360"/>
      </w:pPr>
      <w:rPr>
        <w:rFonts w:ascii="Times New Roman" w:hAnsi="Times New Roman" w:hint="default"/>
      </w:rPr>
    </w:lvl>
    <w:lvl w:ilvl="2" w:tplc="F776FDD8" w:tentative="1">
      <w:start w:val="1"/>
      <w:numFmt w:val="bullet"/>
      <w:lvlText w:val="•"/>
      <w:lvlJc w:val="left"/>
      <w:pPr>
        <w:tabs>
          <w:tab w:val="num" w:pos="1786"/>
        </w:tabs>
        <w:ind w:left="1786" w:hanging="360"/>
      </w:pPr>
      <w:rPr>
        <w:rFonts w:ascii="Times New Roman" w:hAnsi="Times New Roman" w:hint="default"/>
      </w:rPr>
    </w:lvl>
    <w:lvl w:ilvl="3" w:tplc="F028C2A8" w:tentative="1">
      <w:start w:val="1"/>
      <w:numFmt w:val="bullet"/>
      <w:lvlText w:val="•"/>
      <w:lvlJc w:val="left"/>
      <w:pPr>
        <w:tabs>
          <w:tab w:val="num" w:pos="2506"/>
        </w:tabs>
        <w:ind w:left="2506" w:hanging="360"/>
      </w:pPr>
      <w:rPr>
        <w:rFonts w:ascii="Times New Roman" w:hAnsi="Times New Roman" w:hint="default"/>
      </w:rPr>
    </w:lvl>
    <w:lvl w:ilvl="4" w:tplc="55EE24B0" w:tentative="1">
      <w:start w:val="1"/>
      <w:numFmt w:val="bullet"/>
      <w:lvlText w:val="•"/>
      <w:lvlJc w:val="left"/>
      <w:pPr>
        <w:tabs>
          <w:tab w:val="num" w:pos="3226"/>
        </w:tabs>
        <w:ind w:left="3226" w:hanging="360"/>
      </w:pPr>
      <w:rPr>
        <w:rFonts w:ascii="Times New Roman" w:hAnsi="Times New Roman" w:hint="default"/>
      </w:rPr>
    </w:lvl>
    <w:lvl w:ilvl="5" w:tplc="C08A1B60" w:tentative="1">
      <w:start w:val="1"/>
      <w:numFmt w:val="bullet"/>
      <w:lvlText w:val="•"/>
      <w:lvlJc w:val="left"/>
      <w:pPr>
        <w:tabs>
          <w:tab w:val="num" w:pos="3946"/>
        </w:tabs>
        <w:ind w:left="3946" w:hanging="360"/>
      </w:pPr>
      <w:rPr>
        <w:rFonts w:ascii="Times New Roman" w:hAnsi="Times New Roman" w:hint="default"/>
      </w:rPr>
    </w:lvl>
    <w:lvl w:ilvl="6" w:tplc="B9C414AC" w:tentative="1">
      <w:start w:val="1"/>
      <w:numFmt w:val="bullet"/>
      <w:lvlText w:val="•"/>
      <w:lvlJc w:val="left"/>
      <w:pPr>
        <w:tabs>
          <w:tab w:val="num" w:pos="4666"/>
        </w:tabs>
        <w:ind w:left="4666" w:hanging="360"/>
      </w:pPr>
      <w:rPr>
        <w:rFonts w:ascii="Times New Roman" w:hAnsi="Times New Roman" w:hint="default"/>
      </w:rPr>
    </w:lvl>
    <w:lvl w:ilvl="7" w:tplc="5360FE8C" w:tentative="1">
      <w:start w:val="1"/>
      <w:numFmt w:val="bullet"/>
      <w:lvlText w:val="•"/>
      <w:lvlJc w:val="left"/>
      <w:pPr>
        <w:tabs>
          <w:tab w:val="num" w:pos="5386"/>
        </w:tabs>
        <w:ind w:left="5386" w:hanging="360"/>
      </w:pPr>
      <w:rPr>
        <w:rFonts w:ascii="Times New Roman" w:hAnsi="Times New Roman" w:hint="default"/>
      </w:rPr>
    </w:lvl>
    <w:lvl w:ilvl="8" w:tplc="F8569772" w:tentative="1">
      <w:start w:val="1"/>
      <w:numFmt w:val="bullet"/>
      <w:lvlText w:val="•"/>
      <w:lvlJc w:val="left"/>
      <w:pPr>
        <w:tabs>
          <w:tab w:val="num" w:pos="6106"/>
        </w:tabs>
        <w:ind w:left="6106" w:hanging="360"/>
      </w:pPr>
      <w:rPr>
        <w:rFonts w:ascii="Times New Roman" w:hAnsi="Times New Roman" w:hint="default"/>
      </w:rPr>
    </w:lvl>
  </w:abstractNum>
  <w:abstractNum w:abstractNumId="3" w15:restartNumberingAfterBreak="0">
    <w:nsid w:val="07305F3D"/>
    <w:multiLevelType w:val="hybridMultilevel"/>
    <w:tmpl w:val="D0D2BC8A"/>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B0240E"/>
    <w:multiLevelType w:val="hybridMultilevel"/>
    <w:tmpl w:val="B7C23F5E"/>
    <w:lvl w:ilvl="0" w:tplc="60F29190">
      <w:start w:val="1"/>
      <w:numFmt w:val="bullet"/>
      <w:lvlText w:val="•"/>
      <w:lvlJc w:val="left"/>
      <w:pPr>
        <w:tabs>
          <w:tab w:val="num" w:pos="720"/>
        </w:tabs>
        <w:ind w:left="720" w:hanging="360"/>
      </w:pPr>
      <w:rPr>
        <w:rFonts w:ascii="Times New Roman" w:hAnsi="Times New Roman" w:hint="default"/>
      </w:rPr>
    </w:lvl>
    <w:lvl w:ilvl="1" w:tplc="C880732C" w:tentative="1">
      <w:start w:val="1"/>
      <w:numFmt w:val="bullet"/>
      <w:lvlText w:val="•"/>
      <w:lvlJc w:val="left"/>
      <w:pPr>
        <w:tabs>
          <w:tab w:val="num" w:pos="1440"/>
        </w:tabs>
        <w:ind w:left="1440" w:hanging="360"/>
      </w:pPr>
      <w:rPr>
        <w:rFonts w:ascii="Times New Roman" w:hAnsi="Times New Roman" w:hint="default"/>
      </w:rPr>
    </w:lvl>
    <w:lvl w:ilvl="2" w:tplc="CACA2562" w:tentative="1">
      <w:start w:val="1"/>
      <w:numFmt w:val="bullet"/>
      <w:lvlText w:val="•"/>
      <w:lvlJc w:val="left"/>
      <w:pPr>
        <w:tabs>
          <w:tab w:val="num" w:pos="2160"/>
        </w:tabs>
        <w:ind w:left="2160" w:hanging="360"/>
      </w:pPr>
      <w:rPr>
        <w:rFonts w:ascii="Times New Roman" w:hAnsi="Times New Roman" w:hint="default"/>
      </w:rPr>
    </w:lvl>
    <w:lvl w:ilvl="3" w:tplc="90848F72" w:tentative="1">
      <w:start w:val="1"/>
      <w:numFmt w:val="bullet"/>
      <w:lvlText w:val="•"/>
      <w:lvlJc w:val="left"/>
      <w:pPr>
        <w:tabs>
          <w:tab w:val="num" w:pos="2880"/>
        </w:tabs>
        <w:ind w:left="2880" w:hanging="360"/>
      </w:pPr>
      <w:rPr>
        <w:rFonts w:ascii="Times New Roman" w:hAnsi="Times New Roman" w:hint="default"/>
      </w:rPr>
    </w:lvl>
    <w:lvl w:ilvl="4" w:tplc="7A14EC68" w:tentative="1">
      <w:start w:val="1"/>
      <w:numFmt w:val="bullet"/>
      <w:lvlText w:val="•"/>
      <w:lvlJc w:val="left"/>
      <w:pPr>
        <w:tabs>
          <w:tab w:val="num" w:pos="3600"/>
        </w:tabs>
        <w:ind w:left="3600" w:hanging="360"/>
      </w:pPr>
      <w:rPr>
        <w:rFonts w:ascii="Times New Roman" w:hAnsi="Times New Roman" w:hint="default"/>
      </w:rPr>
    </w:lvl>
    <w:lvl w:ilvl="5" w:tplc="DC625AFC" w:tentative="1">
      <w:start w:val="1"/>
      <w:numFmt w:val="bullet"/>
      <w:lvlText w:val="•"/>
      <w:lvlJc w:val="left"/>
      <w:pPr>
        <w:tabs>
          <w:tab w:val="num" w:pos="4320"/>
        </w:tabs>
        <w:ind w:left="4320" w:hanging="360"/>
      </w:pPr>
      <w:rPr>
        <w:rFonts w:ascii="Times New Roman" w:hAnsi="Times New Roman" w:hint="default"/>
      </w:rPr>
    </w:lvl>
    <w:lvl w:ilvl="6" w:tplc="DE3E8938" w:tentative="1">
      <w:start w:val="1"/>
      <w:numFmt w:val="bullet"/>
      <w:lvlText w:val="•"/>
      <w:lvlJc w:val="left"/>
      <w:pPr>
        <w:tabs>
          <w:tab w:val="num" w:pos="5040"/>
        </w:tabs>
        <w:ind w:left="5040" w:hanging="360"/>
      </w:pPr>
      <w:rPr>
        <w:rFonts w:ascii="Times New Roman" w:hAnsi="Times New Roman" w:hint="default"/>
      </w:rPr>
    </w:lvl>
    <w:lvl w:ilvl="7" w:tplc="C6F2CF84" w:tentative="1">
      <w:start w:val="1"/>
      <w:numFmt w:val="bullet"/>
      <w:lvlText w:val="•"/>
      <w:lvlJc w:val="left"/>
      <w:pPr>
        <w:tabs>
          <w:tab w:val="num" w:pos="5760"/>
        </w:tabs>
        <w:ind w:left="5760" w:hanging="360"/>
      </w:pPr>
      <w:rPr>
        <w:rFonts w:ascii="Times New Roman" w:hAnsi="Times New Roman" w:hint="default"/>
      </w:rPr>
    </w:lvl>
    <w:lvl w:ilvl="8" w:tplc="94AC0E2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C0700C"/>
    <w:multiLevelType w:val="hybridMultilevel"/>
    <w:tmpl w:val="8118F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E26A34"/>
    <w:multiLevelType w:val="hybridMultilevel"/>
    <w:tmpl w:val="334C3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E46E4A"/>
    <w:multiLevelType w:val="hybridMultilevel"/>
    <w:tmpl w:val="A84E5A90"/>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E710FF"/>
    <w:multiLevelType w:val="hybridMultilevel"/>
    <w:tmpl w:val="6F5211AC"/>
    <w:lvl w:ilvl="0" w:tplc="309E786C">
      <w:start w:val="1"/>
      <w:numFmt w:val="decimal"/>
      <w:pStyle w:val="Numberedlist"/>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FF1E8C"/>
    <w:multiLevelType w:val="hybridMultilevel"/>
    <w:tmpl w:val="28CEDB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1E3744"/>
    <w:multiLevelType w:val="hybridMultilevel"/>
    <w:tmpl w:val="302C5552"/>
    <w:lvl w:ilvl="0" w:tplc="8196B56C">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BF1ACD36" w:tentative="1">
      <w:start w:val="1"/>
      <w:numFmt w:val="bullet"/>
      <w:lvlText w:val="•"/>
      <w:lvlJc w:val="left"/>
      <w:pPr>
        <w:tabs>
          <w:tab w:val="num" w:pos="2880"/>
        </w:tabs>
        <w:ind w:left="2880" w:hanging="360"/>
      </w:pPr>
      <w:rPr>
        <w:rFonts w:ascii="Arial" w:hAnsi="Arial" w:hint="default"/>
      </w:rPr>
    </w:lvl>
    <w:lvl w:ilvl="4" w:tplc="385CAE8E" w:tentative="1">
      <w:start w:val="1"/>
      <w:numFmt w:val="bullet"/>
      <w:lvlText w:val="•"/>
      <w:lvlJc w:val="left"/>
      <w:pPr>
        <w:tabs>
          <w:tab w:val="num" w:pos="3600"/>
        </w:tabs>
        <w:ind w:left="3600" w:hanging="360"/>
      </w:pPr>
      <w:rPr>
        <w:rFonts w:ascii="Arial" w:hAnsi="Arial" w:hint="default"/>
      </w:rPr>
    </w:lvl>
    <w:lvl w:ilvl="5" w:tplc="2CAE52FC" w:tentative="1">
      <w:start w:val="1"/>
      <w:numFmt w:val="bullet"/>
      <w:lvlText w:val="•"/>
      <w:lvlJc w:val="left"/>
      <w:pPr>
        <w:tabs>
          <w:tab w:val="num" w:pos="4320"/>
        </w:tabs>
        <w:ind w:left="4320" w:hanging="360"/>
      </w:pPr>
      <w:rPr>
        <w:rFonts w:ascii="Arial" w:hAnsi="Arial" w:hint="default"/>
      </w:rPr>
    </w:lvl>
    <w:lvl w:ilvl="6" w:tplc="023C07D6" w:tentative="1">
      <w:start w:val="1"/>
      <w:numFmt w:val="bullet"/>
      <w:lvlText w:val="•"/>
      <w:lvlJc w:val="left"/>
      <w:pPr>
        <w:tabs>
          <w:tab w:val="num" w:pos="5040"/>
        </w:tabs>
        <w:ind w:left="5040" w:hanging="360"/>
      </w:pPr>
      <w:rPr>
        <w:rFonts w:ascii="Arial" w:hAnsi="Arial" w:hint="default"/>
      </w:rPr>
    </w:lvl>
    <w:lvl w:ilvl="7" w:tplc="12964DBC" w:tentative="1">
      <w:start w:val="1"/>
      <w:numFmt w:val="bullet"/>
      <w:lvlText w:val="•"/>
      <w:lvlJc w:val="left"/>
      <w:pPr>
        <w:tabs>
          <w:tab w:val="num" w:pos="5760"/>
        </w:tabs>
        <w:ind w:left="5760" w:hanging="360"/>
      </w:pPr>
      <w:rPr>
        <w:rFonts w:ascii="Arial" w:hAnsi="Arial" w:hint="default"/>
      </w:rPr>
    </w:lvl>
    <w:lvl w:ilvl="8" w:tplc="74D201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A14852"/>
    <w:multiLevelType w:val="hybridMultilevel"/>
    <w:tmpl w:val="826AB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FA1312"/>
    <w:multiLevelType w:val="hybridMultilevel"/>
    <w:tmpl w:val="88525528"/>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570599"/>
    <w:multiLevelType w:val="hybridMultilevel"/>
    <w:tmpl w:val="1DFCC9D0"/>
    <w:lvl w:ilvl="0" w:tplc="7848E704">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5A8AD874" w:tentative="1">
      <w:start w:val="1"/>
      <w:numFmt w:val="bullet"/>
      <w:lvlText w:val="•"/>
      <w:lvlJc w:val="left"/>
      <w:pPr>
        <w:tabs>
          <w:tab w:val="num" w:pos="2160"/>
        </w:tabs>
        <w:ind w:left="2160" w:hanging="360"/>
      </w:pPr>
      <w:rPr>
        <w:rFonts w:ascii="Arial" w:hAnsi="Arial" w:hint="default"/>
      </w:rPr>
    </w:lvl>
    <w:lvl w:ilvl="3" w:tplc="811C6E82" w:tentative="1">
      <w:start w:val="1"/>
      <w:numFmt w:val="bullet"/>
      <w:lvlText w:val="•"/>
      <w:lvlJc w:val="left"/>
      <w:pPr>
        <w:tabs>
          <w:tab w:val="num" w:pos="2880"/>
        </w:tabs>
        <w:ind w:left="2880" w:hanging="360"/>
      </w:pPr>
      <w:rPr>
        <w:rFonts w:ascii="Arial" w:hAnsi="Arial" w:hint="default"/>
      </w:rPr>
    </w:lvl>
    <w:lvl w:ilvl="4" w:tplc="E9064DCC" w:tentative="1">
      <w:start w:val="1"/>
      <w:numFmt w:val="bullet"/>
      <w:lvlText w:val="•"/>
      <w:lvlJc w:val="left"/>
      <w:pPr>
        <w:tabs>
          <w:tab w:val="num" w:pos="3600"/>
        </w:tabs>
        <w:ind w:left="3600" w:hanging="360"/>
      </w:pPr>
      <w:rPr>
        <w:rFonts w:ascii="Arial" w:hAnsi="Arial" w:hint="default"/>
      </w:rPr>
    </w:lvl>
    <w:lvl w:ilvl="5" w:tplc="F58A799C" w:tentative="1">
      <w:start w:val="1"/>
      <w:numFmt w:val="bullet"/>
      <w:lvlText w:val="•"/>
      <w:lvlJc w:val="left"/>
      <w:pPr>
        <w:tabs>
          <w:tab w:val="num" w:pos="4320"/>
        </w:tabs>
        <w:ind w:left="4320" w:hanging="360"/>
      </w:pPr>
      <w:rPr>
        <w:rFonts w:ascii="Arial" w:hAnsi="Arial" w:hint="default"/>
      </w:rPr>
    </w:lvl>
    <w:lvl w:ilvl="6" w:tplc="F02447FE" w:tentative="1">
      <w:start w:val="1"/>
      <w:numFmt w:val="bullet"/>
      <w:lvlText w:val="•"/>
      <w:lvlJc w:val="left"/>
      <w:pPr>
        <w:tabs>
          <w:tab w:val="num" w:pos="5040"/>
        </w:tabs>
        <w:ind w:left="5040" w:hanging="360"/>
      </w:pPr>
      <w:rPr>
        <w:rFonts w:ascii="Arial" w:hAnsi="Arial" w:hint="default"/>
      </w:rPr>
    </w:lvl>
    <w:lvl w:ilvl="7" w:tplc="336290EC" w:tentative="1">
      <w:start w:val="1"/>
      <w:numFmt w:val="bullet"/>
      <w:lvlText w:val="•"/>
      <w:lvlJc w:val="left"/>
      <w:pPr>
        <w:tabs>
          <w:tab w:val="num" w:pos="5760"/>
        </w:tabs>
        <w:ind w:left="5760" w:hanging="360"/>
      </w:pPr>
      <w:rPr>
        <w:rFonts w:ascii="Arial" w:hAnsi="Arial" w:hint="default"/>
      </w:rPr>
    </w:lvl>
    <w:lvl w:ilvl="8" w:tplc="5A02773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7C439F2"/>
    <w:multiLevelType w:val="hybridMultilevel"/>
    <w:tmpl w:val="604EFFC6"/>
    <w:lvl w:ilvl="0" w:tplc="DE76EC80">
      <w:start w:val="1"/>
      <w:numFmt w:val="bullet"/>
      <w:lvlText w:val="•"/>
      <w:lvlJc w:val="left"/>
      <w:pPr>
        <w:tabs>
          <w:tab w:val="num" w:pos="720"/>
        </w:tabs>
        <w:ind w:left="720" w:hanging="360"/>
      </w:pPr>
      <w:rPr>
        <w:rFonts w:ascii="Arial" w:hAnsi="Arial" w:hint="default"/>
      </w:rPr>
    </w:lvl>
    <w:lvl w:ilvl="1" w:tplc="8646D4A2" w:tentative="1">
      <w:start w:val="1"/>
      <w:numFmt w:val="bullet"/>
      <w:lvlText w:val="•"/>
      <w:lvlJc w:val="left"/>
      <w:pPr>
        <w:tabs>
          <w:tab w:val="num" w:pos="1440"/>
        </w:tabs>
        <w:ind w:left="1440" w:hanging="360"/>
      </w:pPr>
      <w:rPr>
        <w:rFonts w:ascii="Arial" w:hAnsi="Arial" w:hint="default"/>
      </w:rPr>
    </w:lvl>
    <w:lvl w:ilvl="2" w:tplc="C79669AC" w:tentative="1">
      <w:start w:val="1"/>
      <w:numFmt w:val="bullet"/>
      <w:lvlText w:val="•"/>
      <w:lvlJc w:val="left"/>
      <w:pPr>
        <w:tabs>
          <w:tab w:val="num" w:pos="2160"/>
        </w:tabs>
        <w:ind w:left="2160" w:hanging="360"/>
      </w:pPr>
      <w:rPr>
        <w:rFonts w:ascii="Arial" w:hAnsi="Arial" w:hint="default"/>
      </w:rPr>
    </w:lvl>
    <w:lvl w:ilvl="3" w:tplc="4ADAF5F6" w:tentative="1">
      <w:start w:val="1"/>
      <w:numFmt w:val="bullet"/>
      <w:lvlText w:val="•"/>
      <w:lvlJc w:val="left"/>
      <w:pPr>
        <w:tabs>
          <w:tab w:val="num" w:pos="2880"/>
        </w:tabs>
        <w:ind w:left="2880" w:hanging="360"/>
      </w:pPr>
      <w:rPr>
        <w:rFonts w:ascii="Arial" w:hAnsi="Arial" w:hint="default"/>
      </w:rPr>
    </w:lvl>
    <w:lvl w:ilvl="4" w:tplc="9258A5E4" w:tentative="1">
      <w:start w:val="1"/>
      <w:numFmt w:val="bullet"/>
      <w:lvlText w:val="•"/>
      <w:lvlJc w:val="left"/>
      <w:pPr>
        <w:tabs>
          <w:tab w:val="num" w:pos="3600"/>
        </w:tabs>
        <w:ind w:left="3600" w:hanging="360"/>
      </w:pPr>
      <w:rPr>
        <w:rFonts w:ascii="Arial" w:hAnsi="Arial" w:hint="default"/>
      </w:rPr>
    </w:lvl>
    <w:lvl w:ilvl="5" w:tplc="8E9EE246" w:tentative="1">
      <w:start w:val="1"/>
      <w:numFmt w:val="bullet"/>
      <w:lvlText w:val="•"/>
      <w:lvlJc w:val="left"/>
      <w:pPr>
        <w:tabs>
          <w:tab w:val="num" w:pos="4320"/>
        </w:tabs>
        <w:ind w:left="4320" w:hanging="360"/>
      </w:pPr>
      <w:rPr>
        <w:rFonts w:ascii="Arial" w:hAnsi="Arial" w:hint="default"/>
      </w:rPr>
    </w:lvl>
    <w:lvl w:ilvl="6" w:tplc="5B64A8DE" w:tentative="1">
      <w:start w:val="1"/>
      <w:numFmt w:val="bullet"/>
      <w:lvlText w:val="•"/>
      <w:lvlJc w:val="left"/>
      <w:pPr>
        <w:tabs>
          <w:tab w:val="num" w:pos="5040"/>
        </w:tabs>
        <w:ind w:left="5040" w:hanging="360"/>
      </w:pPr>
      <w:rPr>
        <w:rFonts w:ascii="Arial" w:hAnsi="Arial" w:hint="default"/>
      </w:rPr>
    </w:lvl>
    <w:lvl w:ilvl="7" w:tplc="F8BAB64A" w:tentative="1">
      <w:start w:val="1"/>
      <w:numFmt w:val="bullet"/>
      <w:lvlText w:val="•"/>
      <w:lvlJc w:val="left"/>
      <w:pPr>
        <w:tabs>
          <w:tab w:val="num" w:pos="5760"/>
        </w:tabs>
        <w:ind w:left="5760" w:hanging="360"/>
      </w:pPr>
      <w:rPr>
        <w:rFonts w:ascii="Arial" w:hAnsi="Arial" w:hint="default"/>
      </w:rPr>
    </w:lvl>
    <w:lvl w:ilvl="8" w:tplc="B0BCB7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CE7759"/>
    <w:multiLevelType w:val="hybridMultilevel"/>
    <w:tmpl w:val="F8F8E720"/>
    <w:lvl w:ilvl="0" w:tplc="F9C472D8">
      <w:start w:val="1"/>
      <w:numFmt w:val="bullet"/>
      <w:lvlText w:val="•"/>
      <w:lvlJc w:val="left"/>
      <w:pPr>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5110538"/>
    <w:multiLevelType w:val="hybridMultilevel"/>
    <w:tmpl w:val="B9CC3D80"/>
    <w:lvl w:ilvl="0" w:tplc="B462B518">
      <w:start w:val="1"/>
      <w:numFmt w:val="decimal"/>
      <w:lvlText w:val="%1."/>
      <w:lvlJc w:val="left"/>
      <w:pPr>
        <w:tabs>
          <w:tab w:val="num" w:pos="720"/>
        </w:tabs>
        <w:ind w:left="720" w:hanging="360"/>
      </w:pPr>
    </w:lvl>
    <w:lvl w:ilvl="1" w:tplc="F7DC51CC" w:tentative="1">
      <w:start w:val="1"/>
      <w:numFmt w:val="decimal"/>
      <w:lvlText w:val="%2."/>
      <w:lvlJc w:val="left"/>
      <w:pPr>
        <w:tabs>
          <w:tab w:val="num" w:pos="1440"/>
        </w:tabs>
        <w:ind w:left="1440" w:hanging="360"/>
      </w:pPr>
    </w:lvl>
    <w:lvl w:ilvl="2" w:tplc="7C44C498" w:tentative="1">
      <w:start w:val="1"/>
      <w:numFmt w:val="decimal"/>
      <w:lvlText w:val="%3."/>
      <w:lvlJc w:val="left"/>
      <w:pPr>
        <w:tabs>
          <w:tab w:val="num" w:pos="2160"/>
        </w:tabs>
        <w:ind w:left="2160" w:hanging="360"/>
      </w:pPr>
    </w:lvl>
    <w:lvl w:ilvl="3" w:tplc="988A66B6" w:tentative="1">
      <w:start w:val="1"/>
      <w:numFmt w:val="decimal"/>
      <w:lvlText w:val="%4."/>
      <w:lvlJc w:val="left"/>
      <w:pPr>
        <w:tabs>
          <w:tab w:val="num" w:pos="2880"/>
        </w:tabs>
        <w:ind w:left="2880" w:hanging="360"/>
      </w:pPr>
    </w:lvl>
    <w:lvl w:ilvl="4" w:tplc="F0CEA61C" w:tentative="1">
      <w:start w:val="1"/>
      <w:numFmt w:val="decimal"/>
      <w:lvlText w:val="%5."/>
      <w:lvlJc w:val="left"/>
      <w:pPr>
        <w:tabs>
          <w:tab w:val="num" w:pos="3600"/>
        </w:tabs>
        <w:ind w:left="3600" w:hanging="360"/>
      </w:pPr>
    </w:lvl>
    <w:lvl w:ilvl="5" w:tplc="205266B4" w:tentative="1">
      <w:start w:val="1"/>
      <w:numFmt w:val="decimal"/>
      <w:lvlText w:val="%6."/>
      <w:lvlJc w:val="left"/>
      <w:pPr>
        <w:tabs>
          <w:tab w:val="num" w:pos="4320"/>
        </w:tabs>
        <w:ind w:left="4320" w:hanging="360"/>
      </w:pPr>
    </w:lvl>
    <w:lvl w:ilvl="6" w:tplc="7F6CC83E" w:tentative="1">
      <w:start w:val="1"/>
      <w:numFmt w:val="decimal"/>
      <w:lvlText w:val="%7."/>
      <w:lvlJc w:val="left"/>
      <w:pPr>
        <w:tabs>
          <w:tab w:val="num" w:pos="5040"/>
        </w:tabs>
        <w:ind w:left="5040" w:hanging="360"/>
      </w:pPr>
    </w:lvl>
    <w:lvl w:ilvl="7" w:tplc="AEEE55D8" w:tentative="1">
      <w:start w:val="1"/>
      <w:numFmt w:val="decimal"/>
      <w:lvlText w:val="%8."/>
      <w:lvlJc w:val="left"/>
      <w:pPr>
        <w:tabs>
          <w:tab w:val="num" w:pos="5760"/>
        </w:tabs>
        <w:ind w:left="5760" w:hanging="360"/>
      </w:pPr>
    </w:lvl>
    <w:lvl w:ilvl="8" w:tplc="A3E2C88C" w:tentative="1">
      <w:start w:val="1"/>
      <w:numFmt w:val="decimal"/>
      <w:lvlText w:val="%9."/>
      <w:lvlJc w:val="left"/>
      <w:pPr>
        <w:tabs>
          <w:tab w:val="num" w:pos="6480"/>
        </w:tabs>
        <w:ind w:left="6480" w:hanging="360"/>
      </w:pPr>
    </w:lvl>
  </w:abstractNum>
  <w:abstractNum w:abstractNumId="18" w15:restartNumberingAfterBreak="0">
    <w:nsid w:val="372B1FF8"/>
    <w:multiLevelType w:val="hybridMultilevel"/>
    <w:tmpl w:val="412E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1396944"/>
    <w:multiLevelType w:val="hybridMultilevel"/>
    <w:tmpl w:val="FF644A4C"/>
    <w:lvl w:ilvl="0" w:tplc="DBC6D4C4">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FF24B39C" w:tentative="1">
      <w:start w:val="1"/>
      <w:numFmt w:val="bullet"/>
      <w:lvlText w:val="•"/>
      <w:lvlJc w:val="left"/>
      <w:pPr>
        <w:tabs>
          <w:tab w:val="num" w:pos="2160"/>
        </w:tabs>
        <w:ind w:left="2160" w:hanging="360"/>
      </w:pPr>
      <w:rPr>
        <w:rFonts w:ascii="Arial" w:hAnsi="Arial" w:hint="default"/>
      </w:rPr>
    </w:lvl>
    <w:lvl w:ilvl="3" w:tplc="0B284446" w:tentative="1">
      <w:start w:val="1"/>
      <w:numFmt w:val="bullet"/>
      <w:lvlText w:val="•"/>
      <w:lvlJc w:val="left"/>
      <w:pPr>
        <w:tabs>
          <w:tab w:val="num" w:pos="2880"/>
        </w:tabs>
        <w:ind w:left="2880" w:hanging="360"/>
      </w:pPr>
      <w:rPr>
        <w:rFonts w:ascii="Arial" w:hAnsi="Arial" w:hint="default"/>
      </w:rPr>
    </w:lvl>
    <w:lvl w:ilvl="4" w:tplc="93E0713C" w:tentative="1">
      <w:start w:val="1"/>
      <w:numFmt w:val="bullet"/>
      <w:lvlText w:val="•"/>
      <w:lvlJc w:val="left"/>
      <w:pPr>
        <w:tabs>
          <w:tab w:val="num" w:pos="3600"/>
        </w:tabs>
        <w:ind w:left="3600" w:hanging="360"/>
      </w:pPr>
      <w:rPr>
        <w:rFonts w:ascii="Arial" w:hAnsi="Arial" w:hint="default"/>
      </w:rPr>
    </w:lvl>
    <w:lvl w:ilvl="5" w:tplc="962CBA84" w:tentative="1">
      <w:start w:val="1"/>
      <w:numFmt w:val="bullet"/>
      <w:lvlText w:val="•"/>
      <w:lvlJc w:val="left"/>
      <w:pPr>
        <w:tabs>
          <w:tab w:val="num" w:pos="4320"/>
        </w:tabs>
        <w:ind w:left="4320" w:hanging="360"/>
      </w:pPr>
      <w:rPr>
        <w:rFonts w:ascii="Arial" w:hAnsi="Arial" w:hint="default"/>
      </w:rPr>
    </w:lvl>
    <w:lvl w:ilvl="6" w:tplc="FAAAECEE" w:tentative="1">
      <w:start w:val="1"/>
      <w:numFmt w:val="bullet"/>
      <w:lvlText w:val="•"/>
      <w:lvlJc w:val="left"/>
      <w:pPr>
        <w:tabs>
          <w:tab w:val="num" w:pos="5040"/>
        </w:tabs>
        <w:ind w:left="5040" w:hanging="360"/>
      </w:pPr>
      <w:rPr>
        <w:rFonts w:ascii="Arial" w:hAnsi="Arial" w:hint="default"/>
      </w:rPr>
    </w:lvl>
    <w:lvl w:ilvl="7" w:tplc="11564DA4" w:tentative="1">
      <w:start w:val="1"/>
      <w:numFmt w:val="bullet"/>
      <w:lvlText w:val="•"/>
      <w:lvlJc w:val="left"/>
      <w:pPr>
        <w:tabs>
          <w:tab w:val="num" w:pos="5760"/>
        </w:tabs>
        <w:ind w:left="5760" w:hanging="360"/>
      </w:pPr>
      <w:rPr>
        <w:rFonts w:ascii="Arial" w:hAnsi="Arial" w:hint="default"/>
      </w:rPr>
    </w:lvl>
    <w:lvl w:ilvl="8" w:tplc="0F2A0C5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D94AF6"/>
    <w:multiLevelType w:val="hybridMultilevel"/>
    <w:tmpl w:val="2E0CF340"/>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6737C28"/>
    <w:multiLevelType w:val="hybridMultilevel"/>
    <w:tmpl w:val="CCE03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9601DBD"/>
    <w:multiLevelType w:val="hybridMultilevel"/>
    <w:tmpl w:val="050AB4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E274AD"/>
    <w:multiLevelType w:val="hybridMultilevel"/>
    <w:tmpl w:val="2976FDC6"/>
    <w:lvl w:ilvl="0" w:tplc="4E544268">
      <w:start w:val="1"/>
      <w:numFmt w:val="bullet"/>
      <w:lvlText w:val="•"/>
      <w:lvlJc w:val="left"/>
      <w:pPr>
        <w:tabs>
          <w:tab w:val="num" w:pos="720"/>
        </w:tabs>
        <w:ind w:left="720" w:hanging="360"/>
      </w:pPr>
      <w:rPr>
        <w:rFonts w:ascii="Arial" w:hAnsi="Arial" w:hint="default"/>
      </w:rPr>
    </w:lvl>
    <w:lvl w:ilvl="1" w:tplc="3E34B2E0">
      <w:start w:val="1"/>
      <w:numFmt w:val="bullet"/>
      <w:lvlText w:val="o"/>
      <w:lvlJc w:val="left"/>
      <w:pPr>
        <w:tabs>
          <w:tab w:val="num" w:pos="1440"/>
        </w:tabs>
        <w:ind w:left="1440" w:hanging="360"/>
      </w:pPr>
      <w:rPr>
        <w:rFonts w:ascii="Courier New" w:hAnsi="Courier New" w:hint="default"/>
        <w:color w:val="auto"/>
      </w:rPr>
    </w:lvl>
    <w:lvl w:ilvl="2" w:tplc="8594EE26" w:tentative="1">
      <w:start w:val="1"/>
      <w:numFmt w:val="bullet"/>
      <w:lvlText w:val="•"/>
      <w:lvlJc w:val="left"/>
      <w:pPr>
        <w:tabs>
          <w:tab w:val="num" w:pos="2160"/>
        </w:tabs>
        <w:ind w:left="2160" w:hanging="360"/>
      </w:pPr>
      <w:rPr>
        <w:rFonts w:ascii="Arial" w:hAnsi="Arial" w:hint="default"/>
      </w:rPr>
    </w:lvl>
    <w:lvl w:ilvl="3" w:tplc="A6EC5C66" w:tentative="1">
      <w:start w:val="1"/>
      <w:numFmt w:val="bullet"/>
      <w:lvlText w:val="•"/>
      <w:lvlJc w:val="left"/>
      <w:pPr>
        <w:tabs>
          <w:tab w:val="num" w:pos="2880"/>
        </w:tabs>
        <w:ind w:left="2880" w:hanging="360"/>
      </w:pPr>
      <w:rPr>
        <w:rFonts w:ascii="Arial" w:hAnsi="Arial" w:hint="default"/>
      </w:rPr>
    </w:lvl>
    <w:lvl w:ilvl="4" w:tplc="0DF84C3A" w:tentative="1">
      <w:start w:val="1"/>
      <w:numFmt w:val="bullet"/>
      <w:lvlText w:val="•"/>
      <w:lvlJc w:val="left"/>
      <w:pPr>
        <w:tabs>
          <w:tab w:val="num" w:pos="3600"/>
        </w:tabs>
        <w:ind w:left="3600" w:hanging="360"/>
      </w:pPr>
      <w:rPr>
        <w:rFonts w:ascii="Arial" w:hAnsi="Arial" w:hint="default"/>
      </w:rPr>
    </w:lvl>
    <w:lvl w:ilvl="5" w:tplc="9A8C66E6" w:tentative="1">
      <w:start w:val="1"/>
      <w:numFmt w:val="bullet"/>
      <w:lvlText w:val="•"/>
      <w:lvlJc w:val="left"/>
      <w:pPr>
        <w:tabs>
          <w:tab w:val="num" w:pos="4320"/>
        </w:tabs>
        <w:ind w:left="4320" w:hanging="360"/>
      </w:pPr>
      <w:rPr>
        <w:rFonts w:ascii="Arial" w:hAnsi="Arial" w:hint="default"/>
      </w:rPr>
    </w:lvl>
    <w:lvl w:ilvl="6" w:tplc="E46EE160" w:tentative="1">
      <w:start w:val="1"/>
      <w:numFmt w:val="bullet"/>
      <w:lvlText w:val="•"/>
      <w:lvlJc w:val="left"/>
      <w:pPr>
        <w:tabs>
          <w:tab w:val="num" w:pos="5040"/>
        </w:tabs>
        <w:ind w:left="5040" w:hanging="360"/>
      </w:pPr>
      <w:rPr>
        <w:rFonts w:ascii="Arial" w:hAnsi="Arial" w:hint="default"/>
      </w:rPr>
    </w:lvl>
    <w:lvl w:ilvl="7" w:tplc="9FF03E3C" w:tentative="1">
      <w:start w:val="1"/>
      <w:numFmt w:val="bullet"/>
      <w:lvlText w:val="•"/>
      <w:lvlJc w:val="left"/>
      <w:pPr>
        <w:tabs>
          <w:tab w:val="num" w:pos="5760"/>
        </w:tabs>
        <w:ind w:left="5760" w:hanging="360"/>
      </w:pPr>
      <w:rPr>
        <w:rFonts w:ascii="Arial" w:hAnsi="Arial" w:hint="default"/>
      </w:rPr>
    </w:lvl>
    <w:lvl w:ilvl="8" w:tplc="FC0611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733798"/>
    <w:multiLevelType w:val="hybridMultilevel"/>
    <w:tmpl w:val="1080452C"/>
    <w:lvl w:ilvl="0" w:tplc="10090001">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756C4"/>
    <w:multiLevelType w:val="hybridMultilevel"/>
    <w:tmpl w:val="B7AE2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5F42ED"/>
    <w:multiLevelType w:val="hybridMultilevel"/>
    <w:tmpl w:val="741AA4F4"/>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D633D6F"/>
    <w:multiLevelType w:val="hybridMultilevel"/>
    <w:tmpl w:val="FBF820F0"/>
    <w:lvl w:ilvl="0" w:tplc="13C26616">
      <w:start w:val="1"/>
      <w:numFmt w:val="bullet"/>
      <w:lvlText w:val="•"/>
      <w:lvlJc w:val="left"/>
      <w:pPr>
        <w:tabs>
          <w:tab w:val="num" w:pos="720"/>
        </w:tabs>
        <w:ind w:left="720" w:hanging="360"/>
      </w:pPr>
      <w:rPr>
        <w:rFonts w:ascii="Times New Roman" w:hAnsi="Times New Roman" w:hint="default"/>
      </w:rPr>
    </w:lvl>
    <w:lvl w:ilvl="1" w:tplc="D5D02E12" w:tentative="1">
      <w:start w:val="1"/>
      <w:numFmt w:val="bullet"/>
      <w:lvlText w:val="•"/>
      <w:lvlJc w:val="left"/>
      <w:pPr>
        <w:tabs>
          <w:tab w:val="num" w:pos="1440"/>
        </w:tabs>
        <w:ind w:left="1440" w:hanging="360"/>
      </w:pPr>
      <w:rPr>
        <w:rFonts w:ascii="Times New Roman" w:hAnsi="Times New Roman" w:hint="default"/>
      </w:rPr>
    </w:lvl>
    <w:lvl w:ilvl="2" w:tplc="F7F86780" w:tentative="1">
      <w:start w:val="1"/>
      <w:numFmt w:val="bullet"/>
      <w:lvlText w:val="•"/>
      <w:lvlJc w:val="left"/>
      <w:pPr>
        <w:tabs>
          <w:tab w:val="num" w:pos="2160"/>
        </w:tabs>
        <w:ind w:left="2160" w:hanging="360"/>
      </w:pPr>
      <w:rPr>
        <w:rFonts w:ascii="Times New Roman" w:hAnsi="Times New Roman" w:hint="default"/>
      </w:rPr>
    </w:lvl>
    <w:lvl w:ilvl="3" w:tplc="38626A96" w:tentative="1">
      <w:start w:val="1"/>
      <w:numFmt w:val="bullet"/>
      <w:lvlText w:val="•"/>
      <w:lvlJc w:val="left"/>
      <w:pPr>
        <w:tabs>
          <w:tab w:val="num" w:pos="2880"/>
        </w:tabs>
        <w:ind w:left="2880" w:hanging="360"/>
      </w:pPr>
      <w:rPr>
        <w:rFonts w:ascii="Times New Roman" w:hAnsi="Times New Roman" w:hint="default"/>
      </w:rPr>
    </w:lvl>
    <w:lvl w:ilvl="4" w:tplc="5D18B978" w:tentative="1">
      <w:start w:val="1"/>
      <w:numFmt w:val="bullet"/>
      <w:lvlText w:val="•"/>
      <w:lvlJc w:val="left"/>
      <w:pPr>
        <w:tabs>
          <w:tab w:val="num" w:pos="3600"/>
        </w:tabs>
        <w:ind w:left="3600" w:hanging="360"/>
      </w:pPr>
      <w:rPr>
        <w:rFonts w:ascii="Times New Roman" w:hAnsi="Times New Roman" w:hint="default"/>
      </w:rPr>
    </w:lvl>
    <w:lvl w:ilvl="5" w:tplc="C2164E30" w:tentative="1">
      <w:start w:val="1"/>
      <w:numFmt w:val="bullet"/>
      <w:lvlText w:val="•"/>
      <w:lvlJc w:val="left"/>
      <w:pPr>
        <w:tabs>
          <w:tab w:val="num" w:pos="4320"/>
        </w:tabs>
        <w:ind w:left="4320" w:hanging="360"/>
      </w:pPr>
      <w:rPr>
        <w:rFonts w:ascii="Times New Roman" w:hAnsi="Times New Roman" w:hint="default"/>
      </w:rPr>
    </w:lvl>
    <w:lvl w:ilvl="6" w:tplc="E97CBC20" w:tentative="1">
      <w:start w:val="1"/>
      <w:numFmt w:val="bullet"/>
      <w:lvlText w:val="•"/>
      <w:lvlJc w:val="left"/>
      <w:pPr>
        <w:tabs>
          <w:tab w:val="num" w:pos="5040"/>
        </w:tabs>
        <w:ind w:left="5040" w:hanging="360"/>
      </w:pPr>
      <w:rPr>
        <w:rFonts w:ascii="Times New Roman" w:hAnsi="Times New Roman" w:hint="default"/>
      </w:rPr>
    </w:lvl>
    <w:lvl w:ilvl="7" w:tplc="BB6CD7F4" w:tentative="1">
      <w:start w:val="1"/>
      <w:numFmt w:val="bullet"/>
      <w:lvlText w:val="•"/>
      <w:lvlJc w:val="left"/>
      <w:pPr>
        <w:tabs>
          <w:tab w:val="num" w:pos="5760"/>
        </w:tabs>
        <w:ind w:left="5760" w:hanging="360"/>
      </w:pPr>
      <w:rPr>
        <w:rFonts w:ascii="Times New Roman" w:hAnsi="Times New Roman" w:hint="default"/>
      </w:rPr>
    </w:lvl>
    <w:lvl w:ilvl="8" w:tplc="2AC2C44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00137BF"/>
    <w:multiLevelType w:val="hybridMultilevel"/>
    <w:tmpl w:val="E9C23834"/>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B71685C"/>
    <w:multiLevelType w:val="hybridMultilevel"/>
    <w:tmpl w:val="C234B9C0"/>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E5E25B0"/>
    <w:multiLevelType w:val="hybridMultilevel"/>
    <w:tmpl w:val="16F06E88"/>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8"/>
  </w:num>
  <w:num w:numId="4">
    <w:abstractNumId w:val="15"/>
  </w:num>
  <w:num w:numId="5">
    <w:abstractNumId w:val="29"/>
  </w:num>
  <w:num w:numId="6">
    <w:abstractNumId w:val="14"/>
  </w:num>
  <w:num w:numId="7">
    <w:abstractNumId w:val="11"/>
  </w:num>
  <w:num w:numId="8">
    <w:abstractNumId w:val="17"/>
  </w:num>
  <w:num w:numId="9">
    <w:abstractNumId w:val="23"/>
  </w:num>
  <w:num w:numId="10">
    <w:abstractNumId w:val="24"/>
  </w:num>
  <w:num w:numId="11">
    <w:abstractNumId w:val="0"/>
  </w:num>
  <w:num w:numId="12">
    <w:abstractNumId w:val="5"/>
  </w:num>
  <w:num w:numId="13">
    <w:abstractNumId w:val="20"/>
  </w:num>
  <w:num w:numId="14">
    <w:abstractNumId w:val="26"/>
  </w:num>
  <w:num w:numId="15">
    <w:abstractNumId w:val="28"/>
  </w:num>
  <w:num w:numId="16">
    <w:abstractNumId w:val="13"/>
  </w:num>
  <w:num w:numId="17">
    <w:abstractNumId w:val="7"/>
  </w:num>
  <w:num w:numId="18">
    <w:abstractNumId w:val="19"/>
  </w:num>
  <w:num w:numId="19">
    <w:abstractNumId w:val="16"/>
  </w:num>
  <w:num w:numId="20">
    <w:abstractNumId w:val="3"/>
  </w:num>
  <w:num w:numId="21">
    <w:abstractNumId w:val="30"/>
  </w:num>
  <w:num w:numId="22">
    <w:abstractNumId w:val="2"/>
  </w:num>
  <w:num w:numId="23">
    <w:abstractNumId w:val="21"/>
  </w:num>
  <w:num w:numId="24">
    <w:abstractNumId w:val="9"/>
  </w:num>
  <w:num w:numId="25">
    <w:abstractNumId w:val="4"/>
  </w:num>
  <w:num w:numId="26">
    <w:abstractNumId w:val="9"/>
  </w:num>
  <w:num w:numId="27">
    <w:abstractNumId w:val="27"/>
  </w:num>
  <w:num w:numId="28">
    <w:abstractNumId w:val="9"/>
  </w:num>
  <w:num w:numId="29">
    <w:abstractNumId w:val="12"/>
  </w:num>
  <w:num w:numId="30">
    <w:abstractNumId w:val="25"/>
  </w:num>
  <w:num w:numId="31">
    <w:abstractNumId w:val="1"/>
  </w:num>
  <w:num w:numId="32">
    <w:abstractNumId w:val="10"/>
  </w:num>
  <w:num w:numId="33">
    <w:abstractNumId w:val="2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67"/>
    <w:rsid w:val="000539F9"/>
    <w:rsid w:val="000637FD"/>
    <w:rsid w:val="00067BCD"/>
    <w:rsid w:val="00077877"/>
    <w:rsid w:val="000C3169"/>
    <w:rsid w:val="000C6C25"/>
    <w:rsid w:val="0010662E"/>
    <w:rsid w:val="0012164D"/>
    <w:rsid w:val="0013187A"/>
    <w:rsid w:val="001602C0"/>
    <w:rsid w:val="001A2567"/>
    <w:rsid w:val="001B6202"/>
    <w:rsid w:val="001C1DA9"/>
    <w:rsid w:val="001E13A6"/>
    <w:rsid w:val="00222D81"/>
    <w:rsid w:val="00223FF2"/>
    <w:rsid w:val="0023368A"/>
    <w:rsid w:val="00254D39"/>
    <w:rsid w:val="00263F5B"/>
    <w:rsid w:val="002669DD"/>
    <w:rsid w:val="00267F0E"/>
    <w:rsid w:val="002D228F"/>
    <w:rsid w:val="002D6960"/>
    <w:rsid w:val="002E0490"/>
    <w:rsid w:val="002E0BE2"/>
    <w:rsid w:val="003C0C34"/>
    <w:rsid w:val="003F1F30"/>
    <w:rsid w:val="0040269A"/>
    <w:rsid w:val="00415499"/>
    <w:rsid w:val="004731F2"/>
    <w:rsid w:val="004B215E"/>
    <w:rsid w:val="00505B79"/>
    <w:rsid w:val="00563D9E"/>
    <w:rsid w:val="005B26A8"/>
    <w:rsid w:val="005B7A3A"/>
    <w:rsid w:val="005C2ED0"/>
    <w:rsid w:val="005D0607"/>
    <w:rsid w:val="005D361D"/>
    <w:rsid w:val="00625CD9"/>
    <w:rsid w:val="00637B82"/>
    <w:rsid w:val="006402F4"/>
    <w:rsid w:val="00646A04"/>
    <w:rsid w:val="00656334"/>
    <w:rsid w:val="00670A0D"/>
    <w:rsid w:val="0069227E"/>
    <w:rsid w:val="006C652D"/>
    <w:rsid w:val="006C6EA4"/>
    <w:rsid w:val="006F2FBF"/>
    <w:rsid w:val="0072068A"/>
    <w:rsid w:val="00743E10"/>
    <w:rsid w:val="007563A2"/>
    <w:rsid w:val="007E5403"/>
    <w:rsid w:val="007F0AE8"/>
    <w:rsid w:val="008711B8"/>
    <w:rsid w:val="00884F10"/>
    <w:rsid w:val="008F0EBF"/>
    <w:rsid w:val="00914FB9"/>
    <w:rsid w:val="00951481"/>
    <w:rsid w:val="00964C37"/>
    <w:rsid w:val="0098495E"/>
    <w:rsid w:val="00985FD0"/>
    <w:rsid w:val="00994ECA"/>
    <w:rsid w:val="009B739E"/>
    <w:rsid w:val="009D32FD"/>
    <w:rsid w:val="00A2240C"/>
    <w:rsid w:val="00A34828"/>
    <w:rsid w:val="00A75D22"/>
    <w:rsid w:val="00A92531"/>
    <w:rsid w:val="00AD3C64"/>
    <w:rsid w:val="00B11253"/>
    <w:rsid w:val="00B13FC5"/>
    <w:rsid w:val="00B50854"/>
    <w:rsid w:val="00B61433"/>
    <w:rsid w:val="00B62963"/>
    <w:rsid w:val="00BC7998"/>
    <w:rsid w:val="00BE1F2B"/>
    <w:rsid w:val="00C92BCC"/>
    <w:rsid w:val="00CB0ADE"/>
    <w:rsid w:val="00CB6DD0"/>
    <w:rsid w:val="00D01F02"/>
    <w:rsid w:val="00D314F3"/>
    <w:rsid w:val="00D75888"/>
    <w:rsid w:val="00D9399C"/>
    <w:rsid w:val="00DF0127"/>
    <w:rsid w:val="00DF0841"/>
    <w:rsid w:val="00E0788E"/>
    <w:rsid w:val="00E21BEF"/>
    <w:rsid w:val="00EF5A32"/>
    <w:rsid w:val="00F45379"/>
    <w:rsid w:val="00F56BA9"/>
    <w:rsid w:val="00F9785B"/>
    <w:rsid w:val="00FA2B44"/>
    <w:rsid w:val="00FA4136"/>
    <w:rsid w:val="00FD6F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7AB18ADC-9804-422C-BCE2-0DCAAFB4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0C"/>
    <w:pPr>
      <w:keepLines/>
    </w:pPr>
    <w:rPr>
      <w:color w:val="54575A" w:themeColor="text1"/>
      <w:lang w:val="fr-CA"/>
    </w:rPr>
  </w:style>
  <w:style w:type="paragraph" w:styleId="Heading1">
    <w:name w:val="heading 1"/>
    <w:basedOn w:val="Normal"/>
    <w:next w:val="Normal"/>
    <w:link w:val="Heading1Char"/>
    <w:uiPriority w:val="9"/>
    <w:qFormat/>
    <w:rsid w:val="005C2ED0"/>
    <w:pPr>
      <w:keepNext/>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5C2ED0"/>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5C2ED0"/>
    <w:pPr>
      <w:keepNext/>
      <w:spacing w:before="40" w:after="0"/>
      <w:outlineLvl w:val="2"/>
    </w:pPr>
    <w:rPr>
      <w:rFonts w:ascii="Segoe UI Semibold" w:eastAsiaTheme="majorEastAsia" w:hAnsi="Segoe UI Semibold" w:cs="Segoe UI Semibold"/>
      <w:sz w:val="24"/>
      <w:szCs w:val="24"/>
    </w:rPr>
  </w:style>
  <w:style w:type="paragraph" w:styleId="Heading4">
    <w:name w:val="heading 4"/>
    <w:basedOn w:val="Normal"/>
    <w:next w:val="Normal"/>
    <w:link w:val="Heading4Char"/>
    <w:uiPriority w:val="9"/>
    <w:unhideWhenUsed/>
    <w:qFormat/>
    <w:rsid w:val="00222D81"/>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C92BCC"/>
    <w:pPr>
      <w:keepNext/>
      <w:spacing w:before="40" w:after="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62E"/>
  </w:style>
  <w:style w:type="paragraph" w:styleId="Footer">
    <w:name w:val="footer"/>
    <w:basedOn w:val="Normal"/>
    <w:link w:val="FooterChar"/>
    <w:uiPriority w:val="99"/>
    <w:unhideWhenUsed/>
    <w:rsid w:val="003F1F30"/>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F1F30"/>
    <w:rPr>
      <w:sz w:val="18"/>
    </w:rPr>
  </w:style>
  <w:style w:type="paragraph" w:styleId="Title">
    <w:name w:val="Title"/>
    <w:basedOn w:val="Normal"/>
    <w:next w:val="Normal"/>
    <w:link w:val="TitleChar"/>
    <w:autoRedefine/>
    <w:uiPriority w:val="10"/>
    <w:qFormat/>
    <w:rsid w:val="00625CD9"/>
    <w:pPr>
      <w:spacing w:before="1200" w:after="0" w:line="1200" w:lineRule="exact"/>
      <w:contextualSpacing/>
    </w:pPr>
    <w:rPr>
      <w:rFonts w:ascii="Segoe UI Light" w:eastAsia="Times New Roman" w:hAnsi="Segoe UI Light" w:cs="Segoe UI Light"/>
      <w:spacing w:val="-10"/>
      <w:kern w:val="28"/>
      <w:sz w:val="40"/>
      <w:szCs w:val="40"/>
    </w:rPr>
  </w:style>
  <w:style w:type="character" w:customStyle="1" w:styleId="TitleChar">
    <w:name w:val="Title Char"/>
    <w:basedOn w:val="DefaultParagraphFont"/>
    <w:link w:val="Title"/>
    <w:uiPriority w:val="10"/>
    <w:rsid w:val="00625CD9"/>
    <w:rPr>
      <w:rFonts w:ascii="Segoe UI Light" w:eastAsia="Times New Roman" w:hAnsi="Segoe UI Light" w:cs="Segoe UI Light"/>
      <w:color w:val="54575A" w:themeColor="text1"/>
      <w:spacing w:val="-10"/>
      <w:kern w:val="28"/>
      <w:sz w:val="40"/>
      <w:szCs w:val="40"/>
      <w:lang w:val="fr-CA"/>
    </w:rPr>
  </w:style>
  <w:style w:type="paragraph" w:styleId="Subtitle">
    <w:name w:val="Subtitle"/>
    <w:basedOn w:val="Normal"/>
    <w:next w:val="Normal"/>
    <w:link w:val="SubtitleChar"/>
    <w:uiPriority w:val="11"/>
    <w:qFormat/>
    <w:rsid w:val="00743E10"/>
    <w:rPr>
      <w:rFonts w:ascii="Segoe UI Light" w:hAnsi="Segoe UI Light" w:cs="Segoe UI Light"/>
      <w:sz w:val="36"/>
      <w:szCs w:val="36"/>
    </w:rPr>
  </w:style>
  <w:style w:type="character" w:customStyle="1" w:styleId="SubtitleChar">
    <w:name w:val="Subtitle Char"/>
    <w:basedOn w:val="DefaultParagraphFont"/>
    <w:link w:val="Subtitle"/>
    <w:uiPriority w:val="11"/>
    <w:rsid w:val="00743E10"/>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5C2ED0"/>
    <w:rPr>
      <w:rFonts w:asciiTheme="majorHAnsi" w:eastAsiaTheme="majorEastAsia" w:hAnsiTheme="majorHAnsi" w:cstheme="majorBidi"/>
      <w:color w:val="54575A" w:themeColor="text1"/>
      <w:sz w:val="48"/>
      <w:szCs w:val="48"/>
    </w:rPr>
  </w:style>
  <w:style w:type="character" w:customStyle="1" w:styleId="Heading2Char">
    <w:name w:val="Heading 2 Char"/>
    <w:basedOn w:val="DefaultParagraphFont"/>
    <w:link w:val="Heading2"/>
    <w:uiPriority w:val="9"/>
    <w:rsid w:val="005C2ED0"/>
    <w:rPr>
      <w:rFonts w:ascii="Segoe UI" w:eastAsiaTheme="majorEastAsia" w:hAnsi="Segoe UI" w:cs="Segoe UI"/>
      <w:b/>
      <w:color w:val="5B315E" w:themeColor="accent2"/>
      <w:sz w:val="32"/>
      <w:szCs w:val="32"/>
    </w:rPr>
  </w:style>
  <w:style w:type="character" w:customStyle="1" w:styleId="Heading3Char">
    <w:name w:val="Heading 3 Char"/>
    <w:basedOn w:val="DefaultParagraphFont"/>
    <w:link w:val="Heading3"/>
    <w:uiPriority w:val="9"/>
    <w:rsid w:val="005C2ED0"/>
    <w:rPr>
      <w:rFonts w:ascii="Segoe UI Semibold" w:eastAsiaTheme="majorEastAsia" w:hAnsi="Segoe UI Semibold" w:cs="Segoe UI Semibold"/>
      <w:color w:val="54575A" w:themeColor="text1"/>
      <w:sz w:val="24"/>
      <w:szCs w:val="24"/>
    </w:rPr>
  </w:style>
  <w:style w:type="paragraph" w:styleId="ListParagraph">
    <w:name w:val="List Paragraph"/>
    <w:basedOn w:val="Normal"/>
    <w:uiPriority w:val="34"/>
    <w:qFormat/>
    <w:rsid w:val="006C652D"/>
    <w:pPr>
      <w:numPr>
        <w:numId w:val="2"/>
      </w:numPr>
      <w:spacing w:after="320"/>
      <w:contextualSpacing/>
    </w:pPr>
  </w:style>
  <w:style w:type="character" w:customStyle="1" w:styleId="Heading4Char">
    <w:name w:val="Heading 4 Char"/>
    <w:basedOn w:val="DefaultParagraphFont"/>
    <w:link w:val="Heading4"/>
    <w:uiPriority w:val="9"/>
    <w:rsid w:val="00222D81"/>
    <w:rPr>
      <w:rFonts w:asciiTheme="majorHAnsi" w:eastAsiaTheme="majorEastAsia" w:hAnsiTheme="majorHAnsi" w:cstheme="majorBidi"/>
      <w:iCs/>
      <w:color w:val="54575A" w:themeColor="text2"/>
    </w:rPr>
  </w:style>
  <w:style w:type="paragraph" w:styleId="BalloonText">
    <w:name w:val="Balloon Text"/>
    <w:basedOn w:val="Normal"/>
    <w:link w:val="BalloonTextChar"/>
    <w:uiPriority w:val="99"/>
    <w:semiHidden/>
    <w:unhideWhenUsed/>
    <w:rsid w:val="003C0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34"/>
    <w:rPr>
      <w:rFonts w:ascii="Segoe UI" w:hAnsi="Segoe UI" w:cs="Segoe UI"/>
      <w:sz w:val="18"/>
      <w:szCs w:val="18"/>
    </w:rPr>
  </w:style>
  <w:style w:type="paragraph" w:customStyle="1" w:styleId="Numberedlist">
    <w:name w:val="Numbered list"/>
    <w:basedOn w:val="ListParagraph"/>
    <w:qFormat/>
    <w:rsid w:val="003C0C34"/>
    <w:pPr>
      <w:numPr>
        <w:numId w:val="3"/>
      </w:numPr>
    </w:pPr>
  </w:style>
  <w:style w:type="table" w:styleId="TableGrid">
    <w:name w:val="Table Grid"/>
    <w:basedOn w:val="TableNormal"/>
    <w:uiPriority w:val="39"/>
    <w:rsid w:val="0098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985FD0"/>
    <w:rPr>
      <w:rFonts w:ascii="Segoe UI Semibold" w:hAnsi="Segoe UI Semibold"/>
      <w:b w:val="0"/>
      <w:color w:val="54575A" w:themeColor="text1"/>
    </w:rPr>
  </w:style>
  <w:style w:type="paragraph" w:customStyle="1" w:styleId="ColumnTitle">
    <w:name w:val="Column Title"/>
    <w:basedOn w:val="Normal"/>
    <w:qFormat/>
    <w:rsid w:val="002669DD"/>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669DD"/>
    <w:pPr>
      <w:spacing w:after="0" w:line="240" w:lineRule="auto"/>
    </w:pPr>
  </w:style>
  <w:style w:type="paragraph" w:customStyle="1" w:styleId="Heading3forBox">
    <w:name w:val="Heading 3 for Box"/>
    <w:basedOn w:val="Normal"/>
    <w:qFormat/>
    <w:rsid w:val="00BC7998"/>
    <w:rPr>
      <w:rFonts w:ascii="Segoe UI Semibold" w:eastAsiaTheme="majorEastAsia" w:hAnsi="Segoe UI Semibold" w:cs="Segoe UI Semibold"/>
      <w:color w:val="FFFFFF" w:themeColor="background1"/>
      <w:sz w:val="24"/>
      <w:szCs w:val="24"/>
    </w:rPr>
  </w:style>
  <w:style w:type="paragraph" w:customStyle="1" w:styleId="NormalWhiteforBox">
    <w:name w:val="Normal White for Box"/>
    <w:basedOn w:val="Normal"/>
    <w:qFormat/>
    <w:rsid w:val="00BC7998"/>
  </w:style>
  <w:style w:type="paragraph" w:styleId="FootnoteText">
    <w:name w:val="footnote text"/>
    <w:basedOn w:val="Normal"/>
    <w:link w:val="FootnoteTextChar"/>
    <w:uiPriority w:val="99"/>
    <w:unhideWhenUsed/>
    <w:rsid w:val="00F45379"/>
    <w:pPr>
      <w:spacing w:after="0" w:line="240" w:lineRule="auto"/>
    </w:pPr>
    <w:rPr>
      <w:sz w:val="20"/>
      <w:szCs w:val="20"/>
    </w:rPr>
  </w:style>
  <w:style w:type="character" w:customStyle="1" w:styleId="FootnoteTextChar">
    <w:name w:val="Footnote Text Char"/>
    <w:basedOn w:val="DefaultParagraphFont"/>
    <w:link w:val="FootnoteText"/>
    <w:uiPriority w:val="99"/>
    <w:rsid w:val="00F45379"/>
    <w:rPr>
      <w:sz w:val="20"/>
      <w:szCs w:val="20"/>
    </w:rPr>
  </w:style>
  <w:style w:type="character" w:styleId="FootnoteReference">
    <w:name w:val="footnote reference"/>
    <w:basedOn w:val="DefaultParagraphFont"/>
    <w:uiPriority w:val="99"/>
    <w:semiHidden/>
    <w:unhideWhenUsed/>
    <w:rsid w:val="00F45379"/>
    <w:rPr>
      <w:vertAlign w:val="superscript"/>
    </w:rPr>
  </w:style>
  <w:style w:type="character" w:customStyle="1" w:styleId="Heading5Char">
    <w:name w:val="Heading 5 Char"/>
    <w:basedOn w:val="DefaultParagraphFont"/>
    <w:link w:val="Heading5"/>
    <w:uiPriority w:val="9"/>
    <w:rsid w:val="00C92BCC"/>
    <w:rPr>
      <w:rFonts w:asciiTheme="majorHAnsi" w:eastAsiaTheme="majorEastAsia" w:hAnsiTheme="majorHAnsi" w:cstheme="majorBidi"/>
      <w:color w:val="9F0040" w:themeColor="accent1" w:themeShade="BF"/>
    </w:rPr>
  </w:style>
  <w:style w:type="character" w:styleId="Strong">
    <w:name w:val="Strong"/>
    <w:basedOn w:val="DefaultParagraphFont"/>
    <w:uiPriority w:val="22"/>
    <w:qFormat/>
    <w:rsid w:val="00625CD9"/>
    <w:rPr>
      <w:b/>
      <w:bCs/>
    </w:rPr>
  </w:style>
  <w:style w:type="character" w:styleId="Hyperlink">
    <w:name w:val="Hyperlink"/>
    <w:basedOn w:val="DefaultParagraphFont"/>
    <w:uiPriority w:val="99"/>
    <w:unhideWhenUsed/>
    <w:rsid w:val="00B62963"/>
    <w:rPr>
      <w:color w:val="0099A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8980">
      <w:bodyDiv w:val="1"/>
      <w:marLeft w:val="0"/>
      <w:marRight w:val="0"/>
      <w:marTop w:val="0"/>
      <w:marBottom w:val="0"/>
      <w:divBdr>
        <w:top w:val="none" w:sz="0" w:space="0" w:color="auto"/>
        <w:left w:val="none" w:sz="0" w:space="0" w:color="auto"/>
        <w:bottom w:val="none" w:sz="0" w:space="0" w:color="auto"/>
        <w:right w:val="none" w:sz="0" w:space="0" w:color="auto"/>
      </w:divBdr>
      <w:divsChild>
        <w:div w:id="1092046319">
          <w:marLeft w:val="547"/>
          <w:marRight w:val="0"/>
          <w:marTop w:val="0"/>
          <w:marBottom w:val="120"/>
          <w:divBdr>
            <w:top w:val="none" w:sz="0" w:space="0" w:color="auto"/>
            <w:left w:val="none" w:sz="0" w:space="0" w:color="auto"/>
            <w:bottom w:val="none" w:sz="0" w:space="0" w:color="auto"/>
            <w:right w:val="none" w:sz="0" w:space="0" w:color="auto"/>
          </w:divBdr>
        </w:div>
        <w:div w:id="926377197">
          <w:marLeft w:val="547"/>
          <w:marRight w:val="0"/>
          <w:marTop w:val="0"/>
          <w:marBottom w:val="0"/>
          <w:divBdr>
            <w:top w:val="none" w:sz="0" w:space="0" w:color="auto"/>
            <w:left w:val="none" w:sz="0" w:space="0" w:color="auto"/>
            <w:bottom w:val="none" w:sz="0" w:space="0" w:color="auto"/>
            <w:right w:val="none" w:sz="0" w:space="0" w:color="auto"/>
          </w:divBdr>
        </w:div>
        <w:div w:id="130173429">
          <w:marLeft w:val="547"/>
          <w:marRight w:val="0"/>
          <w:marTop w:val="0"/>
          <w:marBottom w:val="0"/>
          <w:divBdr>
            <w:top w:val="none" w:sz="0" w:space="0" w:color="auto"/>
            <w:left w:val="none" w:sz="0" w:space="0" w:color="auto"/>
            <w:bottom w:val="none" w:sz="0" w:space="0" w:color="auto"/>
            <w:right w:val="none" w:sz="0" w:space="0" w:color="auto"/>
          </w:divBdr>
        </w:div>
        <w:div w:id="386690241">
          <w:marLeft w:val="547"/>
          <w:marRight w:val="0"/>
          <w:marTop w:val="0"/>
          <w:marBottom w:val="0"/>
          <w:divBdr>
            <w:top w:val="none" w:sz="0" w:space="0" w:color="auto"/>
            <w:left w:val="none" w:sz="0" w:space="0" w:color="auto"/>
            <w:bottom w:val="none" w:sz="0" w:space="0" w:color="auto"/>
            <w:right w:val="none" w:sz="0" w:space="0" w:color="auto"/>
          </w:divBdr>
        </w:div>
        <w:div w:id="1332827869">
          <w:marLeft w:val="547"/>
          <w:marRight w:val="0"/>
          <w:marTop w:val="0"/>
          <w:marBottom w:val="0"/>
          <w:divBdr>
            <w:top w:val="none" w:sz="0" w:space="0" w:color="auto"/>
            <w:left w:val="none" w:sz="0" w:space="0" w:color="auto"/>
            <w:bottom w:val="none" w:sz="0" w:space="0" w:color="auto"/>
            <w:right w:val="none" w:sz="0" w:space="0" w:color="auto"/>
          </w:divBdr>
        </w:div>
      </w:divsChild>
    </w:div>
    <w:div w:id="965818427">
      <w:bodyDiv w:val="1"/>
      <w:marLeft w:val="0"/>
      <w:marRight w:val="0"/>
      <w:marTop w:val="0"/>
      <w:marBottom w:val="0"/>
      <w:divBdr>
        <w:top w:val="none" w:sz="0" w:space="0" w:color="auto"/>
        <w:left w:val="none" w:sz="0" w:space="0" w:color="auto"/>
        <w:bottom w:val="none" w:sz="0" w:space="0" w:color="auto"/>
        <w:right w:val="none" w:sz="0" w:space="0" w:color="auto"/>
      </w:divBdr>
      <w:divsChild>
        <w:div w:id="40446415">
          <w:marLeft w:val="547"/>
          <w:marRight w:val="0"/>
          <w:marTop w:val="0"/>
          <w:marBottom w:val="120"/>
          <w:divBdr>
            <w:top w:val="none" w:sz="0" w:space="0" w:color="auto"/>
            <w:left w:val="none" w:sz="0" w:space="0" w:color="auto"/>
            <w:bottom w:val="none" w:sz="0" w:space="0" w:color="auto"/>
            <w:right w:val="none" w:sz="0" w:space="0" w:color="auto"/>
          </w:divBdr>
        </w:div>
        <w:div w:id="915167267">
          <w:marLeft w:val="547"/>
          <w:marRight w:val="0"/>
          <w:marTop w:val="0"/>
          <w:marBottom w:val="0"/>
          <w:divBdr>
            <w:top w:val="none" w:sz="0" w:space="0" w:color="auto"/>
            <w:left w:val="none" w:sz="0" w:space="0" w:color="auto"/>
            <w:bottom w:val="none" w:sz="0" w:space="0" w:color="auto"/>
            <w:right w:val="none" w:sz="0" w:space="0" w:color="auto"/>
          </w:divBdr>
        </w:div>
        <w:div w:id="25524319">
          <w:marLeft w:val="547"/>
          <w:marRight w:val="0"/>
          <w:marTop w:val="0"/>
          <w:marBottom w:val="0"/>
          <w:divBdr>
            <w:top w:val="none" w:sz="0" w:space="0" w:color="auto"/>
            <w:left w:val="none" w:sz="0" w:space="0" w:color="auto"/>
            <w:bottom w:val="none" w:sz="0" w:space="0" w:color="auto"/>
            <w:right w:val="none" w:sz="0" w:space="0" w:color="auto"/>
          </w:divBdr>
        </w:div>
        <w:div w:id="1398624109">
          <w:marLeft w:val="547"/>
          <w:marRight w:val="0"/>
          <w:marTop w:val="0"/>
          <w:marBottom w:val="0"/>
          <w:divBdr>
            <w:top w:val="none" w:sz="0" w:space="0" w:color="auto"/>
            <w:left w:val="none" w:sz="0" w:space="0" w:color="auto"/>
            <w:bottom w:val="none" w:sz="0" w:space="0" w:color="auto"/>
            <w:right w:val="none" w:sz="0" w:space="0" w:color="auto"/>
          </w:divBdr>
        </w:div>
        <w:div w:id="1523200909">
          <w:marLeft w:val="547"/>
          <w:marRight w:val="0"/>
          <w:marTop w:val="0"/>
          <w:marBottom w:val="0"/>
          <w:divBdr>
            <w:top w:val="none" w:sz="0" w:space="0" w:color="auto"/>
            <w:left w:val="none" w:sz="0" w:space="0" w:color="auto"/>
            <w:bottom w:val="none" w:sz="0" w:space="0" w:color="auto"/>
            <w:right w:val="none" w:sz="0" w:space="0" w:color="auto"/>
          </w:divBdr>
        </w:div>
      </w:divsChild>
    </w:div>
    <w:div w:id="1690834634">
      <w:bodyDiv w:val="1"/>
      <w:marLeft w:val="0"/>
      <w:marRight w:val="0"/>
      <w:marTop w:val="0"/>
      <w:marBottom w:val="0"/>
      <w:divBdr>
        <w:top w:val="none" w:sz="0" w:space="0" w:color="auto"/>
        <w:left w:val="none" w:sz="0" w:space="0" w:color="auto"/>
        <w:bottom w:val="none" w:sz="0" w:space="0" w:color="auto"/>
        <w:right w:val="none" w:sz="0" w:space="0" w:color="auto"/>
      </w:divBdr>
      <w:divsChild>
        <w:div w:id="207573011">
          <w:marLeft w:val="547"/>
          <w:marRight w:val="0"/>
          <w:marTop w:val="0"/>
          <w:marBottom w:val="120"/>
          <w:divBdr>
            <w:top w:val="none" w:sz="0" w:space="0" w:color="auto"/>
            <w:left w:val="none" w:sz="0" w:space="0" w:color="auto"/>
            <w:bottom w:val="none" w:sz="0" w:space="0" w:color="auto"/>
            <w:right w:val="none" w:sz="0" w:space="0" w:color="auto"/>
          </w:divBdr>
        </w:div>
        <w:div w:id="1859730310">
          <w:marLeft w:val="547"/>
          <w:marRight w:val="0"/>
          <w:marTop w:val="0"/>
          <w:marBottom w:val="0"/>
          <w:divBdr>
            <w:top w:val="none" w:sz="0" w:space="0" w:color="auto"/>
            <w:left w:val="none" w:sz="0" w:space="0" w:color="auto"/>
            <w:bottom w:val="none" w:sz="0" w:space="0" w:color="auto"/>
            <w:right w:val="none" w:sz="0" w:space="0" w:color="auto"/>
          </w:divBdr>
        </w:div>
        <w:div w:id="145323232">
          <w:marLeft w:val="547"/>
          <w:marRight w:val="0"/>
          <w:marTop w:val="0"/>
          <w:marBottom w:val="0"/>
          <w:divBdr>
            <w:top w:val="none" w:sz="0" w:space="0" w:color="auto"/>
            <w:left w:val="none" w:sz="0" w:space="0" w:color="auto"/>
            <w:bottom w:val="none" w:sz="0" w:space="0" w:color="auto"/>
            <w:right w:val="none" w:sz="0" w:space="0" w:color="auto"/>
          </w:divBdr>
        </w:div>
        <w:div w:id="2052535829">
          <w:marLeft w:val="547"/>
          <w:marRight w:val="0"/>
          <w:marTop w:val="0"/>
          <w:marBottom w:val="0"/>
          <w:divBdr>
            <w:top w:val="none" w:sz="0" w:space="0" w:color="auto"/>
            <w:left w:val="none" w:sz="0" w:space="0" w:color="auto"/>
            <w:bottom w:val="none" w:sz="0" w:space="0" w:color="auto"/>
            <w:right w:val="none" w:sz="0" w:space="0" w:color="auto"/>
          </w:divBdr>
        </w:div>
      </w:divsChild>
    </w:div>
    <w:div w:id="20521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docs.gc.ca/psc-cfp/llisapi.dll/Overview/754819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cdocs.gc.ca/psc-cfp/llisapi.dll?func=ll&amp;objaction=overview&amp;objid=9530866"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Rapport-CFP2019.dotx" TargetMode="External"/></Relationships>
</file>

<file path=word/theme/theme1.xml><?xml version="1.0" encoding="utf-8"?>
<a:theme xmlns:a="http://schemas.openxmlformats.org/drawingml/2006/main" name="Office 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D3F96-BF95-4B53-B644-15F1DE6E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Rapport-CFP2019.dotx</Template>
  <TotalTime>2480</TotalTime>
  <Pages>16</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18957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 Hassainya</dc:creator>
  <cp:keywords/>
  <dc:description/>
  <cp:lastModifiedBy>Sandy Ferreira</cp:lastModifiedBy>
  <cp:revision>42</cp:revision>
  <cp:lastPrinted>2020-01-21T20:36:00Z</cp:lastPrinted>
  <dcterms:created xsi:type="dcterms:W3CDTF">2020-01-03T15:09:00Z</dcterms:created>
  <dcterms:modified xsi:type="dcterms:W3CDTF">2020-02-07T13:46:00Z</dcterms:modified>
</cp:coreProperties>
</file>